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Construction</w:t>
      </w:r>
      <w:r>
        <w:t xml:space="preserve"> </w:t>
      </w:r>
      <w:r>
        <w:t xml:space="preserve">Harness</w:t>
      </w:r>
    </w:p>
    <w:p>
      <w:pPr>
        <w:pStyle w:val="Subtitle"/>
      </w:pPr>
      <w:r>
        <w:t xml:space="preserve">Autoregressive</w:t>
      </w:r>
      <w:r>
        <w:t xml:space="preserve"> </w:t>
      </w:r>
      <w:r>
        <w:t xml:space="preserve">diffusion</w:t>
      </w:r>
      <w:r>
        <w:t xml:space="preserve"> </w:t>
      </w:r>
      <w:r>
        <w:t xml:space="preserve">evolution</w:t>
      </w:r>
      <w:r>
        <w:t xml:space="preserve"> </w:t>
      </w:r>
      <w:r>
        <w:t xml:space="preserve">for</w:t>
      </w:r>
      <w:r>
        <w:t xml:space="preserve"> </w:t>
      </w:r>
      <w:r>
        <w:t xml:space="preserve">engineering</w:t>
      </w:r>
      <w:r>
        <w:t xml:space="preserve"> </w:t>
      </w:r>
      <w:r>
        <w:t xml:space="preserve">agents</w:t>
      </w:r>
      <w:r>
        <w:t xml:space="preserve"> </w:t>
      </w:r>
      <w:r>
        <w:t xml:space="preserve">with</w:t>
      </w:r>
      <w:r>
        <w:t xml:space="preserve"> </w:t>
      </w:r>
      <w:r>
        <w:t xml:space="preserve">fixed</w:t>
      </w:r>
      <w:r>
        <w:t xml:space="preserve"> </w:t>
      </w:r>
      <w:r>
        <w:t xml:space="preserve">model</w:t>
      </w:r>
      <w:r>
        <w:t xml:space="preserve"> </w:t>
      </w:r>
      <w:r>
        <w:t xml:space="preserve">weights</w:t>
      </w:r>
    </w:p>
    <w:p>
      <w:pPr>
        <w:pStyle w:val="Author"/>
      </w:pPr>
      <w:r>
        <w:t xml:space="preserve">Debi</w:t>
      </w:r>
      <w:r>
        <w:t xml:space="preserve"> </w:t>
      </w:r>
      <w:r>
        <w:t xml:space="preserve">Prasad</w:t>
      </w:r>
      <w:r>
        <w:t xml:space="preserve"> </w:t>
      </w:r>
      <w:r>
        <w:t xml:space="preserve">Ghosh</w:t>
      </w:r>
    </w:p>
    <w:p>
      <w:pPr>
        <w:pStyle w:val="Date"/>
      </w:pPr>
      <w:r>
        <w:t xml:space="preserve">16</w:t>
      </w:r>
      <w:r>
        <w:t xml:space="preserve"> </w:t>
      </w:r>
      <w:r>
        <w:t xml:space="preserve">October</w:t>
      </w:r>
      <w:r>
        <w:t xml:space="preserve"> </w:t>
      </w:r>
      <w:r>
        <w:t xml:space="preserve">2026</w:t>
      </w:r>
    </w:p>
    <w:bookmarkStart w:id="20" w:name="abstract"/>
    <w:p>
      <w:pPr>
        <w:pStyle w:val="Heading1"/>
        <w:spacing w:before="240"/>
      </w:pPr>
      <w:r>
        <w:t xml:space="preserve">Abstract</w:t>
      </w:r>
    </w:p>
    <w:p>
      <w:pPr>
        <w:pStyle w:val="FirstParagraph"/>
      </w:pPr>
      <w:r>
        <w:t xml:space="preserve">Construction automation requires an AI system to connect project requirements, engineering knowledge, numerical tools, and controlled document release across many dependent steps. We propose Construction Harness, an agent architecture in which a fixed language model operates through versioned software stages for prompts, knowledge retrieval, memory, workspace management, tools, executable components, runtime control, guardrails, reasoning, action, observation, evaluation, and verification. The agent loop is autoregressive over typed actions and evidence: each accepted event updates the previous state and supplies the context for the next decision. Autoregressive Diffusion Evolution provides a population-based proposal mechanism for this loop and an outer search over persistent harness configurations. We formulate multi-objective search through preference-conditioned Gibbs densities and a normalized mixture of these densities, retaining alternative trade-offs rather than imposing one global reward. We prove finite-space variational and Pareto-representation results, an exploration coverage bound, and a conditional guarantee for artifact-bound release. Fresh-project validation controls statistical admission of harness revisions. A reproducible analytic beam example connects section selection, numerical checks, provenance, and invalidation after a load change; a finite harness example shows how the density construction retains a trade-off missed by weighted sums. These calculations verify mechanisms, while comparative automation gains remain an empirical hypothesis. The framework provides an implementable route for integrating construction knowledge bases with a fixed model through repeated, evaluated execution.</w:t>
      </w:r>
    </w:p>
    <w:p>
      <w:pPr>
        <w:pStyle w:val="BodyText"/>
      </w:pPr>
      <w:r>
        <w:rPr>
          <w:bCs/>
          <w:b/>
        </w:rPr>
        <w:t xml:space="preserve">Keywords</w:t>
      </w:r>
      <w:r>
        <w:t xml:space="preserve"> </w:t>
      </w:r>
      <w:r>
        <w:t xml:space="preserve">construction automation; agent harness; autoregressive diffusion evolution; multi-objective optimization; engineering knowledge; evidence provenance; verification</w:t>
      </w:r>
    </w:p>
    <w:bookmarkEnd w:id="20"/>
    <w:bookmarkStart w:id="21" w:name="introduction"/>
    <w:p>
      <w:pPr>
        <w:pStyle w:val="Heading1"/>
      </w:pPr>
      <w:r>
        <w:t xml:space="preserve">1 Introduction</w:t>
      </w:r>
    </w:p>
    <w:p>
      <w:pPr>
        <w:pStyle w:val="FirstParagraph"/>
      </w:pPr>
      <w:r>
        <w:t xml:space="preserve">A construction engineer rarely completes a task by answering one question. A conveyor gallery design, for example, begins with layout and loading information, consults project specifications and section properties, constructs an analysis model, checks responses, revises members, and produces drawings and calculations that refer to the same approved inputs. A language model can assist at many of these steps. Coordinating them requires persistent state, executable tools, and rules for deciding which result is ready to use.</w:t>
      </w:r>
    </w:p>
    <w:p>
      <w:pPr>
        <w:pStyle w:val="BodyText"/>
      </w:pPr>
      <w:r>
        <w:t xml:space="preserve">We use</w:t>
      </w:r>
      <w:r>
        <w:t xml:space="preserve"> </w:t>
      </w:r>
      <w:r>
        <w:rPr>
          <w:iCs/>
          <w:i/>
        </w:rPr>
        <w:t xml:space="preserve">harness</w:t>
      </w:r>
      <w:r>
        <w:t xml:space="preserve"> </w:t>
      </w:r>
      <w:r>
        <w:t xml:space="preserve">for the software and configuration that organize this work around a base AI model. The harness builds prompts, selects knowledge, exposes tools, manages files and memory, controls execution, and evaluates outputs. Construction Harness specializes that arrangement to engineering tasks with units, model dependencies, revision control, and explicit release authority. A useful basic distinction is between the model, which proposes and interprets, and the surrounding services, which supply project-specific facts and execute defined operations.</w:t>
      </w:r>
    </w:p>
    <w:p>
      <w:pPr>
        <w:pStyle w:val="BodyText"/>
      </w:pPr>
      <w:r>
        <w:t xml:space="preserve">The design draws on two recent papers.</w:t>
      </w:r>
      <w:r>
        <w:t xml:space="preserve"> </w:t>
      </w:r>
      <w:r>
        <w:rPr>
          <w:iCs/>
          <w:i/>
        </w:rPr>
        <w:t xml:space="preserve">Self-Evolving Agent Harness</w:t>
      </w:r>
      <w:r>
        <w:t xml:space="preserve"> </w:t>
      </w:r>
      <w:r>
        <w:t xml:space="preserve">[1] formalizes persistent revision of prompts, memory, workflows, and executable components while model weights remain fixed.</w:t>
      </w:r>
      <w:r>
        <w:t xml:space="preserve"> </w:t>
      </w:r>
      <w:r>
        <w:rPr>
          <w:iCs/>
          <w:i/>
        </w:rPr>
        <w:t xml:space="preserve">Harmony Harness</w:t>
      </w:r>
      <w:r>
        <w:t xml:space="preserve"> </w:t>
      </w:r>
      <w:r>
        <w:t xml:space="preserve">[2] treats harness evolution as a multi-objective problem and separates reusable mechanisms from environment-specific adaptations. We extend these ideas with an ADE proposal interface, a density-based representation of competing objectives, and construction-specific knowledge and evidence contracts. Their coding-agent results motivate investigation; they are not measurements of construction automation.</w:t>
      </w:r>
    </w:p>
    <w:p>
      <w:pPr>
        <w:pStyle w:val="BodyText"/>
      </w:pPr>
      <w:r>
        <w:t xml:space="preserve">Autoregressive Diffusion Evolution, abbreviated ADE throughout, generates candidates sequentially using evaluated memory [3, 4]. In this paper, ADE can propose either the next typed engineering action or a revision to the harness itself. Training-free diffusion has also been studied for dynamic Pareto search [9]. Here the language model remains fixed while the context, candidate archive, tools, and accepted harness configuration change. A construction organization can therefore improve an automation workflow through versioned software and knowledge integration without training a new model checkpoint for every project.</w:t>
      </w:r>
    </w:p>
    <w:p>
      <w:pPr>
        <w:pStyle w:val="BodyText"/>
      </w:pPr>
      <w:r>
        <w:t xml:space="preserve">The proposed</w:t>
      </w:r>
      <w:r>
        <w:t xml:space="preserve"> </w:t>
      </w:r>
      <w:r>
        <w:t xml:space="preserve">“</w:t>
      </w:r>
      <w:r>
        <w:t xml:space="preserve">layers</w:t>
      </w:r>
      <w:r>
        <w:t xml:space="preserve">”</w:t>
      </w:r>
      <w:r>
        <w:t xml:space="preserve"> </w:t>
      </w:r>
      <w:r>
        <w:t xml:space="preserve">are software stages with typed inputs and outputs. They can invoke the same fixed model repeatedly and can call deterministic engineering software. Their composition provides a GPT-like sequential interface at the system level; it does not require replacing the model’s internal transformer blocks with tools or files. This interpretation makes the architecture implementable with an existing model API.</w:t>
      </w:r>
    </w:p>
    <w:p>
      <w:pPr>
        <w:pStyle w:val="BodyText"/>
      </w:pPr>
      <w:r>
        <w:t xml:space="preserve">The central empirical hypothesis is that a preference-conditioned ADE proposer, combined with typed construction knowledge and independent verification, improves verified task completion per evaluation budget over an otherwise identical fixed harness with ordinary proposals. The paper makes that hypothesis testable. Its established results concern the stated density construction, finite search support, and verification contracts. Its numerical examples are analytic demonstrators, not a deployed-agent benchmark.</w:t>
      </w:r>
    </w:p>
    <w:bookmarkEnd w:id="21"/>
    <w:bookmarkStart w:id="23" w:name="from-a-chatbot-to-a-construction-agent"/>
    <w:p>
      <w:pPr>
        <w:pStyle w:val="Heading1"/>
      </w:pPr>
      <w:r>
        <w:t xml:space="preserve">2 From a chatbot to a construction agent</w:t>
      </w:r>
    </w:p>
    <w:p>
      <w:pPr>
        <w:pStyle w:val="FirstParagraph"/>
      </w:pPr>
      <w:r>
        <w:t xml:space="preserve">A prompt tells a model what to do in one invocation. A tool performs a callable operation, such as retrieving a section, generating an analysis input file, or running a calculation. Memory preserves selected information for later use. A workspace holds the current task’s files and staged artifacts. A runtime executes tool calls, enforces resource limits, and records what happened. The harness specifies how these components cooperate and when execution continues, retries, stops, or hands work to an engineer.</w:t>
      </w:r>
    </w:p>
    <w:p>
      <w:pPr>
        <w:pStyle w:val="BodyText"/>
      </w:pPr>
      <w:r>
        <w:t xml:space="preserve">Consider a request to choose a beam for a gallery. A prompt-only answer may describe a plausible section. A tool-assisted answer may compute a stress. A construction agent must additionally establish the span and load source, preserve units, evaluate the relevant cases, bind the checks to the actual proposed section, and identify the revision that the report describes. These requirements become explicit state and interface fields.</w:t>
      </w:r>
    </w:p>
    <w:p>
      <w:pPr>
        <w:pStyle w:val="BodyText"/>
      </w:pPr>
      <w:r>
        <w:t xml:space="preserve">Two kinds of persistent change should be distinguished. During an ordinary task, a fixed workflow updates its task state and writes a log. Across tasks, an evolution mechanism may revise the retrieval policy, a tool implementation, a reusable procedure, or the workflow. Only the second changes the harness. Accumulating more log entries under an unchanged policy is useful stateful execution, but does not by itself establish harness self-evolution [1].</w:t>
      </w:r>
    </w:p>
    <w:p>
      <w:pPr>
        <w:pStyle w:val="BodyText"/>
      </w:pPr>
      <w:r>
        <w:t xml:space="preserve">The construction proposal adds four operational commitments. Engineering assertions refer to typed source records and numerical artifacts. Both design alternatives and harness alternatives retain objective vectors. All consequential outputs pass checks outside the candidate’s editable surface. Accepted harness changes persist only after validation on tasks that did not generate the proposed change. These commitments define what an implementation must expose for evaluation.</w:t>
      </w:r>
    </w:p>
    <w:bookmarkStart w:id="22" w:name="two-optimization-levels"/>
    <w:p>
      <w:pPr>
        <w:pStyle w:val="Heading2"/>
      </w:pPr>
      <w:r>
        <w:t xml:space="preserve">Two optimization levels</w:t>
      </w:r>
    </w:p>
    <w:p>
      <w:pPr>
        <w:pStyle w:val="FirstParagraph"/>
      </w:pPr>
      <w:r>
        <w:t xml:space="preserve">The outer problem chooses a harness</w:t>
      </w:r>
      <w:r>
        <w:t xml:space="preserve"> </w:t>
      </w:r>
      <m:oMath>
        <m:r>
          <m:t>h</m:t>
        </m:r>
      </m:oMath>
      <w:r>
        <w:t xml:space="preserve"> </w:t>
      </w:r>
      <w:r>
        <w:t xml:space="preserve">for a distribution of engineering tasks. Its objectives can include verified task failure, model and tool cost, latency, and required review effort. The inner problem chooses an engineering design</w:t>
      </w:r>
      <w:r>
        <w:t xml:space="preserve"> </w:t>
      </w:r>
      <m:oMath>
        <m:r>
          <m:t>x</m:t>
        </m:r>
      </m:oMath>
      <w:r>
        <w:t xml:space="preserve"> </w:t>
      </w:r>
      <w:r>
        <w:t xml:space="preserve">for one project. Its objectives can include mass, fabrication cost, embodied-carbon estimates, and schedule. The two problems have different units, constraints, and evaluators.</w:t>
      </w:r>
    </w:p>
    <w:p>
      <w:pPr>
        <w:pStyle w:val="Caption"/>
        <w:keepNext/>
      </w:pPr>
      <w:r>
        <w:rPr>
          <w:bCs/>
          <w:b w:val="0"/>
        </w:rPr>
        <w:t xml:space="preserve">Table 1. The two optimization levels</w:t>
      </w:r>
    </w:p>
    <w:tbl>
      <w:tblPr>
        <w:tblStyle w:val="TableGrid"/>
        <w:tblW w:type="dxa" w:w="993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1872"/>
        <w:gridCol w:w="3528"/>
        <w:gridCol w:w="3168"/>
      </w:tblGrid>
      <w:tr>
        <w:trPr>
          <w:cantSplit/>
          <w:tblHeader/>
        </w:trPr>
        <w:tc>
          <w:tcPr>
            <w:tcW w:type="dxa" w:w="1368"/>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Level</w:t>
            </w:r>
          </w:p>
        </w:tc>
        <w:tc>
          <w:tcPr>
            <w:tcW w:type="dxa" w:w="1872"/>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Candidate</w:t>
            </w:r>
          </w:p>
        </w:tc>
        <w:tc>
          <w:tcPr>
            <w:tcW w:type="dxa" w:w="3528"/>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Typical minimized objectives</w:t>
            </w:r>
          </w:p>
        </w:tc>
        <w:tc>
          <w:tcPr>
            <w:tcW w:type="dxa" w:w="3168"/>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Required evidence</w:t>
            </w:r>
          </w:p>
        </w:tc>
      </w:tr>
      <w:tr>
        <w:trPr>
          <w:cantSplit/>
        </w:trPr>
        <w:tc>
          <w:tcPr>
            <w:tcW w:type="dxa" w:w="1368"/>
            <w:vAlign w:val="center"/>
            <w:tcMar>
              <w:top w:w="80" w:type="dxa"/>
              <w:bottom w:w="80" w:type="dxa"/>
              <w:left w:w="85" w:type="dxa"/>
              <w:right w:w="85" w:type="dxa"/>
            </w:tcMar>
            <w:shd w:fill="FFFFFF"/>
          </w:tcPr>
          <w:p>
            <w:pPr>
              <w:keepNext/>
              <w:keepLines/>
              <w:spacing w:after="0" w:before="0" w:line="247" w:lineRule="auto"/>
              <w:jc w:val="left"/>
            </w:pPr>
            <w:r>
              <w:rPr>
                <w:b w:val="0"/>
                <w:sz w:val="21"/>
              </w:rPr>
              <w:t xml:space="preserve">Harness evolution</w:t>
            </w:r>
          </w:p>
        </w:tc>
        <w:tc>
          <w:tcPr>
            <w:tcW w:type="dxa" w:w="1872"/>
            <w:vAlign w:val="center"/>
            <w:tcMar>
              <w:top w:w="80" w:type="dxa"/>
              <w:bottom w:w="80" w:type="dxa"/>
              <w:left w:w="85" w:type="dxa"/>
              <w:right w:w="85" w:type="dxa"/>
            </w:tcMar>
            <w:shd w:fill="FFFFFF"/>
          </w:tcPr>
          <w:p>
            <w:pPr>
              <w:keepNext/>
              <w:keepLines/>
              <w:spacing w:after="0" w:before="0" w:line="247" w:lineRule="auto"/>
              <w:jc w:val="left"/>
            </w:pPr>
            <w:r>
              <w:rPr>
                <w:b w:val="0"/>
                <w:sz w:val="21"/>
              </w:rPr>
              <w:t xml:space="preserve">Prompts, retrieval policy, tools, workflow, runtime configuration</w:t>
            </w:r>
          </w:p>
        </w:tc>
        <w:tc>
          <w:tcPr>
            <w:tcW w:type="dxa" w:w="3528"/>
            <w:vAlign w:val="center"/>
            <w:tcMar>
              <w:top w:w="80" w:type="dxa"/>
              <w:bottom w:w="80" w:type="dxa"/>
              <w:left w:w="85" w:type="dxa"/>
              <w:right w:w="85" w:type="dxa"/>
            </w:tcMar>
            <w:shd w:fill="FFFFFF"/>
          </w:tcPr>
          <w:p>
            <w:pPr>
              <w:keepNext/>
              <w:keepLines/>
              <w:spacing w:after="0" w:before="0" w:line="247" w:lineRule="auto"/>
              <w:jc w:val="left"/>
            </w:pPr>
            <w:r>
              <w:rPr>
                <w:b w:val="0"/>
                <w:sz w:val="21"/>
              </w:rPr>
              <w:t xml:space="preserve">Task loss, compute cost, elapsed time, review effort</w:t>
            </w:r>
          </w:p>
        </w:tc>
        <w:tc>
          <w:tcPr>
            <w:tcW w:type="dxa" w:w="3168"/>
            <w:vAlign w:val="center"/>
            <w:tcMar>
              <w:top w:w="80" w:type="dxa"/>
              <w:bottom w:w="80" w:type="dxa"/>
              <w:left w:w="85" w:type="dxa"/>
              <w:right w:w="85" w:type="dxa"/>
            </w:tcMar>
            <w:shd w:fill="FFFFFF"/>
          </w:tcPr>
          <w:p>
            <w:pPr>
              <w:keepNext/>
              <w:keepLines/>
              <w:spacing w:after="0" w:before="0" w:line="247" w:lineRule="auto"/>
              <w:jc w:val="left"/>
            </w:pPr>
            <w:r>
              <w:rPr>
                <w:b w:val="0"/>
                <w:sz w:val="21"/>
              </w:rPr>
              <w:t xml:space="preserve">Independent project evaluations and protected tests</w:t>
            </w:r>
          </w:p>
        </w:tc>
      </w:tr>
      <w:tr>
        <w:trPr>
          <w:cantSplit/>
        </w:trPr>
        <w:tc>
          <w:tcPr>
            <w:tcW w:type="dxa" w:w="136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Engineering design</w:t>
            </w:r>
          </w:p>
        </w:tc>
        <w:tc>
          <w:tcPr>
            <w:tcW w:type="dxa" w:w="1872"/>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Section, geometry, equipment choice, sequence or model parameters</w:t>
            </w:r>
          </w:p>
        </w:tc>
        <w:tc>
          <w:tcPr>
            <w:tcW w:type="dxa" w:w="352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Mass, cost, carbon estimate, schedule</w:t>
            </w:r>
          </w:p>
        </w:tc>
        <w:tc>
          <w:tcPr>
            <w:tcW w:type="dxa" w:w="316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Current inputs, solver outputs and engineering checks</w:t>
            </w:r>
          </w:p>
        </w:tc>
      </w:tr>
    </w:tbl>
    <w:p>
      <w:pPr>
        <w:pStyle w:val="BodyText"/>
        <w:spacing w:before="140"/>
      </w:pPr>
      <w:r>
        <w:t xml:space="preserve">The same density machinery can represent alternatives at either level. A low-token harness and a low-mass beam do not become comparable objectives merely because both are optimized by ADE. The engineering acceptance conditions remain part of the task evaluator rather than a negotiable exchange for cheaper inference.</w:t>
      </w:r>
    </w:p>
    <w:bookmarkEnd w:id="22"/>
    <w:bookmarkEnd w:id="23"/>
    <w:bookmarkStart w:id="29" w:name="X3ac890b259a49fe269f44dc8d70b8efa367ef65"/>
    <w:p>
      <w:pPr>
        <w:pStyle w:val="Heading1"/>
      </w:pPr>
      <w:r>
        <w:t xml:space="preserve">3 State and autoregression with fixed model weights</w:t>
      </w:r>
    </w:p>
    <w:bookmarkStart w:id="24" w:name="Xf5daf18c71b733645f354e9bffbd76bede5ceb8"/>
    <w:p>
      <w:pPr>
        <w:pStyle w:val="Heading2"/>
      </w:pPr>
      <w:r>
        <w:t xml:space="preserve">Three clocks and one internal proposal scale</w:t>
      </w:r>
    </w:p>
    <w:p>
      <w:pPr>
        <w:pStyle w:val="FirstParagraph"/>
      </w:pPr>
      <w:r>
        <w:t xml:space="preserve">Let</w:t>
      </w:r>
      <w:r>
        <w:t xml:space="preserve"> </w:t>
      </w:r>
      <m:oMath>
        <m:r>
          <m:t>θ</m:t>
        </m:r>
      </m:oMath>
      <w:r>
        <w:t xml:space="preserve"> </w:t>
      </w:r>
      <w:r>
        <w:t xml:space="preserve">denote the fixed parameters of the base model. Let</w:t>
      </w:r>
      <w:r>
        <w:t xml:space="preserve"> </w:t>
      </w:r>
      <m:oMath>
        <m:sSub>
          <m:e>
            <m:r>
              <m:t>h</m:t>
            </m:r>
          </m:e>
          <m:sub>
            <m:r>
              <m:t>k</m:t>
            </m:r>
          </m:sub>
        </m:sSub>
      </m:oMath>
      <w:r>
        <w:t xml:space="preserve"> </w:t>
      </w:r>
      <w:r>
        <w:t xml:space="preserve">be the accepted harness at evolution round</w:t>
      </w:r>
      <w:r>
        <w:t xml:space="preserve"> </w:t>
      </w:r>
      <m:oMath>
        <m:r>
          <m:t>k</m:t>
        </m:r>
      </m:oMath>
      <w:r>
        <w:t xml:space="preserve">, and let</w:t>
      </w:r>
      <w:r>
        <w:t xml:space="preserve"> </w:t>
      </w:r>
      <m:oMath>
        <m:sSub>
          <m:e>
            <m:r>
              <m:t>S</m:t>
            </m:r>
          </m:e>
          <m:sub>
            <m:r>
              <m:t>t</m:t>
            </m:r>
          </m:sub>
        </m:sSub>
      </m:oMath>
      <w:r>
        <w:t xml:space="preserve"> </w:t>
      </w:r>
      <w:r>
        <w:t xml:space="preserve">be the task state at agent decision</w:t>
      </w:r>
      <w:r>
        <w:t xml:space="preserve"> </w:t>
      </w:r>
      <m:oMath>
        <m:r>
          <m:t>t</m:t>
        </m:r>
      </m:oMath>
      <w:r>
        <w:t xml:space="preserve">. Within one model invocation,</w:t>
      </w:r>
      <w:r>
        <w:t xml:space="preserve"> </w:t>
      </w:r>
      <m:oMath>
        <m:sSub>
          <m:e>
            <m:r>
              <m:t>y</m:t>
            </m:r>
          </m:e>
          <m:sub>
            <m:r>
              <m:t>r</m:t>
            </m:r>
          </m:sub>
        </m:sSub>
      </m:oMath>
      <w:r>
        <w:t xml:space="preserve"> </w:t>
      </w:r>
      <w:r>
        <w:t xml:space="preserve">denotes token</w:t>
      </w:r>
      <w:r>
        <w:t xml:space="preserve"> </w:t>
      </w:r>
      <m:oMath>
        <m:r>
          <m:t>r</m:t>
        </m:r>
      </m:oMath>
      <w:r>
        <w:t xml:space="preserve">. ADE additionally uses a denoising scale</w:t>
      </w:r>
      <w:r>
        <w:t xml:space="preserve"> </w:t>
      </w:r>
      <m:oMath>
        <m:r>
          <m:t>σ</m:t>
        </m:r>
      </m:oMath>
      <w:r>
        <w:t xml:space="preserve">. For a hosted model, pin a provider revision and record inference settings; a mutable model alias alone does not establish fixed weights. These indices describe different operations: tokens construct a message, decisions interact with tools, evolution revises the harness, and denoising constructs a proposal.</w:t>
      </w:r>
    </w:p>
    <w:p>
      <w:pPr>
        <w:pStyle w:val="BodyText"/>
        <w:keepNext/>
      </w:pPr>
      <w:r>
        <w:t xml:space="preserve">A practical task state is</w:t>
      </w:r>
    </w:p>
    <w:p>
      <w:pPr>
        <w:pStyle w:val="BodyText"/>
        <w:keepLines/>
        <w:spacing w:before="60" w:after="120"/>
        <w:jc w:val="center"/>
      </w:pPr>
      <m:oMathPara>
        <m:oMathParaPr>
          <m:jc m:val="center"/>
        </m:oMathParaPr>
        <m:oMath>
          <m:sSub>
            <m:e>
              <m:r>
                <m:t>S</m:t>
              </m:r>
            </m:e>
            <m:sub>
              <m:r>
                <m:t>t</m:t>
              </m:r>
            </m:sub>
          </m:sSub>
          <m:r>
            <m:rPr>
              <m:sty m:val="p"/>
            </m:rPr>
            <m:t>=</m:t>
          </m:r>
          <m:d>
            <m:dPr>
              <m:begChr m:val="("/>
              <m:endChr m:val=")"/>
              <m:sepChr m:val=""/>
              <m:grow/>
            </m:dPr>
            <m:e>
              <m:sSub>
                <m:e>
                  <m:r>
                    <m:t>b</m:t>
                  </m:r>
                </m:e>
                <m:sub>
                  <m:r>
                    <m:t>t</m:t>
                  </m:r>
                </m:sub>
              </m:sSub>
              <m:r>
                <m:rPr>
                  <m:sty m:val="p"/>
                </m:rPr>
                <m:t>,</m:t>
              </m:r>
              <m:sSub>
                <m:e>
                  <m:r>
                    <m:t>c</m:t>
                  </m:r>
                </m:e>
                <m:sub>
                  <m:r>
                    <m:t>t</m:t>
                  </m:r>
                </m:sub>
              </m:sSub>
              <m:r>
                <m:rPr>
                  <m:sty m:val="p"/>
                </m:rPr>
                <m:t>,</m:t>
              </m:r>
              <m:sSub>
                <m:e>
                  <m:r>
                    <m:t>m</m:t>
                  </m:r>
                </m:e>
                <m:sub>
                  <m:r>
                    <m:t>t</m:t>
                  </m:r>
                </m:sub>
              </m:sSub>
              <m:r>
                <m:rPr>
                  <m:sty m:val="p"/>
                </m:rPr>
                <m:t>,</m:t>
              </m:r>
              <m:sSub>
                <m:e>
                  <m:r>
                    <m:t>w</m:t>
                  </m:r>
                </m:e>
                <m:sub>
                  <m:r>
                    <m:t>t</m:t>
                  </m:r>
                </m:sub>
              </m:sSub>
              <m:r>
                <m:rPr>
                  <m:sty m:val="p"/>
                </m:rPr>
                <m:t>,</m:t>
              </m:r>
              <m:sSub>
                <m:e>
                  <m:r>
                    <m:t>e</m:t>
                  </m:r>
                </m:e>
                <m:sub>
                  <m:r>
                    <m:t>t</m:t>
                  </m:r>
                </m:sub>
              </m:sSub>
              <m:r>
                <m:rPr>
                  <m:sty m:val="p"/>
                </m:rPr>
                <m:t>,</m:t>
              </m:r>
              <m:sSub>
                <m:e>
                  <m:r>
                    <m:t>v</m:t>
                  </m:r>
                </m:e>
                <m:sub>
                  <m:r>
                    <m:t>t</m:t>
                  </m:r>
                </m:sub>
              </m:sSub>
              <m:r>
                <m:rPr>
                  <m:sty m:val="p"/>
                </m:rPr>
                <m:t>,</m:t>
              </m:r>
              <m:sSub>
                <m:e>
                  <m:r>
                    <m:rPr>
                      <m:sty m:val="p"/>
                    </m:rPr>
                    <m:t>ℓ</m:t>
                  </m:r>
                </m:e>
                <m:sub>
                  <m:r>
                    <m:t>t</m:t>
                  </m:r>
                </m:sub>
              </m:sSub>
              <m:r>
                <m:rPr>
                  <m:sty m:val="p"/>
                </m:rPr>
                <m:t>,</m:t>
              </m:r>
              <m:sSub>
                <m:e>
                  <m:r>
                    <m:t>h</m:t>
                  </m:r>
                </m:e>
                <m:sub>
                  <m:r>
                    <m:t>k</m:t>
                  </m:r>
                </m:sub>
              </m:sSub>
            </m:e>
          </m:d>
          <m:r>
            <m:rPr>
              <m:sty m:val="p"/>
            </m:rPr>
            <m:t>,</m:t>
          </m:r>
          <m:r>
            <m:rPr>
              <m:nor/>
            </m:rPr>
            <m:t xml:space="preserve">    </m:t>
          </m:r>
          <m:sSub>
            <m:e>
              <m:r>
                <m:t>θ</m:t>
              </m:r>
            </m:e>
            <m:sub>
              <m:r>
                <m:t>k</m:t>
              </m:r>
              <m:r>
                <m:rPr>
                  <m:sty m:val="p"/>
                </m:rPr>
                <m:t>,</m:t>
              </m:r>
              <m:r>
                <m:t>t</m:t>
              </m:r>
              <m:r>
                <m:rPr>
                  <m:sty m:val="p"/>
                </m:rPr>
                <m:t>,</m:t>
              </m:r>
              <m:r>
                <m:t>r</m:t>
              </m:r>
            </m:sub>
          </m:sSub>
          <m:r>
            <m:rPr>
              <m:sty m:val="p"/>
            </m:rPr>
            <m:t>=</m:t>
          </m:r>
          <m:sSub>
            <m:e>
              <m:r>
                <m:t>θ</m:t>
              </m:r>
            </m:e>
            <m:sub>
              <m:r>
                <m:t>0</m:t>
              </m:r>
            </m:sub>
          </m:sSub>
          <m:r>
            <m:rPr>
              <m:sty m:val="p"/>
            </m:rPr>
            <m:t>.</m:t>
          </m:r>
          <m:r>
            <m:rPr>
              <m:nor/>
            </m:rPr>
            <m:t xml:space="preserve">    </m:t>
          </m:r>
          <m:r>
            <m:rPr>
              <m:nor/>
              <m:sty m:val="p"/>
            </m:rPr>
            <m:t>(1)</m:t>
          </m:r>
        </m:oMath>
      </m:oMathPara>
    </w:p>
    <w:p>
      <w:pPr>
        <w:pStyle w:val="FirstParagraph"/>
      </w:pPr>
      <w:r>
        <w:t xml:space="preserve">Here</w:t>
      </w:r>
      <w:r>
        <w:t xml:space="preserve"> </w:t>
      </w:r>
      <m:oMath>
        <m:sSub>
          <m:e>
            <m:r>
              <m:t>b</m:t>
            </m:r>
          </m:e>
          <m:sub>
            <m:r>
              <m:t>t</m:t>
            </m:r>
          </m:sub>
        </m:sSub>
      </m:oMath>
      <w:r>
        <w:t xml:space="preserve"> </w:t>
      </w:r>
      <w:r>
        <w:t xml:space="preserve">is the task and requirement bundle,</w:t>
      </w:r>
      <w:r>
        <w:t xml:space="preserve"> </w:t>
      </w:r>
      <m:oMath>
        <m:sSub>
          <m:e>
            <m:r>
              <m:t>c</m:t>
            </m:r>
          </m:e>
          <m:sub>
            <m:r>
              <m:t>t</m:t>
            </m:r>
          </m:sub>
        </m:sSub>
      </m:oMath>
      <w:r>
        <w:t xml:space="preserve"> </w:t>
      </w:r>
      <w:r>
        <w:t xml:space="preserve">the constructed context,</w:t>
      </w:r>
      <w:r>
        <w:t xml:space="preserve"> </w:t>
      </w:r>
      <m:oMath>
        <m:sSub>
          <m:e>
            <m:r>
              <m:t>m</m:t>
            </m:r>
          </m:e>
          <m:sub>
            <m:r>
              <m:t>t</m:t>
            </m:r>
          </m:sub>
        </m:sSub>
      </m:oMath>
      <w:r>
        <w:t xml:space="preserve"> </w:t>
      </w:r>
      <w:r>
        <w:t xml:space="preserve">the memory view,</w:t>
      </w:r>
      <w:r>
        <w:t xml:space="preserve"> </w:t>
      </w:r>
      <m:oMath>
        <m:sSub>
          <m:e>
            <m:r>
              <m:t>w</m:t>
            </m:r>
          </m:e>
          <m:sub>
            <m:r>
              <m:t>t</m:t>
            </m:r>
          </m:sub>
        </m:sSub>
      </m:oMath>
      <w:r>
        <w:t xml:space="preserve"> </w:t>
      </w:r>
      <w:r>
        <w:t xml:space="preserve">the workspace manifest,</w:t>
      </w:r>
      <w:r>
        <w:t xml:space="preserve"> </w:t>
      </w:r>
      <m:oMath>
        <m:sSub>
          <m:e>
            <m:r>
              <m:t>e</m:t>
            </m:r>
          </m:e>
          <m:sub>
            <m:r>
              <m:t>t</m:t>
            </m:r>
          </m:sub>
        </m:sSub>
      </m:oMath>
      <w:r>
        <w:t xml:space="preserve"> </w:t>
      </w:r>
      <w:r>
        <w:t xml:space="preserve">the evidence graph,</w:t>
      </w:r>
      <w:r>
        <w:t xml:space="preserve"> </w:t>
      </w:r>
      <m:oMath>
        <m:sSub>
          <m:e>
            <m:r>
              <m:t>v</m:t>
            </m:r>
          </m:e>
          <m:sub>
            <m:r>
              <m:t>t</m:t>
            </m:r>
          </m:sub>
        </m:sSub>
      </m:oMath>
      <w:r>
        <w:t xml:space="preserve"> </w:t>
      </w:r>
      <w:r>
        <w:t xml:space="preserve">the pending validation state, and</w:t>
      </w:r>
      <w:r>
        <w:t xml:space="preserve"> </w:t>
      </w:r>
      <m:oMath>
        <m:sSub>
          <m:e>
            <m:r>
              <m:rPr>
                <m:sty m:val="p"/>
              </m:rPr>
              <m:t>ℓ</m:t>
            </m:r>
          </m:e>
          <m:sub>
            <m:r>
              <m:t>t</m:t>
            </m:r>
          </m:sub>
        </m:sSub>
      </m:oMath>
      <w:r>
        <w:t xml:space="preserve"> </w:t>
      </w:r>
      <w:r>
        <w:t xml:space="preserve">the append-only event log and resource counters. Large files are represented by content-addressed references. The state records which harness version and model identifier produced each event.</w:t>
      </w:r>
    </w:p>
    <w:p>
      <w:pPr>
        <w:pStyle w:val="BodyText"/>
        <w:keepNext/>
      </w:pPr>
      <w:r>
        <w:t xml:space="preserve">For context constructor</w:t>
      </w:r>
      <w:r>
        <w:t xml:space="preserve"> </w:t>
      </w:r>
      <m:oMath>
        <m:sSub>
          <m:e>
            <m:r>
              <m:t>C</m:t>
            </m:r>
          </m:e>
          <m:sub>
            <m:sSub>
              <m:e>
                <m:r>
                  <m:t>h</m:t>
                </m:r>
              </m:e>
              <m:sub>
                <m:r>
                  <m:t>k</m:t>
                </m:r>
              </m:sub>
            </m:sSub>
          </m:sub>
        </m:sSub>
      </m:oMath>
      <w:r>
        <w:t xml:space="preserve">, a model message has the usual token factorization</w:t>
      </w:r>
    </w:p>
    <w:p>
      <w:pPr>
        <w:pStyle w:val="BodyText"/>
        <w:keepLines/>
        <w:spacing w:before="60" w:after="120"/>
        <w:jc w:val="center"/>
      </w:pPr>
      <m:oMathPara>
        <m:oMathParaPr>
          <m:jc m:val="center"/>
        </m:oMathParaPr>
        <m:oMath>
          <m:sSub>
            <m:e>
              <m:r>
                <m:t>p</m:t>
              </m:r>
            </m:e>
            <m:sub>
              <m:r>
                <m:t>θ</m:t>
              </m:r>
            </m:sub>
          </m:sSub>
          <m:d>
            <m:dPr>
              <m:begChr m:val="("/>
              <m:endChr m:val=")"/>
              <m:sepChr m:val=""/>
              <m:grow/>
            </m:dPr>
            <m:e>
              <m:sSub>
                <m:e>
                  <m:r>
                    <m:t>y</m:t>
                  </m:r>
                </m:e>
                <m:sub>
                  <m:r>
                    <m:t>1</m:t>
                  </m:r>
                  <m:r>
                    <m:rPr>
                      <m:sty m:val="p"/>
                    </m:rPr>
                    <m:t>:</m:t>
                  </m:r>
                  <m:r>
                    <m:t>R</m:t>
                  </m:r>
                </m:sub>
              </m:sSub>
              <m:r>
                <m:rPr>
                  <m:sty m:val="p"/>
                </m:rPr>
                <m:t>∣</m:t>
              </m:r>
              <m:sSub>
                <m:e>
                  <m:r>
                    <m:t>S</m:t>
                  </m:r>
                </m:e>
                <m:sub>
                  <m:r>
                    <m:t>t</m:t>
                  </m:r>
                </m:sub>
              </m:sSub>
              <m:r>
                <m:rPr>
                  <m:sty m:val="p"/>
                </m:rPr>
                <m:t>,</m:t>
              </m:r>
              <m:sSub>
                <m:e>
                  <m:r>
                    <m:t>h</m:t>
                  </m:r>
                </m:e>
                <m:sub>
                  <m:r>
                    <m:t>k</m:t>
                  </m:r>
                </m:sub>
              </m:sSub>
            </m:e>
          </m:d>
          <m:r>
            <m:rPr>
              <m:sty m:val="p"/>
            </m:rPr>
            <m:t>=</m:t>
          </m:r>
          <m:nary>
            <m:naryPr>
              <m:chr m:val="∏"/>
              <m:limLoc m:val="undOvr"/>
              <m:subHide m:val="off"/>
              <m:supHide m:val="off"/>
            </m:naryPr>
            <m:sub>
              <m:r>
                <m:t>r</m:t>
              </m:r>
              <m:r>
                <m:rPr>
                  <m:sty m:val="p"/>
                </m:rPr>
                <m:t>=</m:t>
              </m:r>
              <m:r>
                <m:t>1</m:t>
              </m:r>
            </m:sub>
            <m:sup>
              <m:r>
                <m:t>R</m:t>
              </m:r>
            </m:sup>
            <m:e>
              <m:sSub>
                <m:e>
                  <m:r>
                    <m:t>p</m:t>
                  </m:r>
                </m:e>
                <m:sub>
                  <m:r>
                    <m:t>θ</m:t>
                  </m:r>
                </m:sub>
              </m:sSub>
            </m:e>
          </m:nary>
          <m:d>
            <m:dPr>
              <m:begChr m:val="("/>
              <m:endChr m:val=")"/>
              <m:sepChr m:val=""/>
              <m:grow/>
            </m:dPr>
            <m:e>
              <m:sSub>
                <m:e>
                  <m:r>
                    <m:t>y</m:t>
                  </m:r>
                </m:e>
                <m:sub>
                  <m:r>
                    <m:t>r</m:t>
                  </m:r>
                </m:sub>
              </m:sSub>
              <m:r>
                <m:rPr>
                  <m:sty m:val="p"/>
                </m:rPr>
                <m:t>∣</m:t>
              </m:r>
              <m:sSub>
                <m:e>
                  <m:r>
                    <m:t>C</m:t>
                  </m:r>
                </m:e>
                <m:sub>
                  <m:sSub>
                    <m:e>
                      <m:r>
                        <m:t>h</m:t>
                      </m:r>
                    </m:e>
                    <m:sub>
                      <m:r>
                        <m:t>k</m:t>
                      </m:r>
                    </m:sub>
                  </m:sSub>
                </m:sub>
              </m:sSub>
              <m:d>
                <m:dPr>
                  <m:begChr m:val="("/>
                  <m:endChr m:val=")"/>
                  <m:sepChr m:val=""/>
                  <m:grow/>
                </m:dPr>
                <m:e>
                  <m:sSub>
                    <m:e>
                      <m:r>
                        <m:t>S</m:t>
                      </m:r>
                    </m:e>
                    <m:sub>
                      <m:r>
                        <m:t>t</m:t>
                      </m:r>
                    </m:sub>
                  </m:sSub>
                </m:e>
              </m:d>
              <m:r>
                <m:rPr>
                  <m:sty m:val="p"/>
                </m:rPr>
                <m:t>,</m:t>
              </m:r>
              <m:sSub>
                <m:e>
                  <m:r>
                    <m:t>y</m:t>
                  </m:r>
                </m:e>
                <m:sub>
                  <m:r>
                    <m:rPr>
                      <m:sty m:val="p"/>
                    </m:rPr>
                    <m:t>&lt;</m:t>
                  </m:r>
                  <m:r>
                    <m:t>r</m:t>
                  </m:r>
                </m:sub>
              </m:sSub>
            </m:e>
          </m:d>
          <m:r>
            <m:rPr>
              <m:sty m:val="p"/>
            </m:rPr>
            <m:t>.</m:t>
          </m:r>
          <m:r>
            <m:rPr>
              <m:nor/>
            </m:rPr>
            <m:t xml:space="preserve">    </m:t>
          </m:r>
          <m:r>
            <m:rPr>
              <m:nor/>
              <m:sty m:val="p"/>
            </m:rPr>
            <m:t>(2)</m:t>
          </m:r>
        </m:oMath>
      </m:oMathPara>
    </w:p>
    <w:p>
      <w:pPr>
        <w:pStyle w:val="FirstParagraph"/>
        <w:keepNext/>
      </w:pPr>
      <w:r>
        <w:t xml:space="preserve">The message is parsed into a typed action</w:t>
      </w:r>
      <w:r>
        <w:t xml:space="preserve"> </w:t>
      </w:r>
      <m:oMath>
        <m:sSub>
          <m:e>
            <m:r>
              <m:t>a</m:t>
            </m:r>
          </m:e>
          <m:sub>
            <m:r>
              <m:t>t</m:t>
            </m:r>
          </m:sub>
        </m:sSub>
      </m:oMath>
      <w:r>
        <w:t xml:space="preserve">. An authorized tool call yields observation</w:t>
      </w:r>
      <w:r>
        <w:t xml:space="preserve"> </w:t>
      </w:r>
      <m:oMath>
        <m:sSub>
          <m:e>
            <m:r>
              <m:t>o</m:t>
            </m:r>
          </m:e>
          <m:sub>
            <m:r>
              <m:t>t</m:t>
            </m:r>
            <m:r>
              <m:rPr>
                <m:sty m:val="p"/>
              </m:rPr>
              <m:t>+</m:t>
            </m:r>
            <m:r>
              <m:t>1</m:t>
            </m:r>
          </m:sub>
        </m:sSub>
      </m:oMath>
      <w:r>
        <w:t xml:space="preserve">, and the harness applies</w:t>
      </w:r>
    </w:p>
    <w:p>
      <w:pPr>
        <w:pStyle w:val="BodyText"/>
        <w:keepLines/>
        <w:spacing w:before="60" w:after="120"/>
        <w:jc w:val="center"/>
      </w:pPr>
      <m:oMathPara>
        <m:oMathParaPr>
          <m:jc m:val="center"/>
        </m:oMathParaPr>
        <m:oMath>
          <m:sSub>
            <m:e>
              <m:r>
                <m:t>S</m:t>
              </m:r>
            </m:e>
            <m:sub>
              <m:r>
                <m:t>t</m:t>
              </m:r>
              <m:r>
                <m:rPr>
                  <m:sty m:val="p"/>
                </m:rPr>
                <m:t>+</m:t>
              </m:r>
              <m:r>
                <m:t>1</m:t>
              </m:r>
            </m:sub>
          </m:sSub>
          <m:r>
            <m:rPr>
              <m:sty m:val="p"/>
            </m:rPr>
            <m:t>=</m:t>
          </m:r>
          <m:sSub>
            <m:e>
              <m:r>
                <m:t>U</m:t>
              </m:r>
            </m:e>
            <m:sub>
              <m:sSub>
                <m:e>
                  <m:r>
                    <m:t>h</m:t>
                  </m:r>
                </m:e>
                <m:sub>
                  <m:r>
                    <m:t>k</m:t>
                  </m:r>
                </m:sub>
              </m:sSub>
            </m:sub>
          </m:sSub>
          <m:d>
            <m:dPr>
              <m:begChr m:val="("/>
              <m:endChr m:val=")"/>
              <m:sepChr m:val=""/>
              <m:grow/>
            </m:dPr>
            <m:e>
              <m:sSub>
                <m:e>
                  <m:r>
                    <m:t>S</m:t>
                  </m:r>
                </m:e>
                <m:sub>
                  <m:r>
                    <m:t>t</m:t>
                  </m:r>
                </m:sub>
              </m:sSub>
              <m:r>
                <m:rPr>
                  <m:sty m:val="p"/>
                </m:rPr>
                <m:t>,</m:t>
              </m:r>
              <m:sSub>
                <m:e>
                  <m:r>
                    <m:t>a</m:t>
                  </m:r>
                </m:e>
                <m:sub>
                  <m:r>
                    <m:t>t</m:t>
                  </m:r>
                </m:sub>
              </m:sSub>
              <m:r>
                <m:rPr>
                  <m:sty m:val="p"/>
                </m:rPr>
                <m:t>,</m:t>
              </m:r>
              <m:sSub>
                <m:e>
                  <m:r>
                    <m:t>o</m:t>
                  </m:r>
                </m:e>
                <m:sub>
                  <m:r>
                    <m:t>t</m:t>
                  </m:r>
                  <m:r>
                    <m:rPr>
                      <m:sty m:val="p"/>
                    </m:rPr>
                    <m:t>+</m:t>
                  </m:r>
                  <m:r>
                    <m:t>1</m:t>
                  </m:r>
                </m:sub>
              </m:sSub>
              <m:r>
                <m:rPr>
                  <m:sty m:val="p"/>
                </m:rPr>
                <m:t>,</m:t>
              </m:r>
              <m:sSub>
                <m:e>
                  <m:r>
                    <m:t>q</m:t>
                  </m:r>
                </m:e>
                <m:sub>
                  <m:r>
                    <m:t>t</m:t>
                  </m:r>
                  <m:r>
                    <m:rPr>
                      <m:sty m:val="p"/>
                    </m:rPr>
                    <m:t>+</m:t>
                  </m:r>
                  <m:r>
                    <m:t>1</m:t>
                  </m:r>
                </m:sub>
              </m:sSub>
            </m:e>
          </m:d>
          <m:r>
            <m:rPr>
              <m:sty m:val="p"/>
            </m:rPr>
            <m:t>.</m:t>
          </m:r>
          <m:r>
            <m:rPr>
              <m:nor/>
            </m:rPr>
            <m:t xml:space="preserve">    </m:t>
          </m:r>
          <m:r>
            <m:rPr>
              <m:nor/>
              <m:sty m:val="p"/>
            </m:rPr>
            <m:t>(3)</m:t>
          </m:r>
        </m:oMath>
      </m:oMathPara>
    </w:p>
    <w:p>
      <w:pPr>
        <w:pStyle w:val="FirstParagraph"/>
      </w:pPr>
      <w:r>
        <w:t xml:space="preserve">The field</w:t>
      </w:r>
      <w:r>
        <w:t xml:space="preserve"> </w:t>
      </w:r>
      <m:oMath>
        <m:sSub>
          <m:e>
            <m:r>
              <m:t>q</m:t>
            </m:r>
          </m:e>
          <m:sub>
            <m:r>
              <m:t>t</m:t>
            </m:r>
            <m:r>
              <m:rPr>
                <m:sty m:val="p"/>
              </m:rPr>
              <m:t>+</m:t>
            </m:r>
            <m:r>
              <m:t>1</m:t>
            </m:r>
          </m:sub>
        </m:sSub>
      </m:oMath>
      <w:r>
        <w:t xml:space="preserve"> </w:t>
      </w:r>
      <w:r>
        <w:t xml:space="preserve">records verification outcomes and status transitions. A model-only step can use a null external observation. Invalid syntax or a denied action produces a recorded rejection, rather than an executed side effect.</w:t>
      </w:r>
    </w:p>
    <w:p>
      <w:pPr>
        <w:pStyle w:val="BodyText"/>
      </w:pPr>
      <w:r>
        <w:t xml:space="preserve">The expression</w:t>
      </w:r>
      <w:r>
        <w:t xml:space="preserve"> </w:t>
      </w:r>
      <w:r>
        <w:t xml:space="preserve">“</w:t>
      </w:r>
      <w:r>
        <w:t xml:space="preserve">next token plus old state gives new state</w:t>
      </w:r>
      <w:r>
        <w:t xml:space="preserve">”</w:t>
      </w:r>
      <w:r>
        <w:t xml:space="preserve"> </w:t>
      </w:r>
      <w:r>
        <w:t xml:space="preserve">is therefore an update operation. At token scale, a token extends a message buffer. At agent scale, a completed message can trigger a tool and change files or evidence. Appending text alone cannot supply an actual solver observation. The old state is preserved through versioned records even when a current view is replaced.</w:t>
      </w:r>
    </w:p>
    <w:p>
      <w:pPr>
        <w:pStyle w:val="BodyText"/>
      </w:pPr>
      <w:r>
        <w:rPr>
          <w:bCs/>
          <w:b/>
        </w:rPr>
        <w:t xml:space="preserve">Proposition 1.</w:t>
      </w:r>
      <w:r>
        <w:t xml:space="preserve"> </w:t>
      </w:r>
      <w:r>
        <w:t xml:space="preserve">A causal harness has an autoregressive trajectory factorization. If</w:t>
      </w:r>
      <w:r>
        <w:t xml:space="preserve"> </w:t>
      </w:r>
      <m:oMath>
        <m:sSub>
          <m:e>
            <m:r>
              <m:t>S</m:t>
            </m:r>
          </m:e>
          <m:sub>
            <m:r>
              <m:t>t</m:t>
            </m:r>
          </m:sub>
        </m:sSub>
      </m:oMath>
      <w:r>
        <w:t xml:space="preserve"> </w:t>
      </w:r>
      <w:r>
        <w:t xml:space="preserve">contains all information required by its policy and the modeled environment transition, that factorization can be written using</w:t>
      </w:r>
      <w:r>
        <w:t xml:space="preserve"> </w:t>
      </w:r>
      <m:oMath>
        <m:sSub>
          <m:e>
            <m:r>
              <m:t>S</m:t>
            </m:r>
          </m:e>
          <m:sub>
            <m:r>
              <m:t>t</m:t>
            </m:r>
          </m:sub>
        </m:sSub>
      </m:oMath>
      <w:r>
        <w:t xml:space="preserve"> </w:t>
      </w:r>
      <w:r>
        <w:t xml:space="preserve">alone.</w:t>
      </w:r>
    </w:p>
    <w:p>
      <w:pPr>
        <w:pStyle w:val="BodyText"/>
      </w:pPr>
      <w:r>
        <w:rPr>
          <w:iCs/>
          <w:i/>
        </w:rPr>
        <w:t xml:space="preserve">Proof.</w:t>
      </w:r>
      <w:r>
        <w:t xml:space="preserve"> </w:t>
      </w:r>
      <w:r>
        <w:t xml:space="preserve">Let</w:t>
      </w:r>
      <w:r>
        <w:t xml:space="preserve"> </w:t>
      </w:r>
      <m:oMath>
        <m:sSub>
          <m:e>
            <m:r>
              <m:rPr>
                <m:sty m:val="p"/>
                <m:scr m:val="script"/>
              </m:rPr>
              <m:t>G</m:t>
            </m:r>
          </m:e>
          <m:sub>
            <m:r>
              <m:t>t</m:t>
            </m:r>
          </m:sub>
        </m:sSub>
      </m:oMath>
      <w:r>
        <w:t xml:space="preserve"> </w:t>
      </w:r>
      <w:r>
        <w:t xml:space="preserve">denote the complete available history. By the chain rule, the trajectory probability is the product of conditional next-event probabilities</w:t>
      </w:r>
      <w:r>
        <w:t xml:space="preserve"> </w:t>
      </w:r>
      <m:oMath>
        <m:sSub>
          <m:e>
            <m:r>
              <m:t>K</m:t>
            </m:r>
          </m:e>
          <m:sub>
            <m:sSub>
              <m:e>
                <m:r>
                  <m:t>h</m:t>
                </m:r>
              </m:e>
              <m:sub>
                <m:r>
                  <m:t>k</m:t>
                </m:r>
              </m:sub>
            </m:sSub>
          </m:sub>
        </m:sSub>
        <m:d>
          <m:dPr>
            <m:begChr m:val="("/>
            <m:endChr m:val=")"/>
            <m:sepChr m:val=""/>
            <m:grow/>
          </m:dPr>
          <m:e>
            <m:sSub>
              <m:e>
                <m:r>
                  <m:t>a</m:t>
                </m:r>
              </m:e>
              <m:sub>
                <m:r>
                  <m:t>t</m:t>
                </m:r>
              </m:sub>
            </m:sSub>
            <m:r>
              <m:rPr>
                <m:sty m:val="p"/>
              </m:rPr>
              <m:t>,</m:t>
            </m:r>
            <m:sSub>
              <m:e>
                <m:r>
                  <m:t>o</m:t>
                </m:r>
              </m:e>
              <m:sub>
                <m:r>
                  <m:t>t</m:t>
                </m:r>
                <m:r>
                  <m:rPr>
                    <m:sty m:val="p"/>
                  </m:rPr>
                  <m:t>+</m:t>
                </m:r>
                <m:r>
                  <m:t>1</m:t>
                </m:r>
              </m:sub>
            </m:sSub>
            <m:r>
              <m:rPr>
                <m:sty m:val="p"/>
              </m:rPr>
              <m:t>∣</m:t>
            </m:r>
            <m:sSub>
              <m:e>
                <m:r>
                  <m:rPr>
                    <m:sty m:val="p"/>
                    <m:scr m:val="script"/>
                  </m:rPr>
                  <m:t>G</m:t>
                </m:r>
              </m:e>
              <m:sub>
                <m:r>
                  <m:t>t</m:t>
                </m:r>
              </m:sub>
            </m:sSub>
          </m:e>
        </m:d>
      </m:oMath>
      <w:r>
        <w:t xml:space="preserve">. If</w:t>
      </w:r>
      <w:r>
        <w:t xml:space="preserve"> </w:t>
      </w:r>
      <m:oMath>
        <m:sSub>
          <m:e>
            <m:r>
              <m:t>S</m:t>
            </m:r>
          </m:e>
          <m:sub>
            <m:r>
              <m:t>t</m:t>
            </m:r>
          </m:sub>
        </m:sSub>
      </m:oMath>
      <w:r>
        <w:t xml:space="preserve"> </w:t>
      </w:r>
      <w:r>
        <w:t xml:space="preserve">is sufficient for these conditionals, substitute</w:t>
      </w:r>
      <w:r>
        <w:t xml:space="preserve"> </w:t>
      </w:r>
      <m:oMath>
        <m:sSub>
          <m:e>
            <m:r>
              <m:t>S</m:t>
            </m:r>
          </m:e>
          <m:sub>
            <m:r>
              <m:t>t</m:t>
            </m:r>
          </m:sub>
        </m:sSub>
      </m:oMath>
      <w:r>
        <w:t xml:space="preserve"> </w:t>
      </w:r>
      <w:r>
        <w:t xml:space="preserve">for the history. Equation (3) updates the state after each event, so later conditionals use the revised state. No change in</w:t>
      </w:r>
      <w:r>
        <w:t xml:space="preserve"> </w:t>
      </w:r>
      <m:oMath>
        <m:r>
          <m:t>θ</m:t>
        </m:r>
      </m:oMath>
      <w:r>
        <w:t xml:space="preserve"> </w:t>
      </w:r>
      <w:r>
        <w:t xml:space="preserve">is required. □</w:t>
      </w:r>
    </w:p>
    <w:p>
      <w:pPr>
        <w:pStyle w:val="BodyText"/>
      </w:pPr>
      <w:r>
        <w:t xml:space="preserve">This proposition formalizes system-level autoregression; it is not a new property of neural attention. A compacted summary is not automatically a sufficient state. If compaction removes a load revision or an unresolved discrepancy, the intended Markov description fails. The harness should retain authoritative files and provenance even when the model sees a shorter context. Fixed weights also do not imply deterministic execution: sampling, tools, observations, and scheduling can vary.</w:t>
      </w:r>
    </w:p>
    <w:bookmarkEnd w:id="24"/>
    <w:bookmarkStart w:id="28" w:name="action-and-observation-contracts"/>
    <w:p>
      <w:pPr>
        <w:pStyle w:val="Heading2"/>
      </w:pPr>
      <w:r>
        <w:t xml:space="preserve">Action and observation contracts</w:t>
      </w:r>
    </w:p>
    <w:p>
      <w:pPr>
        <w:pStyle w:val="FirstParagraph"/>
      </w:pPr>
      <w:r>
        <w:t xml:space="preserve">Actions carry a declared operation, typed arguments, expected artifact types, dependency identifiers, permitted scope, and budget. The useful construction action classes are</w:t>
      </w:r>
      <w:r>
        <w:t xml:space="preserve"> </w:t>
      </w:r>
      <w:r>
        <w:rPr>
          <w:rStyle w:val="VerbatimChar"/>
        </w:rPr>
        <w:t xml:space="preserve">retrieve</w:t>
      </w:r>
      <w:r>
        <w:t xml:space="preserve">,</w:t>
      </w:r>
      <w:r>
        <w:t xml:space="preserve"> </w:t>
      </w:r>
      <w:r>
        <w:rPr>
          <w:rStyle w:val="VerbatimChar"/>
        </w:rPr>
        <w:t xml:space="preserve">calculate</w:t>
      </w:r>
      <w:r>
        <w:t xml:space="preserve">,</w:t>
      </w:r>
      <w:r>
        <w:t xml:space="preserve"> </w:t>
      </w:r>
      <w:r>
        <w:rPr>
          <w:rStyle w:val="VerbatimChar"/>
        </w:rPr>
        <w:t xml:space="preserve">run_solver</w:t>
      </w:r>
      <w:r>
        <w:t xml:space="preserve">,</w:t>
      </w:r>
      <w:r>
        <w:t xml:space="preserve"> </w:t>
      </w:r>
      <w:r>
        <w:rPr>
          <w:rStyle w:val="VerbatimChar"/>
        </w:rPr>
        <w:t xml:space="preserve">stage_edit</w:t>
      </w:r>
      <w:r>
        <w:t xml:space="preserve">,</w:t>
      </w:r>
      <w:r>
        <w:t xml:space="preserve"> </w:t>
      </w:r>
      <w:r>
        <w:rPr>
          <w:rStyle w:val="VerbatimChar"/>
        </w:rPr>
        <w:t xml:space="preserve">compare</w:t>
      </w:r>
      <w:r>
        <w:t xml:space="preserve">,</w:t>
      </w:r>
      <w:r>
        <w:t xml:space="preserve"> </w:t>
      </w:r>
      <w:r>
        <w:rPr>
          <w:rStyle w:val="VerbatimChar"/>
        </w:rPr>
        <w:t xml:space="preserve">request_review</w:t>
      </w:r>
      <w:r>
        <w:t xml:space="preserve">, and</w:t>
      </w:r>
      <w:r>
        <w:t xml:space="preserve"> </w:t>
      </w:r>
      <w:r>
        <w:rPr>
          <w:rStyle w:val="VerbatimChar"/>
        </w:rPr>
        <w:t xml:space="preserve">release</w:t>
      </w:r>
      <w:r>
        <w:t xml:space="preserve">. An action proposing release still requires the independent release policy. Observations carry status, output references, input digests, tool version, units, and captured diagnostics.</w:t>
      </w:r>
    </w:p>
    <w:p>
      <w:pPr>
        <w:pStyle w:val="BodyText"/>
      </w:pPr>
      <w:r>
        <w:t xml:space="preserve">“</w:t>
      </w:r>
      <w:r>
        <w:t xml:space="preserve">Reason</w:t>
      </w:r>
      <w:r>
        <w:t xml:space="preserve">”</w:t>
      </w:r>
      <w:r>
        <w:t xml:space="preserve"> </w:t>
      </w:r>
      <w:r>
        <w:t xml:space="preserve">denotes a planning stage that produces a concise decision record: assumptions, alternatives, selected operation, expected evidence, and stopping conditions. It need not expose a model’s private internal reasoning.</w:t>
      </w:r>
      <w:r>
        <w:t xml:space="preserve"> </w:t>
      </w:r>
      <w:r>
        <w:t xml:space="preserve">“</w:t>
      </w:r>
      <w:r>
        <w:t xml:space="preserve">Observe</w:t>
      </w:r>
      <w:r>
        <w:t xml:space="preserve">”</w:t>
      </w:r>
      <w:r>
        <w:t xml:space="preserve"> </w:t>
      </w:r>
      <w:r>
        <w:t xml:space="preserve">means ingesting the actual tool result with its provenance.</w:t>
      </w:r>
      <w:r>
        <w:t xml:space="preserve"> </w:t>
      </w:r>
      <w:r>
        <w:t xml:space="preserve">“</w:t>
      </w:r>
      <w:r>
        <w:t xml:space="preserve">Evaluate</w:t>
      </w:r>
      <w:r>
        <w:t xml:space="preserve">”</w:t>
      </w:r>
      <w:r>
        <w:t xml:space="preserve"> </w:t>
      </w:r>
      <w:r>
        <w:t xml:space="preserve">measures the result against the task objectives and acceptance criteria. These stages are related to interleaved reasoning and acting [5], but construction adds artifact and revision contracts to make the resulting work inspectable.</w:t>
      </w:r>
    </w:p>
    <w:p>
      <w:pPr>
        <w:pStyle w:val="BodyText"/>
        <w:keepNext/>
        <w:jc w:val="center"/>
      </w:pPr>
      <w:r>
        <w:drawing>
          <wp:inline>
            <wp:extent cx="6126480" cy="4678273"/>
            <wp:effectExtent b="0" l="0" r="0" t="0"/>
            <wp:docPr descr="Construction Harness execution and evolution loops" title="" id="26" name="Picture"/>
            <a:graphic>
              <a:graphicData uri="http://schemas.openxmlformats.org/drawingml/2006/picture">
                <pic:pic>
                  <pic:nvPicPr>
                    <pic:cNvPr descr="figures/harness_loop.png" id="27" name="Picture"/>
                    <pic:cNvPicPr>
                      <a:picLocks noChangeArrowheads="1" noChangeAspect="1"/>
                    </pic:cNvPicPr>
                  </pic:nvPicPr>
                  <pic:blipFill>
                    <a:blip r:embed="rId25"/>
                    <a:stretch>
                      <a:fillRect/>
                    </a:stretch>
                  </pic:blipFill>
                  <pic:spPr bwMode="auto">
                    <a:xfrm>
                      <a:off x="0" y="0"/>
                      <a:ext cx="6126480" cy="4678273"/>
                    </a:xfrm>
                    <a:prstGeom prst="rect">
                      <a:avLst/>
                    </a:prstGeom>
                    <a:noFill/>
                    <a:ln w="9525">
                      <a:noFill/>
                      <a:headEnd/>
                      <a:tailEnd/>
                    </a:ln>
                  </pic:spPr>
                </pic:pic>
              </a:graphicData>
            </a:graphic>
          </wp:inline>
        </w:drawing>
      </w:r>
    </w:p>
    <w:p>
      <w:pPr>
        <w:pStyle w:val="Caption"/>
        <w:keepLines/>
      </w:pPr>
      <w:r>
        <w:t xml:space="preserve">Figure 1. Runtime autoregression updates the engineering state after each authorized action and observation. The fixed model proposes within that loop. A slower ADE loop proposes harness revisions; independent assessment controls admission. The release authority and its evidence checks remain outside the editable candidate harness.</w:t>
      </w:r>
    </w:p>
    <w:bookmarkEnd w:id="28"/>
    <w:bookmarkEnd w:id="29"/>
    <w:bookmarkStart w:id="30" w:name="the-harness-layers-and-their-interfaces"/>
    <w:p>
      <w:pPr>
        <w:pStyle w:val="Heading1"/>
      </w:pPr>
      <w:r>
        <w:t xml:space="preserve">4 The harness layers and their interfaces</w:t>
      </w:r>
    </w:p>
    <w:p>
      <w:pPr>
        <w:pStyle w:val="FirstParagraph"/>
      </w:pPr>
      <w:r>
        <w:t xml:space="preserve">The stages below define responsibilities rather than a compulsory one-pass pipeline. Conditional on realized observations and randomness, a selected route of</w:t>
      </w:r>
      <w:r>
        <w:t xml:space="preserve"> </w:t>
      </w:r>
      <m:oMath>
        <m:r>
          <m:t>L</m:t>
        </m:r>
      </m:oMath>
      <w:r>
        <w:t xml:space="preserve"> </w:t>
      </w:r>
      <w:r>
        <w:t xml:space="preserve">stages has the stack form</w:t>
      </w:r>
      <w:r>
        <w:t xml:space="preserve"> </w:t>
      </w:r>
      <m:oMath>
        <m:sSub>
          <m:e>
            <m:r>
              <m:t>S</m:t>
            </m:r>
          </m:e>
          <m:sub>
            <m:r>
              <m:t>t</m:t>
            </m:r>
            <m:r>
              <m:rPr>
                <m:sty m:val="p"/>
              </m:rPr>
              <m:t>+</m:t>
            </m:r>
            <m:r>
              <m:t>1</m:t>
            </m:r>
          </m:sub>
        </m:sSub>
        <m:r>
          <m:rPr>
            <m:sty m:val="p"/>
          </m:rPr>
          <m:t>=</m:t>
        </m:r>
        <m:d>
          <m:dPr>
            <m:begChr m:val="("/>
            <m:endChr m:val=")"/>
            <m:sepChr m:val=""/>
            <m:grow/>
          </m:dPr>
          <m:e>
            <m:sSub>
              <m:e>
                <m:r>
                  <m:t>Φ</m:t>
                </m:r>
              </m:e>
              <m:sub>
                <m:r>
                  <m:t>L</m:t>
                </m:r>
                <m:r>
                  <m:rPr>
                    <m:sty m:val="p"/>
                  </m:rPr>
                  <m:t>,</m:t>
                </m:r>
                <m:sSub>
                  <m:e>
                    <m:r>
                      <m:t>h</m:t>
                    </m:r>
                  </m:e>
                  <m:sub>
                    <m:r>
                      <m:t>k</m:t>
                    </m:r>
                  </m:sub>
                </m:sSub>
              </m:sub>
            </m:sSub>
            <m:r>
              <m:rPr>
                <m:sty m:val="p"/>
              </m:rPr>
              <m:t>∘</m:t>
            </m:r>
            <m:r>
              <m:rPr>
                <m:sty m:val="p"/>
              </m:rPr>
              <m:t>⋯</m:t>
            </m:r>
            <m:r>
              <m:rPr>
                <m:sty m:val="p"/>
              </m:rPr>
              <m:t>∘</m:t>
            </m:r>
            <m:sSub>
              <m:e>
                <m:r>
                  <m:t>Φ</m:t>
                </m:r>
              </m:e>
              <m:sub>
                <m:r>
                  <m:t>1</m:t>
                </m:r>
                <m:r>
                  <m:rPr>
                    <m:sty m:val="p"/>
                  </m:rPr>
                  <m:t>,</m:t>
                </m:r>
                <m:sSub>
                  <m:e>
                    <m:r>
                      <m:t>h</m:t>
                    </m:r>
                  </m:e>
                  <m:sub>
                    <m:r>
                      <m:t>k</m:t>
                    </m:r>
                  </m:sub>
                </m:sSub>
              </m:sub>
            </m:sSub>
          </m:e>
        </m:d>
        <m:d>
          <m:dPr>
            <m:begChr m:val="("/>
            <m:endChr m:val=")"/>
            <m:sepChr m:val=""/>
            <m:grow/>
          </m:dPr>
          <m:e>
            <m:sSub>
              <m:e>
                <m:r>
                  <m:t>S</m:t>
                </m:r>
              </m:e>
              <m:sub>
                <m:r>
                  <m:t>t</m:t>
                </m:r>
              </m:sub>
            </m:sSub>
          </m:e>
        </m:d>
      </m:oMath>
      <w:r>
        <w:t xml:space="preserve">. A stage can read the shared archive and invoke the fixed model, a deterministic tool, or both. The runtime can retrieve more evidence after observation, revisit a plan after a failed check, or stop when a budget is exhausted. Guardrails apply to every relevant operation. Ablation belongs to the evaluation and evolution loop and should not disable a live release boundary.</w:t>
      </w:r>
    </w:p>
    <w:p>
      <w:pPr>
        <w:pStyle w:val="Caption"/>
        <w:keepNext/>
      </w:pPr>
      <w:r>
        <w:rPr>
          <w:bCs/>
          <w:b w:val="0"/>
        </w:rPr>
        <w:t xml:space="preserve">Table 2. Construction context and execution layers</w:t>
      </w:r>
    </w:p>
    <w:tbl>
      <w:tblPr>
        <w:tblStyle w:val="TableGrid"/>
        <w:tblW w:type="dxa" w:w="993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600"/>
        <w:gridCol w:w="4320"/>
      </w:tblGrid>
      <w:tr>
        <w:trPr>
          <w:cantSplit/>
          <w:tblHeader/>
        </w:trPr>
        <w:tc>
          <w:tcPr>
            <w:tcW w:type="dxa" w:w="2016"/>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Layer</w:t>
            </w:r>
          </w:p>
        </w:tc>
        <w:tc>
          <w:tcPr>
            <w:tcW w:type="dxa" w:w="3600"/>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Persistent artifact or interface</w:t>
            </w:r>
          </w:p>
        </w:tc>
        <w:tc>
          <w:tcPr>
            <w:tcW w:type="dxa" w:w="4320"/>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Construction role</w:t>
            </w:r>
          </w:p>
        </w:tc>
      </w:tr>
      <w:tr>
        <w:trPr>
          <w:cantSplit/>
        </w:trPr>
        <w:tc>
          <w:tcPr>
            <w:tcW w:type="dxa" w:w="201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Prompts and context</w:t>
            </w:r>
          </w:p>
        </w:tc>
        <w:tc>
          <w:tcPr>
            <w:tcW w:type="dxa" w:w="3600"/>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Versioned task templates and context builder</w:t>
            </w:r>
          </w:p>
        </w:tc>
        <w:tc>
          <w:tcPr>
            <w:tcW w:type="dxa" w:w="4320"/>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Express scope, assumptions, required evidence and response schema</w:t>
            </w:r>
          </w:p>
        </w:tc>
      </w:tr>
      <w:tr>
        <w:trPr>
          <w:cantSplit/>
        </w:trPr>
        <w:tc>
          <w:tcPr>
            <w:tcW w:type="dxa" w:w="201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Knowledge bases</w:t>
            </w:r>
          </w:p>
        </w:tc>
        <w:tc>
          <w:tcPr>
            <w:tcW w:type="dxa" w:w="3600"/>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Typed, versioned source registry</w:t>
            </w:r>
          </w:p>
        </w:tc>
        <w:tc>
          <w:tcPr>
            <w:tcW w:type="dxa" w:w="4320"/>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Supply codes, specifications, properties, drawings and precedents</w:t>
            </w:r>
          </w:p>
        </w:tc>
      </w:tr>
      <w:tr>
        <w:trPr>
          <w:cantSplit/>
        </w:trPr>
        <w:tc>
          <w:tcPr>
            <w:tcW w:type="dxa" w:w="201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Memory</w:t>
            </w:r>
          </w:p>
        </w:tc>
        <w:tc>
          <w:tcPr>
            <w:tcW w:type="dxa" w:w="3600"/>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Episode records, procedures and retrieval policy</w:t>
            </w:r>
          </w:p>
        </w:tc>
        <w:tc>
          <w:tcPr>
            <w:tcW w:type="dxa" w:w="4320"/>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Reuse validated methods and recognize recurring task families</w:t>
            </w:r>
          </w:p>
        </w:tc>
      </w:tr>
      <w:tr>
        <w:trPr>
          <w:cantSplit/>
        </w:trPr>
        <w:tc>
          <w:tcPr>
            <w:tcW w:type="dxa" w:w="201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Workspace</w:t>
            </w:r>
          </w:p>
        </w:tc>
        <w:tc>
          <w:tcPr>
            <w:tcW w:type="dxa" w:w="3600"/>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Files, branches, manifests and staged outputs</w:t>
            </w:r>
          </w:p>
        </w:tc>
        <w:tc>
          <w:tcPr>
            <w:tcW w:type="dxa" w:w="4320"/>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Keep analysis inputs, drawings and reports consistent</w:t>
            </w:r>
          </w:p>
        </w:tc>
      </w:tr>
      <w:tr>
        <w:trPr>
          <w:cantSplit/>
        </w:trPr>
        <w:tc>
          <w:tcPr>
            <w:tcW w:type="dxa" w:w="201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Executable components</w:t>
            </w:r>
          </w:p>
        </w:tc>
        <w:tc>
          <w:tcPr>
            <w:tcW w:type="dxa" w:w="3600"/>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Versioned scripts and solver adapters</w:t>
            </w:r>
          </w:p>
        </w:tc>
        <w:tc>
          <w:tcPr>
            <w:tcW w:type="dxa" w:w="4320"/>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Implement repeatable calculations and file transformations</w:t>
            </w:r>
          </w:p>
        </w:tc>
      </w:tr>
      <w:tr>
        <w:trPr>
          <w:cantSplit/>
        </w:trPr>
        <w:tc>
          <w:tcPr>
            <w:tcW w:type="dxa" w:w="201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Runtime</w:t>
            </w:r>
          </w:p>
        </w:tc>
        <w:tc>
          <w:tcPr>
            <w:tcW w:type="dxa" w:w="3600"/>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Dispatcher, sandbox, scheduler and resource log</w:t>
            </w:r>
          </w:p>
        </w:tc>
        <w:tc>
          <w:tcPr>
            <w:tcW w:type="dxa" w:w="4320"/>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Execute, time out, cancel, resume and record work</w:t>
            </w:r>
          </w:p>
        </w:tc>
      </w:tr>
      <w:tr>
        <w:trPr>
          <w:cantSplit/>
        </w:trPr>
        <w:tc>
          <w:tcPr>
            <w:tcW w:type="dxa" w:w="201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Tools and skills</w:t>
            </w:r>
          </w:p>
        </w:tc>
        <w:tc>
          <w:tcPr>
            <w:tcW w:type="dxa" w:w="3600"/>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Typed callable contracts and reusable procedures</w:t>
            </w:r>
          </w:p>
        </w:tc>
        <w:tc>
          <w:tcPr>
            <w:tcW w:type="dxa" w:w="4320"/>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Connect the model to BIM, analysis, quantities and review services</w:t>
            </w:r>
          </w:p>
        </w:tc>
      </w:tr>
    </w:tbl>
    <w:p>
      <w:pPr>
        <w:pStyle w:val="Caption"/>
        <w:keepNext/>
        <w:spacing w:before="140"/>
      </w:pPr>
      <w:r>
        <w:rPr>
          <w:bCs/>
          <w:b w:val="0"/>
        </w:rPr>
        <w:t xml:space="preserve">Table 3. Decision and assurance layers</w:t>
      </w:r>
    </w:p>
    <w:tbl>
      <w:tblPr>
        <w:tblStyle w:val="TableGrid"/>
        <w:tblW w:type="dxa" w:w="993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888"/>
        <w:gridCol w:w="4104"/>
      </w:tblGrid>
      <w:tr>
        <w:trPr>
          <w:cantSplit/>
          <w:tblHeader/>
        </w:trPr>
        <w:tc>
          <w:tcPr>
            <w:tcW w:type="dxa" w:w="1944"/>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Layer</w:t>
            </w:r>
          </w:p>
        </w:tc>
        <w:tc>
          <w:tcPr>
            <w:tcW w:type="dxa" w:w="3888"/>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Input and output</w:t>
            </w:r>
          </w:p>
        </w:tc>
        <w:tc>
          <w:tcPr>
            <w:tcW w:type="dxa" w:w="4104"/>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Construction role</w:t>
            </w:r>
          </w:p>
        </w:tc>
      </w:tr>
      <w:tr>
        <w:trPr>
          <w:cantSplit/>
        </w:trPr>
        <w:tc>
          <w:tcPr>
            <w:tcW w:type="dxa" w:w="194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Guardrails</w:t>
            </w:r>
          </w:p>
        </w:tc>
        <w:tc>
          <w:tcPr>
            <w:tcW w:type="dxa" w:w="388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Requested operation to allow or deny decision</w:t>
            </w:r>
          </w:p>
        </w:tc>
        <w:tc>
          <w:tcPr>
            <w:tcW w:type="dxa" w:w="410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Enforce access, operation scope and protected boundaries</w:t>
            </w:r>
          </w:p>
        </w:tc>
      </w:tr>
      <w:tr>
        <w:trPr>
          <w:cantSplit/>
        </w:trPr>
        <w:tc>
          <w:tcPr>
            <w:tcW w:type="dxa" w:w="194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Reason</w:t>
            </w:r>
          </w:p>
        </w:tc>
        <w:tc>
          <w:tcPr>
            <w:tcW w:type="dxa" w:w="388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Current state to an explicit plan</w:t>
            </w:r>
          </w:p>
        </w:tc>
        <w:tc>
          <w:tcPr>
            <w:tcW w:type="dxa" w:w="410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Select calculations, alternatives and evidence needs</w:t>
            </w:r>
          </w:p>
        </w:tc>
      </w:tr>
      <w:tr>
        <w:trPr>
          <w:cantSplit/>
        </w:trPr>
        <w:tc>
          <w:tcPr>
            <w:tcW w:type="dxa" w:w="194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Act</w:t>
            </w:r>
          </w:p>
        </w:tc>
        <w:tc>
          <w:tcPr>
            <w:tcW w:type="dxa" w:w="388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Authorized action to an execution request</w:t>
            </w:r>
          </w:p>
        </w:tc>
        <w:tc>
          <w:tcPr>
            <w:tcW w:type="dxa" w:w="410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Run a tool or stage a permitted change</w:t>
            </w:r>
          </w:p>
        </w:tc>
      </w:tr>
      <w:tr>
        <w:trPr>
          <w:cantSplit/>
        </w:trPr>
        <w:tc>
          <w:tcPr>
            <w:tcW w:type="dxa" w:w="194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Observe</w:t>
            </w:r>
          </w:p>
        </w:tc>
        <w:tc>
          <w:tcPr>
            <w:tcW w:type="dxa" w:w="388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Execution result to a provenance record</w:t>
            </w:r>
          </w:p>
        </w:tc>
        <w:tc>
          <w:tcPr>
            <w:tcW w:type="dxa" w:w="410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Record outputs, errors, diagnostics and dependency versions</w:t>
            </w:r>
          </w:p>
        </w:tc>
      </w:tr>
      <w:tr>
        <w:trPr>
          <w:cantSplit/>
        </w:trPr>
        <w:tc>
          <w:tcPr>
            <w:tcW w:type="dxa" w:w="194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Evaluate</w:t>
            </w:r>
          </w:p>
        </w:tc>
        <w:tc>
          <w:tcPr>
            <w:tcW w:type="dxa" w:w="388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Evidence to objective vector and check results</w:t>
            </w:r>
          </w:p>
        </w:tc>
        <w:tc>
          <w:tcPr>
            <w:tcW w:type="dxa" w:w="410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Measure task quality, engineering responses and resource use</w:t>
            </w:r>
          </w:p>
        </w:tc>
      </w:tr>
      <w:tr>
        <w:trPr>
          <w:cantSplit/>
        </w:trPr>
        <w:tc>
          <w:tcPr>
            <w:tcW w:type="dxa" w:w="194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Verification gate</w:t>
            </w:r>
          </w:p>
        </w:tc>
        <w:tc>
          <w:tcPr>
            <w:tcW w:type="dxa" w:w="388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Artifact and evidence manifest to disposition</w:t>
            </w:r>
          </w:p>
        </w:tc>
        <w:tc>
          <w:tcPr>
            <w:tcW w:type="dxa" w:w="410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Permit release, require revision, or request review</w:t>
            </w:r>
          </w:p>
        </w:tc>
      </w:tr>
      <w:tr>
        <w:trPr>
          <w:cantSplit/>
        </w:trPr>
        <w:tc>
          <w:tcPr>
            <w:tcW w:type="dxa" w:w="194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Ablation</w:t>
            </w:r>
          </w:p>
        </w:tc>
        <w:tc>
          <w:tcPr>
            <w:tcW w:type="dxa" w:w="388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Frozen workflow variants to comparative evidence</w:t>
            </w:r>
          </w:p>
        </w:tc>
        <w:tc>
          <w:tcPr>
            <w:tcW w:type="dxa" w:w="410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Test whether a layer or interaction contributes useful behavior</w:t>
            </w:r>
          </w:p>
        </w:tc>
      </w:tr>
    </w:tbl>
    <w:p>
      <w:pPr>
        <w:pStyle w:val="BodyText"/>
        <w:spacing w:before="140"/>
      </w:pPr>
      <w:r>
        <w:t xml:space="preserve">The model can assist several layers while deterministic services enforce their interfaces. A schema validator can reject an invalid tool payload without asking the model to judge it. A solver supplies calculated responses. A provenance service checks artifact identity. A project reviewer supplies decisions beyond automated coverage. Calling every layer</w:t>
      </w:r>
      <w:r>
        <w:t xml:space="preserve"> </w:t>
      </w:r>
      <w:r>
        <w:t xml:space="preserve">“</w:t>
      </w:r>
      <w:r>
        <w:t xml:space="preserve">intelligence</w:t>
      </w:r>
      <w:r>
        <w:t xml:space="preserve">”</w:t>
      </w:r>
      <w:r>
        <w:t xml:space="preserve"> </w:t>
      </w:r>
      <w:r>
        <w:t xml:space="preserve">would obscure which component actually establishes a result.</w:t>
      </w:r>
    </w:p>
    <w:p>
      <w:pPr>
        <w:pStyle w:val="BodyText"/>
      </w:pPr>
      <w:r>
        <w:t xml:space="preserve">Executable revision deserves a stronger boundary than editing a prompt. A generated function first enters an isolated branch, passes interface and resource tests, and is evaluated as part of the full composed harness. A locally valid adapter can still alter units or error handling in downstream stages. Component-local testing therefore complements, rather than replaces, complete workflow validation. General mechanisms and project-specific settings are stored separately, following the factorization motivation in Harmony Harness [2]. The placement is an operational choice to test, not a guarantee of transfer.</w:t>
      </w:r>
    </w:p>
    <w:bookmarkEnd w:id="30"/>
    <w:bookmarkStart w:id="34" w:name="integrating-construction-knowledge-bases"/>
    <w:p>
      <w:pPr>
        <w:pStyle w:val="Heading1"/>
      </w:pPr>
      <w:r>
        <w:t xml:space="preserve">5 Integrating construction knowledge bases</w:t>
      </w:r>
    </w:p>
    <w:bookmarkStart w:id="31" w:name="X82d664c1a2c47b884e76b6484498f801b517ddc"/>
    <w:p>
      <w:pPr>
        <w:pStyle w:val="Heading2"/>
      </w:pPr>
      <w:r>
        <w:t xml:space="preserve">A registry rather than an undifferentiated document store</w:t>
      </w:r>
    </w:p>
    <w:p>
      <w:pPr>
        <w:pStyle w:val="FirstParagraph"/>
      </w:pPr>
      <w:r>
        <w:t xml:space="preserve">Construction knowledge arrives in different forms. A normative requirement, an approved load sheet, a vendor capacity curve, a section property, and a past calculation have different authority and applicability. The registry stores the source type, owner, project or jurisdiction, edition or revision, effective interval, approval status, units, content digest, and dependencies. A numerical claim also identifies its physical quantity and valid range.</w:t>
      </w:r>
    </w:p>
    <w:p>
      <w:pPr>
        <w:pStyle w:val="Caption"/>
        <w:keepNext/>
      </w:pPr>
      <w:r>
        <w:rPr>
          <w:bCs/>
          <w:b w:val="0"/>
        </w:rPr>
        <w:t xml:space="preserve">Table 4. Knowledge families and admissible uses</w:t>
      </w:r>
    </w:p>
    <w:tbl>
      <w:tblPr>
        <w:tblStyle w:val="TableGrid"/>
        <w:tblW w:type="dxa" w:w="993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3384"/>
        <w:gridCol w:w="4536"/>
      </w:tblGrid>
      <w:tr>
        <w:trPr>
          <w:cantSplit/>
          <w:tblHeader/>
        </w:trPr>
        <w:tc>
          <w:tcPr>
            <w:tcW w:type="dxa" w:w="2016"/>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Knowledge family</w:t>
            </w:r>
          </w:p>
        </w:tc>
        <w:tc>
          <w:tcPr>
            <w:tcW w:type="dxa" w:w="3384"/>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Typical records</w:t>
            </w:r>
          </w:p>
        </w:tc>
        <w:tc>
          <w:tcPr>
            <w:tcW w:type="dxa" w:w="4536"/>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Use in the harness</w:t>
            </w:r>
          </w:p>
        </w:tc>
      </w:tr>
      <w:tr>
        <w:trPr>
          <w:cantSplit/>
        </w:trPr>
        <w:tc>
          <w:tcPr>
            <w:tcW w:type="dxa" w:w="201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Normative and contractual</w:t>
            </w:r>
          </w:p>
        </w:tc>
        <w:tc>
          <w:tcPr>
            <w:tcW w:type="dxa" w:w="33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Applicable code edition, client criteria, project specification</w:t>
            </w:r>
          </w:p>
        </w:tc>
        <w:tc>
          <w:tcPr>
            <w:tcW w:type="dxa" w:w="453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Retrieve requirements and compile approved explicit checks</w:t>
            </w:r>
          </w:p>
        </w:tc>
      </w:tr>
      <w:tr>
        <w:trPr>
          <w:cantSplit/>
        </w:trPr>
        <w:tc>
          <w:tcPr>
            <w:tcW w:type="dxa" w:w="201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Project configuration</w:t>
            </w:r>
          </w:p>
        </w:tc>
        <w:tc>
          <w:tcPr>
            <w:tcW w:type="dxa" w:w="33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Geometry, loads, materials, scope and design basis</w:t>
            </w:r>
          </w:p>
        </w:tc>
        <w:tc>
          <w:tcPr>
            <w:tcW w:type="dxa" w:w="453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Build the current input bundle and resolve missing information</w:t>
            </w:r>
          </w:p>
        </w:tc>
      </w:tr>
      <w:tr>
        <w:trPr>
          <w:cantSplit/>
        </w:trPr>
        <w:tc>
          <w:tcPr>
            <w:tcW w:type="dxa" w:w="201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Numerical engineering</w:t>
            </w:r>
          </w:p>
        </w:tc>
        <w:tc>
          <w:tcPr>
            <w:tcW w:type="dxa" w:w="33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Section properties, calculation procedures, solver templates</w:t>
            </w:r>
          </w:p>
        </w:tc>
        <w:tc>
          <w:tcPr>
            <w:tcW w:type="dxa" w:w="453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Produce typed executable inputs and reproducible calculations</w:t>
            </w:r>
          </w:p>
        </w:tc>
      </w:tr>
      <w:tr>
        <w:trPr>
          <w:cantSplit/>
        </w:trPr>
        <w:tc>
          <w:tcPr>
            <w:tcW w:type="dxa" w:w="201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BIM and document models</w:t>
            </w:r>
          </w:p>
        </w:tc>
        <w:tc>
          <w:tcPr>
            <w:tcW w:type="dxa" w:w="33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Objects, properties, quantities, drawing identifiers</w:t>
            </w:r>
          </w:p>
        </w:tc>
        <w:tc>
          <w:tcPr>
            <w:tcW w:type="dxa" w:w="453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Bind calculations and comments to physical entities and revisions</w:t>
            </w:r>
          </w:p>
        </w:tc>
      </w:tr>
      <w:tr>
        <w:trPr>
          <w:cantSplit/>
        </w:trPr>
        <w:tc>
          <w:tcPr>
            <w:tcW w:type="dxa" w:w="201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Supplier and commercial</w:t>
            </w:r>
          </w:p>
        </w:tc>
        <w:tc>
          <w:tcPr>
            <w:tcW w:type="dxa" w:w="33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Capacity curves, approved equipment, rates, environmental declarations</w:t>
            </w:r>
          </w:p>
        </w:tc>
        <w:tc>
          <w:tcPr>
            <w:tcW w:type="dxa" w:w="453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Supply qualified alternatives with dates and uncertainty</w:t>
            </w:r>
          </w:p>
        </w:tc>
      </w:tr>
      <w:tr>
        <w:trPr>
          <w:cantSplit/>
        </w:trPr>
        <w:tc>
          <w:tcPr>
            <w:tcW w:type="dxa" w:w="201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Organizational experience</w:t>
            </w:r>
          </w:p>
        </w:tc>
        <w:tc>
          <w:tcPr>
            <w:tcW w:type="dxa" w:w="33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Reviewed calculations, issues, procedures, lessons</w:t>
            </w:r>
          </w:p>
        </w:tc>
        <w:tc>
          <w:tcPr>
            <w:tcW w:type="dxa" w:w="453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Suggest methods and starting points subject to current validation</w:t>
            </w:r>
          </w:p>
        </w:tc>
      </w:tr>
      <w:tr>
        <w:trPr>
          <w:cantSplit/>
        </w:trPr>
        <w:tc>
          <w:tcPr>
            <w:tcW w:type="dxa" w:w="201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Execution evidence</w:t>
            </w:r>
          </w:p>
        </w:tc>
        <w:tc>
          <w:tcPr>
            <w:tcW w:type="dxa" w:w="33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Solver logs, check results, review decisions and releases</w:t>
            </w:r>
          </w:p>
        </w:tc>
        <w:tc>
          <w:tcPr>
            <w:tcW w:type="dxa" w:w="453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Establish what was actually executed and accepted</w:t>
            </w:r>
          </w:p>
        </w:tc>
      </w:tr>
    </w:tbl>
    <w:p>
      <w:pPr>
        <w:pStyle w:val="BodyText"/>
        <w:spacing w:before="140"/>
      </w:pPr>
      <w:r>
        <w:t xml:space="preserve">Retrieval first filters by applicability and access, then ranks relevance. Relevance alone cannot authorize a superseded drawing or a foreign code edition. The project supplies a documented rule hierarchy; the model should flag unresolved conflicts rather than choose an authority by linguistic confidence. A past design can seed a new search while its old pass status remains attached to the old inputs.</w:t>
      </w:r>
    </w:p>
    <w:p>
      <w:pPr>
        <w:pStyle w:val="BodyText"/>
      </w:pPr>
      <w:r>
        <w:t xml:space="preserve">IFC provides an open schema for exchanging BIM information [6]. Information Delivery Specification, IDS, provides computer-interpretable information requirements for BIM exchanges [7]. These are useful interfaces for object identity and information completeness. An IDS pass on a required property does not establish that a structural member has adequate resistance. Numerical and engineering acceptance services remain separate. Other formats can be supported through adapters with the same quantity and provenance contracts.</w:t>
      </w:r>
    </w:p>
    <w:bookmarkEnd w:id="31"/>
    <w:bookmarkStart w:id="32" w:name="iterative-grounding"/>
    <w:p>
      <w:pPr>
        <w:pStyle w:val="Heading2"/>
      </w:pPr>
      <w:r>
        <w:t xml:space="preserve">Iterative grounding</w:t>
      </w:r>
    </w:p>
    <w:p>
      <w:pPr>
        <w:pStyle w:val="FirstParagraph"/>
      </w:pPr>
      <w:r>
        <w:t xml:space="preserve">Knowledge integration occurs repeatedly inside the agent loop. The agent retrieves the design basis, identifies a missing material property, retrieves or requests that value, runs an analysis, observes the controlling check, and retrieves the relevant detailing or revision procedure before changing the design. This gives each knowledge read a task purpose and a resulting evidence edge. Loading every available document into one prompt would use context without establishing applicability.</w:t>
      </w:r>
    </w:p>
    <w:p>
      <w:pPr>
        <w:pStyle w:val="BodyText"/>
      </w:pPr>
      <w:r>
        <w:t xml:space="preserve">A retrieved record is treated as data. Instructions embedded in an external document do not acquire the runtime privileges of the system policy. Executable snippets and formula extractions enter the same sandbox and tests as other code proposals. Candidate memory can store a useful derivation or procedure, but promotion to a shared engineering rule requires its own review and version event.</w:t>
      </w:r>
    </w:p>
    <w:bookmarkEnd w:id="32"/>
    <w:bookmarkStart w:id="33" w:name="dependency-graphs-and-invalidation"/>
    <w:p>
      <w:pPr>
        <w:pStyle w:val="Heading2"/>
      </w:pPr>
      <w:r>
        <w:t xml:space="preserve">Dependency graphs and invalidation</w:t>
      </w:r>
    </w:p>
    <w:p>
      <w:pPr>
        <w:pStyle w:val="FirstParagraph"/>
        <w:keepNext/>
      </w:pPr>
      <w:r>
        <w:t xml:space="preserve">Represent dependencies by a directed acyclic graph</w:t>
      </w:r>
      <w:r>
        <w:t xml:space="preserve"> </w:t>
      </w:r>
      <m:oMath>
        <m:r>
          <m:rPr>
            <m:sty m:val="p"/>
            <m:scr m:val="script"/>
          </m:rPr>
          <m:t>D</m:t>
        </m:r>
        <m:r>
          <m:rPr>
            <m:sty m:val="p"/>
          </m:rPr>
          <m:t>=</m:t>
        </m:r>
        <m:d>
          <m:dPr>
            <m:begChr m:val="("/>
            <m:endChr m:val=")"/>
            <m:sepChr m:val=""/>
            <m:grow/>
          </m:dPr>
          <m:e>
            <m:r>
              <m:t>V</m:t>
            </m:r>
            <m:r>
              <m:rPr>
                <m:sty m:val="p"/>
              </m:rPr>
              <m:t>,</m:t>
            </m:r>
            <m:r>
              <m:t>E</m:t>
            </m:r>
          </m:e>
        </m:d>
      </m:oMath>
      <w:r>
        <w:t xml:space="preserve">. Nodes can include source revisions, extracted requirements, typed inputs, solver runs, computed responses, checks, reports, and releases. An edge</w:t>
      </w:r>
      <w:r>
        <w:t xml:space="preserve"> </w:t>
      </w:r>
      <m:oMath>
        <m:r>
          <m:t>u</m:t>
        </m:r>
        <m:r>
          <m:rPr>
            <m:sty m:val="p"/>
          </m:rPr>
          <m:t>→</m:t>
        </m:r>
        <m:r>
          <m:t>v</m:t>
        </m:r>
      </m:oMath>
      <w:r>
        <w:t xml:space="preserve"> </w:t>
      </w:r>
      <w:r>
        <w:t xml:space="preserve">means that</w:t>
      </w:r>
      <w:r>
        <w:t xml:space="preserve"> </w:t>
      </w:r>
      <m:oMath>
        <m:r>
          <m:t>v</m:t>
        </m:r>
      </m:oMath>
      <w:r>
        <w:t xml:space="preserve"> </w:t>
      </w:r>
      <w:r>
        <w:t xml:space="preserve">was computed or accepted using</w:t>
      </w:r>
      <w:r>
        <w:t xml:space="preserve"> </w:t>
      </w:r>
      <m:oMath>
        <m:r>
          <m:t>u</m:t>
        </m:r>
      </m:oMath>
      <w:r>
        <w:t xml:space="preserve">. If a source changes, invalidate its recorded descendants:</w:t>
      </w:r>
    </w:p>
    <w:p>
      <w:pPr>
        <w:pStyle w:val="BodyText"/>
        <w:keepLines/>
        <w:spacing w:before="60" w:after="120"/>
        <w:jc w:val="center"/>
      </w:pPr>
      <m:oMathPara>
        <m:oMathParaPr>
          <m:jc m:val="center"/>
        </m:oMathParaPr>
        <m:oMath>
          <m:r>
            <m:rPr>
              <m:sty m:val="p"/>
              <m:scr m:val="script"/>
            </m:rPr>
            <m:t>I</m:t>
          </m:r>
          <m:d>
            <m:dPr>
              <m:begChr m:val="("/>
              <m:endChr m:val=")"/>
              <m:sepChr m:val=""/>
              <m:grow/>
            </m:dPr>
            <m:e>
              <m:r>
                <m:t>u</m:t>
              </m:r>
            </m:e>
          </m:d>
          <m:r>
            <m:rPr>
              <m:sty m:val="p"/>
            </m:rPr>
            <m:t>=</m:t>
          </m:r>
          <m:r>
            <m:rPr>
              <m:sty m:val="p"/>
            </m:rPr>
            <m:t>{</m:t>
          </m:r>
          <m:r>
            <m:t>v</m:t>
          </m:r>
          <m:r>
            <m:rPr>
              <m:sty m:val="p"/>
            </m:rPr>
            <m:t>∈</m:t>
          </m:r>
          <m:r>
            <m:t>V</m:t>
          </m:r>
          <m:r>
            <m:rPr>
              <m:sty m:val="p"/>
            </m:rPr>
            <m:t>:</m:t>
          </m:r>
          <m:r>
            <m:rPr>
              <m:nor/>
              <m:sty m:val="p"/>
            </m:rPr>
            <m:t>there is a directed path from </m:t>
          </m:r>
          <m:r>
            <m:t>u</m:t>
          </m:r>
          <m:r>
            <m:rPr>
              <m:nor/>
              <m:sty m:val="p"/>
            </m:rPr>
            <m:t> to </m:t>
          </m:r>
          <m:r>
            <m:t>v</m:t>
          </m:r>
          <m:r>
            <m:rPr>
              <m:sty m:val="p"/>
            </m:rPr>
            <m:t>}</m:t>
          </m:r>
          <m:r>
            <m:rPr>
              <m:sty m:val="p"/>
            </m:rPr>
            <m:t>.</m:t>
          </m:r>
          <m:r>
            <m:rPr>
              <m:nor/>
            </m:rPr>
            <m:t xml:space="preserve">    </m:t>
          </m:r>
          <m:r>
            <m:rPr>
              <m:nor/>
              <m:sty m:val="p"/>
            </m:rPr>
            <m:t>(4)</m:t>
          </m:r>
        </m:oMath>
      </m:oMathPara>
    </w:p>
    <w:p>
      <w:pPr>
        <w:pStyle w:val="FirstParagraph"/>
      </w:pPr>
      <w:r>
        <w:rPr>
          <w:bCs/>
          <w:b/>
        </w:rPr>
        <w:t xml:space="preserve">Proposition 2.</w:t>
      </w:r>
      <w:r>
        <w:t xml:space="preserve"> </w:t>
      </w:r>
      <w:r>
        <w:t xml:space="preserve">If the dependency graph records every dependency relevant to a declared check, then retaining only nodes outside the changed source’s descendant set cannot retain a result that depends on that source without marking it stale.</w:t>
      </w:r>
    </w:p>
    <w:p>
      <w:pPr>
        <w:pStyle w:val="BodyText"/>
      </w:pPr>
      <w:r>
        <w:rPr>
          <w:iCs/>
          <w:i/>
        </w:rPr>
        <w:t xml:space="preserve">Proof.</w:t>
      </w:r>
      <w:r>
        <w:t xml:space="preserve"> </w:t>
      </w:r>
      <w:r>
        <w:t xml:space="preserve">Every such dependency supplies a directed path by assumption, so its result belongs to</w:t>
      </w:r>
      <w:r>
        <w:t xml:space="preserve"> </w:t>
      </w:r>
      <m:oMath>
        <m:r>
          <m:rPr>
            <m:sty m:val="p"/>
            <m:scr m:val="script"/>
          </m:rPr>
          <m:t>I</m:t>
        </m:r>
        <m:d>
          <m:dPr>
            <m:begChr m:val="("/>
            <m:endChr m:val=")"/>
            <m:sepChr m:val=""/>
            <m:grow/>
          </m:dPr>
          <m:e>
            <m:r>
              <m:t>u</m:t>
            </m:r>
          </m:e>
        </m:d>
      </m:oMath>
      <w:r>
        <w:t xml:space="preserve">. Removing current status from all those nodes includes that result. □</w:t>
      </w:r>
    </w:p>
    <w:p>
      <w:pPr>
        <w:pStyle w:val="BodyText"/>
      </w:pPr>
      <w:r>
        <w:t xml:space="preserve">Completeness of the recorded dependencies is the substantive engineering requirement. A changed load should invalidate the model inputs, response checks, and dependent report. A new preference between already measured mass and cost can reuse those response measurements. A changed solver, material law, or geometric model cannot be treated as a mere preference update.</w:t>
      </w:r>
    </w:p>
    <w:bookmarkEnd w:id="33"/>
    <w:bookmarkEnd w:id="34"/>
    <w:bookmarkStart w:id="38" w:name="Xc9ad19e0808807ac68e8ae13098133bfe4d4ee8"/>
    <w:p>
      <w:pPr>
        <w:pStyle w:val="Heading1"/>
      </w:pPr>
      <w:r>
        <w:t xml:space="preserve">6 Multi objective search through density families</w:t>
      </w:r>
    </w:p>
    <w:bookmarkStart w:id="35" w:name="candidate-spaces-and-objective-scales"/>
    <w:p>
      <w:pPr>
        <w:pStyle w:val="Heading2"/>
      </w:pPr>
      <w:r>
        <w:t xml:space="preserve">Candidate spaces and objective scales</w:t>
      </w:r>
    </w:p>
    <w:p>
      <w:pPr>
        <w:pStyle w:val="FirstParagraph"/>
      </w:pPr>
      <w:r>
        <w:t xml:space="preserve">We first state a finite formulation so that its probability measure is unambiguous. Let</w:t>
      </w:r>
      <w:r>
        <w:t xml:space="preserve"> </w:t>
      </w:r>
      <m:oMath>
        <m:r>
          <m:rPr>
            <m:sty m:val="p"/>
            <m:scr m:val="script"/>
          </m:rPr>
          <m:t>H</m:t>
        </m:r>
      </m:oMath>
      <w:r>
        <w:t xml:space="preserve"> </w:t>
      </w:r>
      <w:r>
        <w:t xml:space="preserve">be a finite grammar-bounded set of harness configurations, with positive reference mass</w:t>
      </w:r>
      <w:r>
        <w:t xml:space="preserve"> </w:t>
      </w:r>
      <m:oMath>
        <m:sSub>
          <m:e>
            <m:r>
              <m:t>π</m:t>
            </m:r>
          </m:e>
          <m:sub>
            <m:r>
              <m:t>0</m:t>
            </m:r>
          </m:sub>
        </m:sSub>
        <m:d>
          <m:dPr>
            <m:begChr m:val="("/>
            <m:endChr m:val=")"/>
            <m:sepChr m:val=""/>
            <m:grow/>
          </m:dPr>
          <m:e>
            <m:r>
              <m:t>h</m:t>
            </m:r>
          </m:e>
        </m:d>
      </m:oMath>
      <w:r>
        <w:t xml:space="preserve">. A configuration specifies component versions, settings, and an allowed workflow. A separate qualification procedure defines a nonempty eligible subset</w:t>
      </w:r>
      <w:r>
        <w:t xml:space="preserve"> </w:t>
      </w:r>
      <m:oMath>
        <m:r>
          <m:rPr>
            <m:sty m:val="p"/>
            <m:scr m:val="script"/>
          </m:rPr>
          <m:t>F</m:t>
        </m:r>
        <m:r>
          <m:rPr>
            <m:sty m:val="p"/>
          </m:rPr>
          <m:t>⊆</m:t>
        </m:r>
        <m:r>
          <m:rPr>
            <m:sty m:val="p"/>
            <m:scr m:val="script"/>
          </m:rPr>
          <m:t>H</m:t>
        </m:r>
      </m:oMath>
      <w:r>
        <w:t xml:space="preserve">. Eligibility means passing the declared qualification protocol, not proving safety under every future construction condition.</w:t>
      </w:r>
    </w:p>
    <w:p>
      <w:pPr>
        <w:pStyle w:val="BodyText"/>
        <w:keepNext/>
      </w:pPr>
      <w:r>
        <w:t xml:space="preserve">For project task</w:t>
      </w:r>
      <w:r>
        <w:t xml:space="preserve"> </w:t>
      </w:r>
      <m:oMath>
        <m:r>
          <m:t>ξ</m:t>
        </m:r>
      </m:oMath>
      <w:r>
        <w:t xml:space="preserve"> </w:t>
      </w:r>
      <w:r>
        <w:t xml:space="preserve">and execution randomness</w:t>
      </w:r>
      <w:r>
        <w:t xml:space="preserve"> </w:t>
      </w:r>
      <m:oMath>
        <m:r>
          <m:t>ω</m:t>
        </m:r>
      </m:oMath>
      <w:r>
        <w:t xml:space="preserve">, let</w:t>
      </w:r>
      <w:r>
        <w:t xml:space="preserve"> </w:t>
      </w:r>
      <m:oMath>
        <m:sSub>
          <m:e>
            <m:r>
              <m:t>L</m:t>
            </m:r>
          </m:e>
          <m:sub>
            <m:r>
              <m:t>j</m:t>
            </m:r>
          </m:sub>
        </m:sSub>
        <m:d>
          <m:dPr>
            <m:begChr m:val="("/>
            <m:endChr m:val=")"/>
            <m:sepChr m:val=""/>
            <m:grow/>
          </m:dPr>
          <m:e>
            <m:r>
              <m:t>h</m:t>
            </m:r>
            <m:r>
              <m:rPr>
                <m:sty m:val="p"/>
              </m:rPr>
              <m:t>,</m:t>
            </m:r>
            <m:r>
              <m:t>ξ</m:t>
            </m:r>
            <m:r>
              <m:rPr>
                <m:sty m:val="p"/>
              </m:rPr>
              <m:t>,</m:t>
            </m:r>
            <m:r>
              <m:t>ω</m:t>
            </m:r>
          </m:e>
        </m:d>
      </m:oMath>
      <w:r>
        <w:t xml:space="preserve"> </w:t>
      </w:r>
      <w:r>
        <w:t xml:space="preserve">be harness loss component</w:t>
      </w:r>
      <w:r>
        <w:t xml:space="preserve"> </w:t>
      </w:r>
      <m:oMath>
        <m:r>
          <m:t>j</m:t>
        </m:r>
      </m:oMath>
      <w:r>
        <w:t xml:space="preserve">. Define</w:t>
      </w:r>
    </w:p>
    <w:p>
      <w:pPr>
        <w:pStyle w:val="BodyText"/>
        <w:keepLines/>
        <w:spacing w:before="60" w:after="120"/>
        <w:jc w:val="center"/>
      </w:pPr>
      <m:oMathPara>
        <m:oMathParaPr>
          <m:jc m:val="center"/>
        </m:oMathParaPr>
        <m:oMath>
          <m:sSub>
            <m:e>
              <m:r>
                <m:t>J</m:t>
              </m:r>
            </m:e>
            <m:sub>
              <m:r>
                <m:t>j</m:t>
              </m:r>
            </m:sub>
          </m:sSub>
          <m:d>
            <m:dPr>
              <m:begChr m:val="("/>
              <m:endChr m:val=")"/>
              <m:sepChr m:val=""/>
              <m:grow/>
            </m:dPr>
            <m:e>
              <m:r>
                <m:t>h</m:t>
              </m:r>
            </m:e>
          </m:d>
          <m:r>
            <m:rPr>
              <m:sty m:val="p"/>
            </m:rPr>
            <m:t>=</m:t>
          </m:r>
          <m:sSub>
            <m:e>
              <m:r>
                <m:rPr>
                  <m:sty m:val="p"/>
                  <m:scr m:val="double-struck"/>
                </m:rPr>
                <m:t>E</m:t>
              </m:r>
            </m:e>
            <m:sub>
              <m:r>
                <m:t>ξ</m:t>
              </m:r>
              <m:r>
                <m:rPr>
                  <m:sty m:val="p"/>
                </m:rPr>
                <m:t>,</m:t>
              </m:r>
              <m:r>
                <m:t>ω</m:t>
              </m:r>
            </m:sub>
          </m:sSub>
          <m:sSub>
            <m:e>
              <m:r>
                <m:t>L</m:t>
              </m:r>
            </m:e>
            <m:sub>
              <m:r>
                <m:t>j</m:t>
              </m:r>
            </m:sub>
          </m:sSub>
          <m:d>
            <m:dPr>
              <m:begChr m:val="("/>
              <m:endChr m:val=")"/>
              <m:sepChr m:val=""/>
              <m:grow/>
            </m:dPr>
            <m:e>
              <m:r>
                <m:t>h</m:t>
              </m:r>
              <m:r>
                <m:rPr>
                  <m:sty m:val="p"/>
                </m:rPr>
                <m:t>,</m:t>
              </m:r>
              <m:r>
                <m:t>ξ</m:t>
              </m:r>
              <m:r>
                <m:rPr>
                  <m:sty m:val="p"/>
                </m:rPr>
                <m:t>,</m:t>
              </m:r>
              <m:r>
                <m:t>ω</m:t>
              </m:r>
            </m:e>
          </m:d>
          <m:r>
            <m:rPr>
              <m:sty m:val="p"/>
            </m:rPr>
            <m:t>,</m:t>
          </m:r>
          <m:r>
            <m:rPr>
              <m:nor/>
            </m:rPr>
            <m:t xml:space="preserve">    </m:t>
          </m:r>
          <m:sSub>
            <m:e>
              <m:acc>
                <m:accPr>
                  <m:chr m:val="̃"/>
                </m:accPr>
                <m:e>
                  <m:r>
                    <m:t>J</m:t>
                  </m:r>
                </m:e>
              </m:acc>
            </m:e>
            <m:sub>
              <m:r>
                <m:t>j</m:t>
              </m:r>
            </m:sub>
          </m:sSub>
          <m:d>
            <m:dPr>
              <m:begChr m:val="("/>
              <m:endChr m:val=")"/>
              <m:sepChr m:val=""/>
              <m:grow/>
            </m:dPr>
            <m:e>
              <m:r>
                <m:t>h</m:t>
              </m:r>
            </m:e>
          </m:d>
          <m:r>
            <m:rPr>
              <m:sty m:val="p"/>
            </m:rPr>
            <m:t>=</m:t>
          </m:r>
          <m:f>
            <m:fPr>
              <m:type m:val="bar"/>
            </m:fPr>
            <m:num>
              <m:sSub>
                <m:e>
                  <m:r>
                    <m:t>J</m:t>
                  </m:r>
                </m:e>
                <m:sub>
                  <m:r>
                    <m:t>j</m:t>
                  </m:r>
                </m:sub>
              </m:sSub>
              <m:d>
                <m:dPr>
                  <m:begChr m:val="("/>
                  <m:endChr m:val=")"/>
                  <m:sepChr m:val=""/>
                  <m:grow/>
                </m:dPr>
                <m:e>
                  <m:r>
                    <m:t>h</m:t>
                  </m:r>
                </m:e>
              </m:d>
              <m:r>
                <m:rPr>
                  <m:sty m:val="p"/>
                </m:rPr>
                <m:t>−</m:t>
              </m:r>
              <m:sSub>
                <m:e>
                  <m:r>
                    <m:t>a</m:t>
                  </m:r>
                </m:e>
                <m:sub>
                  <m:r>
                    <m:t>j</m:t>
                  </m:r>
                </m:sub>
              </m:sSub>
            </m:num>
            <m:den>
              <m:sSub>
                <m:e>
                  <m:r>
                    <m:t>s</m:t>
                  </m:r>
                </m:e>
                <m:sub>
                  <m:r>
                    <m:t>j</m:t>
                  </m:r>
                </m:sub>
              </m:sSub>
            </m:den>
          </m:f>
          <m:r>
            <m:rPr>
              <m:sty m:val="p"/>
            </m:rPr>
            <m:t>,</m:t>
          </m:r>
          <m:r>
            <m:rPr>
              <m:nor/>
            </m:rPr>
            <m:t xml:space="preserve">    </m:t>
          </m:r>
          <m:sSub>
            <m:e>
              <m:r>
                <m:t>s</m:t>
              </m:r>
            </m:e>
            <m:sub>
              <m:r>
                <m:t>j</m:t>
              </m:r>
            </m:sub>
          </m:sSub>
          <m:r>
            <m:rPr>
              <m:sty m:val="p"/>
            </m:rPr>
            <m:t>&gt;</m:t>
          </m:r>
          <m:r>
            <m:t>0</m:t>
          </m:r>
          <m:r>
            <m:rPr>
              <m:sty m:val="p"/>
            </m:rPr>
            <m:t>.</m:t>
          </m:r>
          <m:r>
            <m:rPr>
              <m:nor/>
            </m:rPr>
            <m:t xml:space="preserve">    </m:t>
          </m:r>
          <m:r>
            <m:rPr>
              <m:nor/>
              <m:sty m:val="p"/>
            </m:rPr>
            <m:t>(5)</m:t>
          </m:r>
        </m:oMath>
      </m:oMathPara>
    </w:p>
    <w:p>
      <w:pPr>
        <w:pStyle w:val="FirstParagraph"/>
      </w:pPr>
      <w:r>
        <w:t xml:space="preserve">For example,</w:t>
      </w:r>
      <w:r>
        <w:t xml:space="preserve"> </w:t>
      </w:r>
      <m:oMath>
        <m:sSub>
          <m:e>
            <m:r>
              <m:t>J</m:t>
            </m:r>
          </m:e>
          <m:sub>
            <m:r>
              <m:t>1</m:t>
            </m:r>
          </m:sub>
        </m:sSub>
      </m:oMath>
      <w:r>
        <w:t xml:space="preserve"> </w:t>
      </w:r>
      <w:r>
        <w:t xml:space="preserve">can measure incorrect or incomplete task outcomes, while other components measure cost, latency, and review effort. Their units and scale constants are fixed during a comparison. An execution timeout is recorded under a predeclared rule; it should not disappear from the denominator. Mandatory engineering and access checks remain eligibility or release conditions.</w:t>
      </w:r>
    </w:p>
    <w:p>
      <w:pPr>
        <w:pStyle w:val="BodyText"/>
      </w:pPr>
      <w:r>
        <w:t xml:space="preserve">In practice,</w:t>
      </w:r>
      <w:r>
        <w:t xml:space="preserve"> </w:t>
      </w:r>
      <m:oMath>
        <m:r>
          <m:t>J</m:t>
        </m:r>
      </m:oMath>
      <w:r>
        <w:t xml:space="preserve"> </w:t>
      </w:r>
      <w:r>
        <w:t xml:space="preserve">is unknown and evaluated from task samples. Densities formed from</w:t>
      </w:r>
      <w:r>
        <w:t xml:space="preserve"> </w:t>
      </w:r>
      <m:oMath>
        <m:acc>
          <m:accPr>
            <m:chr m:val="̂"/>
          </m:accPr>
          <m:e>
            <m:r>
              <m:t>J</m:t>
            </m:r>
          </m:e>
        </m:acc>
      </m:oMath>
      <w:r>
        <w:t xml:space="preserve"> </w:t>
      </w:r>
      <w:r>
        <w:t xml:space="preserve">are surrogate search targets. The exact statements below refer to the stated frozen objective values and candidate universe. They do not convert an estimate into a true objective or enumerate every possible program.</w:t>
      </w:r>
    </w:p>
    <w:bookmarkEnd w:id="35"/>
    <w:bookmarkStart w:id="36" w:name="preference-conditioned-gibbs-densities"/>
    <w:p>
      <w:pPr>
        <w:pStyle w:val="Heading2"/>
      </w:pPr>
      <w:r>
        <w:t xml:space="preserve">Preference conditioned Gibbs densities</w:t>
      </w:r>
    </w:p>
    <w:p>
      <w:pPr>
        <w:pStyle w:val="FirstParagraph"/>
        <w:keepNext/>
      </w:pPr>
      <w:r>
        <w:t xml:space="preserve">Choose a strictly positive preference vector</w:t>
      </w:r>
      <w:r>
        <w:t xml:space="preserve"> </w:t>
      </w:r>
      <m:oMath>
        <m:r>
          <m:t>λ</m:t>
        </m:r>
      </m:oMath>
      <w:r>
        <w:t xml:space="preserve"> </w:t>
      </w:r>
      <w:r>
        <w:t xml:space="preserve">with</w:t>
      </w:r>
      <w:r>
        <w:t xml:space="preserve"> </w:t>
      </w:r>
      <m:oMath>
        <m:nary>
          <m:naryPr>
            <m:chr m:val="∑"/>
            <m:limLoc m:val="undOvr"/>
            <m:subHide m:val="off"/>
            <m:supHide m:val="on"/>
          </m:naryPr>
          <m:sub>
            <m:r>
              <m:t>j</m:t>
            </m:r>
          </m:sub>
          <m:sup>
            <m:r>
              <m:t>​</m:t>
            </m:r>
          </m:sup>
          <m:e>
            <m:sSub>
              <m:e>
                <m:r>
                  <m:t>λ</m:t>
                </m:r>
              </m:e>
              <m:sub>
                <m:r>
                  <m:t>j</m:t>
                </m:r>
              </m:sub>
            </m:sSub>
          </m:e>
        </m:nary>
        <m:r>
          <m:rPr>
            <m:sty m:val="p"/>
          </m:rPr>
          <m:t>=</m:t>
        </m:r>
        <m:r>
          <m:t>1</m:t>
        </m:r>
      </m:oMath>
      <w:r>
        <w:t xml:space="preserve"> </w:t>
      </w:r>
      <w:r>
        <w:t xml:space="preserve">and a reference point satisfying</w:t>
      </w:r>
      <w:r>
        <w:t xml:space="preserve"> </w:t>
      </w:r>
      <m:oMath>
        <m:sSubSup>
          <m:e>
            <m:r>
              <m:t>z</m:t>
            </m:r>
          </m:e>
          <m:sub>
            <m:r>
              <m:t>j</m:t>
            </m:r>
          </m:sub>
          <m:sup>
            <m:r>
              <m:rPr>
                <m:sty m:val="p"/>
              </m:rPr>
              <m:t>∘</m:t>
            </m:r>
          </m:sup>
        </m:sSubSup>
        <m:r>
          <m:rPr>
            <m:sty m:val="p"/>
          </m:rPr>
          <m:t>&lt;</m:t>
        </m:r>
        <m:sSub>
          <m:e>
            <m:r>
              <m:rPr>
                <m:sty m:val="p"/>
              </m:rPr>
              <m:t>min</m:t>
            </m:r>
          </m:e>
          <m:sub>
            <m:r>
              <m:t>h</m:t>
            </m:r>
            <m:r>
              <m:rPr>
                <m:sty m:val="p"/>
              </m:rPr>
              <m:t>∈</m:t>
            </m:r>
            <m:r>
              <m:rPr>
                <m:sty m:val="p"/>
                <m:scr m:val="script"/>
              </m:rPr>
              <m:t>F</m:t>
            </m:r>
          </m:sub>
        </m:sSub>
        <m:sSub>
          <m:e>
            <m:acc>
              <m:accPr>
                <m:chr m:val="̃"/>
              </m:accPr>
              <m:e>
                <m:r>
                  <m:t>J</m:t>
                </m:r>
              </m:e>
            </m:acc>
          </m:e>
          <m:sub>
            <m:r>
              <m:t>j</m:t>
            </m:r>
          </m:sub>
        </m:sSub>
        <m:d>
          <m:dPr>
            <m:begChr m:val="("/>
            <m:endChr m:val=")"/>
            <m:sepChr m:val=""/>
            <m:grow/>
          </m:dPr>
          <m:e>
            <m:r>
              <m:t>h</m:t>
            </m:r>
          </m:e>
        </m:d>
      </m:oMath>
      <w:r>
        <w:t xml:space="preserve">. Define the weighted maximum deviation</w:t>
      </w:r>
    </w:p>
    <w:p>
      <w:pPr>
        <w:pStyle w:val="BodyText"/>
        <w:keepLines/>
        <w:spacing w:before="60" w:after="120"/>
        <w:jc w:val="center"/>
      </w:pPr>
      <m:oMathPara>
        <m:oMathParaPr>
          <m:jc m:val="center"/>
        </m:oMathParaPr>
        <m:oMath>
          <m:sSub>
            <m:e>
              <m:r>
                <m:t>g</m:t>
              </m:r>
            </m:e>
            <m:sub>
              <m:r>
                <m:t>λ</m:t>
              </m:r>
            </m:sub>
          </m:sSub>
          <m:d>
            <m:dPr>
              <m:begChr m:val="("/>
              <m:endChr m:val=")"/>
              <m:sepChr m:val=""/>
              <m:grow/>
            </m:dPr>
            <m:e>
              <m:r>
                <m:t>h</m:t>
              </m:r>
            </m:e>
          </m:d>
          <m:r>
            <m:rPr>
              <m:sty m:val="p"/>
            </m:rPr>
            <m:t>=</m:t>
          </m:r>
          <m:limLow>
            <m:e>
              <m:r>
                <m:rPr>
                  <m:sty m:val="p"/>
                </m:rPr>
                <m:t>max</m:t>
              </m:r>
            </m:e>
            <m:lim>
              <m:r>
                <m:t>1</m:t>
              </m:r>
              <m:r>
                <m:rPr>
                  <m:sty m:val="p"/>
                </m:rPr>
                <m:t>≤</m:t>
              </m:r>
              <m:r>
                <m:t>j</m:t>
              </m:r>
              <m:r>
                <m:rPr>
                  <m:sty m:val="p"/>
                </m:rPr>
                <m:t>≤</m:t>
              </m:r>
              <m:sSub>
                <m:e>
                  <m:r>
                    <m:t>d</m:t>
                  </m:r>
                </m:e>
                <m:sub>
                  <m:r>
                    <m:t>J</m:t>
                  </m:r>
                </m:sub>
              </m:sSub>
            </m:lim>
          </m:limLow>
          <m:sSub>
            <m:e>
              <m:r>
                <m:t>λ</m:t>
              </m:r>
            </m:e>
            <m:sub>
              <m:r>
                <m:t>j</m:t>
              </m:r>
            </m:sub>
          </m:sSub>
          <m:d>
            <m:dPr>
              <m:begChr m:val="["/>
              <m:endChr m:val="]"/>
              <m:sepChr m:val=""/>
              <m:grow/>
            </m:dPr>
            <m:e>
              <m:sSub>
                <m:e>
                  <m:acc>
                    <m:accPr>
                      <m:chr m:val="̃"/>
                    </m:accPr>
                    <m:e>
                      <m:r>
                        <m:t>J</m:t>
                      </m:r>
                    </m:e>
                  </m:acc>
                </m:e>
                <m:sub>
                  <m:r>
                    <m:t>j</m:t>
                  </m:r>
                </m:sub>
              </m:sSub>
              <m:d>
                <m:dPr>
                  <m:begChr m:val="("/>
                  <m:endChr m:val=")"/>
                  <m:sepChr m:val=""/>
                  <m:grow/>
                </m:dPr>
                <m:e>
                  <m:r>
                    <m:t>h</m:t>
                  </m:r>
                </m:e>
              </m:d>
              <m:r>
                <m:rPr>
                  <m:sty m:val="p"/>
                </m:rPr>
                <m:t>−</m:t>
              </m:r>
              <m:sSubSup>
                <m:e>
                  <m:r>
                    <m:t>z</m:t>
                  </m:r>
                </m:e>
                <m:sub>
                  <m:r>
                    <m:t>j</m:t>
                  </m:r>
                </m:sub>
                <m:sup>
                  <m:r>
                    <m:rPr>
                      <m:sty m:val="p"/>
                    </m:rPr>
                    <m:t>∘</m:t>
                  </m:r>
                </m:sup>
              </m:sSubSup>
            </m:e>
          </m:d>
          <m:r>
            <m:rPr>
              <m:sty m:val="p"/>
            </m:rPr>
            <m:t>.</m:t>
          </m:r>
          <m:r>
            <m:rPr>
              <m:nor/>
            </m:rPr>
            <m:t xml:space="preserve">    </m:t>
          </m:r>
          <m:r>
            <m:rPr>
              <m:nor/>
              <m:sty m:val="p"/>
            </m:rPr>
            <m:t>(6)</m:t>
          </m:r>
        </m:oMath>
      </m:oMathPara>
    </w:p>
    <w:p>
      <w:pPr>
        <w:pStyle w:val="FirstParagraph"/>
        <w:keepNext/>
      </w:pPr>
      <w:r>
        <w:t xml:space="preserve">A known strict lower bound on normalized losses supplies a valid reference; an archive minimum is only an empirical reference for the observed set. This is a minimizing Chebyshev scalarization. Harmony Harness uses decomposition into such preference subproblems [2]. Here we associate each subproblem with a probability density, meaning a mass function relative to counting measure:</w:t>
      </w:r>
    </w:p>
    <w:p>
      <w:pPr>
        <w:pStyle w:val="BodyText"/>
        <w:keepLines/>
        <w:spacing w:before="60" w:after="120"/>
        <w:jc w:val="center"/>
      </w:pPr>
      <m:oMathPara>
        <m:oMathParaPr>
          <m:jc m:val="center"/>
        </m:oMathParaPr>
        <m:oMath>
          <m:m>
            <m:mPr>
              <m:baseJc m:val="center"/>
              <m:plcHide m:val="on"/>
              <m:mcs>
                <m:mc>
                  <m:mcPr>
                    <m:mcJc m:val="right"/>
                    <m:count m:val="1"/>
                  </m:mcPr>
                </m:mc>
                <m:mc>
                  <m:mcPr>
                    <m:mcJc m:val="left"/>
                    <m:count m:val="1"/>
                  </m:mcPr>
                </m:mc>
              </m:mcs>
            </m:mPr>
            <m:mr>
              <m:e>
                <m:sSub>
                  <m:e>
                    <m:r>
                      <m:t>π</m:t>
                    </m:r>
                  </m:e>
                  <m:sub>
                    <m:r>
                      <m:t>λ</m:t>
                    </m:r>
                    <m:r>
                      <m:rPr>
                        <m:sty m:val="p"/>
                      </m:rPr>
                      <m:t>,</m:t>
                    </m:r>
                    <m:r>
                      <m:t>β</m:t>
                    </m:r>
                  </m:sub>
                </m:sSub>
                <m:d>
                  <m:dPr>
                    <m:begChr m:val="("/>
                    <m:endChr m:val=")"/>
                    <m:sepChr m:val=""/>
                    <m:grow/>
                  </m:dPr>
                  <m:e>
                    <m:r>
                      <m:t>h</m:t>
                    </m:r>
                  </m:e>
                </m:d>
              </m:e>
              <m:e>
                <m:r>
                  <m:rPr>
                    <m:sty m:val="p"/>
                  </m:rPr>
                  <m:t>=</m:t>
                </m:r>
                <m:f>
                  <m:fPr>
                    <m:type m:val="bar"/>
                  </m:fPr>
                  <m:num>
                    <m:sSub>
                      <m:e>
                        <m:r>
                          <m:t>π</m:t>
                        </m:r>
                      </m:e>
                      <m:sub>
                        <m:r>
                          <m:t>0</m:t>
                        </m:r>
                      </m:sub>
                    </m:sSub>
                    <m:d>
                      <m:dPr>
                        <m:begChr m:val="("/>
                        <m:endChr m:val=")"/>
                        <m:sepChr m:val=""/>
                        <m:grow/>
                      </m:dPr>
                      <m:e>
                        <m:r>
                          <m:t>h</m:t>
                        </m:r>
                      </m:e>
                    </m:d>
                    <m:sSub>
                      <m:e>
                        <m:r>
                          <m:rPr>
                            <m:sty m:val="b"/>
                          </m:rPr>
                          <m:t>1</m:t>
                        </m:r>
                      </m:e>
                      <m:sub>
                        <m:r>
                          <m:rPr>
                            <m:sty m:val="p"/>
                            <m:scr m:val="script"/>
                          </m:rPr>
                          <m:t>F</m:t>
                        </m:r>
                      </m:sub>
                    </m:sSub>
                    <m:d>
                      <m:dPr>
                        <m:begChr m:val="("/>
                        <m:endChr m:val=")"/>
                        <m:sepChr m:val=""/>
                        <m:grow/>
                      </m:dPr>
                      <m:e>
                        <m:r>
                          <m:t>h</m:t>
                        </m:r>
                      </m:e>
                    </m:d>
                    <m:r>
                      <m:rPr>
                        <m:sty m:val="p"/>
                      </m:rPr>
                      <m:t>exp</m:t>
                    </m:r>
                    <m:d>
                      <m:dPr>
                        <m:begChr m:val="["/>
                        <m:endChr m:val="]"/>
                        <m:sepChr m:val=""/>
                        <m:grow/>
                      </m:dPr>
                      <m:e>
                        <m:r>
                          <m:rPr>
                            <m:sty m:val="p"/>
                          </m:rPr>
                          <m:t>−</m:t>
                        </m:r>
                        <m:r>
                          <m:t>β</m:t>
                        </m:r>
                        <m:sSub>
                          <m:e>
                            <m:r>
                              <m:t>g</m:t>
                            </m:r>
                          </m:e>
                          <m:sub>
                            <m:r>
                              <m:t>λ</m:t>
                            </m:r>
                          </m:sub>
                        </m:sSub>
                        <m:d>
                          <m:dPr>
                            <m:begChr m:val="("/>
                            <m:endChr m:val=")"/>
                            <m:sepChr m:val=""/>
                            <m:grow/>
                          </m:dPr>
                          <m:e>
                            <m:r>
                              <m:t>h</m:t>
                            </m:r>
                          </m:e>
                        </m:d>
                      </m:e>
                    </m:d>
                  </m:num>
                  <m:den>
                    <m:sSub>
                      <m:e>
                        <m:r>
                          <m:t>Z</m:t>
                        </m:r>
                      </m:e>
                      <m:sub>
                        <m:r>
                          <m:t>λ</m:t>
                        </m:r>
                        <m:r>
                          <m:rPr>
                            <m:sty m:val="p"/>
                          </m:rPr>
                          <m:t>,</m:t>
                        </m:r>
                        <m:r>
                          <m:t>β</m:t>
                        </m:r>
                      </m:sub>
                    </m:sSub>
                  </m:den>
                </m:f>
                <m:r>
                  <m:rPr>
                    <m:sty m:val="p"/>
                  </m:rPr>
                  <m:t>,</m:t>
                </m:r>
              </m:e>
            </m:mr>
            <m:mr>
              <m:e>
                <m:sSub>
                  <m:e>
                    <m:r>
                      <m:t>Z</m:t>
                    </m:r>
                  </m:e>
                  <m:sub>
                    <m:r>
                      <m:t>λ</m:t>
                    </m:r>
                    <m:r>
                      <m:rPr>
                        <m:sty m:val="p"/>
                      </m:rPr>
                      <m:t>,</m:t>
                    </m:r>
                    <m:r>
                      <m:t>β</m:t>
                    </m:r>
                  </m:sub>
                </m:sSub>
              </m:e>
              <m:e>
                <m:r>
                  <m:rPr>
                    <m:sty m:val="p"/>
                  </m:rPr>
                  <m:t>=</m:t>
                </m:r>
                <m:nary>
                  <m:naryPr>
                    <m:chr m:val="∑"/>
                    <m:limLoc m:val="undOvr"/>
                    <m:subHide m:val="off"/>
                    <m:supHide m:val="on"/>
                  </m:naryPr>
                  <m:sub>
                    <m:r>
                      <m:t>u</m:t>
                    </m:r>
                    <m:r>
                      <m:rPr>
                        <m:sty m:val="p"/>
                      </m:rPr>
                      <m:t>∈</m:t>
                    </m:r>
                    <m:r>
                      <m:rPr>
                        <m:sty m:val="p"/>
                        <m:scr m:val="script"/>
                      </m:rPr>
                      <m:t>F</m:t>
                    </m:r>
                  </m:sub>
                  <m:sup>
                    <m:r>
                      <m:t>​</m:t>
                    </m:r>
                  </m:sup>
                  <m:e>
                    <m:sSub>
                      <m:e>
                        <m:r>
                          <m:t>π</m:t>
                        </m:r>
                      </m:e>
                      <m:sub>
                        <m:r>
                          <m:t>0</m:t>
                        </m:r>
                      </m:sub>
                    </m:sSub>
                  </m:e>
                </m:nary>
                <m:d>
                  <m:dPr>
                    <m:begChr m:val="("/>
                    <m:endChr m:val=")"/>
                    <m:sepChr m:val=""/>
                    <m:grow/>
                  </m:dPr>
                  <m:e>
                    <m:r>
                      <m:t>u</m:t>
                    </m:r>
                  </m:e>
                </m:d>
                <m:r>
                  <m:rPr>
                    <m:sty m:val="p"/>
                  </m:rPr>
                  <m:t>exp</m:t>
                </m:r>
                <m:d>
                  <m:dPr>
                    <m:begChr m:val="["/>
                    <m:endChr m:val="]"/>
                    <m:sepChr m:val=""/>
                    <m:grow/>
                  </m:dPr>
                  <m:e>
                    <m:r>
                      <m:rPr>
                        <m:sty m:val="p"/>
                      </m:rPr>
                      <m:t>−</m:t>
                    </m:r>
                    <m:r>
                      <m:t>β</m:t>
                    </m:r>
                    <m:sSub>
                      <m:e>
                        <m:r>
                          <m:t>g</m:t>
                        </m:r>
                      </m:e>
                      <m:sub>
                        <m:r>
                          <m:t>λ</m:t>
                        </m:r>
                      </m:sub>
                    </m:sSub>
                    <m:d>
                      <m:dPr>
                        <m:begChr m:val="("/>
                        <m:endChr m:val=")"/>
                        <m:sepChr m:val=""/>
                        <m:grow/>
                      </m:dPr>
                      <m:e>
                        <m:r>
                          <m:t>u</m:t>
                        </m:r>
                      </m:e>
                    </m:d>
                  </m:e>
                </m:d>
                <m:r>
                  <m:rPr>
                    <m:sty m:val="p"/>
                  </m:rPr>
                  <m:t>.</m:t>
                </m:r>
              </m:e>
            </m:mr>
          </m:m>
          <m:r>
            <m:rPr>
              <m:nor/>
            </m:rPr>
            <m:t xml:space="preserve">    </m:t>
          </m:r>
          <m:r>
            <m:rPr>
              <m:nor/>
              <m:sty m:val="p"/>
            </m:rPr>
            <m:t>(7)</m:t>
          </m:r>
        </m:oMath>
      </m:oMathPara>
    </w:p>
    <w:p>
      <w:pPr>
        <w:pStyle w:val="FirstParagraph"/>
      </w:pPr>
      <w:r>
        <w:t xml:space="preserve">The inverse temperature</w:t>
      </w:r>
      <w:r>
        <w:t xml:space="preserve"> </w:t>
      </w:r>
      <m:oMath>
        <m:r>
          <m:t>β</m:t>
        </m:r>
        <m:r>
          <m:rPr>
            <m:sty m:val="p"/>
          </m:rPr>
          <m:t>&gt;</m:t>
        </m:r>
        <m:r>
          <m:t>0</m:t>
        </m:r>
      </m:oMath>
      <w:r>
        <w:t xml:space="preserve"> </w:t>
      </w:r>
      <w:r>
        <w:t xml:space="preserve">is dimensionless because the losses in (6) are dimensionless. The reference prior expresses exploration preferences over legal configurations. It is distinct from the base model’s next-token probabilities.</w:t>
      </w:r>
    </w:p>
    <w:p>
      <w:pPr>
        <w:pStyle w:val="BodyText"/>
        <w:keepNext/>
      </w:pPr>
      <w:r>
        <w:rPr>
          <w:bCs/>
          <w:b/>
        </w:rPr>
        <w:t xml:space="preserve">Theorem 1.</w:t>
      </w:r>
      <w:r>
        <w:t xml:space="preserve"> </w:t>
      </w:r>
      <w:r>
        <w:t xml:space="preserve">Let</w:t>
      </w:r>
      <w:r>
        <w:t xml:space="preserve"> </w:t>
      </w:r>
      <m:oMath>
        <m:sSubSup>
          <m:e>
            <m:r>
              <m:t>π</m:t>
            </m:r>
          </m:e>
          <m:sub>
            <m:r>
              <m:t>0</m:t>
            </m:r>
          </m:sub>
          <m:sup>
            <m:r>
              <m:rPr>
                <m:sty m:val="p"/>
                <m:scr m:val="script"/>
              </m:rPr>
              <m:t>F</m:t>
            </m:r>
          </m:sup>
        </m:sSubSup>
      </m:oMath>
      <w:r>
        <w:t xml:space="preserve"> </w:t>
      </w:r>
      <w:r>
        <w:t xml:space="preserve">be the reference prior conditioned on eligibility. The unique distribution minimizing</w:t>
      </w:r>
    </w:p>
    <w:p>
      <w:pPr>
        <w:pStyle w:val="BodyText"/>
        <w:keepLines/>
        <w:spacing w:before="60" w:after="120"/>
        <w:jc w:val="center"/>
      </w:pPr>
      <m:oMathPara>
        <m:oMathParaPr>
          <m:jc m:val="center"/>
        </m:oMathParaPr>
        <m:oMath>
          <m:sSub>
            <m:e>
              <m:r>
                <m:rPr>
                  <m:sty m:val="p"/>
                  <m:scr m:val="double-struck"/>
                </m:rPr>
                <m:t>E</m:t>
              </m:r>
            </m:e>
            <m:sub>
              <m:r>
                <m:t>Q</m:t>
              </m:r>
            </m:sub>
          </m:sSub>
          <m:sSub>
            <m:e>
              <m:r>
                <m:t>g</m:t>
              </m:r>
            </m:e>
            <m:sub>
              <m:r>
                <m:t>λ</m:t>
              </m:r>
            </m:sub>
          </m:sSub>
          <m:r>
            <m:rPr>
              <m:sty m:val="p"/>
            </m:rPr>
            <m:t>+</m:t>
          </m:r>
          <m:sSup>
            <m:e>
              <m:r>
                <m:t>β</m:t>
              </m:r>
            </m:e>
            <m:sup>
              <m:r>
                <m:rPr>
                  <m:sty m:val="p"/>
                </m:rPr>
                <m:t>−</m:t>
              </m:r>
              <m:r>
                <m:t>1</m:t>
              </m:r>
            </m:sup>
          </m:sSup>
          <m:r>
            <m:rPr>
              <m:sty m:val="p"/>
            </m:rPr>
            <m:t>KL</m:t>
          </m:r>
          <m:d>
            <m:dPr>
              <m:begChr m:val="("/>
              <m:endChr m:val=")"/>
              <m:sepChr m:val=""/>
              <m:grow/>
            </m:dPr>
            <m:e>
              <m:r>
                <m:t>Q</m:t>
              </m:r>
              <m:r>
                <m:rPr>
                  <m:sty m:val="p"/>
                </m:rPr>
                <m:t>∥</m:t>
              </m:r>
              <m:sSubSup>
                <m:e>
                  <m:r>
                    <m:t>π</m:t>
                  </m:r>
                </m:e>
                <m:sub>
                  <m:r>
                    <m:t>0</m:t>
                  </m:r>
                </m:sub>
                <m:sup>
                  <m:r>
                    <m:rPr>
                      <m:sty m:val="p"/>
                      <m:scr m:val="script"/>
                    </m:rPr>
                    <m:t>F</m:t>
                  </m:r>
                </m:sup>
              </m:sSubSup>
            </m:e>
          </m:d>
          <m:r>
            <m:rPr>
              <m:nor/>
            </m:rPr>
            <m:t xml:space="preserve">    </m:t>
          </m:r>
          <m:r>
            <m:rPr>
              <m:nor/>
              <m:sty m:val="p"/>
            </m:rPr>
            <m:t>(8)</m:t>
          </m:r>
        </m:oMath>
      </m:oMathPara>
    </w:p>
    <w:p>
      <w:pPr>
        <w:pStyle w:val="FirstParagraph"/>
      </w:pPr>
      <w:r>
        <w:t xml:space="preserve">over distributions supported on</w:t>
      </w:r>
      <w:r>
        <w:t xml:space="preserve"> </w:t>
      </w:r>
      <m:oMath>
        <m:r>
          <m:rPr>
            <m:sty m:val="p"/>
            <m:scr m:val="script"/>
          </m:rPr>
          <m:t>F</m:t>
        </m:r>
      </m:oMath>
      <w:r>
        <w:t xml:space="preserve"> </w:t>
      </w:r>
      <w:r>
        <w:t xml:space="preserve">is</w:t>
      </w:r>
      <w:r>
        <w:t xml:space="preserve"> </w:t>
      </w:r>
      <m:oMath>
        <m:sSub>
          <m:e>
            <m:r>
              <m:t>π</m:t>
            </m:r>
          </m:e>
          <m:sub>
            <m:r>
              <m:t>λ</m:t>
            </m:r>
            <m:r>
              <m:rPr>
                <m:sty m:val="p"/>
              </m:rPr>
              <m:t>,</m:t>
            </m:r>
            <m:r>
              <m:t>β</m:t>
            </m:r>
          </m:sub>
        </m:sSub>
      </m:oMath>
      <w:r>
        <w:t xml:space="preserve">.</w:t>
      </w:r>
    </w:p>
    <w:p>
      <w:pPr>
        <w:pStyle w:val="BodyText"/>
      </w:pPr>
      <w:r>
        <w:rPr>
          <w:iCs/>
          <w:i/>
        </w:rPr>
        <w:t xml:space="preserve">Proof.</w:t>
      </w:r>
      <w:r>
        <w:t xml:space="preserve"> </w:t>
      </w:r>
      <w:r>
        <w:t xml:space="preserve">Let</w:t>
      </w:r>
      <w:r>
        <w:t xml:space="preserve"> </w:t>
      </w:r>
      <m:oMath>
        <m:r>
          <m:t>Z</m:t>
        </m:r>
        <m:r>
          <m:rPr>
            <m:sty m:val="p"/>
          </m:rPr>
          <m:t>′</m:t>
        </m:r>
        <m:r>
          <m:rPr>
            <m:sty m:val="p"/>
          </m:rPr>
          <m:t>=</m:t>
        </m:r>
        <m:nary>
          <m:naryPr>
            <m:chr m:val="∑"/>
            <m:limLoc m:val="undOvr"/>
            <m:subHide m:val="off"/>
            <m:supHide m:val="on"/>
          </m:naryPr>
          <m:sub>
            <m:r>
              <m:t>h</m:t>
            </m:r>
            <m:r>
              <m:rPr>
                <m:sty m:val="p"/>
              </m:rPr>
              <m:t>∈</m:t>
            </m:r>
            <m:r>
              <m:rPr>
                <m:sty m:val="p"/>
                <m:scr m:val="script"/>
              </m:rPr>
              <m:t>F</m:t>
            </m:r>
          </m:sub>
          <m:sup>
            <m:r>
              <m:t>​</m:t>
            </m:r>
          </m:sup>
          <m:e>
            <m:sSubSup>
              <m:e>
                <m:r>
                  <m:t>π</m:t>
                </m:r>
              </m:e>
              <m:sub>
                <m:r>
                  <m:t>0</m:t>
                </m:r>
              </m:sub>
              <m:sup>
                <m:r>
                  <m:rPr>
                    <m:sty m:val="p"/>
                    <m:scr m:val="script"/>
                  </m:rPr>
                  <m:t>F</m:t>
                </m:r>
              </m:sup>
            </m:sSubSup>
          </m:e>
        </m:nary>
        <m:d>
          <m:dPr>
            <m:begChr m:val="("/>
            <m:endChr m:val=")"/>
            <m:sepChr m:val=""/>
            <m:grow/>
          </m:dPr>
          <m:e>
            <m:r>
              <m:t>h</m:t>
            </m:r>
          </m:e>
        </m:d>
        <m:sSup>
          <m:e>
            <m:r>
              <m:t>e</m:t>
            </m:r>
          </m:e>
          <m:sup>
            <m:r>
              <m:rPr>
                <m:sty m:val="p"/>
              </m:rPr>
              <m:t>−</m:t>
            </m:r>
            <m:r>
              <m:t>β</m:t>
            </m:r>
            <m:sSub>
              <m:e>
                <m:r>
                  <m:t>g</m:t>
                </m:r>
              </m:e>
              <m:sub>
                <m:r>
                  <m:t>λ</m:t>
                </m:r>
              </m:sub>
            </m:sSub>
            <m:d>
              <m:dPr>
                <m:begChr m:val="("/>
                <m:endChr m:val=")"/>
                <m:sepChr m:val=""/>
                <m:grow/>
              </m:dPr>
              <m:e>
                <m:r>
                  <m:t>h</m:t>
                </m:r>
              </m:e>
            </m:d>
          </m:sup>
        </m:sSup>
      </m:oMath>
      <w:r>
        <w:t xml:space="preserve">. Substitute</w:t>
      </w:r>
      <w:r>
        <w:t xml:space="preserve"> </w:t>
      </w:r>
      <m:oMath>
        <m:r>
          <m:rPr>
            <m:sty m:val="p"/>
          </m:rPr>
          <m:t>log</m:t>
        </m:r>
        <m:sSub>
          <m:e>
            <m:r>
              <m:t>π</m:t>
            </m:r>
          </m:e>
          <m:sub>
            <m:r>
              <m:t>λ</m:t>
            </m:r>
            <m:r>
              <m:rPr>
                <m:sty m:val="p"/>
              </m:rPr>
              <m:t>,</m:t>
            </m:r>
            <m:r>
              <m:t>β</m:t>
            </m:r>
          </m:sub>
        </m:sSub>
        <m:d>
          <m:dPr>
            <m:begChr m:val="("/>
            <m:endChr m:val=")"/>
            <m:sepChr m:val=""/>
            <m:grow/>
          </m:dPr>
          <m:e>
            <m:r>
              <m:t>h</m:t>
            </m:r>
          </m:e>
        </m:d>
        <m:r>
          <m:rPr>
            <m:sty m:val="p"/>
          </m:rPr>
          <m:t>=</m:t>
        </m:r>
        <m:r>
          <m:rPr>
            <m:sty m:val="p"/>
          </m:rPr>
          <m:t>log</m:t>
        </m:r>
        <m:sSubSup>
          <m:e>
            <m:r>
              <m:t>π</m:t>
            </m:r>
          </m:e>
          <m:sub>
            <m:r>
              <m:t>0</m:t>
            </m:r>
          </m:sub>
          <m:sup>
            <m:r>
              <m:rPr>
                <m:sty m:val="p"/>
                <m:scr m:val="script"/>
              </m:rPr>
              <m:t>F</m:t>
            </m:r>
          </m:sup>
        </m:sSubSup>
        <m:d>
          <m:dPr>
            <m:begChr m:val="("/>
            <m:endChr m:val=")"/>
            <m:sepChr m:val=""/>
            <m:grow/>
          </m:dPr>
          <m:e>
            <m:r>
              <m:t>h</m:t>
            </m:r>
          </m:e>
        </m:d>
        <m:r>
          <m:rPr>
            <m:sty m:val="p"/>
          </m:rPr>
          <m:t>−</m:t>
        </m:r>
        <m:r>
          <m:t>β</m:t>
        </m:r>
        <m:sSub>
          <m:e>
            <m:r>
              <m:t>g</m:t>
            </m:r>
          </m:e>
          <m:sub>
            <m:r>
              <m:t>λ</m:t>
            </m:r>
          </m:sub>
        </m:sSub>
        <m:d>
          <m:dPr>
            <m:begChr m:val="("/>
            <m:endChr m:val=")"/>
            <m:sepChr m:val=""/>
            <m:grow/>
          </m:dPr>
          <m:e>
            <m:r>
              <m:t>h</m:t>
            </m:r>
          </m:e>
        </m:d>
        <m:r>
          <m:rPr>
            <m:sty m:val="p"/>
          </m:rPr>
          <m:t>−</m:t>
        </m:r>
        <m:r>
          <m:rPr>
            <m:sty m:val="p"/>
          </m:rPr>
          <m:t>log</m:t>
        </m:r>
        <m:r>
          <m:t>Z</m:t>
        </m:r>
        <m:r>
          <m:rPr>
            <m:sty m:val="p"/>
          </m:rPr>
          <m:t>′</m:t>
        </m:r>
      </m:oMath>
      <w:r>
        <w:t xml:space="preserve"> </w:t>
      </w:r>
      <w:r>
        <w:t xml:space="preserve">into the KL divergence. The objective in (8) becomes</w:t>
      </w:r>
      <w:r>
        <w:t xml:space="preserve"> </w:t>
      </w:r>
      <m:oMath>
        <m:r>
          <m:rPr>
            <m:sty m:val="p"/>
          </m:rPr>
          <m:t>−</m:t>
        </m:r>
        <m:sSup>
          <m:e>
            <m:r>
              <m:t>β</m:t>
            </m:r>
          </m:e>
          <m:sup>
            <m:r>
              <m:rPr>
                <m:sty m:val="p"/>
              </m:rPr>
              <m:t>−</m:t>
            </m:r>
            <m:r>
              <m:t>1</m:t>
            </m:r>
          </m:sup>
        </m:sSup>
        <m:r>
          <m:rPr>
            <m:sty m:val="p"/>
          </m:rPr>
          <m:t>log</m:t>
        </m:r>
        <m:r>
          <m:t>Z</m:t>
        </m:r>
        <m:r>
          <m:rPr>
            <m:sty m:val="p"/>
          </m:rPr>
          <m:t>′</m:t>
        </m:r>
        <m:r>
          <m:rPr>
            <m:sty m:val="p"/>
          </m:rPr>
          <m:t>+</m:t>
        </m:r>
        <m:sSup>
          <m:e>
            <m:r>
              <m:t>β</m:t>
            </m:r>
          </m:e>
          <m:sup>
            <m:r>
              <m:rPr>
                <m:sty m:val="p"/>
              </m:rPr>
              <m:t>−</m:t>
            </m:r>
            <m:r>
              <m:t>1</m:t>
            </m:r>
          </m:sup>
        </m:sSup>
        <m:r>
          <m:rPr>
            <m:sty m:val="p"/>
          </m:rPr>
          <m:t>KL</m:t>
        </m:r>
        <m:d>
          <m:dPr>
            <m:begChr m:val="("/>
            <m:endChr m:val=")"/>
            <m:sepChr m:val=""/>
            <m:grow/>
          </m:dPr>
          <m:e>
            <m:r>
              <m:t>Q</m:t>
            </m:r>
            <m:r>
              <m:rPr>
                <m:sty m:val="p"/>
              </m:rPr>
              <m:t>∥</m:t>
            </m:r>
            <m:sSub>
              <m:e>
                <m:r>
                  <m:t>π</m:t>
                </m:r>
              </m:e>
              <m:sub>
                <m:r>
                  <m:t>λ</m:t>
                </m:r>
                <m:r>
                  <m:rPr>
                    <m:sty m:val="p"/>
                  </m:rPr>
                  <m:t>,</m:t>
                </m:r>
                <m:r>
                  <m:t>β</m:t>
                </m:r>
              </m:sub>
            </m:sSub>
          </m:e>
        </m:d>
      </m:oMath>
      <w:r>
        <w:t xml:space="preserve">. Nonnegativity of KL and its equality condition prove the result. □</w:t>
      </w:r>
    </w:p>
    <w:p>
      <w:pPr>
        <w:pStyle w:val="BodyText"/>
      </w:pPr>
      <w:r>
        <w:t xml:space="preserve">The theorem solves a regularized distributional subproblem. It does not imply that a finite ADE run samples that distribution exactly or has found the global Pareto set.</w:t>
      </w:r>
    </w:p>
    <w:p>
      <w:pPr>
        <w:pStyle w:val="BodyText"/>
      </w:pPr>
      <w:r>
        <w:rPr>
          <w:bCs/>
          <w:b/>
        </w:rPr>
        <w:t xml:space="preserve">Proposition 3.</w:t>
      </w:r>
      <w:r>
        <w:t xml:space="preserve"> </w:t>
      </w:r>
      <w:r>
        <w:t xml:space="preserve">Every Pareto-efficient objective vector in this finite eligible set minimizes (6) for some strictly positive</w:t>
      </w:r>
      <w:r>
        <w:t xml:space="preserve"> </w:t>
      </w:r>
      <m:oMath>
        <m:r>
          <m:t>λ</m:t>
        </m:r>
      </m:oMath>
      <w:r>
        <w:t xml:space="preserve">. For the corresponding choice, every minimizing objective vector equals that Pareto vector.</w:t>
      </w:r>
    </w:p>
    <w:p>
      <w:pPr>
        <w:pStyle w:val="BodyText"/>
      </w:pPr>
      <w:r>
        <w:rPr>
          <w:iCs/>
          <w:i/>
        </w:rPr>
        <w:t xml:space="preserve">Proof.</w:t>
      </w:r>
      <w:r>
        <w:t xml:space="preserve"> </w:t>
      </w:r>
      <w:r>
        <w:t xml:space="preserve">Let</w:t>
      </w:r>
      <w:r>
        <w:t xml:space="preserve"> </w:t>
      </w:r>
      <m:oMath>
        <m:sSup>
          <m:e>
            <m:r>
              <m:t>h</m:t>
            </m:r>
          </m:e>
          <m:sup>
            <m:r>
              <m:rPr>
                <m:sty m:val="p"/>
              </m:rPr>
              <m:t>*</m:t>
            </m:r>
          </m:sup>
        </m:sSup>
      </m:oMath>
      <w:r>
        <w:t xml:space="preserve"> </w:t>
      </w:r>
      <w:r>
        <w:t xml:space="preserve">be Pareto-efficient and set</w:t>
      </w:r>
      <w:r>
        <w:t xml:space="preserve"> </w:t>
      </w:r>
      <m:oMath>
        <m:sSub>
          <m:e>
            <m:r>
              <m:t>d</m:t>
            </m:r>
          </m:e>
          <m:sub>
            <m:r>
              <m:t>j</m:t>
            </m:r>
          </m:sub>
        </m:sSub>
        <m:r>
          <m:rPr>
            <m:sty m:val="p"/>
          </m:rPr>
          <m:t>=</m:t>
        </m:r>
        <m:sSub>
          <m:e>
            <m:acc>
              <m:accPr>
                <m:chr m:val="̃"/>
              </m:accPr>
              <m:e>
                <m:r>
                  <m:t>J</m:t>
                </m:r>
              </m:e>
            </m:acc>
          </m:e>
          <m:sub>
            <m:r>
              <m:t>j</m:t>
            </m:r>
          </m:sub>
        </m:sSub>
        <m:d>
          <m:dPr>
            <m:begChr m:val="("/>
            <m:endChr m:val=")"/>
            <m:sepChr m:val=""/>
            <m:grow/>
          </m:dPr>
          <m:e>
            <m:sSup>
              <m:e>
                <m:r>
                  <m:t>h</m:t>
                </m:r>
              </m:e>
              <m:sup>
                <m:r>
                  <m:rPr>
                    <m:sty m:val="p"/>
                  </m:rPr>
                  <m:t>*</m:t>
                </m:r>
              </m:sup>
            </m:sSup>
          </m:e>
        </m:d>
        <m:r>
          <m:rPr>
            <m:sty m:val="p"/>
          </m:rPr>
          <m:t>−</m:t>
        </m:r>
        <m:sSubSup>
          <m:e>
            <m:r>
              <m:t>z</m:t>
            </m:r>
          </m:e>
          <m:sub>
            <m:r>
              <m:t>j</m:t>
            </m:r>
          </m:sub>
          <m:sup>
            <m:r>
              <m:rPr>
                <m:sty m:val="p"/>
              </m:rPr>
              <m:t>∘</m:t>
            </m:r>
          </m:sup>
        </m:sSubSup>
        <m:r>
          <m:rPr>
            <m:sty m:val="p"/>
          </m:rPr>
          <m:t>&gt;</m:t>
        </m:r>
        <m:r>
          <m:t>0</m:t>
        </m:r>
      </m:oMath>
      <w:r>
        <w:t xml:space="preserve">. Choose</w:t>
      </w:r>
      <w:r>
        <w:t xml:space="preserve"> </w:t>
      </w:r>
      <m:oMath>
        <m:sSub>
          <m:e>
            <m:r>
              <m:t>λ</m:t>
            </m:r>
          </m:e>
          <m:sub>
            <m:r>
              <m:t>j</m:t>
            </m:r>
          </m:sub>
        </m:sSub>
        <m:r>
          <m:rPr>
            <m:sty m:val="p"/>
          </m:rPr>
          <m:t>=</m:t>
        </m:r>
        <m:r>
          <m:t>c</m:t>
        </m:r>
        <m:r>
          <m:rPr>
            <m:sty m:val="p"/>
          </m:rPr>
          <m:t>/</m:t>
        </m:r>
        <m:sSub>
          <m:e>
            <m:r>
              <m:t>d</m:t>
            </m:r>
          </m:e>
          <m:sub>
            <m:r>
              <m:t>j</m:t>
            </m:r>
          </m:sub>
        </m:sSub>
      </m:oMath>
      <w:r>
        <w:t xml:space="preserve">, where</w:t>
      </w:r>
      <w:r>
        <w:t xml:space="preserve"> </w:t>
      </w:r>
      <m:oMath>
        <m:r>
          <m:t>c</m:t>
        </m:r>
        <m:r>
          <m:rPr>
            <m:sty m:val="p"/>
          </m:rPr>
          <m:t>=</m:t>
        </m:r>
        <m:sSup>
          <m:e>
            <m:d>
              <m:dPr>
                <m:begChr m:val="("/>
                <m:endChr m:val=")"/>
                <m:sepChr m:val=""/>
                <m:grow/>
              </m:dPr>
              <m:e>
                <m:nary>
                  <m:naryPr>
                    <m:chr m:val="∑"/>
                    <m:limLoc m:val="undOvr"/>
                    <m:subHide m:val="off"/>
                    <m:supHide m:val="on"/>
                  </m:naryPr>
                  <m:sub>
                    <m:r>
                      <m:t>j</m:t>
                    </m:r>
                  </m:sub>
                  <m:sup>
                    <m:r>
                      <m:t>​</m:t>
                    </m:r>
                  </m:sup>
                  <m:e>
                    <m:r>
                      <m:t>1</m:t>
                    </m:r>
                  </m:e>
                </m:nary>
                <m:r>
                  <m:rPr>
                    <m:sty m:val="p"/>
                  </m:rPr>
                  <m:t>/</m:t>
                </m:r>
                <m:sSub>
                  <m:e>
                    <m:r>
                      <m:t>d</m:t>
                    </m:r>
                  </m:e>
                  <m:sub>
                    <m:r>
                      <m:t>j</m:t>
                    </m:r>
                  </m:sub>
                </m:sSub>
              </m:e>
            </m:d>
          </m:e>
          <m:sup>
            <m:r>
              <m:rPr>
                <m:sty m:val="p"/>
              </m:rPr>
              <m:t>−</m:t>
            </m:r>
            <m:r>
              <m:t>1</m:t>
            </m:r>
          </m:sup>
        </m:sSup>
      </m:oMath>
      <w:r>
        <w:t xml:space="preserve">. Then</w:t>
      </w:r>
      <w:r>
        <w:t xml:space="preserve"> </w:t>
      </w:r>
      <m:oMath>
        <m:sSub>
          <m:e>
            <m:r>
              <m:t>g</m:t>
            </m:r>
          </m:e>
          <m:sub>
            <m:r>
              <m:t>λ</m:t>
            </m:r>
          </m:sub>
        </m:sSub>
        <m:d>
          <m:dPr>
            <m:begChr m:val="("/>
            <m:endChr m:val=")"/>
            <m:sepChr m:val=""/>
            <m:grow/>
          </m:dPr>
          <m:e>
            <m:sSup>
              <m:e>
                <m:r>
                  <m:t>h</m:t>
                </m:r>
              </m:e>
              <m:sup>
                <m:r>
                  <m:rPr>
                    <m:sty m:val="p"/>
                  </m:rPr>
                  <m:t>*</m:t>
                </m:r>
              </m:sup>
            </m:sSup>
          </m:e>
        </m:d>
        <m:r>
          <m:rPr>
            <m:sty m:val="p"/>
          </m:rPr>
          <m:t>=</m:t>
        </m:r>
        <m:r>
          <m:t>c</m:t>
        </m:r>
      </m:oMath>
      <w:r>
        <w:t xml:space="preserve">. If</w:t>
      </w:r>
      <w:r>
        <w:t xml:space="preserve"> </w:t>
      </w:r>
      <m:oMath>
        <m:sSub>
          <m:e>
            <m:r>
              <m:t>g</m:t>
            </m:r>
          </m:e>
          <m:sub>
            <m:r>
              <m:t>λ</m:t>
            </m:r>
          </m:sub>
        </m:sSub>
        <m:d>
          <m:dPr>
            <m:begChr m:val="("/>
            <m:endChr m:val=")"/>
            <m:sepChr m:val=""/>
            <m:grow/>
          </m:dPr>
          <m:e>
            <m:r>
              <m:t>h</m:t>
            </m:r>
          </m:e>
        </m:d>
        <m:r>
          <m:rPr>
            <m:sty m:val="p"/>
          </m:rPr>
          <m:t>≤</m:t>
        </m:r>
        <m:r>
          <m:t>c</m:t>
        </m:r>
      </m:oMath>
      <w:r>
        <w:t xml:space="preserve">, every objective of</w:t>
      </w:r>
      <w:r>
        <w:t xml:space="preserve"> </w:t>
      </w:r>
      <m:oMath>
        <m:r>
          <m:t>h</m:t>
        </m:r>
      </m:oMath>
      <w:r>
        <w:t xml:space="preserve"> </w:t>
      </w:r>
      <w:r>
        <w:t xml:space="preserve">is no greater than the corresponding objective of</w:t>
      </w:r>
      <w:r>
        <w:t xml:space="preserve"> </w:t>
      </w:r>
      <m:oMath>
        <m:sSup>
          <m:e>
            <m:r>
              <m:t>h</m:t>
            </m:r>
          </m:e>
          <m:sup>
            <m:r>
              <m:rPr>
                <m:sty m:val="p"/>
              </m:rPr>
              <m:t>*</m:t>
            </m:r>
          </m:sup>
        </m:sSup>
      </m:oMath>
      <w:r>
        <w:t xml:space="preserve">. Pareto efficiency excludes any strict improvement, so all objectives are equal. Hence</w:t>
      </w:r>
      <w:r>
        <w:t xml:space="preserve"> </w:t>
      </w:r>
      <m:oMath>
        <m:sSup>
          <m:e>
            <m:r>
              <m:t>h</m:t>
            </m:r>
          </m:e>
          <m:sup>
            <m:r>
              <m:rPr>
                <m:sty m:val="p"/>
              </m:rPr>
              <m:t>*</m:t>
            </m:r>
          </m:sup>
        </m:sSup>
      </m:oMath>
      <w:r>
        <w:t xml:space="preserve"> </w:t>
      </w:r>
      <w:r>
        <w:t xml:space="preserve">minimizes the scalarization and all minimizers share its vector. □</w:t>
      </w:r>
    </w:p>
    <w:p>
      <w:pPr>
        <w:pStyle w:val="BodyText"/>
      </w:pPr>
      <w:r>
        <w:t xml:space="preserve">A finite preference grid need not include each of those specially chosen vectors. The proposition establishes representational coverage of the preference family, not guaranteed coverage by a practical grid. For an arbitrary fixed preference, a scalarization can also have tied dominated minimizers; the reporting archive still applies full objective-vector dominance tests.</w:t>
      </w:r>
    </w:p>
    <w:p>
      <w:pPr>
        <w:pStyle w:val="BodyText"/>
        <w:keepNext/>
      </w:pPr>
      <w:r>
        <w:t xml:space="preserve">For a selected family</w:t>
      </w:r>
      <w:r>
        <w:t xml:space="preserve"> </w:t>
      </w:r>
      <m:oMath>
        <m:r>
          <m:t>Λ</m:t>
        </m:r>
      </m:oMath>
      <w:r>
        <w:t xml:space="preserve"> </w:t>
      </w:r>
      <w:r>
        <w:t xml:space="preserve">and normalized masses</w:t>
      </w:r>
      <w:r>
        <w:t xml:space="preserve"> </w:t>
      </w:r>
      <m:oMath>
        <m:sSub>
          <m:e>
            <m:r>
              <m:t>ν</m:t>
            </m:r>
          </m:e>
          <m:sub>
            <m:r>
              <m:t>λ</m:t>
            </m:r>
          </m:sub>
        </m:sSub>
      </m:oMath>
      <w:r>
        <w:t xml:space="preserve">, retain alternatives with</w:t>
      </w:r>
    </w:p>
    <w:p>
      <w:pPr>
        <w:pStyle w:val="BodyText"/>
        <w:keepLines/>
        <w:spacing w:before="60" w:after="120"/>
        <w:jc w:val="center"/>
      </w:pPr>
      <m:oMathPara>
        <m:oMathParaPr>
          <m:jc m:val="center"/>
        </m:oMathParaPr>
        <m:oMath>
          <m:sSub>
            <m:e>
              <m:r>
                <m:t>π</m:t>
              </m:r>
            </m:e>
            <m:sub>
              <m:r>
                <m:rPr>
                  <m:nor/>
                  <m:sty m:val="p"/>
                </m:rPr>
                <m:t>mix</m:t>
              </m:r>
            </m:sub>
          </m:sSub>
          <m:d>
            <m:dPr>
              <m:begChr m:val="("/>
              <m:endChr m:val=")"/>
              <m:sepChr m:val=""/>
              <m:grow/>
            </m:dPr>
            <m:e>
              <m:r>
                <m:t>h</m:t>
              </m:r>
            </m:e>
          </m:d>
          <m:r>
            <m:rPr>
              <m:sty m:val="p"/>
            </m:rPr>
            <m:t>=</m:t>
          </m:r>
          <m:nary>
            <m:naryPr>
              <m:chr m:val="∑"/>
              <m:limLoc m:val="undOvr"/>
              <m:subHide m:val="off"/>
              <m:supHide m:val="on"/>
            </m:naryPr>
            <m:sub>
              <m:r>
                <m:t>λ</m:t>
              </m:r>
              <m:r>
                <m:rPr>
                  <m:sty m:val="p"/>
                </m:rPr>
                <m:t>∈</m:t>
              </m:r>
              <m:r>
                <m:t>Λ</m:t>
              </m:r>
            </m:sub>
            <m:sup>
              <m:r>
                <m:t>​</m:t>
              </m:r>
            </m:sup>
            <m:e>
              <m:sSub>
                <m:e>
                  <m:r>
                    <m:t>ν</m:t>
                  </m:r>
                </m:e>
                <m:sub>
                  <m:r>
                    <m:t>λ</m:t>
                  </m:r>
                </m:sub>
              </m:sSub>
            </m:e>
          </m:nary>
          <m:sSub>
            <m:e>
              <m:r>
                <m:t>π</m:t>
              </m:r>
            </m:e>
            <m:sub>
              <m:r>
                <m:t>λ</m:t>
              </m:r>
              <m:r>
                <m:rPr>
                  <m:sty m:val="p"/>
                </m:rPr>
                <m:t>,</m:t>
              </m:r>
              <m:r>
                <m:t>β</m:t>
              </m:r>
            </m:sub>
          </m:sSub>
          <m:d>
            <m:dPr>
              <m:begChr m:val="("/>
              <m:endChr m:val=")"/>
              <m:sepChr m:val=""/>
              <m:grow/>
            </m:dPr>
            <m:e>
              <m:r>
                <m:t>h</m:t>
              </m:r>
            </m:e>
          </m:d>
          <m:r>
            <m:rPr>
              <m:sty m:val="p"/>
            </m:rPr>
            <m:t>,</m:t>
          </m:r>
          <m:r>
            <m:rPr>
              <m:nor/>
            </m:rPr>
            <m:t xml:space="preserve">    </m:t>
          </m:r>
          <m:sSub>
            <m:e>
              <m:r>
                <m:t>ν</m:t>
              </m:r>
            </m:e>
            <m:sub>
              <m:r>
                <m:t>λ</m:t>
              </m:r>
            </m:sub>
          </m:sSub>
          <m:r>
            <m:rPr>
              <m:sty m:val="p"/>
            </m:rPr>
            <m:t>≥</m:t>
          </m:r>
          <m:r>
            <m:t>0</m:t>
          </m:r>
          <m:r>
            <m:rPr>
              <m:sty m:val="p"/>
            </m:rPr>
            <m:t>,</m:t>
          </m:r>
          <m:r>
            <m:rPr>
              <m:nor/>
            </m:rPr>
            <m:t xml:space="preserve">    </m:t>
          </m:r>
          <m:nary>
            <m:naryPr>
              <m:chr m:val="∑"/>
              <m:limLoc m:val="undOvr"/>
              <m:subHide m:val="off"/>
              <m:supHide m:val="on"/>
            </m:naryPr>
            <m:sub>
              <m:r>
                <m:t>λ</m:t>
              </m:r>
            </m:sub>
            <m:sup>
              <m:r>
                <m:t>​</m:t>
              </m:r>
            </m:sup>
            <m:e>
              <m:sSub>
                <m:e>
                  <m:r>
                    <m:t>ν</m:t>
                  </m:r>
                </m:e>
                <m:sub>
                  <m:r>
                    <m:t>λ</m:t>
                  </m:r>
                </m:sub>
              </m:sSub>
            </m:e>
          </m:nary>
          <m:r>
            <m:rPr>
              <m:sty m:val="p"/>
            </m:rPr>
            <m:t>=</m:t>
          </m:r>
          <m:r>
            <m:t>1</m:t>
          </m:r>
          <m:r>
            <m:rPr>
              <m:sty m:val="p"/>
            </m:rPr>
            <m:t>.</m:t>
          </m:r>
          <m:r>
            <m:rPr>
              <m:nor/>
            </m:rPr>
            <m:t xml:space="preserve">    </m:t>
          </m:r>
          <m:r>
            <m:rPr>
              <m:nor/>
              <m:sty m:val="p"/>
            </m:rPr>
            <m:t>(9)</m:t>
          </m:r>
        </m:oMath>
      </m:oMathPara>
    </w:p>
    <w:p>
      <w:pPr>
        <w:pStyle w:val="FirstParagraph"/>
      </w:pPr>
      <w:r>
        <w:t xml:space="preserve">Each component must be normalized before mixing. Adding unnormalized exponentials instead assigns each preference an unintended mass proportional to its partition function. Multiplying objective densities gives a compromise energy, commonly a weighted sum; it does not provide the same family of alternative trade-offs.</w:t>
      </w:r>
    </w:p>
    <w:p>
      <w:pPr>
        <w:pStyle w:val="BodyText"/>
        <w:keepNext/>
      </w:pPr>
      <w:r>
        <w:rPr>
          <w:bCs/>
          <w:b/>
        </w:rPr>
        <w:t xml:space="preserve">Proposition 4.</w:t>
      </w:r>
      <w:r>
        <w:t xml:space="preserve"> </w:t>
      </w:r>
      <w:r>
        <w:t xml:space="preserve">In a finite component, let</w:t>
      </w:r>
      <w:r>
        <w:t xml:space="preserve"> </w:t>
      </w:r>
      <m:oMath>
        <m:sSub>
          <m:e>
            <m:r>
              <m:rPr>
                <m:sty m:val="p"/>
                <m:scr m:val="script"/>
              </m:rPr>
              <m:t>M</m:t>
            </m:r>
          </m:e>
          <m:sub>
            <m:r>
              <m:t>λ</m:t>
            </m:r>
          </m:sub>
        </m:sSub>
      </m:oMath>
      <w:r>
        <w:t xml:space="preserve"> </w:t>
      </w:r>
      <w:r>
        <w:t xml:space="preserve">be the scalarization’s minimizing set. Let</w:t>
      </w:r>
      <w:r>
        <w:t xml:space="preserve"> </w:t>
      </w:r>
      <m:oMath>
        <m:sSub>
          <m:e>
            <m:r>
              <m:rPr>
                <m:sty m:val="p"/>
                <m:scr m:val="script"/>
              </m:rPr>
              <m:t>N</m:t>
            </m:r>
          </m:e>
          <m:sub>
            <m:r>
              <m:t>λ</m:t>
            </m:r>
          </m:sub>
        </m:sSub>
      </m:oMath>
      <w:r>
        <w:t xml:space="preserve"> </w:t>
      </w:r>
      <w:r>
        <w:t xml:space="preserve">be the eligible nonminimizing set. If it is nonempty and its smallest positive gap is</w:t>
      </w:r>
      <w:r>
        <w:t xml:space="preserve"> </w:t>
      </w:r>
      <m:oMath>
        <m:sSub>
          <m:e>
            <m:r>
              <m:t>Δ</m:t>
            </m:r>
          </m:e>
          <m:sub>
            <m:r>
              <m:t>λ</m:t>
            </m:r>
          </m:sub>
        </m:sSub>
      </m:oMath>
      <w:r>
        <w:t xml:space="preserve">, then</w:t>
      </w:r>
    </w:p>
    <w:p>
      <w:pPr>
        <w:pStyle w:val="BodyText"/>
        <w:keepLines/>
        <w:spacing w:before="60" w:after="120"/>
        <w:jc w:val="center"/>
      </w:pPr>
      <m:oMathPara>
        <m:oMathParaPr>
          <m:jc m:val="center"/>
        </m:oMathParaPr>
        <m:oMath>
          <m:sSub>
            <m:e>
              <m:r>
                <m:t>π</m:t>
              </m:r>
            </m:e>
            <m:sub>
              <m:r>
                <m:t>λ</m:t>
              </m:r>
              <m:r>
                <m:rPr>
                  <m:sty m:val="p"/>
                </m:rPr>
                <m:t>,</m:t>
              </m:r>
              <m:r>
                <m:t>β</m:t>
              </m:r>
            </m:sub>
          </m:sSub>
          <m:d>
            <m:dPr>
              <m:begChr m:val="("/>
              <m:endChr m:val=")"/>
              <m:sepChr m:val=""/>
              <m:grow/>
            </m:dPr>
            <m:e>
              <m:sSub>
                <m:e>
                  <m:r>
                    <m:rPr>
                      <m:sty m:val="p"/>
                      <m:scr m:val="script"/>
                    </m:rPr>
                    <m:t>N</m:t>
                  </m:r>
                </m:e>
                <m:sub>
                  <m:r>
                    <m:t>λ</m:t>
                  </m:r>
                </m:sub>
              </m:sSub>
            </m:e>
          </m:d>
          <m:r>
            <m:rPr>
              <m:sty m:val="p"/>
            </m:rPr>
            <m:t>≤</m:t>
          </m:r>
          <m:f>
            <m:fPr>
              <m:type m:val="bar"/>
            </m:fPr>
            <m:num>
              <m:sSub>
                <m:e>
                  <m:r>
                    <m:t>π</m:t>
                  </m:r>
                </m:e>
                <m:sub>
                  <m:r>
                    <m:t>0</m:t>
                  </m:r>
                </m:sub>
              </m:sSub>
              <m:d>
                <m:dPr>
                  <m:begChr m:val="("/>
                  <m:endChr m:val=")"/>
                  <m:sepChr m:val=""/>
                  <m:grow/>
                </m:dPr>
                <m:e>
                  <m:sSub>
                    <m:e>
                      <m:r>
                        <m:rPr>
                          <m:sty m:val="p"/>
                          <m:scr m:val="script"/>
                        </m:rPr>
                        <m:t>N</m:t>
                      </m:r>
                    </m:e>
                    <m:sub>
                      <m:r>
                        <m:t>λ</m:t>
                      </m:r>
                    </m:sub>
                  </m:sSub>
                </m:e>
              </m:d>
            </m:num>
            <m:den>
              <m:sSub>
                <m:e>
                  <m:r>
                    <m:t>π</m:t>
                  </m:r>
                </m:e>
                <m:sub>
                  <m:r>
                    <m:t>0</m:t>
                  </m:r>
                </m:sub>
              </m:sSub>
              <m:d>
                <m:dPr>
                  <m:begChr m:val="("/>
                  <m:endChr m:val=")"/>
                  <m:sepChr m:val=""/>
                  <m:grow/>
                </m:dPr>
                <m:e>
                  <m:sSub>
                    <m:e>
                      <m:r>
                        <m:rPr>
                          <m:sty m:val="p"/>
                          <m:scr m:val="script"/>
                        </m:rPr>
                        <m:t>M</m:t>
                      </m:r>
                    </m:e>
                    <m:sub>
                      <m:r>
                        <m:t>λ</m:t>
                      </m:r>
                    </m:sub>
                  </m:sSub>
                </m:e>
              </m:d>
            </m:den>
          </m:f>
          <m:sSup>
            <m:e>
              <m:r>
                <m:t>e</m:t>
              </m:r>
            </m:e>
            <m:sup>
              <m:r>
                <m:rPr>
                  <m:sty m:val="p"/>
                </m:rPr>
                <m:t>−</m:t>
              </m:r>
              <m:r>
                <m:t>β</m:t>
              </m:r>
              <m:sSub>
                <m:e>
                  <m:r>
                    <m:t>Δ</m:t>
                  </m:r>
                </m:e>
                <m:sub>
                  <m:r>
                    <m:t>λ</m:t>
                  </m:r>
                </m:sub>
              </m:sSub>
            </m:sup>
          </m:sSup>
          <m:r>
            <m:rPr>
              <m:sty m:val="p"/>
            </m:rPr>
            <m:t>.</m:t>
          </m:r>
          <m:r>
            <m:rPr>
              <m:nor/>
            </m:rPr>
            <m:t xml:space="preserve">    </m:t>
          </m:r>
          <m:r>
            <m:rPr>
              <m:nor/>
              <m:sty m:val="p"/>
            </m:rPr>
            <m:t>(10)</m:t>
          </m:r>
        </m:oMath>
      </m:oMathPara>
    </w:p>
    <w:p>
      <w:pPr>
        <w:pStyle w:val="FirstParagraph"/>
      </w:pPr>
      <w:r>
        <w:rPr>
          <w:iCs/>
          <w:i/>
        </w:rPr>
        <w:t xml:space="preserve">Proof.</w:t>
      </w:r>
      <w:r>
        <w:t xml:space="preserve"> </w:t>
      </w:r>
      <w:r>
        <w:t xml:space="preserve">Bound every nonminimizer’s exponential by</w:t>
      </w:r>
      <w:r>
        <w:t xml:space="preserve"> </w:t>
      </w:r>
      <m:oMath>
        <m:sSup>
          <m:e>
            <m:r>
              <m:t>e</m:t>
            </m:r>
          </m:e>
          <m:sup>
            <m:r>
              <m:rPr>
                <m:sty m:val="p"/>
              </m:rPr>
              <m:t>−</m:t>
            </m:r>
            <m:r>
              <m:t>β</m:t>
            </m:r>
            <m:d>
              <m:dPr>
                <m:begChr m:val="("/>
                <m:endChr m:val=")"/>
                <m:sepChr m:val=""/>
                <m:grow/>
              </m:dPr>
              <m:e>
                <m:sSub>
                  <m:e>
                    <m:r>
                      <m:t>g</m:t>
                    </m:r>
                  </m:e>
                  <m:sub>
                    <m:r>
                      <m:rPr>
                        <m:sty m:val="p"/>
                      </m:rPr>
                      <m:t>min</m:t>
                    </m:r>
                  </m:sub>
                </m:sSub>
                <m:r>
                  <m:rPr>
                    <m:sty m:val="p"/>
                  </m:rPr>
                  <m:t>+</m:t>
                </m:r>
                <m:sSub>
                  <m:e>
                    <m:r>
                      <m:t>Δ</m:t>
                    </m:r>
                  </m:e>
                  <m:sub>
                    <m:r>
                      <m:t>λ</m:t>
                    </m:r>
                  </m:sub>
                </m:sSub>
              </m:e>
            </m:d>
          </m:sup>
        </m:sSup>
      </m:oMath>
      <w:r>
        <w:t xml:space="preserve"> </w:t>
      </w:r>
      <w:r>
        <w:t xml:space="preserve">and lower-bound the denominator by the minimizers’ prior mass times</w:t>
      </w:r>
      <w:r>
        <w:t xml:space="preserve"> </w:t>
      </w:r>
      <m:oMath>
        <m:sSup>
          <m:e>
            <m:r>
              <m:t>e</m:t>
            </m:r>
          </m:e>
          <m:sup>
            <m:r>
              <m:rPr>
                <m:sty m:val="p"/>
              </m:rPr>
              <m:t>−</m:t>
            </m:r>
            <m:r>
              <m:t>β</m:t>
            </m:r>
            <m:sSub>
              <m:e>
                <m:r>
                  <m:t>g</m:t>
                </m:r>
              </m:e>
              <m:sub>
                <m:r>
                  <m:rPr>
                    <m:sty m:val="p"/>
                  </m:rPr>
                  <m:t>min</m:t>
                </m:r>
              </m:sub>
            </m:sSub>
          </m:sup>
        </m:sSup>
      </m:oMath>
      <w:r>
        <w:t xml:space="preserve">. Their ratio gives (10). □</w:t>
      </w:r>
    </w:p>
    <w:p>
      <w:pPr>
        <w:pStyle w:val="BodyText"/>
      </w:pPr>
      <w:r>
        <w:t xml:space="preserve">At finite temperature, dominated but eligible candidates can have positive probability. The density is a search distribution, while the reported Pareto archive contains nondominated verified alternatives. Construction feasibility is never inferred from having high density.</w:t>
      </w:r>
    </w:p>
    <w:bookmarkEnd w:id="36"/>
    <w:bookmarkStart w:id="37" w:name="Xded247e1df164151a034c1da9f35d5214fe7ac1"/>
    <w:p>
      <w:pPr>
        <w:pStyle w:val="Heading2"/>
      </w:pPr>
      <w:r>
        <w:t xml:space="preserve">Applying the construction to engineering designs</w:t>
      </w:r>
    </w:p>
    <w:p>
      <w:pPr>
        <w:pStyle w:val="FirstParagraph"/>
      </w:pPr>
      <w:r>
        <w:t xml:space="preserve">For a project-specific discrete design set</w:t>
      </w:r>
      <w:r>
        <w:t xml:space="preserve"> </w:t>
      </w:r>
      <m:oMath>
        <m:sSub>
          <m:e>
            <m:r>
              <m:rPr>
                <m:sty m:val="p"/>
                <m:scr m:val="script"/>
              </m:rPr>
              <m:t>X</m:t>
            </m:r>
          </m:e>
          <m:sub>
            <m:r>
              <m:t>ξ</m:t>
            </m:r>
          </m:sub>
        </m:sSub>
      </m:oMath>
      <w:r>
        <w:t xml:space="preserve">, replace</w:t>
      </w:r>
      <w:r>
        <w:t xml:space="preserve"> </w:t>
      </w:r>
      <m:oMath>
        <m:r>
          <m:t>h</m:t>
        </m:r>
      </m:oMath>
      <w:r>
        <w:t xml:space="preserve"> </w:t>
      </w:r>
      <w:r>
        <w:t xml:space="preserve">by</w:t>
      </w:r>
      <w:r>
        <w:t xml:space="preserve"> </w:t>
      </w:r>
      <m:oMath>
        <m:r>
          <m:t>x</m:t>
        </m:r>
      </m:oMath>
      <w:r>
        <w:t xml:space="preserve">, use engineering objectives such as mass and cost, and restrict support to designs passing the stated physical checks. Continuous variables require a declared reference measure, support, and integrable normalizer. A repaired or rounded design is the design actually evaluated; a latent density cannot be reused as its physical probability without accounting for the decoder.</w:t>
      </w:r>
    </w:p>
    <w:p>
      <w:pPr>
        <w:pStyle w:val="BodyText"/>
      </w:pPr>
      <w:r>
        <w:t xml:space="preserve">A project manager may select a point from the verified frontier using explicit preferences or constraints. The density supports exploration and preserves alternatives; it does not choose the organization’s trade-off policy on its behalf. If no design meets the required checks, the correct output is an infeasibility or unresolved-evidence disposition, not a relaxed constraint hidden inside a reward.</w:t>
      </w:r>
    </w:p>
    <w:bookmarkEnd w:id="37"/>
    <w:bookmarkEnd w:id="38"/>
    <w:bookmarkStart w:id="42" w:name="Xfd27a08a8bc6a6093f1340d54035a6984b72f2e"/>
    <w:p>
      <w:pPr>
        <w:pStyle w:val="Heading1"/>
      </w:pPr>
      <w:r>
        <w:t xml:space="preserve">7 ADE as a proposal backbone for the harness</w:t>
      </w:r>
    </w:p>
    <w:bookmarkStart w:id="39" w:name="sequential-evaluated-memory"/>
    <w:p>
      <w:pPr>
        <w:pStyle w:val="Heading2"/>
      </w:pPr>
      <w:r>
        <w:t xml:space="preserve">Sequential evaluated memory</w:t>
      </w:r>
    </w:p>
    <w:p>
      <w:pPr>
        <w:pStyle w:val="FirstParagraph"/>
      </w:pPr>
      <w:r>
        <w:t xml:space="preserve">An ADE execution maintains an authoritative evaluation log</w:t>
      </w:r>
      <w:r>
        <w:t xml:space="preserve"> </w:t>
      </w:r>
      <m:oMath>
        <m:r>
          <m:rPr>
            <m:sty m:val="p"/>
            <m:scr m:val="script"/>
          </m:rPr>
          <m:t>L</m:t>
        </m:r>
      </m:oMath>
      <w:r>
        <w:t xml:space="preserve">, a bounded proposal archive</w:t>
      </w:r>
      <w:r>
        <w:t xml:space="preserve"> </w:t>
      </w:r>
      <m:oMath>
        <m:r>
          <m:rPr>
            <m:sty m:val="p"/>
            <m:scr m:val="script"/>
          </m:rPr>
          <m:t>A</m:t>
        </m:r>
      </m:oMath>
      <w:r>
        <w:t xml:space="preserve">, a verified reporting set</w:t>
      </w:r>
      <w:r>
        <w:t xml:space="preserve"> </w:t>
      </w:r>
      <m:oMath>
        <m:r>
          <m:rPr>
            <m:sty m:val="p"/>
            <m:scr m:val="script"/>
          </m:rPr>
          <m:t>R</m:t>
        </m:r>
      </m:oMath>
      <w:r>
        <w:t xml:space="preserve">, and a current task state. Each new evaluated candidate can influence later proposals immediately. The archive is a computational view of the log; it is not the complete evidence record. This sequential use of population memory is the autoregressive element of ADE [3]. Diffusion Evolution supplies the kernel-denoising motivation [4], and the finite posterior identity is a form of Gaussian empirical Bayes retrieval [8].</w:t>
      </w:r>
    </w:p>
    <w:p>
      <w:pPr>
        <w:pStyle w:val="BodyText"/>
      </w:pPr>
      <w:r>
        <w:t xml:space="preserve">A layer can retrieve a parent procedure, propose a tool argument or plan, or request another engineering evaluation. Expensive physical analysis need not occur at every software layer. Conversely, the presence of many objective responses does not require one harness layer per response. Evaluation placement follows the dependency and cost graph.</w:t>
      </w:r>
    </w:p>
    <w:p>
      <w:pPr>
        <w:pStyle w:val="BodyText"/>
        <w:keepNext/>
      </w:pPr>
      <w:r>
        <w:t xml:space="preserve">Let archive item</w:t>
      </w:r>
      <w:r>
        <w:t xml:space="preserve"> </w:t>
      </w:r>
      <m:oMath>
        <m:r>
          <m:t>i</m:t>
        </m:r>
      </m:oMath>
      <w:r>
        <w:t xml:space="preserve"> </w:t>
      </w:r>
      <w:r>
        <w:t xml:space="preserve">have a fixed key</w:t>
      </w:r>
      <w:r>
        <w:t xml:space="preserve"> </w:t>
      </w:r>
      <m:oMath>
        <m:sSub>
          <m:e>
            <m:r>
              <m:t>κ</m:t>
            </m:r>
          </m:e>
          <m:sub>
            <m:r>
              <m:t>i</m:t>
            </m:r>
          </m:sub>
        </m:sSub>
        <m:r>
          <m:rPr>
            <m:sty m:val="p"/>
          </m:rPr>
          <m:t>∈</m:t>
        </m:r>
        <m:sSup>
          <m:e>
            <m:r>
              <m:rPr>
                <m:sty m:val="p"/>
                <m:scr m:val="double-struck"/>
              </m:rPr>
              <m:t>R</m:t>
            </m:r>
          </m:e>
          <m:sup>
            <m:sSub>
              <m:e>
                <m:r>
                  <m:t>d</m:t>
                </m:r>
              </m:e>
              <m:sub>
                <m:r>
                  <m:t>z</m:t>
                </m:r>
              </m:sub>
            </m:sSub>
          </m:sup>
        </m:sSup>
      </m:oMath>
      <w:r>
        <w:t xml:space="preserve">, a program or configuration handle</w:t>
      </w:r>
      <w:r>
        <w:t xml:space="preserve"> </w:t>
      </w:r>
      <m:oMath>
        <m:sSub>
          <m:e>
            <m:r>
              <m:t>h</m:t>
            </m:r>
          </m:e>
          <m:sub>
            <m:r>
              <m:t>i</m:t>
            </m:r>
          </m:sub>
        </m:sSub>
      </m:oMath>
      <w:r>
        <w:t xml:space="preserve">, reference mass</w:t>
      </w:r>
      <w:r>
        <w:t xml:space="preserve"> </w:t>
      </w:r>
      <m:oMath>
        <m:sSub>
          <m:e>
            <m:r>
              <m:t>b</m:t>
            </m:r>
          </m:e>
          <m:sub>
            <m:r>
              <m:t>i</m:t>
            </m:r>
          </m:sub>
        </m:sSub>
      </m:oMath>
      <w:r>
        <w:t xml:space="preserve">, and current measured objective vector. For one preference, form normalized eligible archive weights</w:t>
      </w:r>
    </w:p>
    <w:p>
      <w:pPr>
        <w:pStyle w:val="BodyText"/>
        <w:keepLines/>
        <w:spacing w:before="60" w:after="120"/>
        <w:jc w:val="center"/>
      </w:pPr>
      <m:oMathPara>
        <m:oMathParaPr>
          <m:jc m:val="center"/>
        </m:oMathParaPr>
        <m:oMath>
          <m:sSub>
            <m:e>
              <m:r>
                <m:t>a</m:t>
              </m:r>
            </m:e>
            <m:sub>
              <m:r>
                <m:t>λ</m:t>
              </m:r>
              <m:r>
                <m:t>i</m:t>
              </m:r>
            </m:sub>
          </m:sSub>
          <m:r>
            <m:rPr>
              <m:sty m:val="p"/>
            </m:rPr>
            <m:t>=</m:t>
          </m:r>
          <m:f>
            <m:fPr>
              <m:type m:val="bar"/>
            </m:fPr>
            <m:num>
              <m:sSub>
                <m:e>
                  <m:r>
                    <m:t>b</m:t>
                  </m:r>
                </m:e>
                <m:sub>
                  <m:r>
                    <m:t>i</m:t>
                  </m:r>
                </m:sub>
              </m:sSub>
              <m:r>
                <m:rPr>
                  <m:sty m:val="p"/>
                </m:rPr>
                <m:t>exp</m:t>
              </m:r>
              <m:d>
                <m:dPr>
                  <m:begChr m:val="["/>
                  <m:endChr m:val="]"/>
                  <m:sepChr m:val=""/>
                  <m:grow/>
                </m:dPr>
                <m:e>
                  <m:r>
                    <m:rPr>
                      <m:sty m:val="p"/>
                    </m:rPr>
                    <m:t>−</m:t>
                  </m:r>
                  <m:r>
                    <m:t>β</m:t>
                  </m:r>
                  <m:sSub>
                    <m:e>
                      <m:r>
                        <m:t>g</m:t>
                      </m:r>
                    </m:e>
                    <m:sub>
                      <m:r>
                        <m:t>λ</m:t>
                      </m:r>
                    </m:sub>
                  </m:sSub>
                  <m:d>
                    <m:dPr>
                      <m:begChr m:val="("/>
                      <m:endChr m:val=")"/>
                      <m:sepChr m:val=""/>
                      <m:grow/>
                    </m:dPr>
                    <m:e>
                      <m:acc>
                        <m:accPr>
                          <m:chr m:val="̂"/>
                        </m:accPr>
                        <m:e>
                          <m:r>
                            <m:t>J</m:t>
                          </m:r>
                        </m:e>
                      </m:acc>
                      <m:d>
                        <m:dPr>
                          <m:begChr m:val="("/>
                          <m:endChr m:val=")"/>
                          <m:sepChr m:val=""/>
                          <m:grow/>
                        </m:dPr>
                        <m:e>
                          <m:sSub>
                            <m:e>
                              <m:r>
                                <m:t>h</m:t>
                              </m:r>
                            </m:e>
                            <m:sub>
                              <m:r>
                                <m:t>i</m:t>
                              </m:r>
                            </m:sub>
                          </m:sSub>
                        </m:e>
                      </m:d>
                    </m:e>
                  </m:d>
                </m:e>
              </m:d>
            </m:num>
            <m:den>
              <m:nary>
                <m:naryPr>
                  <m:chr m:val="∑"/>
                  <m:limLoc m:val="undOvr"/>
                  <m:subHide m:val="off"/>
                  <m:supHide m:val="on"/>
                </m:naryPr>
                <m:sub>
                  <m:r>
                    <m:t>u</m:t>
                  </m:r>
                  <m:r>
                    <m:rPr>
                      <m:sty m:val="p"/>
                    </m:rPr>
                    <m:t>∈</m:t>
                  </m:r>
                  <m:sSub>
                    <m:e>
                      <m:r>
                        <m:rPr>
                          <m:sty m:val="p"/>
                          <m:scr m:val="script"/>
                        </m:rPr>
                        <m:t>A</m:t>
                      </m:r>
                    </m:e>
                    <m:sub>
                      <m:r>
                        <m:rPr>
                          <m:nor/>
                          <m:sty m:val="p"/>
                        </m:rPr>
                        <m:t>eligible</m:t>
                      </m:r>
                    </m:sub>
                  </m:sSub>
                </m:sub>
                <m:sup>
                  <m:r>
                    <m:t>​</m:t>
                  </m:r>
                </m:sup>
                <m:e>
                  <m:sSub>
                    <m:e>
                      <m:r>
                        <m:t>b</m:t>
                      </m:r>
                    </m:e>
                    <m:sub>
                      <m:r>
                        <m:t>u</m:t>
                      </m:r>
                    </m:sub>
                  </m:sSub>
                </m:e>
              </m:nary>
              <m:r>
                <m:rPr>
                  <m:sty m:val="p"/>
                </m:rPr>
                <m:t>exp</m:t>
              </m:r>
              <m:d>
                <m:dPr>
                  <m:begChr m:val="["/>
                  <m:endChr m:val="]"/>
                  <m:sepChr m:val=""/>
                  <m:grow/>
                </m:dPr>
                <m:e>
                  <m:r>
                    <m:rPr>
                      <m:sty m:val="p"/>
                    </m:rPr>
                    <m:t>−</m:t>
                  </m:r>
                  <m:r>
                    <m:t>β</m:t>
                  </m:r>
                  <m:sSub>
                    <m:e>
                      <m:r>
                        <m:t>g</m:t>
                      </m:r>
                    </m:e>
                    <m:sub>
                      <m:r>
                        <m:t>λ</m:t>
                      </m:r>
                    </m:sub>
                  </m:sSub>
                  <m:d>
                    <m:dPr>
                      <m:begChr m:val="("/>
                      <m:endChr m:val=")"/>
                      <m:sepChr m:val=""/>
                      <m:grow/>
                    </m:dPr>
                    <m:e>
                      <m:acc>
                        <m:accPr>
                          <m:chr m:val="̂"/>
                        </m:accPr>
                        <m:e>
                          <m:r>
                            <m:t>J</m:t>
                          </m:r>
                        </m:e>
                      </m:acc>
                      <m:d>
                        <m:dPr>
                          <m:begChr m:val="("/>
                          <m:endChr m:val=")"/>
                          <m:sepChr m:val=""/>
                          <m:grow/>
                        </m:dPr>
                        <m:e>
                          <m:sSub>
                            <m:e>
                              <m:r>
                                <m:t>h</m:t>
                              </m:r>
                            </m:e>
                            <m:sub>
                              <m:r>
                                <m:t>u</m:t>
                              </m:r>
                            </m:sub>
                          </m:sSub>
                        </m:e>
                      </m:d>
                    </m:e>
                  </m:d>
                </m:e>
              </m:d>
            </m:den>
          </m:f>
          <m:r>
            <m:rPr>
              <m:sty m:val="p"/>
            </m:rPr>
            <m:t>.</m:t>
          </m:r>
          <m:r>
            <m:rPr>
              <m:nor/>
            </m:rPr>
            <m:t xml:space="preserve">    </m:t>
          </m:r>
          <m:r>
            <m:rPr>
              <m:nor/>
              <m:sty m:val="p"/>
            </m:rPr>
            <m:t>(11)</m:t>
          </m:r>
        </m:oMath>
      </m:oMathPara>
    </w:p>
    <w:p>
      <w:pPr>
        <w:pStyle w:val="FirstParagraph"/>
      </w:pPr>
      <w:r>
        <w:t xml:space="preserve">The notation</w:t>
      </w:r>
      <w:r>
        <w:t xml:space="preserve"> </w:t>
      </w:r>
      <m:oMath>
        <m:sSub>
          <m:e>
            <m:r>
              <m:t>g</m:t>
            </m:r>
          </m:e>
          <m:sub>
            <m:r>
              <m:t>λ</m:t>
            </m:r>
          </m:sub>
        </m:sSub>
        <m:d>
          <m:dPr>
            <m:begChr m:val="("/>
            <m:endChr m:val=")"/>
            <m:sepChr m:val=""/>
            <m:grow/>
          </m:dPr>
          <m:e>
            <m:acc>
              <m:accPr>
                <m:chr m:val="̂"/>
              </m:accPr>
              <m:e>
                <m:r>
                  <m:t>J</m:t>
                </m:r>
              </m:e>
            </m:acc>
            <m:d>
              <m:dPr>
                <m:begChr m:val="("/>
                <m:endChr m:val=")"/>
                <m:sepChr m:val=""/>
                <m:grow/>
              </m:dPr>
              <m:e>
                <m:sSub>
                  <m:e>
                    <m:r>
                      <m:t>h</m:t>
                    </m:r>
                  </m:e>
                  <m:sub>
                    <m:r>
                      <m:t>i</m:t>
                    </m:r>
                  </m:sub>
                </m:sSub>
              </m:e>
            </m:d>
          </m:e>
        </m:d>
      </m:oMath>
      <w:r>
        <w:t xml:space="preserve"> </w:t>
      </w:r>
      <w:r>
        <w:t xml:space="preserve">means applying the frozen scales and reference point to that estimated vector. Repeated visits to one identical configuration should not silently multiply its prior mass. Deduplicate or preserve an explicitly declared aggregate mass. Missing mandatory objective measurements are recorded as missing and cannot be used in complete Pareto comparisons.</w:t>
      </w:r>
    </w:p>
    <w:p>
      <w:pPr>
        <w:pStyle w:val="BodyText"/>
        <w:keepNext/>
      </w:pPr>
      <w:r>
        <w:t xml:space="preserve">At a query</w:t>
      </w:r>
      <w:r>
        <w:t xml:space="preserve"> </w:t>
      </w:r>
      <m:oMath>
        <m:r>
          <m:t>z</m:t>
        </m:r>
      </m:oMath>
      <w:r>
        <w:t xml:space="preserve"> </w:t>
      </w:r>
      <w:r>
        <w:t xml:space="preserve">and positive observation scale</w:t>
      </w:r>
      <w:r>
        <w:t xml:space="preserve"> </w:t>
      </w:r>
      <m:oMath>
        <m:r>
          <m:t>σ</m:t>
        </m:r>
      </m:oMath>
      <w:r>
        <w:t xml:space="preserve">, the denoiser reads</w:t>
      </w:r>
    </w:p>
    <w:p>
      <w:pPr>
        <w:pStyle w:val="BodyText"/>
        <w:keepLines/>
        <w:spacing w:before="60" w:after="120"/>
        <w:jc w:val="center"/>
      </w:pPr>
      <m:oMathPara>
        <m:oMathParaPr>
          <m:jc m:val="center"/>
        </m:oMathParaPr>
        <m:oMath>
          <m:m>
            <m:mPr>
              <m:baseJc m:val="center"/>
              <m:plcHide m:val="on"/>
              <m:mcs>
                <m:mc>
                  <m:mcPr>
                    <m:mcJc m:val="right"/>
                    <m:count m:val="1"/>
                  </m:mcPr>
                </m:mc>
                <m:mc>
                  <m:mcPr>
                    <m:mcJc m:val="left"/>
                    <m:count m:val="1"/>
                  </m:mcPr>
                </m:mc>
              </m:mcs>
            </m:mPr>
            <m:mr>
              <m:e>
                <m:sSub>
                  <m:e>
                    <m:r>
                      <m:t>r</m:t>
                    </m:r>
                  </m:e>
                  <m:sub>
                    <m:r>
                      <m:t>λ</m:t>
                    </m:r>
                    <m:r>
                      <m:t>i</m:t>
                    </m:r>
                  </m:sub>
                </m:sSub>
                <m:d>
                  <m:dPr>
                    <m:begChr m:val="("/>
                    <m:endChr m:val=")"/>
                    <m:sepChr m:val=""/>
                    <m:grow/>
                  </m:dPr>
                  <m:e>
                    <m:r>
                      <m:t>z</m:t>
                    </m:r>
                    <m:r>
                      <m:rPr>
                        <m:sty m:val="p"/>
                      </m:rPr>
                      <m:t>,</m:t>
                    </m:r>
                    <m:r>
                      <m:t>σ</m:t>
                    </m:r>
                  </m:e>
                </m:d>
              </m:e>
              <m:e>
                <m:r>
                  <m:rPr>
                    <m:sty m:val="p"/>
                  </m:rPr>
                  <m:t>=</m:t>
                </m:r>
                <m:sSub>
                  <m:e>
                    <m:r>
                      <m:rPr>
                        <m:sty m:val="p"/>
                      </m:rPr>
                      <m:t>softmax</m:t>
                    </m:r>
                  </m:e>
                  <m:sub>
                    <m:r>
                      <m:t>i</m:t>
                    </m:r>
                  </m:sub>
                </m:sSub>
                <m:d>
                  <m:dPr>
                    <m:begChr m:val="("/>
                    <m:endChr m:val=")"/>
                    <m:sepChr m:val=""/>
                    <m:grow/>
                  </m:dPr>
                  <m:e>
                    <m:r>
                      <m:rPr>
                        <m:sty m:val="p"/>
                      </m:rPr>
                      <m:t>log</m:t>
                    </m:r>
                    <m:sSub>
                      <m:e>
                        <m:r>
                          <m:t>a</m:t>
                        </m:r>
                      </m:e>
                      <m:sub>
                        <m:r>
                          <m:t>λ</m:t>
                        </m:r>
                        <m:r>
                          <m:t>i</m:t>
                        </m:r>
                      </m:sub>
                    </m:sSub>
                    <m:r>
                      <m:rPr>
                        <m:sty m:val="p"/>
                      </m:rPr>
                      <m:t>−</m:t>
                    </m:r>
                    <m:f>
                      <m:fPr>
                        <m:type m:val="bar"/>
                      </m:fPr>
                      <m:num>
                        <m:r>
                          <m:rPr>
                            <m:sty m:val="p"/>
                          </m:rPr>
                          <m:t>∥</m:t>
                        </m:r>
                        <m:r>
                          <m:t>z</m:t>
                        </m:r>
                        <m:r>
                          <m:rPr>
                            <m:sty m:val="p"/>
                          </m:rPr>
                          <m:t>−</m:t>
                        </m:r>
                        <m:sSub>
                          <m:e>
                            <m:r>
                              <m:t>κ</m:t>
                            </m:r>
                          </m:e>
                          <m:sub>
                            <m:r>
                              <m:t>i</m:t>
                            </m:r>
                          </m:sub>
                        </m:sSub>
                        <m:sSubSup>
                          <m:e>
                            <m:r>
                              <m:rPr>
                                <m:sty m:val="p"/>
                              </m:rPr>
                              <m:t>∥</m:t>
                            </m:r>
                          </m:e>
                          <m:sub>
                            <m:r>
                              <m:t>2</m:t>
                            </m:r>
                          </m:sub>
                          <m:sup>
                            <m:r>
                              <m:t>2</m:t>
                            </m:r>
                          </m:sup>
                        </m:sSubSup>
                      </m:num>
                      <m:den>
                        <m:r>
                          <m:t>2</m:t>
                        </m:r>
                        <m:sSup>
                          <m:e>
                            <m:r>
                              <m:t>σ</m:t>
                            </m:r>
                          </m:e>
                          <m:sup>
                            <m:r>
                              <m:t>2</m:t>
                            </m:r>
                          </m:sup>
                        </m:sSup>
                      </m:den>
                    </m:f>
                  </m:e>
                </m:d>
                <m:r>
                  <m:rPr>
                    <m:sty m:val="p"/>
                  </m:rPr>
                  <m:t>,</m:t>
                </m:r>
              </m:e>
            </m:mr>
            <m:mr>
              <m:e>
                <m:sSub>
                  <m:e>
                    <m:r>
                      <m:t>M</m:t>
                    </m:r>
                  </m:e>
                  <m:sub>
                    <m:r>
                      <m:t>λ</m:t>
                    </m:r>
                  </m:sub>
                </m:sSub>
                <m:d>
                  <m:dPr>
                    <m:begChr m:val="("/>
                    <m:endChr m:val=")"/>
                    <m:sepChr m:val=""/>
                    <m:grow/>
                  </m:dPr>
                  <m:e>
                    <m:r>
                      <m:t>z</m:t>
                    </m:r>
                    <m:r>
                      <m:rPr>
                        <m:sty m:val="p"/>
                      </m:rPr>
                      <m:t>,</m:t>
                    </m:r>
                    <m:r>
                      <m:t>σ</m:t>
                    </m:r>
                  </m:e>
                </m:d>
              </m:e>
              <m:e>
                <m:r>
                  <m:rPr>
                    <m:sty m:val="p"/>
                  </m:rPr>
                  <m:t>=</m:t>
                </m:r>
                <m:nary>
                  <m:naryPr>
                    <m:chr m:val="∑"/>
                    <m:limLoc m:val="undOvr"/>
                    <m:subHide m:val="off"/>
                    <m:supHide m:val="on"/>
                  </m:naryPr>
                  <m:sub>
                    <m:r>
                      <m:t>i</m:t>
                    </m:r>
                  </m:sub>
                  <m:sup>
                    <m:r>
                      <m:t>​</m:t>
                    </m:r>
                  </m:sup>
                  <m:e>
                    <m:sSub>
                      <m:e>
                        <m:r>
                          <m:t>r</m:t>
                        </m:r>
                      </m:e>
                      <m:sub>
                        <m:r>
                          <m:t>λ</m:t>
                        </m:r>
                        <m:r>
                          <m:t>i</m:t>
                        </m:r>
                      </m:sub>
                    </m:sSub>
                  </m:e>
                </m:nary>
                <m:d>
                  <m:dPr>
                    <m:begChr m:val="("/>
                    <m:endChr m:val=")"/>
                    <m:sepChr m:val=""/>
                    <m:grow/>
                  </m:dPr>
                  <m:e>
                    <m:r>
                      <m:t>z</m:t>
                    </m:r>
                    <m:r>
                      <m:rPr>
                        <m:sty m:val="p"/>
                      </m:rPr>
                      <m:t>,</m:t>
                    </m:r>
                    <m:r>
                      <m:t>σ</m:t>
                    </m:r>
                  </m:e>
                </m:d>
                <m:sSub>
                  <m:e>
                    <m:r>
                      <m:t>κ</m:t>
                    </m:r>
                  </m:e>
                  <m:sub>
                    <m:r>
                      <m:t>i</m:t>
                    </m:r>
                  </m:sub>
                </m:sSub>
                <m:r>
                  <m:rPr>
                    <m:sty m:val="p"/>
                  </m:rPr>
                  <m:t>.</m:t>
                </m:r>
              </m:e>
            </m:mr>
          </m:m>
          <m:r>
            <m:rPr>
              <m:nor/>
            </m:rPr>
            <m:t xml:space="preserve">    </m:t>
          </m:r>
          <m:r>
            <m:rPr>
              <m:nor/>
              <m:sty m:val="p"/>
            </m:rPr>
            <m:t>(12)</m:t>
          </m:r>
        </m:oMath>
      </m:oMathPara>
    </w:p>
    <w:p>
      <w:pPr>
        <w:pStyle w:val="FirstParagraph"/>
      </w:pPr>
      <w:r>
        <w:rPr>
          <w:bCs/>
          <w:b/>
        </w:rPr>
        <w:t xml:space="preserve">Proposition 5.</w:t>
      </w:r>
      <w:r>
        <w:t xml:space="preserve"> </w:t>
      </w:r>
      <w:r>
        <w:t xml:space="preserve">Equation (12) is the exact posterior key mean under the empirical prior</w:t>
      </w:r>
      <w:r>
        <w:t xml:space="preserve"> </w:t>
      </w:r>
      <m:oMath>
        <m:nary>
          <m:naryPr>
            <m:chr m:val="∑"/>
            <m:limLoc m:val="undOvr"/>
            <m:subHide m:val="off"/>
            <m:supHide m:val="on"/>
          </m:naryPr>
          <m:sub>
            <m:r>
              <m:t>i</m:t>
            </m:r>
          </m:sub>
          <m:sup>
            <m:r>
              <m:t>​</m:t>
            </m:r>
          </m:sup>
          <m:e>
            <m:sSub>
              <m:e>
                <m:r>
                  <m:t>a</m:t>
                </m:r>
              </m:e>
              <m:sub>
                <m:r>
                  <m:t>λ</m:t>
                </m:r>
                <m:r>
                  <m:t>i</m:t>
                </m:r>
              </m:sub>
            </m:sSub>
          </m:e>
        </m:nary>
        <m:sSub>
          <m:e>
            <m:r>
              <m:t>δ</m:t>
            </m:r>
          </m:e>
          <m:sub>
            <m:sSub>
              <m:e>
                <m:r>
                  <m:t>κ</m:t>
                </m:r>
              </m:e>
              <m:sub>
                <m:r>
                  <m:t>i</m:t>
                </m:r>
              </m:sub>
            </m:sSub>
          </m:sub>
        </m:sSub>
      </m:oMath>
      <w:r>
        <w:t xml:space="preserve"> </w:t>
      </w:r>
      <w:r>
        <w:t xml:space="preserve">and Gaussian key observation</w:t>
      </w:r>
      <w:r>
        <w:t xml:space="preserve"> </w:t>
      </w:r>
      <m:oMath>
        <m:r>
          <m:t>Z</m:t>
        </m:r>
        <m:r>
          <m:rPr>
            <m:sty m:val="p"/>
          </m:rPr>
          <m:t>=</m:t>
        </m:r>
        <m:sSub>
          <m:e>
            <m:r>
              <m:t>κ</m:t>
            </m:r>
          </m:e>
          <m:sub>
            <m:r>
              <m:t>I</m:t>
            </m:r>
          </m:sub>
        </m:sSub>
        <m:r>
          <m:rPr>
            <m:sty m:val="p"/>
          </m:rPr>
          <m:t>+</m:t>
        </m:r>
        <m:r>
          <m:t>σ</m:t>
        </m:r>
        <m:r>
          <m:t>ε</m:t>
        </m:r>
      </m:oMath>
      <w:r>
        <w:t xml:space="preserve">.</w:t>
      </w:r>
    </w:p>
    <w:p>
      <w:pPr>
        <w:pStyle w:val="BodyText"/>
      </w:pPr>
      <w:r>
        <w:rPr>
          <w:iCs/>
          <w:i/>
        </w:rPr>
        <w:t xml:space="preserve">Proof.</w:t>
      </w:r>
      <w:r>
        <w:t xml:space="preserve"> </w:t>
      </w:r>
      <w:r>
        <w:t xml:space="preserve">Bayes’ rule gives the displayed responsibilities as the posterior item probabilities. Their weighted key sum is the conditional mean. □</w:t>
      </w:r>
    </w:p>
    <w:p>
      <w:pPr>
        <w:pStyle w:val="BodyText"/>
      </w:pPr>
      <w:r>
        <w:t xml:space="preserve">This exactness concerns the constructed finite archive prior. An archive selected by a heuristic is not automatically an unbiased approximation of the global density in (7). The geometry of the chosen keys also does not establish semantic proximity of programs.</w:t>
      </w:r>
    </w:p>
    <w:p>
      <w:pPr>
        <w:pStyle w:val="BodyText"/>
        <w:keepNext/>
      </w:pPr>
      <w:r>
        <w:t xml:space="preserve">A deterministic denoising proposal can use</w:t>
      </w:r>
    </w:p>
    <w:p>
      <w:pPr>
        <w:pStyle w:val="BodyText"/>
        <w:keepLines/>
        <w:spacing w:before="60" w:after="120"/>
        <w:jc w:val="center"/>
      </w:pPr>
      <m:oMathPara>
        <m:oMathParaPr>
          <m:jc m:val="center"/>
        </m:oMathParaPr>
        <m:oMath>
          <m:r>
            <m:t>z</m:t>
          </m:r>
          <m:r>
            <m:rPr>
              <m:sty m:val="p"/>
            </m:rPr>
            <m:t>′</m:t>
          </m:r>
          <m:r>
            <m:rPr>
              <m:sty m:val="p"/>
            </m:rPr>
            <m:t>=</m:t>
          </m:r>
          <m:sSub>
            <m:e>
              <m:r>
                <m:t>M</m:t>
              </m:r>
            </m:e>
            <m:sub>
              <m:r>
                <m:t>λ</m:t>
              </m:r>
            </m:sub>
          </m:sSub>
          <m:d>
            <m:dPr>
              <m:begChr m:val="("/>
              <m:endChr m:val=")"/>
              <m:sepChr m:val=""/>
              <m:grow/>
            </m:dPr>
            <m:e>
              <m:r>
                <m:t>z</m:t>
              </m:r>
              <m:r>
                <m:rPr>
                  <m:sty m:val="p"/>
                </m:rPr>
                <m:t>,</m:t>
              </m:r>
              <m:r>
                <m:t>σ</m:t>
              </m:r>
            </m:e>
          </m:d>
          <m:r>
            <m:rPr>
              <m:sty m:val="p"/>
            </m:rPr>
            <m:t>+</m:t>
          </m:r>
          <m:f>
            <m:fPr>
              <m:type m:val="bar"/>
            </m:fPr>
            <m:num>
              <m:r>
                <m:t>σ</m:t>
              </m:r>
              <m:r>
                <m:rPr>
                  <m:sty m:val="p"/>
                </m:rPr>
                <m:t>′</m:t>
              </m:r>
            </m:num>
            <m:den>
              <m:r>
                <m:t>σ</m:t>
              </m:r>
            </m:den>
          </m:f>
          <m:d>
            <m:dPr>
              <m:begChr m:val="["/>
              <m:endChr m:val="]"/>
              <m:sepChr m:val=""/>
              <m:grow/>
            </m:dPr>
            <m:e>
              <m:r>
                <m:t>z</m:t>
              </m:r>
              <m:r>
                <m:rPr>
                  <m:sty m:val="p"/>
                </m:rPr>
                <m:t>−</m:t>
              </m:r>
              <m:sSub>
                <m:e>
                  <m:r>
                    <m:t>M</m:t>
                  </m:r>
                </m:e>
                <m:sub>
                  <m:r>
                    <m:t>λ</m:t>
                  </m:r>
                </m:sub>
              </m:sSub>
              <m:d>
                <m:dPr>
                  <m:begChr m:val="("/>
                  <m:endChr m:val=")"/>
                  <m:sepChr m:val=""/>
                  <m:grow/>
                </m:dPr>
                <m:e>
                  <m:r>
                    <m:t>z</m:t>
                  </m:r>
                  <m:r>
                    <m:rPr>
                      <m:sty m:val="p"/>
                    </m:rPr>
                    <m:t>,</m:t>
                  </m:r>
                  <m:r>
                    <m:t>σ</m:t>
                  </m:r>
                </m:e>
              </m:d>
            </m:e>
          </m:d>
          <m:r>
            <m:rPr>
              <m:sty m:val="p"/>
            </m:rPr>
            <m:t>,</m:t>
          </m:r>
          <m:r>
            <m:rPr>
              <m:nor/>
            </m:rPr>
            <m:t xml:space="preserve">    </m:t>
          </m:r>
          <m:r>
            <m:t>0</m:t>
          </m:r>
          <m:r>
            <m:rPr>
              <m:sty m:val="p"/>
            </m:rPr>
            <m:t>&lt;</m:t>
          </m:r>
          <m:r>
            <m:t>σ</m:t>
          </m:r>
          <m:r>
            <m:rPr>
              <m:sty m:val="p"/>
            </m:rPr>
            <m:t>′</m:t>
          </m:r>
          <m:r>
            <m:rPr>
              <m:sty m:val="p"/>
            </m:rPr>
            <m:t>&lt;</m:t>
          </m:r>
          <m:r>
            <m:t>σ</m:t>
          </m:r>
          <m:r>
            <m:rPr>
              <m:sty m:val="p"/>
            </m:rPr>
            <m:t>.</m:t>
          </m:r>
          <m:r>
            <m:rPr>
              <m:nor/>
            </m:rPr>
            <m:t xml:space="preserve">    </m:t>
          </m:r>
          <m:r>
            <m:rPr>
              <m:nor/>
              <m:sty m:val="p"/>
            </m:rPr>
            <m:t>(13)</m:t>
          </m:r>
        </m:oMath>
      </m:oMathPara>
    </w:p>
    <w:p>
      <w:pPr>
        <w:pStyle w:val="FirstParagraph"/>
      </w:pPr>
      <w:r>
        <w:t xml:space="preserve">Equation (13) is a finite proposal step, not an exact reverse sampler. Further noise or mutation may be added under a declared policy. If the archive changes between steps, the prior changes as well. Fixed-prior sampling claims then require separate justification.</w:t>
      </w:r>
    </w:p>
    <w:p>
      <w:pPr>
        <w:pStyle w:val="BodyText"/>
      </w:pPr>
      <w:r>
        <w:t xml:space="preserve">The kernel responsibilities can select a stored program handle or compatible patch. A frozen model or grammar-based mutator produces a concrete child from that handle and the current evidence. Source files, tool names, and workflows are not generated by numerically averaging their text. Numeric configuration fields can use continuous proposals only when their decoder preserves the intended field types and bounds. Every resulting artifact is compiled or validated and then evaluated in its realized form.</w:t>
      </w:r>
    </w:p>
    <w:p>
      <w:pPr>
        <w:pStyle w:val="BodyText"/>
      </w:pPr>
      <w:r>
        <w:t xml:space="preserve">For a mixture of preference priors, component posterior gates use their normalized noisy evidences. Equivalently, combine the normalized archive masses first,</w:t>
      </w:r>
      <w:r>
        <w:t xml:space="preserve"> </w:t>
      </w:r>
      <m:oMath>
        <m:sSubSup>
          <m:e>
            <m:r>
              <m:t>a</m:t>
            </m:r>
          </m:e>
          <m:sub>
            <m:r>
              <m:t>i</m:t>
            </m:r>
          </m:sub>
          <m:sup>
            <m:r>
              <m:rPr>
                <m:nor/>
                <m:sty m:val="p"/>
              </m:rPr>
              <m:t>mix</m:t>
            </m:r>
          </m:sup>
        </m:sSubSup>
        <m:r>
          <m:rPr>
            <m:sty m:val="p"/>
          </m:rPr>
          <m:t>=</m:t>
        </m:r>
        <m:nary>
          <m:naryPr>
            <m:chr m:val="∑"/>
            <m:limLoc m:val="undOvr"/>
            <m:subHide m:val="off"/>
            <m:supHide m:val="on"/>
          </m:naryPr>
          <m:sub>
            <m:r>
              <m:t>λ</m:t>
            </m:r>
          </m:sub>
          <m:sup>
            <m:r>
              <m:t>​</m:t>
            </m:r>
          </m:sup>
          <m:e>
            <m:sSub>
              <m:e>
                <m:r>
                  <m:t>ν</m:t>
                </m:r>
              </m:e>
              <m:sub>
                <m:r>
                  <m:t>λ</m:t>
                </m:r>
              </m:sub>
            </m:sSub>
          </m:e>
        </m:nary>
        <m:sSub>
          <m:e>
            <m:r>
              <m:t>a</m:t>
            </m:r>
          </m:e>
          <m:sub>
            <m:r>
              <m:t>λ</m:t>
            </m:r>
            <m:r>
              <m:t>i</m:t>
            </m:r>
          </m:sub>
        </m:sSub>
      </m:oMath>
      <w:r>
        <w:t xml:space="preserve">, and apply the same Gaussian kernel. This is an exact finite-mixture identity. Keeping separate preference-conditioned parent pools can be preferable when a single read would lose useful mode separation.</w:t>
      </w:r>
    </w:p>
    <w:bookmarkEnd w:id="39"/>
    <w:bookmarkStart w:id="40" w:name="where-the-fixed-model-enters"/>
    <w:p>
      <w:pPr>
        <w:pStyle w:val="Heading2"/>
      </w:pPr>
      <w:r>
        <w:t xml:space="preserve">Where the fixed model enters</w:t>
      </w:r>
    </w:p>
    <w:p>
      <w:pPr>
        <w:pStyle w:val="FirstParagraph"/>
      </w:pPr>
      <w:r>
        <w:t xml:space="preserve">The fixed model can generate hypotheses, propose edits, write tool arguments, interpret diagnostics, or create a candidate plan. ADE changes which candidates are retrieved, mutated, and evaluated. The effective agent policy can therefore change substantially while</w:t>
      </w:r>
      <w:r>
        <w:t xml:space="preserve"> </w:t>
      </w:r>
      <m:oMath>
        <m:r>
          <m:t>θ</m:t>
        </m:r>
      </m:oMath>
      <w:r>
        <w:t xml:space="preserve"> </w:t>
      </w:r>
      <w:r>
        <w:t xml:space="preserve">remains fixed. Harness parameters, prompt contents, external memory, and workflow code are still changing system state; avoiding backpropagation does not mean that nothing is learned or stored.</w:t>
      </w:r>
    </w:p>
    <w:p>
      <w:pPr>
        <w:pStyle w:val="BodyText"/>
      </w:pPr>
      <w:r>
        <w:t xml:space="preserve">An immediate implementation wraps an existing frozen GPT-like model with ADE selection. A more ambitious implementation uses ADE as the main search over the next typed action, with the frozen model as a proposal source. Both fit the formal interface. Neither construction establishes that ADE alone supplies a trained language model’s linguistic or general reasoning capabilities. A direct archive sampler, ordinary LLM proposals, and established evolutionary selection are required baselines for judging the extra denoising cost.</w:t>
      </w:r>
    </w:p>
    <w:bookmarkEnd w:id="40"/>
    <w:bookmarkStart w:id="41" w:name="X26276417f2dba6eac2ab95968bfe8fb5deb5cc8"/>
    <w:p>
      <w:pPr>
        <w:pStyle w:val="Heading2"/>
      </w:pPr>
      <w:r>
        <w:t xml:space="preserve">Exploration support and a finite coverage bound</w:t>
      </w:r>
    </w:p>
    <w:p>
      <w:pPr>
        <w:pStyle w:val="FirstParagraph"/>
        <w:keepNext/>
      </w:pPr>
      <w:r>
        <w:t xml:space="preserve">For a fixed finite grammar, mix any adaptive ADE proposal with a reference proposal:</w:t>
      </w:r>
    </w:p>
    <w:p>
      <w:pPr>
        <w:pStyle w:val="BodyText"/>
        <w:keepLines/>
        <w:spacing w:before="60" w:after="120"/>
        <w:jc w:val="center"/>
      </w:pPr>
      <m:oMathPara>
        <m:oMathParaPr>
          <m:jc m:val="center"/>
        </m:oMathParaPr>
        <m:oMath>
          <m:sSub>
            <m:e>
              <m:r>
                <m:t>P</m:t>
              </m:r>
            </m:e>
            <m:sub>
              <m:r>
                <m:t>i</m:t>
              </m:r>
            </m:sub>
          </m:sSub>
          <m:d>
            <m:dPr>
              <m:begChr m:val="("/>
              <m:endChr m:val=")"/>
              <m:sepChr m:val=""/>
              <m:grow/>
            </m:dPr>
            <m:e>
              <m:r>
                <m:t>h</m:t>
              </m:r>
              <m:r>
                <m:rPr>
                  <m:sty m:val="p"/>
                </m:rPr>
                <m:t>∣</m:t>
              </m:r>
              <m:sSub>
                <m:e>
                  <m:r>
                    <m:rPr>
                      <m:sty m:val="p"/>
                      <m:scr m:val="script"/>
                    </m:rPr>
                    <m:t>G</m:t>
                  </m:r>
                </m:e>
                <m:sub>
                  <m:r>
                    <m:t>i</m:t>
                  </m:r>
                  <m:r>
                    <m:rPr>
                      <m:sty m:val="p"/>
                    </m:rPr>
                    <m:t>−</m:t>
                  </m:r>
                  <m:r>
                    <m:t>1</m:t>
                  </m:r>
                </m:sub>
              </m:sSub>
            </m:e>
          </m:d>
          <m:r>
            <m:rPr>
              <m:sty m:val="p"/>
            </m:rPr>
            <m:t>=</m:t>
          </m:r>
          <m:r>
            <m:t>ε</m:t>
          </m:r>
          <m:sSub>
            <m:e>
              <m:r>
                <m:t>π</m:t>
              </m:r>
            </m:e>
            <m:sub>
              <m:r>
                <m:t>0</m:t>
              </m:r>
            </m:sub>
          </m:sSub>
          <m:d>
            <m:dPr>
              <m:begChr m:val="("/>
              <m:endChr m:val=")"/>
              <m:sepChr m:val=""/>
              <m:grow/>
            </m:dPr>
            <m:e>
              <m:r>
                <m:t>h</m:t>
              </m:r>
            </m:e>
          </m:d>
          <m:r>
            <m:rPr>
              <m:sty m:val="p"/>
            </m:rPr>
            <m:t>+</m:t>
          </m:r>
          <m:d>
            <m:dPr>
              <m:begChr m:val="("/>
              <m:endChr m:val=")"/>
              <m:sepChr m:val=""/>
              <m:grow/>
            </m:dPr>
            <m:e>
              <m:r>
                <m:t>1</m:t>
              </m:r>
              <m:r>
                <m:rPr>
                  <m:sty m:val="p"/>
                </m:rPr>
                <m:t>−</m:t>
              </m:r>
              <m:r>
                <m:t>ε</m:t>
              </m:r>
            </m:e>
          </m:d>
          <m:sSubSup>
            <m:e>
              <m:r>
                <m:t>Q</m:t>
              </m:r>
            </m:e>
            <m:sub>
              <m:r>
                <m:t>i</m:t>
              </m:r>
            </m:sub>
            <m:sup>
              <m:r>
                <m:rPr>
                  <m:nor/>
                  <m:sty m:val="p"/>
                </m:rPr>
                <m:t>ADE</m:t>
              </m:r>
            </m:sup>
          </m:sSubSup>
          <m:d>
            <m:dPr>
              <m:begChr m:val="("/>
              <m:endChr m:val=")"/>
              <m:sepChr m:val=""/>
              <m:grow/>
            </m:dPr>
            <m:e>
              <m:r>
                <m:t>h</m:t>
              </m:r>
              <m:r>
                <m:rPr>
                  <m:sty m:val="p"/>
                </m:rPr>
                <m:t>∣</m:t>
              </m:r>
              <m:sSub>
                <m:e>
                  <m:r>
                    <m:rPr>
                      <m:sty m:val="p"/>
                      <m:scr m:val="script"/>
                    </m:rPr>
                    <m:t>G</m:t>
                  </m:r>
                </m:e>
                <m:sub>
                  <m:r>
                    <m:t>i</m:t>
                  </m:r>
                  <m:r>
                    <m:rPr>
                      <m:sty m:val="p"/>
                    </m:rPr>
                    <m:t>−</m:t>
                  </m:r>
                  <m:r>
                    <m:t>1</m:t>
                  </m:r>
                </m:sub>
              </m:sSub>
            </m:e>
          </m:d>
          <m:r>
            <m:rPr>
              <m:sty m:val="p"/>
            </m:rPr>
            <m:t>,</m:t>
          </m:r>
          <m:r>
            <m:rPr>
              <m:nor/>
            </m:rPr>
            <m:t xml:space="preserve">    </m:t>
          </m:r>
          <m:r>
            <m:t>0</m:t>
          </m:r>
          <m:r>
            <m:rPr>
              <m:sty m:val="p"/>
            </m:rPr>
            <m:t>&lt;</m:t>
          </m:r>
          <m:r>
            <m:t>ε</m:t>
          </m:r>
          <m:r>
            <m:rPr>
              <m:sty m:val="p"/>
            </m:rPr>
            <m:t>≤</m:t>
          </m:r>
          <m:r>
            <m:t>1</m:t>
          </m:r>
          <m:r>
            <m:rPr>
              <m:sty m:val="p"/>
            </m:rPr>
            <m:t>.</m:t>
          </m:r>
          <m:r>
            <m:rPr>
              <m:nor/>
            </m:rPr>
            <m:t xml:space="preserve">    </m:t>
          </m:r>
          <m:r>
            <m:rPr>
              <m:nor/>
              <m:sty m:val="p"/>
            </m:rPr>
            <m:t>(14)</m:t>
          </m:r>
        </m:oMath>
      </m:oMathPara>
    </w:p>
    <w:p>
      <w:pPr>
        <w:pStyle w:val="FirstParagraph"/>
        <w:keepNext/>
      </w:pPr>
      <w:r>
        <w:rPr>
          <w:bCs/>
          <w:b/>
        </w:rPr>
        <w:t xml:space="preserve">Theorem 2.</w:t>
      </w:r>
      <w:r>
        <w:t xml:space="preserve"> </w:t>
      </w:r>
      <w:r>
        <w:t xml:space="preserve">For any fixed configuration</w:t>
      </w:r>
      <w:r>
        <w:t xml:space="preserve"> </w:t>
      </w:r>
      <m:oMath>
        <m:sSup>
          <m:e>
            <m:r>
              <m:t>h</m:t>
            </m:r>
          </m:e>
          <m:sup>
            <m:r>
              <m:rPr>
                <m:sty m:val="p"/>
              </m:rPr>
              <m:t>*</m:t>
            </m:r>
          </m:sup>
        </m:sSup>
      </m:oMath>
      <w:r>
        <w:t xml:space="preserve"> </w:t>
      </w:r>
      <w:r>
        <w:t xml:space="preserve">with</w:t>
      </w:r>
      <w:r>
        <w:t xml:space="preserve"> </w:t>
      </w:r>
      <m:oMath>
        <m:sSub>
          <m:e>
            <m:r>
              <m:t>π</m:t>
            </m:r>
          </m:e>
          <m:sub>
            <m:r>
              <m:t>0</m:t>
            </m:r>
          </m:sub>
        </m:sSub>
        <m:d>
          <m:dPr>
            <m:begChr m:val="("/>
            <m:endChr m:val=")"/>
            <m:sepChr m:val=""/>
            <m:grow/>
          </m:dPr>
          <m:e>
            <m:sSup>
              <m:e>
                <m:r>
                  <m:t>h</m:t>
                </m:r>
              </m:e>
              <m:sup>
                <m:r>
                  <m:rPr>
                    <m:sty m:val="p"/>
                  </m:rPr>
                  <m:t>*</m:t>
                </m:r>
              </m:sup>
            </m:sSup>
          </m:e>
        </m:d>
        <m:r>
          <m:rPr>
            <m:sty m:val="p"/>
          </m:rPr>
          <m:t>&gt;</m:t>
        </m:r>
        <m:r>
          <m:t>0</m:t>
        </m:r>
      </m:oMath>
      <w:r>
        <w:t xml:space="preserve">, the probability that it has never been proposed in the first</w:t>
      </w:r>
      <w:r>
        <w:t xml:space="preserve"> </w:t>
      </w:r>
      <m:oMath>
        <m:r>
          <m:t>n</m:t>
        </m:r>
      </m:oMath>
      <w:r>
        <w:t xml:space="preserve"> </w:t>
      </w:r>
      <w:r>
        <w:t xml:space="preserve">attempts is at most</w:t>
      </w:r>
    </w:p>
    <w:p>
      <w:pPr>
        <w:pStyle w:val="BodyText"/>
        <w:keepLines/>
        <w:spacing w:before="60" w:after="120"/>
        <w:jc w:val="center"/>
      </w:pPr>
      <m:oMathPara>
        <m:oMathParaPr>
          <m:jc m:val="center"/>
        </m:oMathParaPr>
        <m:oMath>
          <m:sSup>
            <m:e>
              <m:d>
                <m:dPr>
                  <m:begChr m:val="["/>
                  <m:endChr m:val="]"/>
                  <m:sepChr m:val=""/>
                  <m:grow/>
                </m:dPr>
                <m:e>
                  <m:r>
                    <m:t>1</m:t>
                  </m:r>
                  <m:r>
                    <m:rPr>
                      <m:sty m:val="p"/>
                    </m:rPr>
                    <m:t>−</m:t>
                  </m:r>
                  <m:r>
                    <m:t>ε</m:t>
                  </m:r>
                  <m:sSub>
                    <m:e>
                      <m:r>
                        <m:t>π</m:t>
                      </m:r>
                    </m:e>
                    <m:sub>
                      <m:r>
                        <m:t>0</m:t>
                      </m:r>
                    </m:sub>
                  </m:sSub>
                  <m:d>
                    <m:dPr>
                      <m:begChr m:val="("/>
                      <m:endChr m:val=")"/>
                      <m:sepChr m:val=""/>
                      <m:grow/>
                    </m:dPr>
                    <m:e>
                      <m:sSup>
                        <m:e>
                          <m:r>
                            <m:t>h</m:t>
                          </m:r>
                        </m:e>
                        <m:sup>
                          <m:r>
                            <m:rPr>
                              <m:sty m:val="p"/>
                            </m:rPr>
                            <m:t>*</m:t>
                          </m:r>
                        </m:sup>
                      </m:sSup>
                    </m:e>
                  </m:d>
                </m:e>
              </m:d>
            </m:e>
            <m:sup>
              <m:r>
                <m:t>n</m:t>
              </m:r>
            </m:sup>
          </m:sSup>
          <m:r>
            <m:rPr>
              <m:sty m:val="p"/>
            </m:rPr>
            <m:t>≤</m:t>
          </m:r>
          <m:sSup>
            <m:e>
              <m:r>
                <m:t>e</m:t>
              </m:r>
            </m:e>
            <m:sup>
              <m:r>
                <m:rPr>
                  <m:sty m:val="p"/>
                </m:rPr>
                <m:t>−</m:t>
              </m:r>
              <m:r>
                <m:t>n</m:t>
              </m:r>
              <m:r>
                <m:t>ε</m:t>
              </m:r>
              <m:sSub>
                <m:e>
                  <m:r>
                    <m:t>π</m:t>
                  </m:r>
                </m:e>
                <m:sub>
                  <m:r>
                    <m:t>0</m:t>
                  </m:r>
                </m:sub>
              </m:sSub>
              <m:d>
                <m:dPr>
                  <m:begChr m:val="("/>
                  <m:endChr m:val=")"/>
                  <m:sepChr m:val=""/>
                  <m:grow/>
                </m:dPr>
                <m:e>
                  <m:sSup>
                    <m:e>
                      <m:r>
                        <m:t>h</m:t>
                      </m:r>
                    </m:e>
                    <m:sup>
                      <m:r>
                        <m:rPr>
                          <m:sty m:val="p"/>
                        </m:rPr>
                        <m:t>*</m:t>
                      </m:r>
                    </m:sup>
                  </m:sSup>
                </m:e>
              </m:d>
            </m:sup>
          </m:sSup>
          <m:r>
            <m:rPr>
              <m:sty m:val="p"/>
            </m:rPr>
            <m:t>.</m:t>
          </m:r>
          <m:r>
            <m:rPr>
              <m:nor/>
            </m:rPr>
            <m:t xml:space="preserve">    </m:t>
          </m:r>
          <m:r>
            <m:rPr>
              <m:nor/>
              <m:sty m:val="p"/>
            </m:rPr>
            <m:t>(15)</m:t>
          </m:r>
        </m:oMath>
      </m:oMathPara>
    </w:p>
    <w:p>
      <w:pPr>
        <w:pStyle w:val="FirstParagraph"/>
      </w:pPr>
      <w:r>
        <w:rPr>
          <w:iCs/>
          <w:i/>
        </w:rPr>
        <w:t xml:space="preserve">Proof.</w:t>
      </w:r>
      <w:r>
        <w:t xml:space="preserve"> </w:t>
      </w:r>
      <w:r>
        <w:t xml:space="preserve">Conditional on any history in which</w:t>
      </w:r>
      <w:r>
        <w:t xml:space="preserve"> </w:t>
      </w:r>
      <m:oMath>
        <m:sSup>
          <m:e>
            <m:r>
              <m:t>h</m:t>
            </m:r>
          </m:e>
          <m:sup>
            <m:r>
              <m:rPr>
                <m:sty m:val="p"/>
              </m:rPr>
              <m:t>*</m:t>
            </m:r>
          </m:sup>
        </m:sSup>
      </m:oMath>
      <w:r>
        <w:t xml:space="preserve"> </w:t>
      </w:r>
      <w:r>
        <w:t xml:space="preserve">has not appeared, the probability of missing it on the next attempt is at most</w:t>
      </w:r>
      <w:r>
        <w:t xml:space="preserve"> </w:t>
      </w:r>
      <m:oMath>
        <m:r>
          <m:t>1</m:t>
        </m:r>
        <m:r>
          <m:rPr>
            <m:sty m:val="p"/>
          </m:rPr>
          <m:t>−</m:t>
        </m:r>
        <m:r>
          <m:t>ε</m:t>
        </m:r>
        <m:sSub>
          <m:e>
            <m:r>
              <m:t>π</m:t>
            </m:r>
          </m:e>
          <m:sub>
            <m:r>
              <m:t>0</m:t>
            </m:r>
          </m:sub>
        </m:sSub>
        <m:d>
          <m:dPr>
            <m:begChr m:val="("/>
            <m:endChr m:val=")"/>
            <m:sepChr m:val=""/>
            <m:grow/>
          </m:dPr>
          <m:e>
            <m:sSup>
              <m:e>
                <m:r>
                  <m:t>h</m:t>
                </m:r>
              </m:e>
              <m:sup>
                <m:r>
                  <m:rPr>
                    <m:sty m:val="p"/>
                  </m:rPr>
                  <m:t>*</m:t>
                </m:r>
              </m:sup>
            </m:sSup>
          </m:e>
        </m:d>
      </m:oMath>
      <w:r>
        <w:t xml:space="preserve">. Iterate conditional expectation over those histories and apply</w:t>
      </w:r>
      <w:r>
        <w:t xml:space="preserve"> </w:t>
      </w:r>
      <m:oMath>
        <m:r>
          <m:t>1</m:t>
        </m:r>
        <m:r>
          <m:rPr>
            <m:sty m:val="p"/>
          </m:rPr>
          <m:t>−</m:t>
        </m:r>
        <m:r>
          <m:t>u</m:t>
        </m:r>
        <m:r>
          <m:rPr>
            <m:sty m:val="p"/>
          </m:rPr>
          <m:t>≤</m:t>
        </m:r>
        <m:sSup>
          <m:e>
            <m:r>
              <m:t>e</m:t>
            </m:r>
          </m:e>
          <m:sup>
            <m:r>
              <m:rPr>
                <m:sty m:val="p"/>
              </m:rPr>
              <m:t>−</m:t>
            </m:r>
            <m:r>
              <m:t>u</m:t>
            </m:r>
          </m:sup>
        </m:sSup>
      </m:oMath>
      <w:r>
        <w:t xml:space="preserve">. Independence between adaptive proposals is unnecessary. □</w:t>
      </w:r>
    </w:p>
    <w:p>
      <w:pPr>
        <w:pStyle w:val="BodyText"/>
      </w:pPr>
      <w:r>
        <w:t xml:space="preserve">A union bound sums the exponential terms over a fixed finite target set, including a known finite Pareto set. This gives a coverage condition, not a favorable practical rate or an ADE-specific speed-up. For general generated code, neither the candidate universe nor its full proposal mass may be tractable. The framework can still operate as heuristic optimization, while the finite coverage and any importance-correction claims are withheld unless their sampling contracts are implemented.</w:t>
      </w:r>
    </w:p>
    <w:p>
      <w:pPr>
        <w:pStyle w:val="BodyText"/>
      </w:pPr>
      <w:r>
        <w:rPr>
          <w:bCs/>
          <w:b/>
        </w:rPr>
        <w:t xml:space="preserve">Algorithm 1. Sequential ADE construction execution</w:t>
      </w:r>
    </w:p>
    <w:p>
      <w:pPr>
        <w:ind w:left="230" w:hanging="230"/>
      </w:pPr>
      <w:r>
        <w:t xml:space="preserve">1. </w:t>
      </w:r>
      <w:r>
        <w:t xml:space="preserve">Freeze the accepted harness, model identifier, task requirements, reference scales, and initial source versions. Initialize a sandbox, evidence log, budgets, and verified baseline if available.</w:t>
      </w:r>
    </w:p>
    <w:p>
      <w:pPr>
        <w:ind w:left="230" w:hanging="230"/>
      </w:pPr>
      <w:r>
        <w:t xml:space="preserve">2. </w:t>
      </w:r>
      <w:r>
        <w:t xml:space="preserve">Construct the current context from applicable sources, memory, and workspace references. Select a declared objective preference for the relevant search level.</w:t>
      </w:r>
    </w:p>
    <w:p>
      <w:pPr>
        <w:ind w:left="230" w:hanging="230"/>
      </w:pPr>
      <w:r>
        <w:t xml:space="preserve">3. </w:t>
      </w:r>
      <w:r>
        <w:t xml:space="preserve">Use ADE memory and the fixed model to propose a typed action or candidate artifact. Check syntax, input types, authority, and resource scope before execution.</w:t>
      </w:r>
    </w:p>
    <w:p>
      <w:pPr>
        <w:ind w:left="230" w:hanging="230"/>
      </w:pPr>
      <w:r>
        <w:t xml:space="preserve">4. </w:t>
      </w:r>
      <w:r>
        <w:t xml:space="preserve">Execute the authorized operation in the runtime. Capture actual outputs and diagnostics. Attach all measurements to the realized candidate and its dependency versions.</w:t>
      </w:r>
    </w:p>
    <w:p>
      <w:pPr>
        <w:ind w:left="230" w:hanging="230"/>
      </w:pPr>
      <w:r>
        <w:t xml:space="preserve">5. </w:t>
      </w:r>
      <w:r>
        <w:t xml:space="preserve">Evaluate current objectives and mandatory checks. Append the record to the log. Update proposal archives and the verified reporting set using their separate rules.</w:t>
      </w:r>
    </w:p>
    <w:p>
      <w:pPr>
        <w:ind w:left="230" w:hanging="230"/>
      </w:pPr>
      <w:r>
        <w:t xml:space="preserve">6. </w:t>
      </w:r>
      <w:r>
        <w:t xml:space="preserve">Continue with the updated state, revise a plan, or stop. Release an artifact only through the independent gate in Section 8.</w:t>
      </w:r>
    </w:p>
    <w:p>
      <w:pPr>
        <w:ind w:left="230" w:hanging="230"/>
      </w:pPr>
      <w:r>
        <w:t xml:space="preserve">7. </w:t>
      </w:r>
      <w:r>
        <w:t xml:space="preserve">Between tasks, propose persistent harness revisions from execution feedback. Qualify and validate the complete revised composition before admitting a new harness version.</w:t>
      </w:r>
    </w:p>
    <w:bookmarkEnd w:id="41"/>
    <w:bookmarkEnd w:id="42"/>
    <w:bookmarkStart w:id="45" w:name="X679d6aa9ab1ea23d3b0b57e8280f2348500027a"/>
    <w:p>
      <w:pPr>
        <w:pStyle w:val="Heading1"/>
      </w:pPr>
      <w:r>
        <w:t xml:space="preserve">8 Verification and admission are separate decisions</w:t>
      </w:r>
    </w:p>
    <w:bookmarkStart w:id="43" w:name="artifact-bound-release"/>
    <w:p>
      <w:pPr>
        <w:pStyle w:val="Heading2"/>
      </w:pPr>
      <w:r>
        <w:t xml:space="preserve">Artifact bound release</w:t>
      </w:r>
    </w:p>
    <w:p>
      <w:pPr>
        <w:pStyle w:val="FirstParagraph"/>
        <w:keepNext/>
      </w:pPr>
      <w:r>
        <w:t xml:space="preserve">An engineering release concerns a particular artifact under particular inputs. Let</w:t>
      </w:r>
      <w:r>
        <w:t xml:space="preserve"> </w:t>
      </w:r>
      <m:oMath>
        <m:r>
          <m:t>d</m:t>
        </m:r>
      </m:oMath>
      <w:r>
        <w:t xml:space="preserve"> </w:t>
      </w:r>
      <w:r>
        <w:t xml:space="preserve">be its content digest,</w:t>
      </w:r>
      <w:r>
        <w:t xml:space="preserve"> </w:t>
      </w:r>
      <m:oMath>
        <m:r>
          <m:t>b</m:t>
        </m:r>
      </m:oMath>
      <w:r>
        <w:t xml:space="preserve"> </w:t>
      </w:r>
      <w:r>
        <w:t xml:space="preserve">the requirement-bundle digest, and</w:t>
      </w:r>
      <w:r>
        <w:t xml:space="preserve"> </w:t>
      </w:r>
      <m:oMath>
        <m:r>
          <m:t>v</m:t>
        </m:r>
      </m:oMath>
      <w:r>
        <w:t xml:space="preserve"> </w:t>
      </w:r>
      <w:r>
        <w:t xml:space="preserve">the relevant software and knowledge-version manifest. Trusted validators issue results for this triple. Define</w:t>
      </w:r>
    </w:p>
    <w:p>
      <w:pPr>
        <w:pStyle w:val="BodyText"/>
        <w:keepLines/>
        <w:spacing w:before="60" w:after="120"/>
        <w:jc w:val="center"/>
      </w:pPr>
      <m:oMathPara>
        <m:oMathParaPr>
          <m:jc m:val="center"/>
        </m:oMathParaPr>
        <m:oMath>
          <m:r>
            <m:rPr>
              <m:sty m:val="p"/>
            </m:rPr>
            <m:t>Release</m:t>
          </m:r>
          <m:d>
            <m:dPr>
              <m:begChr m:val="("/>
              <m:endChr m:val=")"/>
              <m:sepChr m:val=""/>
              <m:grow/>
            </m:dPr>
            <m:e>
              <m:r>
                <m:t>d</m:t>
              </m:r>
              <m:r>
                <m:rPr>
                  <m:sty m:val="p"/>
                </m:rPr>
                <m:t>,</m:t>
              </m:r>
              <m:r>
                <m:t>b</m:t>
              </m:r>
              <m:r>
                <m:rPr>
                  <m:sty m:val="p"/>
                </m:rPr>
                <m:t>,</m:t>
              </m:r>
              <m:r>
                <m:t>v</m:t>
              </m:r>
            </m:e>
          </m:d>
          <m:r>
            <m:rPr>
              <m:sty m:val="p"/>
            </m:rPr>
            <m:t>=</m:t>
          </m:r>
          <m:r>
            <m:rPr>
              <m:sty m:val="p"/>
            </m:rPr>
            <m:t>Auth</m:t>
          </m:r>
          <m:d>
            <m:dPr>
              <m:begChr m:val="("/>
              <m:endChr m:val=")"/>
              <m:sepChr m:val=""/>
              <m:grow/>
            </m:dPr>
            <m:e>
              <m:r>
                <m:t>d</m:t>
              </m:r>
              <m:r>
                <m:rPr>
                  <m:sty m:val="p"/>
                </m:rPr>
                <m:t>,</m:t>
              </m:r>
              <m:r>
                <m:t>b</m:t>
              </m:r>
              <m:r>
                <m:rPr>
                  <m:sty m:val="p"/>
                </m:rPr>
                <m:t>,</m:t>
              </m:r>
              <m:r>
                <m:t>v</m:t>
              </m:r>
            </m:e>
          </m:d>
          <m:r>
            <m:rPr>
              <m:sty m:val="p"/>
            </m:rPr>
            <m:t>∧</m:t>
          </m:r>
          <m:r>
            <m:rPr>
              <m:sty m:val="p"/>
            </m:rPr>
            <m:t>Cur</m:t>
          </m:r>
          <m:d>
            <m:dPr>
              <m:begChr m:val="("/>
              <m:endChr m:val=")"/>
              <m:sepChr m:val=""/>
              <m:grow/>
            </m:dPr>
            <m:e>
              <m:r>
                <m:t>b</m:t>
              </m:r>
              <m:r>
                <m:rPr>
                  <m:sty m:val="p"/>
                </m:rPr>
                <m:t>,</m:t>
              </m:r>
              <m:r>
                <m:t>v</m:t>
              </m:r>
            </m:e>
          </m:d>
          <m:r>
            <m:rPr>
              <m:sty m:val="p"/>
            </m:rPr>
            <m:t>∧</m:t>
          </m:r>
          <m:limLow>
            <m:e>
              <m:r>
                <m:rPr>
                  <m:sty m:val="p"/>
                </m:rPr>
                <m:t>⋀</m:t>
              </m:r>
            </m:e>
            <m:lim>
              <m:r>
                <m:t>c</m:t>
              </m:r>
              <m:r>
                <m:rPr>
                  <m:sty m:val="p"/>
                </m:rPr>
                <m:t>∈</m:t>
              </m:r>
              <m:sSub>
                <m:e>
                  <m:r>
                    <m:rPr>
                      <m:sty m:val="p"/>
                      <m:scr m:val="script"/>
                    </m:rPr>
                    <m:t>C</m:t>
                  </m:r>
                </m:e>
                <m:sub>
                  <m:r>
                    <m:rPr>
                      <m:nor/>
                      <m:sty m:val="p"/>
                    </m:rPr>
                    <m:t>required</m:t>
                  </m:r>
                </m:sub>
              </m:sSub>
            </m:lim>
          </m:limLow>
          <m:sSub>
            <m:e>
              <m:r>
                <m:rPr>
                  <m:sty m:val="p"/>
                </m:rPr>
                <m:t>Pass</m:t>
              </m:r>
            </m:e>
            <m:sub>
              <m:r>
                <m:t>c</m:t>
              </m:r>
            </m:sub>
          </m:sSub>
          <m:d>
            <m:dPr>
              <m:begChr m:val="("/>
              <m:endChr m:val=")"/>
              <m:sepChr m:val=""/>
              <m:grow/>
            </m:dPr>
            <m:e>
              <m:r>
                <m:t>d</m:t>
              </m:r>
              <m:r>
                <m:rPr>
                  <m:sty m:val="p"/>
                </m:rPr>
                <m:t>,</m:t>
              </m:r>
              <m:r>
                <m:t>b</m:t>
              </m:r>
              <m:r>
                <m:rPr>
                  <m:sty m:val="p"/>
                </m:rPr>
                <m:t>,</m:t>
              </m:r>
              <m:r>
                <m:t>v</m:t>
              </m:r>
            </m:e>
          </m:d>
          <m:r>
            <m:rPr>
              <m:sty m:val="p"/>
            </m:rPr>
            <m:t>.</m:t>
          </m:r>
          <m:r>
            <m:rPr>
              <m:nor/>
            </m:rPr>
            <m:t xml:space="preserve">    </m:t>
          </m:r>
          <m:r>
            <m:rPr>
              <m:nor/>
              <m:sty m:val="p"/>
            </m:rPr>
            <m:t>(16)</m:t>
          </m:r>
        </m:oMath>
      </m:oMathPara>
    </w:p>
    <w:p>
      <w:pPr>
        <w:pStyle w:val="FirstParagraph"/>
      </w:pPr>
      <w:r>
        <w:t xml:space="preserve">Here Auth denotes authorization and Cur denotes current dependencies. Where project policy requires a reviewer, the authorization predicate includes an authentic reviewer decision for this release. Unknown or missing mandatory evidence is not a pass. The gate verifies the artifact actually being published and the dependency snapshot being used, ideally within the same transaction as the release. A check on an earlier branch cannot authorize a later edited file.</w:t>
      </w:r>
    </w:p>
    <w:p>
      <w:pPr>
        <w:pStyle w:val="BodyText"/>
      </w:pPr>
      <w:r>
        <w:rPr>
          <w:bCs/>
          <w:b/>
        </w:rPr>
        <w:t xml:space="preserve">Theorem 3.</w:t>
      </w:r>
      <w:r>
        <w:t xml:space="preserve"> </w:t>
      </w:r>
      <w:r>
        <w:t xml:space="preserve">Suppose required validators are authentic and sound for their declared properties, the manifest completely identifies the relevant current inputs, and release binds the checked digests atomically to the published artifact. Then every artifact released by (16) satisfies the conjunction of those declared properties for that input snapshot.</w:t>
      </w:r>
    </w:p>
    <w:p>
      <w:pPr>
        <w:pStyle w:val="BodyText"/>
      </w:pPr>
      <w:r>
        <w:rPr>
          <w:iCs/>
          <w:i/>
        </w:rPr>
        <w:t xml:space="preserve">Proof.</w:t>
      </w:r>
      <w:r>
        <w:t xml:space="preserve"> </w:t>
      </w:r>
      <w:r>
        <w:t xml:space="preserve">A true release predicate requires every specified check to pass on the published digest and its current manifest. Authenticity prevents candidate-forged pass records. Soundness gives each declared property. Their conjunction follows. Atomic binding prevents substitution after checking. □</w:t>
      </w:r>
    </w:p>
    <w:p>
      <w:pPr>
        <w:pStyle w:val="BodyText"/>
      </w:pPr>
      <w:r>
        <w:t xml:space="preserve">The soundness assumption is the engineering burden. A solver-model check can establish a result within a declared model without proving that the real structure meets every unmodeled condition. The theorem provides an enforceable contract for validated outputs, rather than universal physical safety. Source completeness, model adequacy, uncertainty, and appropriate professional review require additional evidence.</w:t>
      </w:r>
    </w:p>
    <w:p>
      <w:pPr>
        <w:pStyle w:val="BodyText"/>
      </w:pPr>
      <w:r>
        <w:t xml:space="preserve">The release service, assessment code, protected test definitions, privileges, and acceptance policy belong outside the editable harness candidate. Internal critics and draft checks can evolve. Their reports remain provisional until independently accepted. Read and staging permissions can differ from write, publication, procurement, or site-control authority. Restoring a software branch after an error does not undo a physical action, so authorization also precedes such actions.</w:t>
      </w:r>
    </w:p>
    <w:bookmarkEnd w:id="43"/>
    <w:bookmarkStart w:id="44" w:name="statistical-admission-of-a-new-harness"/>
    <w:p>
      <w:pPr>
        <w:pStyle w:val="Heading2"/>
      </w:pPr>
      <w:r>
        <w:t xml:space="preserve">Statistical admission of a new harness</w:t>
      </w:r>
    </w:p>
    <w:p>
      <w:pPr>
        <w:pStyle w:val="FirstParagraph"/>
      </w:pPr>
      <w:r>
        <w:t xml:space="preserve">Admitting</w:t>
      </w:r>
      <w:r>
        <w:t xml:space="preserve"> </w:t>
      </w:r>
      <m:oMath>
        <m:r>
          <m:t>h</m:t>
        </m:r>
        <m:r>
          <m:rPr>
            <m:sty m:val="p"/>
          </m:rPr>
          <m:t>′</m:t>
        </m:r>
      </m:oMath>
      <w:r>
        <w:t xml:space="preserve"> </w:t>
      </w:r>
      <w:r>
        <w:t xml:space="preserve">as the next persistent harness is different from releasing one design. Fix at most</w:t>
      </w:r>
      <w:r>
        <w:t xml:space="preserve"> </w:t>
      </w:r>
      <m:oMath>
        <m:r>
          <m:t>M</m:t>
        </m:r>
      </m:oMath>
      <w:r>
        <w:t xml:space="preserve"> </w:t>
      </w:r>
      <w:r>
        <w:t xml:space="preserve">candidate revisions after examining search feedback, then obtain fresh independent project clusters. For objective</w:t>
      </w:r>
      <w:r>
        <w:t xml:space="preserve"> </w:t>
      </w:r>
      <m:oMath>
        <m:r>
          <m:t>j</m:t>
        </m:r>
      </m:oMath>
      <w:r>
        <w:t xml:space="preserve"> </w:t>
      </w:r>
      <w:r>
        <w:t xml:space="preserve">and project group</w:t>
      </w:r>
      <w:r>
        <w:t xml:space="preserve"> </w:t>
      </w:r>
      <m:oMath>
        <m:r>
          <m:t>g</m:t>
        </m:r>
      </m:oMath>
      <w:r>
        <w:t xml:space="preserve">, paired candidate-minus-incumbent losses</w:t>
      </w:r>
      <w:r>
        <w:t xml:space="preserve"> </w:t>
      </w:r>
      <m:oMath>
        <m:sSub>
          <m:e>
            <m:r>
              <m:t>D</m:t>
            </m:r>
          </m:e>
          <m:sub>
            <m:r>
              <m:t>i</m:t>
            </m:r>
            <m:r>
              <m:t>j</m:t>
            </m:r>
            <m:r>
              <m:t>g</m:t>
            </m:r>
          </m:sub>
        </m:sSub>
      </m:oMath>
      <w:r>
        <w:t xml:space="preserve"> </w:t>
      </w:r>
      <w:r>
        <w:t xml:space="preserve">lie in</w:t>
      </w:r>
      <w:r>
        <w:t xml:space="preserve"> </w:t>
      </w:r>
      <m:oMath>
        <m:d>
          <m:dPr>
            <m:begChr m:val="["/>
            <m:endChr m:val="]"/>
            <m:sepChr m:val=""/>
            <m:grow/>
          </m:dPr>
          <m:e>
            <m:r>
              <m:rPr>
                <m:sty m:val="p"/>
              </m:rPr>
              <m:t>−</m:t>
            </m:r>
            <m:r>
              <m:t>1</m:t>
            </m:r>
            <m:r>
              <m:rPr>
                <m:sty m:val="p"/>
              </m:rPr>
              <m:t>,</m:t>
            </m:r>
            <m:r>
              <m:t>1</m:t>
            </m:r>
          </m:e>
        </m:d>
      </m:oMath>
      <w:r>
        <w:t xml:space="preserve">. Candidate construction must not use this admission sample. Let</w:t>
      </w:r>
      <w:r>
        <w:t xml:space="preserve"> </w:t>
      </w:r>
      <m:oMath>
        <m:sSub>
          <m:e>
            <m:r>
              <m:t>n</m:t>
            </m:r>
          </m:e>
          <m:sub>
            <m:r>
              <m:t>g</m:t>
            </m:r>
          </m:sub>
        </m:sSub>
      </m:oMath>
      <w:r>
        <w:t xml:space="preserve"> </w:t>
      </w:r>
      <w:r>
        <w:t xml:space="preserve">be the independent cluster count and</w:t>
      </w:r>
      <w:r>
        <w:t xml:space="preserve"> </w:t>
      </w:r>
      <m:oMath>
        <m:sSub>
          <m:e>
            <m:acc>
              <m:accPr>
                <m:chr m:val="̂"/>
              </m:accPr>
              <m:e>
                <m:r>
                  <m:t>Δ</m:t>
                </m:r>
              </m:e>
            </m:acc>
          </m:e>
          <m:sub>
            <m:r>
              <m:t>j</m:t>
            </m:r>
            <m:r>
              <m:t>g</m:t>
            </m:r>
          </m:sub>
        </m:sSub>
        <m:d>
          <m:dPr>
            <m:begChr m:val="("/>
            <m:endChr m:val=")"/>
            <m:sepChr m:val=""/>
            <m:grow/>
          </m:dPr>
          <m:e>
            <m:r>
              <m:t>h</m:t>
            </m:r>
            <m:r>
              <m:rPr>
                <m:sty m:val="p"/>
              </m:rPr>
              <m:t>′</m:t>
            </m:r>
          </m:e>
        </m:d>
      </m:oMath>
      <w:r>
        <w:t xml:space="preserve"> </w:t>
      </w:r>
      <w:r>
        <w:t xml:space="preserve">the mean paired difference.</w:t>
      </w:r>
    </w:p>
    <w:p>
      <w:pPr>
        <w:pStyle w:val="BodyText"/>
        <w:keepNext/>
      </w:pPr>
      <w:r>
        <w:rPr>
          <w:bCs/>
          <w:b/>
        </w:rPr>
        <w:t xml:space="preserve">Theorem 4.</w:t>
      </w:r>
      <w:r>
        <w:t xml:space="preserve"> </w:t>
      </w:r>
      <w:r>
        <w:t xml:space="preserve">Conditional on prior search history and for a fixed candidate batch, with probability at least</w:t>
      </w:r>
      <w:r>
        <w:t xml:space="preserve"> </w:t>
      </w:r>
      <m:oMath>
        <m:r>
          <m:t>1</m:t>
        </m:r>
        <m:r>
          <m:rPr>
            <m:sty m:val="p"/>
          </m:rPr>
          <m:t>−</m:t>
        </m:r>
        <m:r>
          <m:t>δ</m:t>
        </m:r>
      </m:oMath>
      <w:r>
        <w:t xml:space="preserve">, all</w:t>
      </w:r>
      <w:r>
        <w:t xml:space="preserve"> </w:t>
      </w:r>
      <m:oMath>
        <m:r>
          <m:t>M</m:t>
        </m:r>
        <m:sSub>
          <m:e>
            <m:r>
              <m:t>d</m:t>
            </m:r>
          </m:e>
          <m:sub>
            <m:r>
              <m:t>J</m:t>
            </m:r>
          </m:sub>
        </m:sSub>
        <m:r>
          <m:t>G</m:t>
        </m:r>
      </m:oMath>
      <w:r>
        <w:t xml:space="preserve"> </w:t>
      </w:r>
      <w:r>
        <w:t xml:space="preserve">comparisons satisfy</w:t>
      </w:r>
    </w:p>
    <w:p>
      <w:pPr>
        <w:pStyle w:val="BodyText"/>
        <w:keepLines/>
        <w:spacing w:before="60" w:after="120"/>
        <w:jc w:val="center"/>
      </w:pPr>
      <m:oMathPara>
        <m:oMathParaPr>
          <m:jc m:val="center"/>
        </m:oMathParaPr>
        <m:oMath>
          <m:sSub>
            <m:e>
              <m:r>
                <m:t>Δ</m:t>
              </m:r>
            </m:e>
            <m:sub>
              <m:r>
                <m:t>j</m:t>
              </m:r>
              <m:r>
                <m:t>g</m:t>
              </m:r>
            </m:sub>
          </m:sSub>
          <m:d>
            <m:dPr>
              <m:begChr m:val="("/>
              <m:endChr m:val=")"/>
              <m:sepChr m:val=""/>
              <m:grow/>
            </m:dPr>
            <m:e>
              <m:r>
                <m:t>h</m:t>
              </m:r>
              <m:r>
                <m:rPr>
                  <m:sty m:val="p"/>
                </m:rPr>
                <m:t>′</m:t>
              </m:r>
            </m:e>
          </m:d>
          <m:r>
            <m:rPr>
              <m:sty m:val="p"/>
            </m:rPr>
            <m:t>≤</m:t>
          </m:r>
          <m:sSub>
            <m:e>
              <m:acc>
                <m:accPr>
                  <m:chr m:val="̂"/>
                </m:accPr>
                <m:e>
                  <m:r>
                    <m:t>Δ</m:t>
                  </m:r>
                </m:e>
              </m:acc>
            </m:e>
            <m:sub>
              <m:r>
                <m:t>j</m:t>
              </m:r>
              <m:r>
                <m:t>g</m:t>
              </m:r>
            </m:sub>
          </m:sSub>
          <m:d>
            <m:dPr>
              <m:begChr m:val="("/>
              <m:endChr m:val=")"/>
              <m:sepChr m:val=""/>
              <m:grow/>
            </m:dPr>
            <m:e>
              <m:r>
                <m:t>h</m:t>
              </m:r>
              <m:r>
                <m:rPr>
                  <m:sty m:val="p"/>
                </m:rPr>
                <m:t>′</m:t>
              </m:r>
            </m:e>
          </m:d>
          <m:r>
            <m:rPr>
              <m:sty m:val="p"/>
            </m:rPr>
            <m:t>+</m:t>
          </m:r>
          <m:rad>
            <m:radPr>
              <m:degHide m:val="on"/>
            </m:radPr>
            <m:deg/>
            <m:e>
              <m:f>
                <m:fPr>
                  <m:type m:val="bar"/>
                </m:fPr>
                <m:num>
                  <m:r>
                    <m:t>2</m:t>
                  </m:r>
                  <m:r>
                    <m:rPr>
                      <m:sty m:val="p"/>
                    </m:rPr>
                    <m:t>log</m:t>
                  </m:r>
                  <m:d>
                    <m:dPr>
                      <m:begChr m:val="("/>
                      <m:endChr m:val=")"/>
                      <m:sepChr m:val=""/>
                      <m:grow/>
                    </m:dPr>
                    <m:e>
                      <m:r>
                        <m:t>M</m:t>
                      </m:r>
                      <m:sSub>
                        <m:e>
                          <m:r>
                            <m:t>d</m:t>
                          </m:r>
                        </m:e>
                        <m:sub>
                          <m:r>
                            <m:t>J</m:t>
                          </m:r>
                        </m:sub>
                      </m:sSub>
                      <m:r>
                        <m:t>G</m:t>
                      </m:r>
                      <m:r>
                        <m:rPr>
                          <m:sty m:val="p"/>
                        </m:rPr>
                        <m:t>/</m:t>
                      </m:r>
                      <m:r>
                        <m:t>δ</m:t>
                      </m:r>
                    </m:e>
                  </m:d>
                </m:num>
                <m:den>
                  <m:sSub>
                    <m:e>
                      <m:r>
                        <m:t>n</m:t>
                      </m:r>
                    </m:e>
                    <m:sub>
                      <m:r>
                        <m:t>g</m:t>
                      </m:r>
                    </m:sub>
                  </m:sSub>
                </m:den>
              </m:f>
            </m:e>
          </m:rad>
          <m:r>
            <m:rPr>
              <m:sty m:val="p"/>
            </m:rPr>
            <m:t>.</m:t>
          </m:r>
          <m:r>
            <m:rPr>
              <m:nor/>
            </m:rPr>
            <m:t xml:space="preserve">    </m:t>
          </m:r>
          <m:r>
            <m:rPr>
              <m:nor/>
              <m:sty m:val="p"/>
            </m:rPr>
            <m:t>(17)</m:t>
          </m:r>
        </m:oMath>
      </m:oMathPara>
    </w:p>
    <w:p>
      <w:pPr>
        <w:pStyle w:val="FirstParagraph"/>
      </w:pPr>
      <w:r>
        <w:rPr>
          <w:iCs/>
          <w:i/>
        </w:rPr>
        <w:t xml:space="preserve">Proof.</w:t>
      </w:r>
      <w:r>
        <w:t xml:space="preserve"> </w:t>
      </w:r>
      <w:r>
        <w:t xml:space="preserve">A bounded independent paired observation has range width two. One-sided Hoeffding gives error probability at most</w:t>
      </w:r>
      <w:r>
        <w:t xml:space="preserve"> </w:t>
      </w:r>
      <m:oMath>
        <m:r>
          <m:rPr>
            <m:sty m:val="p"/>
          </m:rPr>
          <m:t>exp</m:t>
        </m:r>
        <m:d>
          <m:dPr>
            <m:begChr m:val="("/>
            <m:endChr m:val=")"/>
            <m:sepChr m:val=""/>
            <m:grow/>
          </m:dPr>
          <m:e>
            <m:r>
              <m:rPr>
                <m:sty m:val="p"/>
              </m:rPr>
              <m:t>−</m:t>
            </m:r>
            <m:sSub>
              <m:e>
                <m:r>
                  <m:t>n</m:t>
                </m:r>
              </m:e>
              <m:sub>
                <m:r>
                  <m:t>g</m:t>
                </m:r>
              </m:sub>
            </m:sSub>
            <m:sSup>
              <m:e>
                <m:r>
                  <m:t>r</m:t>
                </m:r>
              </m:e>
              <m:sup>
                <m:r>
                  <m:t>2</m:t>
                </m:r>
              </m:sup>
            </m:sSup>
            <m:r>
              <m:rPr>
                <m:sty m:val="p"/>
              </m:rPr>
              <m:t>/</m:t>
            </m:r>
            <m:r>
              <m:t>2</m:t>
            </m:r>
          </m:e>
        </m:d>
      </m:oMath>
      <w:r>
        <w:t xml:space="preserve"> </w:t>
      </w:r>
      <w:r>
        <w:t xml:space="preserve">for radius</w:t>
      </w:r>
      <w:r>
        <w:t xml:space="preserve"> </w:t>
      </w:r>
      <m:oMath>
        <m:r>
          <m:t>r</m:t>
        </m:r>
      </m:oMath>
      <w:r>
        <w:t xml:space="preserve">. Substituting the displayed radius and taking a union bound over the comparisons proves the result. Dependence between objectives or overlapping groups does not invalidate the union bound, but the stated within-group sampling requirement must hold. □</w:t>
      </w:r>
    </w:p>
    <w:p>
      <w:pPr>
        <w:pStyle w:val="BodyText"/>
      </w:pPr>
      <w:r>
        <w:t xml:space="preserve">Admit only candidates whose upper bounds meet the predeclared objective and groupwise regression allowances, and whose deterministic qualification tests pass. Additional improvement requirements can be imposed on selected objectives. Across rounds, use fresh batches and an error allocation such as</w:t>
      </w:r>
      <w:r>
        <w:t xml:space="preserve"> </w:t>
      </w:r>
      <m:oMath>
        <m:sSub>
          <m:e>
            <m:r>
              <m:t>δ</m:t>
            </m:r>
          </m:e>
          <m:sub>
            <m:r>
              <m:t>k</m:t>
            </m:r>
          </m:sub>
        </m:sSub>
        <m:r>
          <m:rPr>
            <m:sty m:val="p"/>
          </m:rPr>
          <m:t>=</m:t>
        </m:r>
        <m:r>
          <m:t>δ</m:t>
        </m:r>
        <m:r>
          <m:rPr>
            <m:sty m:val="p"/>
          </m:rPr>
          <m:t>/</m:t>
        </m:r>
        <m:d>
          <m:dPr>
            <m:begChr m:val="["/>
            <m:endChr m:val="]"/>
            <m:sepChr m:val=""/>
            <m:grow/>
          </m:dPr>
          <m:e>
            <m:r>
              <m:t>k</m:t>
            </m:r>
            <m:d>
              <m:dPr>
                <m:begChr m:val="("/>
                <m:endChr m:val=")"/>
                <m:sepChr m:val=""/>
                <m:grow/>
              </m:dPr>
              <m:e>
                <m:r>
                  <m:t>k</m:t>
                </m:r>
                <m:r>
                  <m:rPr>
                    <m:sty m:val="p"/>
                  </m:rPr>
                  <m:t>+</m:t>
                </m:r>
                <m:r>
                  <m:t>1</m:t>
                </m:r>
              </m:e>
            </m:d>
          </m:e>
        </m:d>
      </m:oMath>
      <w:r>
        <w:t xml:space="preserve">, whose sum is</w:t>
      </w:r>
      <w:r>
        <w:t xml:space="preserve"> </w:t>
      </w:r>
      <m:oMath>
        <m:r>
          <m:t>δ</m:t>
        </m:r>
      </m:oMath>
      <w:r>
        <w:t xml:space="preserve">. A candidate edited or merged after seeing admission results is a new candidate needing fresh assessment. Repeatedly consulting a secret fixed holdout does not restore independence [1].</w:t>
      </w:r>
    </w:p>
    <w:p>
      <w:pPr>
        <w:pStyle w:val="BodyText"/>
      </w:pPr>
      <w:r>
        <w:t xml:space="preserve">Project clusters determine the effective sample size. Many load cases, files, or model rollouts from one project are not independent new projects. Normalization or clipping used to put losses in</w:t>
      </w:r>
      <w:r>
        <w:t xml:space="preserve"> </w:t>
      </w:r>
      <m:oMath>
        <m:d>
          <m:dPr>
            <m:begChr m:val="["/>
            <m:endChr m:val="]"/>
            <m:sepChr m:val=""/>
            <m:grow/>
          </m:dPr>
          <m:e>
            <m:r>
              <m:t>0</m:t>
            </m:r>
            <m:r>
              <m:rPr>
                <m:sty m:val="p"/>
              </m:rPr>
              <m:t>,</m:t>
            </m:r>
            <m:r>
              <m:t>1</m:t>
            </m:r>
          </m:e>
        </m:d>
      </m:oMath>
      <w:r>
        <w:t xml:space="preserve"> </w:t>
      </w:r>
      <w:r>
        <w:t xml:space="preserve">is specified in advance; it should preserve meaningful failure accounting. The guarantee concerns the stated evaluation distribution and losses, not arbitrary future sites or the adequacy of the evaluator itself.</w:t>
      </w:r>
    </w:p>
    <w:p>
      <w:pPr>
        <w:pStyle w:val="BodyText"/>
      </w:pPr>
      <w:r>
        <w:t xml:space="preserve">Marginal pass rates also do not determine joint success. If calculation correctness and document consistency have rates</w:t>
      </w:r>
      <w:r>
        <w:t xml:space="preserve"> </w:t>
      </w:r>
      <m:oMath>
        <m:sSub>
          <m:e>
            <m:r>
              <m:t>p</m:t>
            </m:r>
          </m:e>
          <m:sub>
            <m:r>
              <m:t>A</m:t>
            </m:r>
          </m:sub>
        </m:sSub>
      </m:oMath>
      <w:r>
        <w:t xml:space="preserve"> </w:t>
      </w:r>
      <w:r>
        <w:t xml:space="preserve">and</w:t>
      </w:r>
      <w:r>
        <w:t xml:space="preserve"> </w:t>
      </w:r>
      <m:oMath>
        <m:sSub>
          <m:e>
            <m:r>
              <m:t>p</m:t>
            </m:r>
          </m:e>
          <m:sub>
            <m:r>
              <m:t>B</m:t>
            </m:r>
          </m:sub>
        </m:sSub>
      </m:oMath>
      <w:r>
        <w:t xml:space="preserve">, their joint rate can lie anywhere between</w:t>
      </w:r>
      <w:r>
        <w:t xml:space="preserve"> </w:t>
      </w:r>
      <m:oMath>
        <m:r>
          <m:rPr>
            <m:sty m:val="p"/>
          </m:rPr>
          <m:t>max</m:t>
        </m:r>
        <m:d>
          <m:dPr>
            <m:begChr m:val="("/>
            <m:endChr m:val=")"/>
            <m:sepChr m:val=""/>
            <m:grow/>
          </m:dPr>
          <m:e>
            <m:r>
              <m:t>0</m:t>
            </m:r>
            <m:r>
              <m:rPr>
                <m:sty m:val="p"/>
              </m:rPr>
              <m:t>,</m:t>
            </m:r>
            <m:sSub>
              <m:e>
                <m:r>
                  <m:t>p</m:t>
                </m:r>
              </m:e>
              <m:sub>
                <m:r>
                  <m:t>A</m:t>
                </m:r>
              </m:sub>
            </m:sSub>
            <m:r>
              <m:rPr>
                <m:sty m:val="p"/>
              </m:rPr>
              <m:t>+</m:t>
            </m:r>
            <m:sSub>
              <m:e>
                <m:r>
                  <m:t>p</m:t>
                </m:r>
              </m:e>
              <m:sub>
                <m:r>
                  <m:t>B</m:t>
                </m:r>
              </m:sub>
            </m:sSub>
            <m:r>
              <m:rPr>
                <m:sty m:val="p"/>
              </m:rPr>
              <m:t>−</m:t>
            </m:r>
            <m:r>
              <m:t>1</m:t>
            </m:r>
          </m:e>
        </m:d>
      </m:oMath>
      <w:r>
        <w:t xml:space="preserve"> </w:t>
      </w:r>
      <w:r>
        <w:t xml:space="preserve">and</w:t>
      </w:r>
      <w:r>
        <w:t xml:space="preserve"> </w:t>
      </w:r>
      <m:oMath>
        <m:r>
          <m:rPr>
            <m:sty m:val="p"/>
          </m:rPr>
          <m:t>min</m:t>
        </m:r>
        <m:d>
          <m:dPr>
            <m:begChr m:val="("/>
            <m:endChr m:val=")"/>
            <m:sepChr m:val=""/>
            <m:grow/>
          </m:dPr>
          <m:e>
            <m:sSub>
              <m:e>
                <m:r>
                  <m:t>p</m:t>
                </m:r>
              </m:e>
              <m:sub>
                <m:r>
                  <m:t>A</m:t>
                </m:r>
              </m:sub>
            </m:sSub>
            <m:r>
              <m:rPr>
                <m:sty m:val="p"/>
              </m:rPr>
              <m:t>,</m:t>
            </m:r>
            <m:sSub>
              <m:e>
                <m:r>
                  <m:t>p</m:t>
                </m:r>
              </m:e>
              <m:sub>
                <m:r>
                  <m:t>B</m:t>
                </m:r>
              </m:sub>
            </m:sSub>
          </m:e>
        </m:d>
      </m:oMath>
      <w:r>
        <w:t xml:space="preserve">. Report a same-episode joint completion measure requiring all mandatory conditions on the same artifacts, alongside the diagnostic marginals. This is consistent with Harmony Harness’s distinction between marginal objectives and joint outcomes [2].</w:t>
      </w:r>
    </w:p>
    <w:bookmarkEnd w:id="44"/>
    <w:bookmarkEnd w:id="45"/>
    <w:bookmarkStart w:id="48" w:name="a-worked-construction-example"/>
    <w:p>
      <w:pPr>
        <w:pStyle w:val="Heading1"/>
      </w:pPr>
      <w:r>
        <w:t xml:space="preserve">9 A worked construction example</w:t>
      </w:r>
    </w:p>
    <w:bookmarkStart w:id="46" w:name="an-explicitly-bounded-beam-task"/>
    <w:p>
      <w:pPr>
        <w:pStyle w:val="Heading2"/>
      </w:pPr>
      <w:r>
        <w:t xml:space="preserve">An explicitly bounded beam task</w:t>
      </w:r>
    </w:p>
    <w:p>
      <w:pPr>
        <w:pStyle w:val="FirstParagraph"/>
      </w:pPr>
      <w:r>
        <w:t xml:space="preserve">The demonstration considers a simply supported, prismatic welded I-section of span</w:t>
      </w:r>
      <w:r>
        <w:t xml:space="preserve"> </w:t>
      </w:r>
      <m:oMath>
        <m:r>
          <m:t>L</m:t>
        </m:r>
        <m:r>
          <m:rPr>
            <m:sty m:val="p"/>
          </m:rPr>
          <m:t>=</m:t>
        </m:r>
        <m:r>
          <m:t>6</m:t>
        </m:r>
      </m:oMath>
      <w:r>
        <w:t xml:space="preserve"> </w:t>
      </w:r>
      <w:r>
        <w:t xml:space="preserve">m under a uniformly distributed external service load</w:t>
      </w:r>
      <w:r>
        <w:t xml:space="preserve"> </w:t>
      </w:r>
      <m:oMath>
        <m:sSub>
          <m:e>
            <m:r>
              <m:t>w</m:t>
            </m:r>
          </m:e>
          <m:sub>
            <m:r>
              <m:t>0</m:t>
            </m:r>
          </m:sub>
        </m:sSub>
        <m:r>
          <m:rPr>
            <m:sty m:val="p"/>
          </m:rPr>
          <m:t>=</m:t>
        </m:r>
        <m:r>
          <m:t>20</m:t>
        </m:r>
      </m:oMath>
      <w:r>
        <w:t xml:space="preserve"> </w:t>
      </w:r>
      <w:r>
        <w:t xml:space="preserve">kN/m, plus its own weight. Steel density is 7850 kg/m³, elastic modulus is 200 GPa, and gravitational acceleration is 9.81 m/s². Two illustrative acceptance limits are bending stress no greater than 160 MPa and deflection no greater than</w:t>
      </w:r>
      <w:r>
        <w:t xml:space="preserve"> </w:t>
      </w:r>
      <m:oMath>
        <m:r>
          <m:t>L</m:t>
        </m:r>
        <m:r>
          <m:rPr>
            <m:sty m:val="p"/>
          </m:rPr>
          <m:t>/</m:t>
        </m:r>
        <m:r>
          <m:t>300</m:t>
        </m:r>
        <m:r>
          <m:rPr>
            <m:sty m:val="p"/>
          </m:rPr>
          <m:t>=</m:t>
        </m:r>
        <m:r>
          <m:t>20</m:t>
        </m:r>
      </m:oMath>
      <w:r>
        <w:t xml:space="preserve"> </w:t>
      </w:r>
      <w:r>
        <w:t xml:space="preserve">mm. These are declared toy criteria, not an adopted design-code check.</w:t>
      </w:r>
    </w:p>
    <w:p>
      <w:pPr>
        <w:pStyle w:val="BodyText"/>
        <w:keepNext/>
      </w:pPr>
      <w:r>
        <w:t xml:space="preserve">For section depth</w:t>
      </w:r>
      <w:r>
        <w:t xml:space="preserve"> </w:t>
      </w:r>
      <m:oMath>
        <m:r>
          <m:t>h</m:t>
        </m:r>
      </m:oMath>
      <w:r>
        <w:t xml:space="preserve">, flange width</w:t>
      </w:r>
      <w:r>
        <w:t xml:space="preserve"> </w:t>
      </w:r>
      <m:oMath>
        <m:r>
          <m:t>b</m:t>
        </m:r>
      </m:oMath>
      <w:r>
        <w:t xml:space="preserve">, flange thickness</w:t>
      </w:r>
      <w:r>
        <w:t xml:space="preserve"> </w:t>
      </w:r>
      <m:oMath>
        <m:sSub>
          <m:e>
            <m:r>
              <m:t>t</m:t>
            </m:r>
          </m:e>
          <m:sub>
            <m:r>
              <m:t>f</m:t>
            </m:r>
          </m:sub>
        </m:sSub>
      </m:oMath>
      <w:r>
        <w:t xml:space="preserve">, and web thickness</w:t>
      </w:r>
      <w:r>
        <w:t xml:space="preserve"> </w:t>
      </w:r>
      <m:oMath>
        <m:sSub>
          <m:e>
            <m:r>
              <m:t>t</m:t>
            </m:r>
          </m:e>
          <m:sub>
            <m:r>
              <m:t>w</m:t>
            </m:r>
          </m:sub>
        </m:sSub>
      </m:oMath>
      <w:r>
        <w:t xml:space="preserve">, the adapter recomputes properties in SI units:</w:t>
      </w:r>
    </w:p>
    <w:p>
      <w:pPr>
        <w:pStyle w:val="BodyText"/>
        <w:keepLines/>
        <w:spacing w:before="60" w:after="120"/>
        <w:jc w:val="center"/>
      </w:pPr>
      <m:oMathPara>
        <m:oMathParaPr>
          <m:jc m:val="center"/>
        </m:oMathParaPr>
        <m:oMath>
          <m:r>
            <m:t>A</m:t>
          </m:r>
          <m:r>
            <m:rPr>
              <m:sty m:val="p"/>
            </m:rPr>
            <m:t>=</m:t>
          </m:r>
          <m:r>
            <m:t>2</m:t>
          </m:r>
          <m:r>
            <m:t>b</m:t>
          </m:r>
          <m:sSub>
            <m:e>
              <m:r>
                <m:t>t</m:t>
              </m:r>
            </m:e>
            <m:sub>
              <m:r>
                <m:t>f</m:t>
              </m:r>
            </m:sub>
          </m:sSub>
          <m:r>
            <m:rPr>
              <m:sty m:val="p"/>
            </m:rPr>
            <m:t>+</m:t>
          </m:r>
          <m:sSub>
            <m:e>
              <m:r>
                <m:t>t</m:t>
              </m:r>
            </m:e>
            <m:sub>
              <m:r>
                <m:t>w</m:t>
              </m:r>
            </m:sub>
          </m:sSub>
          <m:d>
            <m:dPr>
              <m:begChr m:val="("/>
              <m:endChr m:val=")"/>
              <m:sepChr m:val=""/>
              <m:grow/>
            </m:dPr>
            <m:e>
              <m:r>
                <m:t>h</m:t>
              </m:r>
              <m:r>
                <m:rPr>
                  <m:sty m:val="p"/>
                </m:rPr>
                <m:t>−</m:t>
              </m:r>
              <m:r>
                <m:t>2</m:t>
              </m:r>
              <m:sSub>
                <m:e>
                  <m:r>
                    <m:t>t</m:t>
                  </m:r>
                </m:e>
                <m:sub>
                  <m:r>
                    <m:t>f</m:t>
                  </m:r>
                </m:sub>
              </m:sSub>
            </m:e>
          </m:d>
          <m:r>
            <m:rPr>
              <m:sty m:val="p"/>
            </m:rPr>
            <m:t>,</m:t>
          </m:r>
          <m:r>
            <m:rPr>
              <m:nor/>
            </m:rPr>
            <m:t xml:space="preserve">    </m:t>
          </m:r>
          <m:r>
            <m:t>I</m:t>
          </m:r>
          <m:r>
            <m:rPr>
              <m:sty m:val="p"/>
            </m:rPr>
            <m:t>=</m:t>
          </m:r>
          <m:f>
            <m:fPr>
              <m:type m:val="bar"/>
            </m:fPr>
            <m:num>
              <m:r>
                <m:t>b</m:t>
              </m:r>
              <m:sSup>
                <m:e>
                  <m:r>
                    <m:t>h</m:t>
                  </m:r>
                </m:e>
                <m:sup>
                  <m:r>
                    <m:t>3</m:t>
                  </m:r>
                </m:sup>
              </m:sSup>
              <m:r>
                <m:rPr>
                  <m:sty m:val="p"/>
                </m:rPr>
                <m:t>−</m:t>
              </m:r>
              <m:d>
                <m:dPr>
                  <m:begChr m:val="("/>
                  <m:endChr m:val=")"/>
                  <m:sepChr m:val=""/>
                  <m:grow/>
                </m:dPr>
                <m:e>
                  <m:r>
                    <m:t>b</m:t>
                  </m:r>
                  <m:r>
                    <m:rPr>
                      <m:sty m:val="p"/>
                    </m:rPr>
                    <m:t>−</m:t>
                  </m:r>
                  <m:sSub>
                    <m:e>
                      <m:r>
                        <m:t>t</m:t>
                      </m:r>
                    </m:e>
                    <m:sub>
                      <m:r>
                        <m:t>w</m:t>
                      </m:r>
                    </m:sub>
                  </m:sSub>
                </m:e>
              </m:d>
              <m:sSup>
                <m:e>
                  <m:d>
                    <m:dPr>
                      <m:begChr m:val="("/>
                      <m:endChr m:val=")"/>
                      <m:sepChr m:val=""/>
                      <m:grow/>
                    </m:dPr>
                    <m:e>
                      <m:r>
                        <m:t>h</m:t>
                      </m:r>
                      <m:r>
                        <m:rPr>
                          <m:sty m:val="p"/>
                        </m:rPr>
                        <m:t>−</m:t>
                      </m:r>
                      <m:r>
                        <m:t>2</m:t>
                      </m:r>
                      <m:sSub>
                        <m:e>
                          <m:r>
                            <m:t>t</m:t>
                          </m:r>
                        </m:e>
                        <m:sub>
                          <m:r>
                            <m:t>f</m:t>
                          </m:r>
                        </m:sub>
                      </m:sSub>
                    </m:e>
                  </m:d>
                </m:e>
                <m:sup>
                  <m:r>
                    <m:t>3</m:t>
                  </m:r>
                </m:sup>
              </m:sSup>
            </m:num>
            <m:den>
              <m:r>
                <m:t>12</m:t>
              </m:r>
            </m:den>
          </m:f>
          <m:r>
            <m:rPr>
              <m:sty m:val="p"/>
            </m:rPr>
            <m:t>,</m:t>
          </m:r>
          <m:r>
            <m:rPr>
              <m:nor/>
            </m:rPr>
            <m:t xml:space="preserve">    </m:t>
          </m:r>
          <m:r>
            <m:t>W</m:t>
          </m:r>
          <m:r>
            <m:rPr>
              <m:sty m:val="p"/>
            </m:rPr>
            <m:t>=</m:t>
          </m:r>
          <m:f>
            <m:fPr>
              <m:type m:val="bar"/>
            </m:fPr>
            <m:num>
              <m:r>
                <m:t>2</m:t>
              </m:r>
              <m:r>
                <m:t>I</m:t>
              </m:r>
            </m:num>
            <m:den>
              <m:r>
                <m:t>h</m:t>
              </m:r>
            </m:den>
          </m:f>
          <m:r>
            <m:rPr>
              <m:sty m:val="p"/>
            </m:rPr>
            <m:t>.</m:t>
          </m:r>
          <m:r>
            <m:rPr>
              <m:nor/>
            </m:rPr>
            <m:t xml:space="preserve">    </m:t>
          </m:r>
          <m:r>
            <m:rPr>
              <m:nor/>
              <m:sty m:val="p"/>
            </m:rPr>
            <m:t>(18)</m:t>
          </m:r>
        </m:oMath>
      </m:oMathPara>
    </w:p>
    <w:p>
      <w:pPr>
        <w:pStyle w:val="FirstParagraph"/>
        <w:keepNext/>
      </w:pPr>
      <w:r>
        <w:t xml:space="preserve">With</w:t>
      </w:r>
      <w:r>
        <w:t xml:space="preserve"> </w:t>
      </w:r>
      <m:oMath>
        <m:r>
          <m:t>ρ</m:t>
        </m:r>
      </m:oMath>
      <w:r>
        <w:t xml:space="preserve"> </w:t>
      </w:r>
      <w:r>
        <w:t xml:space="preserve">the material density and</w:t>
      </w:r>
      <w:r>
        <w:t xml:space="preserve"> </w:t>
      </w:r>
      <m:oMath>
        <m:sSub>
          <m:e>
            <m:r>
              <m:t>g</m:t>
            </m:r>
          </m:e>
          <m:sub>
            <m:r>
              <m:t>0</m:t>
            </m:r>
          </m:sub>
        </m:sSub>
      </m:oMath>
      <w:r>
        <w:t xml:space="preserve"> </w:t>
      </w:r>
      <w:r>
        <w:t xml:space="preserve">gravitational acceleration,</w:t>
      </w:r>
    </w:p>
    <w:p>
      <w:pPr>
        <w:pStyle w:val="BodyText"/>
        <w:keepLines/>
        <w:spacing w:before="60" w:after="120"/>
        <w:jc w:val="center"/>
      </w:pPr>
      <m:oMathPara>
        <m:oMathParaPr>
          <m:jc m:val="center"/>
        </m:oMathParaPr>
        <m:oMath>
          <m:r>
            <m:t>m</m:t>
          </m:r>
          <m:r>
            <m:rPr>
              <m:sty m:val="p"/>
            </m:rPr>
            <m:t>=</m:t>
          </m:r>
          <m:r>
            <m:t>ρ</m:t>
          </m:r>
          <m:r>
            <m:t>A</m:t>
          </m:r>
          <m:r>
            <m:t>L</m:t>
          </m:r>
          <m:r>
            <m:rPr>
              <m:sty m:val="p"/>
            </m:rPr>
            <m:t>,</m:t>
          </m:r>
          <m:r>
            <m:rPr>
              <m:nor/>
            </m:rPr>
            <m:t xml:space="preserve">    </m:t>
          </m:r>
          <m:r>
            <m:t>w</m:t>
          </m:r>
          <m:r>
            <m:rPr>
              <m:sty m:val="p"/>
            </m:rPr>
            <m:t>=</m:t>
          </m:r>
          <m:sSub>
            <m:e>
              <m:r>
                <m:t>w</m:t>
              </m:r>
            </m:e>
            <m:sub>
              <m:r>
                <m:t>0</m:t>
              </m:r>
            </m:sub>
          </m:sSub>
          <m:r>
            <m:rPr>
              <m:sty m:val="p"/>
            </m:rPr>
            <m:t>+</m:t>
          </m:r>
          <m:r>
            <m:t>ρ</m:t>
          </m:r>
          <m:r>
            <m:t>A</m:t>
          </m:r>
          <m:sSub>
            <m:e>
              <m:r>
                <m:t>g</m:t>
              </m:r>
            </m:e>
            <m:sub>
              <m:r>
                <m:t>0</m:t>
              </m:r>
            </m:sub>
          </m:sSub>
          <m:r>
            <m:rPr>
              <m:sty m:val="p"/>
            </m:rPr>
            <m:t>,</m:t>
          </m:r>
          <m:r>
            <m:rPr>
              <m:nor/>
            </m:rPr>
            <m:t xml:space="preserve">    </m:t>
          </m:r>
          <m:sSub>
            <m:e>
              <m:r>
                <m:t>σ</m:t>
              </m:r>
            </m:e>
            <m:sub>
              <m:r>
                <m:t>b</m:t>
              </m:r>
            </m:sub>
          </m:sSub>
          <m:r>
            <m:rPr>
              <m:sty m:val="p"/>
            </m:rPr>
            <m:t>=</m:t>
          </m:r>
          <m:f>
            <m:fPr>
              <m:type m:val="bar"/>
            </m:fPr>
            <m:num>
              <m:r>
                <m:t>w</m:t>
              </m:r>
              <m:sSup>
                <m:e>
                  <m:r>
                    <m:t>L</m:t>
                  </m:r>
                </m:e>
                <m:sup>
                  <m:r>
                    <m:t>2</m:t>
                  </m:r>
                </m:sup>
              </m:sSup>
            </m:num>
            <m:den>
              <m:r>
                <m:t>8</m:t>
              </m:r>
              <m:r>
                <m:t>W</m:t>
              </m:r>
            </m:den>
          </m:f>
          <m:r>
            <m:rPr>
              <m:sty m:val="p"/>
            </m:rPr>
            <m:t>,</m:t>
          </m:r>
          <m:r>
            <m:rPr>
              <m:nor/>
            </m:rPr>
            <m:t xml:space="preserve">    </m:t>
          </m:r>
          <m:sSub>
            <m:e>
              <m:r>
                <m:t>δ</m:t>
              </m:r>
            </m:e>
            <m:sub>
              <m:r>
                <m:rPr>
                  <m:sty m:val="p"/>
                </m:rPr>
                <m:t>max</m:t>
              </m:r>
            </m:sub>
          </m:sSub>
          <m:r>
            <m:rPr>
              <m:sty m:val="p"/>
            </m:rPr>
            <m:t>=</m:t>
          </m:r>
          <m:f>
            <m:fPr>
              <m:type m:val="bar"/>
            </m:fPr>
            <m:num>
              <m:r>
                <m:t>5</m:t>
              </m:r>
              <m:r>
                <m:t>w</m:t>
              </m:r>
              <m:sSup>
                <m:e>
                  <m:r>
                    <m:t>L</m:t>
                  </m:r>
                </m:e>
                <m:sup>
                  <m:r>
                    <m:t>4</m:t>
                  </m:r>
                </m:sup>
              </m:sSup>
            </m:num>
            <m:den>
              <m:r>
                <m:t>384</m:t>
              </m:r>
              <m:r>
                <m:t>E</m:t>
              </m:r>
              <m:r>
                <m:t>I</m:t>
              </m:r>
            </m:den>
          </m:f>
          <m:r>
            <m:rPr>
              <m:sty m:val="p"/>
            </m:rPr>
            <m:t>.</m:t>
          </m:r>
          <m:r>
            <m:rPr>
              <m:nor/>
            </m:rPr>
            <m:t xml:space="preserve">    </m:t>
          </m:r>
          <m:r>
            <m:rPr>
              <m:nor/>
              <m:sty m:val="p"/>
            </m:rPr>
            <m:t>(19)</m:t>
          </m:r>
        </m:oMath>
      </m:oMathPara>
    </w:p>
    <w:p>
      <w:pPr>
        <w:pStyle w:val="FirstParagraph"/>
      </w:pPr>
      <w:r>
        <w:t xml:space="preserve">The deflection expression follows from the Euler–Bernoulli equation</w:t>
      </w:r>
      <w:r>
        <w:t xml:space="preserve"> </w:t>
      </w:r>
      <m:oMath>
        <m:r>
          <m:t>E</m:t>
        </m:r>
        <m:r>
          <m:t>I</m:t>
        </m:r>
        <m:r>
          <m:t>v</m:t>
        </m:r>
        <m:r>
          <m:rPr>
            <m:sty m:val="p"/>
          </m:rPr>
          <m:t>⁗</m:t>
        </m:r>
        <m:r>
          <m:rPr>
            <m:sty m:val="p"/>
          </m:rPr>
          <m:t>=</m:t>
        </m:r>
        <m:r>
          <m:t>w</m:t>
        </m:r>
      </m:oMath>
      <w:r>
        <w:t xml:space="preserve"> </w:t>
      </w:r>
      <w:r>
        <w:t xml:space="preserve">with zero deflection and zero bending moment at both ends. The model omits shear deformation, lateral and local buckling, connections, fabrication tolerances, dynamic loading, fatigue, load combinations, and many other checks required for an actual member. Passing (19) therefore has only the stated analytic meaning. It cannot authorize a real beam design.</w:t>
      </w:r>
    </w:p>
    <w:p>
      <w:pPr>
        <w:pStyle w:val="Caption"/>
        <w:keepNext/>
      </w:pPr>
      <w:r>
        <w:rPr>
          <w:bCs/>
          <w:b w:val="0"/>
        </w:rPr>
        <w:t xml:space="preserve">Table 5. Computed section responses in the analytic demonstration</w:t>
      </w:r>
    </w:p>
    <w:tbl>
      <w:tblPr>
        <w:tblStyle w:val="TableGrid"/>
        <w:tblW w:type="dxa" w:w="993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2376"/>
        <w:gridCol w:w="1512"/>
        <w:gridCol w:w="1728"/>
        <w:gridCol w:w="1944"/>
        <w:gridCol w:w="1584"/>
      </w:tblGrid>
      <w:tr>
        <w:trPr>
          <w:cantSplit/>
          <w:tblHeader/>
        </w:trPr>
        <w:tc>
          <w:tcPr>
            <w:tcW w:type="dxa" w:w="792"/>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ID</w:t>
            </w:r>
          </w:p>
        </w:tc>
        <w:tc>
          <w:tcPr>
            <w:tcW w:type="dxa" w:w="2376"/>
            <w:vAlign w:val="center"/>
            <w:tcMar>
              <w:top w:w="80" w:type="dxa"/>
              <w:bottom w:w="80" w:type="dxa"/>
              <w:left w:w="85" w:type="dxa"/>
              <w:right w:w="85" w:type="dxa"/>
            </w:tcMar>
            <w:shd w:fill="EAEAEA"/>
          </w:tcPr>
          <w:p>
            <w:pPr>
              <w:keepNext/>
              <w:keepLines/>
              <w:spacing w:after="0" w:before="0" w:line="247" w:lineRule="auto"/>
              <w:jc w:val="left"/>
            </w:pPr>
            <m:oMath>
              <m:r>
                <m:t>h</m:t>
              </m:r>
              <m:r>
                <m:rPr>
                  <m:nor/>
                </m:rPr>
                <m:t xml:space="preserve">    </m:t>
              </m:r>
              <m:r>
                <m:t>b</m:t>
              </m:r>
              <m:r>
                <m:rPr>
                  <m:nor/>
                </m:rPr>
                <m:t xml:space="preserve">    </m:t>
              </m:r>
              <m:sSub>
                <m:e>
                  <m:r>
                    <m:t>t</m:t>
                  </m:r>
                </m:e>
                <m:sub>
                  <m:r>
                    <m:t>f</m:t>
                  </m:r>
                </m:sub>
              </m:sSub>
              <m:r>
                <m:rPr>
                  <m:nor/>
                </m:rPr>
                <m:t xml:space="preserve">    </m:t>
              </m:r>
              <m:sSub>
                <m:e>
                  <m:r>
                    <m:t>t</m:t>
                  </m:r>
                </m:e>
                <m:sub>
                  <m:r>
                    <m:t>w</m:t>
                  </m:r>
                </m:sub>
              </m:sSub>
            </m:oMath>
            <w:r>
              <w:rPr>
                <w:b/>
                <w:sz w:val="21"/>
              </w:rPr>
              <w:t xml:space="preserve"> </w:t>
            </w:r>
            <w:r>
              <w:rPr>
                <w:b/>
                <w:sz w:val="21"/>
              </w:rPr>
              <w:t xml:space="preserve">in mm</w:t>
            </w:r>
          </w:p>
        </w:tc>
        <w:tc>
          <w:tcPr>
            <w:tcW w:type="dxa" w:w="1512"/>
            <w:vAlign w:val="center"/>
            <w:tcMar>
              <w:top w:w="80" w:type="dxa"/>
              <w:bottom w:w="80" w:type="dxa"/>
              <w:left w:w="85" w:type="dxa"/>
              <w:right w:w="85" w:type="dxa"/>
            </w:tcMar>
            <w:shd w:fill="EAEAEA"/>
          </w:tcPr>
          <w:p>
            <w:pPr>
              <w:keepNext/>
              <w:keepLines/>
              <w:spacing w:after="0" w:before="0" w:line="247" w:lineRule="auto"/>
              <w:jc w:val="right"/>
            </w:pPr>
            <w:r>
              <w:rPr>
                <w:b/>
                <w:sz w:val="21"/>
              </w:rPr>
              <w:t xml:space="preserve">Mass kg</w:t>
            </w:r>
          </w:p>
        </w:tc>
        <w:tc>
          <w:tcPr>
            <w:tcW w:type="dxa" w:w="1728"/>
            <w:vAlign w:val="center"/>
            <w:tcMar>
              <w:top w:w="80" w:type="dxa"/>
              <w:bottom w:w="80" w:type="dxa"/>
              <w:left w:w="85" w:type="dxa"/>
              <w:right w:w="85" w:type="dxa"/>
            </w:tcMar>
            <w:shd w:fill="EAEAEA"/>
          </w:tcPr>
          <w:p>
            <w:pPr>
              <w:keepNext/>
              <w:keepLines/>
              <w:spacing w:after="0" w:before="0" w:line="247" w:lineRule="auto"/>
              <w:jc w:val="right"/>
            </w:pPr>
            <w:r>
              <w:rPr>
                <w:b/>
                <w:sz w:val="21"/>
              </w:rPr>
              <w:t xml:space="preserve">Stress MPa</w:t>
            </w:r>
          </w:p>
        </w:tc>
        <w:tc>
          <w:tcPr>
            <w:tcW w:type="dxa" w:w="1944"/>
            <w:vAlign w:val="center"/>
            <w:tcMar>
              <w:top w:w="80" w:type="dxa"/>
              <w:bottom w:w="80" w:type="dxa"/>
              <w:left w:w="85" w:type="dxa"/>
              <w:right w:w="85" w:type="dxa"/>
            </w:tcMar>
            <w:shd w:fill="EAEAEA"/>
          </w:tcPr>
          <w:p>
            <w:pPr>
              <w:keepNext/>
              <w:keepLines/>
              <w:spacing w:after="0" w:before="0" w:line="247" w:lineRule="auto"/>
              <w:jc w:val="right"/>
            </w:pPr>
            <w:r>
              <w:rPr>
                <w:b/>
                <w:sz w:val="21"/>
              </w:rPr>
              <w:t xml:space="preserve">Deflection mm</w:t>
            </w:r>
          </w:p>
        </w:tc>
        <w:tc>
          <w:tcPr>
            <w:tcW w:type="dxa" w:w="1584"/>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Toy checks</w:t>
            </w:r>
          </w:p>
        </w:tc>
      </w:tr>
      <w:tr>
        <w:trPr>
          <w:cantSplit/>
        </w:trPr>
        <w:tc>
          <w:tcPr>
            <w:tcW w:type="dxa" w:w="792"/>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S1</w:t>
            </w:r>
          </w:p>
        </w:tc>
        <w:tc>
          <w:tcPr>
            <w:tcW w:type="dxa" w:w="237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250 150 10 6</w:t>
            </w:r>
          </w:p>
        </w:tc>
        <w:tc>
          <w:tcPr>
            <w:tcW w:type="dxa" w:w="1512"/>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206.298</w:t>
            </w:r>
          </w:p>
        </w:tc>
        <w:tc>
          <w:tcPr>
            <w:tcW w:type="dxa" w:w="1728"/>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232.003</w:t>
            </w:r>
          </w:p>
        </w:tc>
        <w:tc>
          <w:tcPr>
            <w:tcW w:type="dxa" w:w="1944"/>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34.800</w:t>
            </w:r>
          </w:p>
        </w:tc>
        <w:tc>
          <w:tcPr>
            <w:tcW w:type="dxa" w:w="15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Fail</w:t>
            </w:r>
          </w:p>
        </w:tc>
      </w:tr>
      <w:tr>
        <w:trPr>
          <w:cantSplit/>
        </w:trPr>
        <w:tc>
          <w:tcPr>
            <w:tcW w:type="dxa" w:w="792"/>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S2</w:t>
            </w:r>
          </w:p>
        </w:tc>
        <w:tc>
          <w:tcPr>
            <w:tcW w:type="dxa" w:w="237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300 150 10 6</w:t>
            </w:r>
          </w:p>
        </w:tc>
        <w:tc>
          <w:tcPr>
            <w:tcW w:type="dxa" w:w="1512"/>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220.428</w:t>
            </w:r>
          </w:p>
        </w:tc>
        <w:tc>
          <w:tcPr>
            <w:tcW w:type="dxa" w:w="1728"/>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185.529</w:t>
            </w:r>
          </w:p>
        </w:tc>
        <w:tc>
          <w:tcPr>
            <w:tcW w:type="dxa" w:w="1944"/>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23.191</w:t>
            </w:r>
          </w:p>
        </w:tc>
        <w:tc>
          <w:tcPr>
            <w:tcW w:type="dxa" w:w="15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Fail</w:t>
            </w:r>
          </w:p>
        </w:tc>
      </w:tr>
      <w:tr>
        <w:trPr>
          <w:cantSplit/>
        </w:trPr>
        <w:tc>
          <w:tcPr>
            <w:tcW w:type="dxa" w:w="792"/>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S3</w:t>
            </w:r>
          </w:p>
        </w:tc>
        <w:tc>
          <w:tcPr>
            <w:tcW w:type="dxa" w:w="237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300 180 12 8</w:t>
            </w:r>
          </w:p>
        </w:tc>
        <w:tc>
          <w:tcPr>
            <w:tcW w:type="dxa" w:w="1512"/>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307.469</w:t>
            </w:r>
          </w:p>
        </w:tc>
        <w:tc>
          <w:tcPr>
            <w:tcW w:type="dxa" w:w="1728"/>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133.523</w:t>
            </w:r>
          </w:p>
        </w:tc>
        <w:tc>
          <w:tcPr>
            <w:tcW w:type="dxa" w:w="1944"/>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16.690</w:t>
            </w:r>
          </w:p>
        </w:tc>
        <w:tc>
          <w:tcPr>
            <w:tcW w:type="dxa" w:w="15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Pass</w:t>
            </w:r>
          </w:p>
        </w:tc>
      </w:tr>
      <w:tr>
        <w:trPr>
          <w:cantSplit/>
        </w:trPr>
        <w:tc>
          <w:tcPr>
            <w:tcW w:type="dxa" w:w="792"/>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S4</w:t>
            </w:r>
          </w:p>
        </w:tc>
        <w:tc>
          <w:tcPr>
            <w:tcW w:type="dxa" w:w="237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350 150 10 6</w:t>
            </w:r>
          </w:p>
        </w:tc>
        <w:tc>
          <w:tcPr>
            <w:tcW w:type="dxa" w:w="1512"/>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234.558</w:t>
            </w:r>
          </w:p>
        </w:tc>
        <w:tc>
          <w:tcPr>
            <w:tcW w:type="dxa" w:w="1728"/>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153.324</w:t>
            </w:r>
          </w:p>
        </w:tc>
        <w:tc>
          <w:tcPr>
            <w:tcW w:type="dxa" w:w="1944"/>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16.428</w:t>
            </w:r>
          </w:p>
        </w:tc>
        <w:tc>
          <w:tcPr>
            <w:tcW w:type="dxa" w:w="15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Pass</w:t>
            </w:r>
          </w:p>
        </w:tc>
      </w:tr>
      <w:tr>
        <w:trPr>
          <w:cantSplit/>
        </w:trPr>
        <w:tc>
          <w:tcPr>
            <w:tcW w:type="dxa" w:w="792"/>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S5</w:t>
            </w:r>
          </w:p>
        </w:tc>
        <w:tc>
          <w:tcPr>
            <w:tcW w:type="dxa" w:w="237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350 180 12 8</w:t>
            </w:r>
          </w:p>
        </w:tc>
        <w:tc>
          <w:tcPr>
            <w:tcW w:type="dxa" w:w="1512"/>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326.309</w:t>
            </w:r>
          </w:p>
        </w:tc>
        <w:tc>
          <w:tcPr>
            <w:tcW w:type="dxa" w:w="1728"/>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110.352</w:t>
            </w:r>
          </w:p>
        </w:tc>
        <w:tc>
          <w:tcPr>
            <w:tcW w:type="dxa" w:w="1944"/>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11.823</w:t>
            </w:r>
          </w:p>
        </w:tc>
        <w:tc>
          <w:tcPr>
            <w:tcW w:type="dxa" w:w="15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Pass</w:t>
            </w:r>
          </w:p>
        </w:tc>
      </w:tr>
      <w:tr>
        <w:trPr>
          <w:cantSplit/>
        </w:trPr>
        <w:tc>
          <w:tcPr>
            <w:tcW w:type="dxa" w:w="792"/>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S6</w:t>
            </w:r>
          </w:p>
        </w:tc>
        <w:tc>
          <w:tcPr>
            <w:tcW w:type="dxa" w:w="237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400 160 10 6</w:t>
            </w:r>
          </w:p>
        </w:tc>
        <w:tc>
          <w:tcPr>
            <w:tcW w:type="dxa" w:w="1512"/>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258.108</w:t>
            </w:r>
          </w:p>
        </w:tc>
        <w:tc>
          <w:tcPr>
            <w:tcW w:type="dxa" w:w="1728"/>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123.236</w:t>
            </w:r>
          </w:p>
        </w:tc>
        <w:tc>
          <w:tcPr>
            <w:tcW w:type="dxa" w:w="1944"/>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11.553</w:t>
            </w:r>
          </w:p>
        </w:tc>
        <w:tc>
          <w:tcPr>
            <w:tcW w:type="dxa" w:w="15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Pass</w:t>
            </w:r>
          </w:p>
        </w:tc>
      </w:tr>
      <w:tr>
        <w:trPr>
          <w:cantSplit/>
        </w:trPr>
        <w:tc>
          <w:tcPr>
            <w:tcW w:type="dxa" w:w="792"/>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S7</w:t>
            </w:r>
          </w:p>
        </w:tc>
        <w:tc>
          <w:tcPr>
            <w:tcW w:type="dxa" w:w="237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400 200 12 8</w:t>
            </w:r>
          </w:p>
        </w:tc>
        <w:tc>
          <w:tcPr>
            <w:tcW w:type="dxa" w:w="1512"/>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367.757</w:t>
            </w:r>
          </w:p>
        </w:tc>
        <w:tc>
          <w:tcPr>
            <w:tcW w:type="dxa" w:w="1728"/>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85.780</w:t>
            </w:r>
          </w:p>
        </w:tc>
        <w:tc>
          <w:tcPr>
            <w:tcW w:type="dxa" w:w="1944"/>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8.042</w:t>
            </w:r>
          </w:p>
        </w:tc>
        <w:tc>
          <w:tcPr>
            <w:tcW w:type="dxa" w:w="15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Pass</w:t>
            </w:r>
          </w:p>
        </w:tc>
      </w:tr>
      <w:tr>
        <w:trPr>
          <w:cantSplit/>
        </w:trPr>
        <w:tc>
          <w:tcPr>
            <w:tcW w:type="dxa" w:w="792"/>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S8</w:t>
            </w:r>
          </w:p>
        </w:tc>
        <w:tc>
          <w:tcPr>
            <w:tcW w:type="dxa" w:w="2376"/>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450 180 10 6</w:t>
            </w:r>
          </w:p>
        </w:tc>
        <w:tc>
          <w:tcPr>
            <w:tcW w:type="dxa" w:w="1512"/>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291.078</w:t>
            </w:r>
          </w:p>
        </w:tc>
        <w:tc>
          <w:tcPr>
            <w:tcW w:type="dxa" w:w="1728"/>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96.867</w:t>
            </w:r>
          </w:p>
        </w:tc>
        <w:tc>
          <w:tcPr>
            <w:tcW w:type="dxa" w:w="1944"/>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8.072</w:t>
            </w:r>
          </w:p>
        </w:tc>
        <w:tc>
          <w:tcPr>
            <w:tcW w:type="dxa" w:w="15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Pass</w:t>
            </w:r>
          </w:p>
        </w:tc>
      </w:tr>
    </w:tbl>
    <w:p>
      <w:pPr>
        <w:pStyle w:val="BodyText"/>
        <w:spacing w:before="140"/>
      </w:pPr>
      <w:r>
        <w:t xml:space="preserve">The eight sections are constructed examples, not a commercial catalog. Define a cost index</w:t>
      </w:r>
      <w:r>
        <w:t xml:space="preserve"> </w:t>
      </w:r>
      <m:oMath>
        <m:sSub>
          <m:e>
            <m:r>
              <m:t>C</m:t>
            </m:r>
          </m:e>
          <m:sub>
            <m:r>
              <m:t>i</m:t>
            </m:r>
          </m:sub>
        </m:sSub>
        <m:r>
          <m:rPr>
            <m:sty m:val="p"/>
          </m:rPr>
          <m:t>=</m:t>
        </m:r>
        <m:sSub>
          <m:e>
            <m:r>
              <m:t>c</m:t>
            </m:r>
          </m:e>
          <m:sub>
            <m:r>
              <m:t>i</m:t>
            </m:r>
          </m:sub>
        </m:sSub>
        <m:sSub>
          <m:e>
            <m:r>
              <m:t>m</m:t>
            </m:r>
          </m:e>
          <m:sub>
            <m:r>
              <m:t>i</m:t>
            </m:r>
          </m:sub>
        </m:sSub>
      </m:oMath>
      <w:r>
        <w:t xml:space="preserve"> </w:t>
      </w:r>
      <w:r>
        <w:t xml:space="preserve">and a carbon index</w:t>
      </w:r>
      <w:r>
        <w:t xml:space="preserve"> </w:t>
      </w:r>
      <m:oMath>
        <m:sSub>
          <m:e>
            <m:r>
              <m:t>E</m:t>
            </m:r>
          </m:e>
          <m:sub>
            <m:r>
              <m:t>i</m:t>
            </m:r>
          </m:sub>
        </m:sSub>
        <m:r>
          <m:rPr>
            <m:sty m:val="p"/>
          </m:rPr>
          <m:t>=</m:t>
        </m:r>
        <m:sSub>
          <m:e>
            <m:r>
              <m:t>e</m:t>
            </m:r>
          </m:e>
          <m:sub>
            <m:r>
              <m:t>i</m:t>
            </m:r>
          </m:sub>
        </m:sSub>
        <m:sSub>
          <m:e>
            <m:r>
              <m:t>m</m:t>
            </m:r>
          </m:e>
          <m:sub>
            <m:r>
              <m:t>i</m:t>
            </m:r>
          </m:sub>
        </m:sSub>
      </m:oMath>
      <w:r>
        <w:t xml:space="preserve">, with explicitly artificial multipliers given in Appendix B. These indices demonstrate competing objectives and are not prices or measured embodied emissions. Among designs passing the two toy checks, the nondominated set for</w:t>
      </w:r>
      <w:r>
        <w:t xml:space="preserve"> </w:t>
      </w:r>
      <m:oMath>
        <m:d>
          <m:dPr>
            <m:begChr m:val="("/>
            <m:endChr m:val=")"/>
            <m:sepChr m:val=""/>
            <m:grow/>
          </m:dPr>
          <m:e>
            <m:r>
              <m:t>m</m:t>
            </m:r>
            <m:r>
              <m:rPr>
                <m:sty m:val="p"/>
              </m:rPr>
              <m:t>,</m:t>
            </m:r>
            <m:r>
              <m:t>C</m:t>
            </m:r>
            <m:r>
              <m:rPr>
                <m:sty m:val="p"/>
              </m:rPr>
              <m:t>,</m:t>
            </m:r>
            <m:r>
              <m:t>E</m:t>
            </m:r>
          </m:e>
        </m:d>
      </m:oMath>
      <w:r>
        <w:t xml:space="preserve"> </w:t>
      </w:r>
      <w:r>
        <w:t xml:space="preserve">is S4, S6, and S8.</w:t>
      </w:r>
    </w:p>
    <w:p>
      <w:pPr>
        <w:pStyle w:val="Caption"/>
        <w:keepNext/>
      </w:pPr>
      <w:r>
        <w:rPr>
          <w:bCs/>
          <w:b w:val="0"/>
        </w:rPr>
        <w:t xml:space="preserve">Table 6. The three verified toy alternatives</w:t>
      </w:r>
    </w:p>
    <w:tbl>
      <w:tblPr>
        <w:tblStyle w:val="TableGrid"/>
        <w:tblW w:type="dxa" w:w="993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592"/>
        <w:gridCol w:w="2952"/>
        <w:gridCol w:w="2952"/>
      </w:tblGrid>
      <w:tr>
        <w:trPr>
          <w:cantSplit/>
          <w:tblHeader/>
        </w:trPr>
        <w:tc>
          <w:tcPr>
            <w:tcW w:type="dxa" w:w="1440"/>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Section</w:t>
            </w:r>
          </w:p>
        </w:tc>
        <w:tc>
          <w:tcPr>
            <w:tcW w:type="dxa" w:w="2592"/>
            <w:vAlign w:val="center"/>
            <w:tcMar>
              <w:top w:w="80" w:type="dxa"/>
              <w:bottom w:w="80" w:type="dxa"/>
              <w:left w:w="85" w:type="dxa"/>
              <w:right w:w="85" w:type="dxa"/>
            </w:tcMar>
            <w:shd w:fill="EAEAEA"/>
          </w:tcPr>
          <w:p>
            <w:pPr>
              <w:keepNext/>
              <w:keepLines/>
              <w:spacing w:after="0" w:before="0" w:line="247" w:lineRule="auto"/>
              <w:jc w:val="right"/>
            </w:pPr>
            <w:r>
              <w:rPr>
                <w:b/>
                <w:sz w:val="21"/>
              </w:rPr>
              <w:t xml:space="preserve">Mass kg</w:t>
            </w:r>
          </w:p>
        </w:tc>
        <w:tc>
          <w:tcPr>
            <w:tcW w:type="dxa" w:w="2952"/>
            <w:vAlign w:val="center"/>
            <w:tcMar>
              <w:top w:w="80" w:type="dxa"/>
              <w:bottom w:w="80" w:type="dxa"/>
              <w:left w:w="85" w:type="dxa"/>
              <w:right w:w="85" w:type="dxa"/>
            </w:tcMar>
            <w:shd w:fill="EAEAEA"/>
          </w:tcPr>
          <w:p>
            <w:pPr>
              <w:keepNext/>
              <w:keepLines/>
              <w:spacing w:after="0" w:before="0" w:line="247" w:lineRule="auto"/>
              <w:jc w:val="right"/>
            </w:pPr>
            <w:r>
              <w:rPr>
                <w:b/>
                <w:sz w:val="21"/>
              </w:rPr>
              <w:t xml:space="preserve">Cost index</w:t>
            </w:r>
          </w:p>
        </w:tc>
        <w:tc>
          <w:tcPr>
            <w:tcW w:type="dxa" w:w="2952"/>
            <w:vAlign w:val="center"/>
            <w:tcMar>
              <w:top w:w="80" w:type="dxa"/>
              <w:bottom w:w="80" w:type="dxa"/>
              <w:left w:w="85" w:type="dxa"/>
              <w:right w:w="85" w:type="dxa"/>
            </w:tcMar>
            <w:shd w:fill="EAEAEA"/>
          </w:tcPr>
          <w:p>
            <w:pPr>
              <w:keepNext/>
              <w:keepLines/>
              <w:spacing w:after="0" w:before="0" w:line="247" w:lineRule="auto"/>
              <w:jc w:val="right"/>
            </w:pPr>
            <w:r>
              <w:rPr>
                <w:b/>
                <w:sz w:val="21"/>
              </w:rPr>
              <w:t xml:space="preserve">Carbon index</w:t>
            </w:r>
          </w:p>
        </w:tc>
      </w:tr>
      <w:tr>
        <w:trPr>
          <w:cantSplit/>
        </w:trPr>
        <w:tc>
          <w:tcPr>
            <w:tcW w:type="dxa" w:w="1440"/>
            <w:vAlign w:val="center"/>
            <w:tcMar>
              <w:top w:w="80" w:type="dxa"/>
              <w:bottom w:w="80" w:type="dxa"/>
              <w:left w:w="85" w:type="dxa"/>
              <w:right w:w="85" w:type="dxa"/>
            </w:tcMar>
            <w:shd w:fill="FFFFFF"/>
          </w:tcPr>
          <w:p>
            <w:pPr>
              <w:keepNext/>
              <w:keepLines/>
              <w:spacing w:after="0" w:before="0" w:line="247" w:lineRule="auto"/>
              <w:jc w:val="left"/>
            </w:pPr>
            <w:r>
              <w:rPr>
                <w:b w:val="0"/>
                <w:sz w:val="21"/>
              </w:rPr>
              <w:t xml:space="preserve">S4</w:t>
            </w:r>
          </w:p>
        </w:tc>
        <w:tc>
          <w:tcPr>
            <w:tcW w:type="dxa" w:w="2592"/>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234.558</w:t>
            </w:r>
          </w:p>
        </w:tc>
        <w:tc>
          <w:tcPr>
            <w:tcW w:type="dxa" w:w="2952"/>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469.116</w:t>
            </w:r>
          </w:p>
        </w:tc>
        <w:tc>
          <w:tcPr>
            <w:tcW w:type="dxa" w:w="2952"/>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516.028</w:t>
            </w:r>
          </w:p>
        </w:tc>
      </w:tr>
      <w:tr>
        <w:trPr>
          <w:cantSplit/>
        </w:trPr>
        <w:tc>
          <w:tcPr>
            <w:tcW w:type="dxa" w:w="1440"/>
            <w:vAlign w:val="center"/>
            <w:tcMar>
              <w:top w:w="80" w:type="dxa"/>
              <w:bottom w:w="80" w:type="dxa"/>
              <w:left w:w="85" w:type="dxa"/>
              <w:right w:w="85" w:type="dxa"/>
            </w:tcMar>
            <w:shd w:fill="FFFFFF"/>
          </w:tcPr>
          <w:p>
            <w:pPr>
              <w:keepNext/>
              <w:keepLines/>
              <w:spacing w:after="0" w:before="0" w:line="247" w:lineRule="auto"/>
              <w:jc w:val="left"/>
            </w:pPr>
            <w:r>
              <w:rPr>
                <w:b w:val="0"/>
                <w:sz w:val="21"/>
              </w:rPr>
              <w:t xml:space="preserve">S6</w:t>
            </w:r>
          </w:p>
        </w:tc>
        <w:tc>
          <w:tcPr>
            <w:tcW w:type="dxa" w:w="2592"/>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258.108</w:t>
            </w:r>
          </w:p>
        </w:tc>
        <w:tc>
          <w:tcPr>
            <w:tcW w:type="dxa" w:w="2952"/>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438.784</w:t>
            </w:r>
          </w:p>
        </w:tc>
        <w:tc>
          <w:tcPr>
            <w:tcW w:type="dxa" w:w="2952"/>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412.973</w:t>
            </w:r>
          </w:p>
        </w:tc>
      </w:tr>
      <w:tr>
        <w:trPr>
          <w:cantSplit/>
        </w:trPr>
        <w:tc>
          <w:tcPr>
            <w:tcW w:type="dxa" w:w="1440"/>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S8</w:t>
            </w:r>
          </w:p>
        </w:tc>
        <w:tc>
          <w:tcPr>
            <w:tcW w:type="dxa" w:w="2592"/>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291.078</w:t>
            </w:r>
          </w:p>
        </w:tc>
        <w:tc>
          <w:tcPr>
            <w:tcW w:type="dxa" w:w="2952"/>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407.509</w:t>
            </w:r>
          </w:p>
        </w:tc>
        <w:tc>
          <w:tcPr>
            <w:tcW w:type="dxa" w:w="2952"/>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291.078</w:t>
            </w:r>
          </w:p>
        </w:tc>
      </w:tr>
    </w:tbl>
    <w:p>
      <w:pPr>
        <w:pStyle w:val="BodyText"/>
        <w:spacing w:before="140"/>
      </w:pPr>
      <w:r>
        <w:t xml:space="preserve">S4 minimizes mass in this eligible set, while S8 has better toy cost and carbon indices. S6 is intermediate. The density family can allocate proposals across these preferences; the final deliverable retains the verified objective vectors and the chosen project decision.</w:t>
      </w:r>
    </w:p>
    <w:bookmarkEnd w:id="46"/>
    <w:bookmarkStart w:id="47" w:name="X6990c92ef10bb1691cccdff7cb7de1661902a63"/>
    <w:p>
      <w:pPr>
        <w:pStyle w:val="Heading2"/>
      </w:pPr>
      <w:r>
        <w:t xml:space="preserve">The same calculation as a harness workflow</w:t>
      </w:r>
    </w:p>
    <w:p>
      <w:pPr>
        <w:pStyle w:val="FirstParagraph"/>
      </w:pPr>
      <w:r>
        <w:t xml:space="preserve">The requirement bundle contains the span, load, material values, criteria, units, and source revision. A property service provides section geometry, from which the adapter recomputes</w:t>
      </w:r>
      <w:r>
        <w:t xml:space="preserve"> </w:t>
      </w:r>
      <m:oMath>
        <m:r>
          <m:t>A</m:t>
        </m:r>
        <m:r>
          <m:rPr>
            <m:sty m:val="p"/>
          </m:rPr>
          <m:t>,</m:t>
        </m:r>
        <m:r>
          <m:t>I</m:t>
        </m:r>
        <m:r>
          <m:rPr>
            <m:sty m:val="p"/>
          </m:rPr>
          <m:t>,</m:t>
        </m:r>
        <m:r>
          <m:t>W</m:t>
        </m:r>
      </m:oMath>
      <w:r>
        <w:t xml:space="preserve">. The workspace stores the realized section, calculations, and report data. The evidence graph links each response to the exact geometry and load bundle. The evaluation stage forms the objective vector and both check outcomes. A released demonstration report is bound to those hashes.</w:t>
      </w:r>
    </w:p>
    <w:p>
      <w:pPr>
        <w:pStyle w:val="BodyText"/>
      </w:pPr>
      <w:r>
        <w:t xml:space="preserve">An executable mechanism check creates a verification record for S4 at the original load. It accepts the unchanged artifact and inputs. It then rejects three variants: a changed load with the old record, a changed artifact with the old record, and a record whose trusted validation result is failure. The check uses an authority-owned record in a deterministic test; a production implementation additionally needs authentic issuer and authorization handling.</w:t>
      </w:r>
    </w:p>
    <w:p>
      <w:pPr>
        <w:pStyle w:val="BodyText"/>
      </w:pPr>
      <w:r>
        <w:t xml:space="preserve">Changing the external load to 30 kN/m invalidates the old record before any new engineering conclusion is made. Recalculation makes S4 exceed both toy limits: approximately 228.543 MPa and 24.487 mm. The appropriate next action is to rerun the eligible alternatives or revise the design, not to reuse the earlier</w:t>
      </w:r>
      <w:r>
        <w:t xml:space="preserve"> </w:t>
      </w:r>
      <w:r>
        <w:t xml:space="preserve">“</w:t>
      </w:r>
      <w:r>
        <w:t xml:space="preserve">pass</w:t>
      </w:r>
      <w:r>
        <w:t xml:space="preserve">”</w:t>
      </w:r>
      <w:r>
        <w:t xml:space="preserve"> </w:t>
      </w:r>
      <w:r>
        <w:t xml:space="preserve">text. This is the operational meaning of iterative knowledge integration: updated task knowledge changes the state, invalidates dependent evidence, and changes subsequent actions while the model weights remain fixed.</w:t>
      </w:r>
    </w:p>
    <w:p>
      <w:pPr>
        <w:pStyle w:val="BodyText"/>
      </w:pPr>
      <w:r>
        <w:t xml:space="preserve">The demonstration executes analytic formulas and gate checks. It does not execute a language model, a commercial structural solver, a BIM connection, or a complete Construction Harness implementation. Its role is to specify a small part of the architecture precisely enough to reproduce and test.</w:t>
      </w:r>
    </w:p>
    <w:bookmarkEnd w:id="47"/>
    <w:bookmarkEnd w:id="48"/>
    <w:bookmarkStart w:id="52" w:name="X7544d54b1df438f60ca519d80afaea3c17fa50a"/>
    <w:p>
      <w:pPr>
        <w:pStyle w:val="Heading1"/>
      </w:pPr>
      <w:r>
        <w:t xml:space="preserve">10 Numerical checks of the density formulation</w:t>
      </w:r>
    </w:p>
    <w:p>
      <w:pPr>
        <w:pStyle w:val="FirstParagraph"/>
        <w:keepNext/>
      </w:pPr>
      <w:r>
        <w:t xml:space="preserve">Consider five constructed harness configurations with two dimensionless minimized losses, quality loss and resource loss:</w:t>
      </w:r>
    </w:p>
    <w:p>
      <w:pPr>
        <w:pStyle w:val="BodyText"/>
        <w:keepLines/>
        <w:spacing w:before="60" w:after="120"/>
        <w:jc w:val="center"/>
      </w:pPr>
      <m:oMathPara>
        <m:oMathParaPr>
          <m:jc m:val="center"/>
        </m:oMathParaPr>
        <m:oMath>
          <m:m>
            <m:mPr>
              <m:baseJc m:val="center"/>
              <m:plcHide m:val="on"/>
              <m:mcs>
                <m:mc>
                  <m:mcPr>
                    <m:mcJc m:val="right"/>
                    <m:count m:val="1"/>
                  </m:mcPr>
                </m:mc>
                <m:mc>
                  <m:mcPr>
                    <m:mcJc m:val="left"/>
                    <m:count m:val="1"/>
                  </m:mcPr>
                </m:mc>
              </m:mcs>
            </m:mPr>
            <m:mr>
              <m:e>
                <m:r>
                  <m:t>J</m:t>
                </m:r>
                <m:d>
                  <m:dPr>
                    <m:begChr m:val="("/>
                    <m:endChr m:val=")"/>
                    <m:sepChr m:val=""/>
                    <m:grow/>
                  </m:dPr>
                  <m:e>
                    <m:sSub>
                      <m:e>
                        <m:r>
                          <m:t>H</m:t>
                        </m:r>
                      </m:e>
                      <m:sub>
                        <m:r>
                          <m:t>A</m:t>
                        </m:r>
                      </m:sub>
                    </m:sSub>
                  </m:e>
                </m:d>
              </m:e>
              <m:e>
                <m:r>
                  <m:rPr>
                    <m:sty m:val="p"/>
                  </m:rPr>
                  <m:t>=</m:t>
                </m:r>
                <m:d>
                  <m:dPr>
                    <m:begChr m:val="("/>
                    <m:endChr m:val=")"/>
                    <m:sepChr m:val=""/>
                    <m:grow/>
                  </m:dPr>
                  <m:e>
                    <m:r>
                      <m:t>0.1</m:t>
                    </m:r>
                    <m:r>
                      <m:rPr>
                        <m:sty m:val="p"/>
                      </m:rPr>
                      <m:t>,</m:t>
                    </m:r>
                    <m:r>
                      <m:t>0.9</m:t>
                    </m:r>
                  </m:e>
                </m:d>
                <m:r>
                  <m:rPr>
                    <m:sty m:val="p"/>
                  </m:rPr>
                  <m:t>,</m:t>
                </m:r>
                <m:r>
                  <m:rPr>
                    <m:nor/>
                  </m:rPr>
                  <m:t xml:space="preserve">    </m:t>
                </m:r>
                <m:r>
                  <m:t>J</m:t>
                </m:r>
                <m:d>
                  <m:dPr>
                    <m:begChr m:val="("/>
                    <m:endChr m:val=")"/>
                    <m:sepChr m:val=""/>
                    <m:grow/>
                  </m:dPr>
                  <m:e>
                    <m:sSub>
                      <m:e>
                        <m:r>
                          <m:t>H</m:t>
                        </m:r>
                      </m:e>
                      <m:sub>
                        <m:r>
                          <m:t>B</m:t>
                        </m:r>
                      </m:sub>
                    </m:sSub>
                  </m:e>
                </m:d>
                <m:r>
                  <m:rPr>
                    <m:sty m:val="p"/>
                  </m:rPr>
                  <m:t>=</m:t>
                </m:r>
                <m:d>
                  <m:dPr>
                    <m:begChr m:val="("/>
                    <m:endChr m:val=")"/>
                    <m:sepChr m:val=""/>
                    <m:grow/>
                  </m:dPr>
                  <m:e>
                    <m:r>
                      <m:t>0.6</m:t>
                    </m:r>
                    <m:r>
                      <m:rPr>
                        <m:sty m:val="p"/>
                      </m:rPr>
                      <m:t>,</m:t>
                    </m:r>
                    <m:r>
                      <m:t>0.6</m:t>
                    </m:r>
                  </m:e>
                </m:d>
                <m:r>
                  <m:rPr>
                    <m:sty m:val="p"/>
                  </m:rPr>
                  <m:t>,</m:t>
                </m:r>
                <m:r>
                  <m:rPr>
                    <m:nor/>
                  </m:rPr>
                  <m:t xml:space="preserve">    </m:t>
                </m:r>
                <m:r>
                  <m:t>J</m:t>
                </m:r>
                <m:d>
                  <m:dPr>
                    <m:begChr m:val="("/>
                    <m:endChr m:val=")"/>
                    <m:sepChr m:val=""/>
                    <m:grow/>
                  </m:dPr>
                  <m:e>
                    <m:sSub>
                      <m:e>
                        <m:r>
                          <m:t>H</m:t>
                        </m:r>
                      </m:e>
                      <m:sub>
                        <m:r>
                          <m:t>C</m:t>
                        </m:r>
                      </m:sub>
                    </m:sSub>
                  </m:e>
                </m:d>
                <m:r>
                  <m:rPr>
                    <m:sty m:val="p"/>
                  </m:rPr>
                  <m:t>=</m:t>
                </m:r>
                <m:d>
                  <m:dPr>
                    <m:begChr m:val="("/>
                    <m:endChr m:val=")"/>
                    <m:sepChr m:val=""/>
                    <m:grow/>
                  </m:dPr>
                  <m:e>
                    <m:r>
                      <m:t>0.9</m:t>
                    </m:r>
                    <m:r>
                      <m:rPr>
                        <m:sty m:val="p"/>
                      </m:rPr>
                      <m:t>,</m:t>
                    </m:r>
                    <m:r>
                      <m:t>0.1</m:t>
                    </m:r>
                  </m:e>
                </m:d>
                <m:r>
                  <m:rPr>
                    <m:sty m:val="p"/>
                  </m:rPr>
                  <m:t>,</m:t>
                </m:r>
              </m:e>
            </m:mr>
            <m:mr>
              <m:e>
                <m:r>
                  <m:t>J</m:t>
                </m:r>
                <m:d>
                  <m:dPr>
                    <m:begChr m:val="("/>
                    <m:endChr m:val=")"/>
                    <m:sepChr m:val=""/>
                    <m:grow/>
                  </m:dPr>
                  <m:e>
                    <m:sSub>
                      <m:e>
                        <m:r>
                          <m:t>H</m:t>
                        </m:r>
                      </m:e>
                      <m:sub>
                        <m:r>
                          <m:t>D</m:t>
                        </m:r>
                      </m:sub>
                    </m:sSub>
                  </m:e>
                </m:d>
              </m:e>
              <m:e>
                <m:r>
                  <m:rPr>
                    <m:sty m:val="p"/>
                  </m:rPr>
                  <m:t>=</m:t>
                </m:r>
                <m:d>
                  <m:dPr>
                    <m:begChr m:val="("/>
                    <m:endChr m:val=")"/>
                    <m:sepChr m:val=""/>
                    <m:grow/>
                  </m:dPr>
                  <m:e>
                    <m:r>
                      <m:t>0.8</m:t>
                    </m:r>
                    <m:r>
                      <m:rPr>
                        <m:sty m:val="p"/>
                      </m:rPr>
                      <m:t>,</m:t>
                    </m:r>
                    <m:r>
                      <m:t>0.8</m:t>
                    </m:r>
                  </m:e>
                </m:d>
                <m:r>
                  <m:rPr>
                    <m:sty m:val="p"/>
                  </m:rPr>
                  <m:t>,</m:t>
                </m:r>
                <m:r>
                  <m:rPr>
                    <m:nor/>
                  </m:rPr>
                  <m:t xml:space="preserve">    </m:t>
                </m:r>
                <m:r>
                  <m:t>J</m:t>
                </m:r>
                <m:d>
                  <m:dPr>
                    <m:begChr m:val="("/>
                    <m:endChr m:val=")"/>
                    <m:sepChr m:val=""/>
                    <m:grow/>
                  </m:dPr>
                  <m:e>
                    <m:sSub>
                      <m:e>
                        <m:r>
                          <m:t>H</m:t>
                        </m:r>
                      </m:e>
                      <m:sub>
                        <m:r>
                          <m:t>X</m:t>
                        </m:r>
                      </m:sub>
                    </m:sSub>
                  </m:e>
                </m:d>
                <m:r>
                  <m:rPr>
                    <m:sty m:val="p"/>
                  </m:rPr>
                  <m:t>=</m:t>
                </m:r>
                <m:d>
                  <m:dPr>
                    <m:begChr m:val="("/>
                    <m:endChr m:val=")"/>
                    <m:sepChr m:val=""/>
                    <m:grow/>
                  </m:dPr>
                  <m:e>
                    <m:r>
                      <m:t>0.05</m:t>
                    </m:r>
                    <m:r>
                      <m:rPr>
                        <m:sty m:val="p"/>
                      </m:rPr>
                      <m:t>,</m:t>
                    </m:r>
                    <m:r>
                      <m:t>0.05</m:t>
                    </m:r>
                  </m:e>
                </m:d>
                <m:r>
                  <m:rPr>
                    <m:sty m:val="p"/>
                  </m:rPr>
                  <m:t>.</m:t>
                </m:r>
              </m:e>
            </m:mr>
          </m:m>
          <m:r>
            <m:rPr>
              <m:nor/>
            </m:rPr>
            <m:t xml:space="preserve">    </m:t>
          </m:r>
          <m:r>
            <m:rPr>
              <m:nor/>
              <m:sty m:val="p"/>
            </m:rPr>
            <m:t>(20)</m:t>
          </m:r>
        </m:oMath>
      </m:oMathPara>
    </w:p>
    <w:p>
      <w:pPr>
        <w:pStyle w:val="FirstParagraph"/>
      </w:pPr>
      <w:r>
        <w:t xml:space="preserve">The first four are eligible.</w:t>
      </w:r>
      <w:r>
        <w:t xml:space="preserve"> </w:t>
      </w:r>
      <m:oMath>
        <m:sSub>
          <m:e>
            <m:r>
              <m:t>H</m:t>
            </m:r>
          </m:e>
          <m:sub>
            <m:r>
              <m:t>X</m:t>
            </m:r>
          </m:sub>
        </m:sSub>
      </m:oMath>
      <w:r>
        <w:t xml:space="preserve"> </w:t>
      </w:r>
      <w:r>
        <w:t xml:space="preserve">is ineligible under the external protocol and is excluded despite its attractive scores. The eligible Pareto set is</w:t>
      </w:r>
      <w:r>
        <w:t xml:space="preserve"> </w:t>
      </w:r>
      <m:oMath>
        <m:r>
          <m:rPr>
            <m:sty m:val="p"/>
          </m:rPr>
          <m:t>{</m:t>
        </m:r>
        <m:sSub>
          <m:e>
            <m:r>
              <m:t>H</m:t>
            </m:r>
          </m:e>
          <m:sub>
            <m:r>
              <m:t>A</m:t>
            </m:r>
          </m:sub>
        </m:sSub>
        <m:r>
          <m:rPr>
            <m:sty m:val="p"/>
          </m:rPr>
          <m:t>,</m:t>
        </m:r>
        <m:sSub>
          <m:e>
            <m:r>
              <m:t>H</m:t>
            </m:r>
          </m:e>
          <m:sub>
            <m:r>
              <m:t>B</m:t>
            </m:r>
          </m:sub>
        </m:sSub>
        <m:r>
          <m:rPr>
            <m:sty m:val="p"/>
          </m:rPr>
          <m:t>,</m:t>
        </m:r>
        <m:sSub>
          <m:e>
            <m:r>
              <m:t>H</m:t>
            </m:r>
          </m:e>
          <m:sub>
            <m:r>
              <m:t>C</m:t>
            </m:r>
          </m:sub>
        </m:sSub>
        <m:r>
          <m:rPr>
            <m:sty m:val="p"/>
          </m:rPr>
          <m:t>}</m:t>
        </m:r>
      </m:oMath>
      <w:r>
        <w:t xml:space="preserve">;</w:t>
      </w:r>
      <w:r>
        <w:t xml:space="preserve"> </w:t>
      </w:r>
      <m:oMath>
        <m:sSub>
          <m:e>
            <m:r>
              <m:t>H</m:t>
            </m:r>
          </m:e>
          <m:sub>
            <m:r>
              <m:t>D</m:t>
            </m:r>
          </m:sub>
        </m:sSub>
      </m:oMath>
      <w:r>
        <w:t xml:space="preserve"> </w:t>
      </w:r>
      <w:r>
        <w:t xml:space="preserve">is dominated by</w:t>
      </w:r>
      <w:r>
        <w:t xml:space="preserve"> </w:t>
      </w:r>
      <m:oMath>
        <m:sSub>
          <m:e>
            <m:r>
              <m:t>H</m:t>
            </m:r>
          </m:e>
          <m:sub>
            <m:r>
              <m:t>B</m:t>
            </m:r>
          </m:sub>
        </m:sSub>
      </m:oMath>
      <w:r>
        <w:t xml:space="preserve">.</w:t>
      </w:r>
    </w:p>
    <w:p>
      <w:pPr>
        <w:pStyle w:val="BodyText"/>
      </w:pPr>
      <w:r>
        <w:t xml:space="preserve">No weighted sum</w:t>
      </w:r>
      <w:r>
        <w:t xml:space="preserve"> </w:t>
      </w:r>
      <m:oMath>
        <m:r>
          <m:t>w</m:t>
        </m:r>
        <m:sSub>
          <m:e>
            <m:r>
              <m:t>J</m:t>
            </m:r>
          </m:e>
          <m:sub>
            <m:r>
              <m:t>1</m:t>
            </m:r>
          </m:sub>
        </m:sSub>
        <m:r>
          <m:rPr>
            <m:sty m:val="p"/>
          </m:rPr>
          <m:t>+</m:t>
        </m:r>
        <m:d>
          <m:dPr>
            <m:begChr m:val="("/>
            <m:endChr m:val=")"/>
            <m:sepChr m:val=""/>
            <m:grow/>
          </m:dPr>
          <m:e>
            <m:r>
              <m:t>1</m:t>
            </m:r>
            <m:r>
              <m:rPr>
                <m:sty m:val="p"/>
              </m:rPr>
              <m:t>−</m:t>
            </m:r>
            <m:r>
              <m:t>w</m:t>
            </m:r>
          </m:e>
        </m:d>
        <m:sSub>
          <m:e>
            <m:r>
              <m:t>J</m:t>
            </m:r>
          </m:e>
          <m:sub>
            <m:r>
              <m:t>2</m:t>
            </m:r>
          </m:sub>
        </m:sSub>
      </m:oMath>
      <w:r>
        <w:t xml:space="preserve"> </w:t>
      </w:r>
      <w:r>
        <w:t xml:space="preserve">selects</w:t>
      </w:r>
      <w:r>
        <w:t xml:space="preserve"> </w:t>
      </w:r>
      <m:oMath>
        <m:sSub>
          <m:e>
            <m:r>
              <m:t>H</m:t>
            </m:r>
          </m:e>
          <m:sub>
            <m:r>
              <m:t>B</m:t>
            </m:r>
          </m:sub>
        </m:sSub>
      </m:oMath>
      <w:r>
        <w:t xml:space="preserve">. Its score is always 0.6, whereas the better of</w:t>
      </w:r>
      <w:r>
        <w:t xml:space="preserve"> </w:t>
      </w:r>
      <m:oMath>
        <m:sSub>
          <m:e>
            <m:r>
              <m:t>H</m:t>
            </m:r>
          </m:e>
          <m:sub>
            <m:r>
              <m:t>A</m:t>
            </m:r>
          </m:sub>
        </m:sSub>
      </m:oMath>
      <w:r>
        <w:t xml:space="preserve"> </w:t>
      </w:r>
      <w:r>
        <w:t xml:space="preserve">and</w:t>
      </w:r>
      <w:r>
        <w:t xml:space="preserve"> </w:t>
      </w:r>
      <m:oMath>
        <m:sSub>
          <m:e>
            <m:r>
              <m:t>H</m:t>
            </m:r>
          </m:e>
          <m:sub>
            <m:r>
              <m:t>C</m:t>
            </m:r>
          </m:sub>
        </m:sSub>
      </m:oMath>
      <w:r>
        <w:t xml:space="preserve"> </w:t>
      </w:r>
      <w:r>
        <w:t xml:space="preserve">has score at most 0.5. In contrast, equal-weight Chebyshev scores with reference zero are 0.45, 0.30, 0.45, and 0.40, so</w:t>
      </w:r>
      <w:r>
        <w:t xml:space="preserve"> </w:t>
      </w:r>
      <m:oMath>
        <m:sSub>
          <m:e>
            <m:r>
              <m:t>H</m:t>
            </m:r>
          </m:e>
          <m:sub>
            <m:r>
              <m:t>B</m:t>
            </m:r>
          </m:sub>
        </m:sSub>
      </m:oMath>
      <w:r>
        <w:t xml:space="preserve"> </w:t>
      </w:r>
      <w:r>
        <w:t xml:space="preserve">is the unique minimizer. This exact finite example illustrates the representation issue motivating decomposition, rather than implying that every practical harness frontier is nonconvex [2].</w:t>
      </w:r>
    </w:p>
    <w:p>
      <w:pPr>
        <w:pStyle w:val="BodyText"/>
      </w:pPr>
      <w:r>
        <w:t xml:space="preserve">Use uniform reference masses,</w:t>
      </w:r>
      <w:r>
        <w:t xml:space="preserve"> </w:t>
      </w:r>
      <m:oMath>
        <m:r>
          <m:t>β</m:t>
        </m:r>
        <m:r>
          <m:rPr>
            <m:sty m:val="p"/>
          </m:rPr>
          <m:t>=</m:t>
        </m:r>
        <m:r>
          <m:t>30</m:t>
        </m:r>
      </m:oMath>
      <w:r>
        <w:t xml:space="preserve">, three preferences</w:t>
      </w:r>
      <w:r>
        <w:t xml:space="preserve"> </w:t>
      </w:r>
      <m:oMath>
        <m:d>
          <m:dPr>
            <m:begChr m:val="("/>
            <m:endChr m:val=")"/>
            <m:sepChr m:val=""/>
            <m:grow/>
          </m:dPr>
          <m:e>
            <m:r>
              <m:t>0.9</m:t>
            </m:r>
            <m:r>
              <m:rPr>
                <m:sty m:val="p"/>
              </m:rPr>
              <m:t>,</m:t>
            </m:r>
            <m:r>
              <m:t>0.1</m:t>
            </m:r>
          </m:e>
        </m:d>
      </m:oMath>
      <w:r>
        <w:t xml:space="preserve">,</w:t>
      </w:r>
      <w:r>
        <w:t xml:space="preserve"> </w:t>
      </w:r>
      <m:oMath>
        <m:d>
          <m:dPr>
            <m:begChr m:val="("/>
            <m:endChr m:val=")"/>
            <m:sepChr m:val=""/>
            <m:grow/>
          </m:dPr>
          <m:e>
            <m:r>
              <m:t>0.5</m:t>
            </m:r>
            <m:r>
              <m:rPr>
                <m:sty m:val="p"/>
              </m:rPr>
              <m:t>,</m:t>
            </m:r>
            <m:r>
              <m:t>0.5</m:t>
            </m:r>
          </m:e>
        </m:d>
      </m:oMath>
      <w:r>
        <w:t xml:space="preserve">, and</w:t>
      </w:r>
      <w:r>
        <w:t xml:space="preserve"> </w:t>
      </w:r>
      <m:oMath>
        <m:d>
          <m:dPr>
            <m:begChr m:val="("/>
            <m:endChr m:val=")"/>
            <m:sepChr m:val=""/>
            <m:grow/>
          </m:dPr>
          <m:e>
            <m:r>
              <m:t>0.1</m:t>
            </m:r>
            <m:r>
              <m:rPr>
                <m:sty m:val="p"/>
              </m:rPr>
              <m:t>,</m:t>
            </m:r>
            <m:r>
              <m:t>0.9</m:t>
            </m:r>
          </m:e>
        </m:d>
      </m:oMath>
      <w:r>
        <w:t xml:space="preserve">, and equal mixture masses. Direct evaluation of (7) and (9) gives the following probabilities.</w:t>
      </w:r>
    </w:p>
    <w:p>
      <w:pPr>
        <w:pStyle w:val="Caption"/>
        <w:keepNext/>
      </w:pPr>
      <w:r>
        <w:rPr>
          <w:bCs/>
          <w:b w:val="0"/>
        </w:rPr>
        <w:t xml:space="preserve">Table 7. Preference densities and normalization</w:t>
      </w:r>
    </w:p>
    <w:tbl>
      <w:tblPr>
        <w:tblStyle w:val="TableGrid"/>
        <w:tblW w:type="dxa" w:w="993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2196"/>
        <w:gridCol w:w="2196"/>
        <w:gridCol w:w="2196"/>
        <w:gridCol w:w="2196"/>
      </w:tblGrid>
      <w:tr>
        <w:trPr>
          <w:cantSplit/>
          <w:tblHeader/>
        </w:trPr>
        <w:tc>
          <w:tcPr>
            <w:tcW w:type="dxa" w:w="1152"/>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Candidate</w:t>
            </w:r>
          </w:p>
        </w:tc>
        <w:tc>
          <w:tcPr>
            <w:tcW w:type="dxa" w:w="2196"/>
            <w:vAlign w:val="center"/>
            <w:tcMar>
              <w:top w:w="80" w:type="dxa"/>
              <w:bottom w:w="80" w:type="dxa"/>
              <w:left w:w="85" w:type="dxa"/>
              <w:right w:w="85" w:type="dxa"/>
            </w:tcMar>
            <w:shd w:fill="EAEAEA"/>
          </w:tcPr>
          <w:p>
            <w:pPr>
              <w:keepNext/>
              <w:keepLines/>
              <w:spacing w:after="0" w:before="0" w:line="247" w:lineRule="auto"/>
              <w:jc w:val="right"/>
            </w:pPr>
            <w:r>
              <w:rPr>
                <w:b/>
                <w:sz w:val="21"/>
              </w:rPr>
              <w:t xml:space="preserve">Preference 0.9 0.1</w:t>
            </w:r>
          </w:p>
        </w:tc>
        <w:tc>
          <w:tcPr>
            <w:tcW w:type="dxa" w:w="2196"/>
            <w:vAlign w:val="center"/>
            <w:tcMar>
              <w:top w:w="80" w:type="dxa"/>
              <w:bottom w:w="80" w:type="dxa"/>
              <w:left w:w="85" w:type="dxa"/>
              <w:right w:w="85" w:type="dxa"/>
            </w:tcMar>
            <w:shd w:fill="EAEAEA"/>
          </w:tcPr>
          <w:p>
            <w:pPr>
              <w:keepNext/>
              <w:keepLines/>
              <w:spacing w:after="0" w:before="0" w:line="247" w:lineRule="auto"/>
              <w:jc w:val="right"/>
            </w:pPr>
            <w:r>
              <w:rPr>
                <w:b/>
                <w:sz w:val="21"/>
              </w:rPr>
              <w:t xml:space="preserve">Preference 0.5 0.5</w:t>
            </w:r>
          </w:p>
        </w:tc>
        <w:tc>
          <w:tcPr>
            <w:tcW w:type="dxa" w:w="2196"/>
            <w:vAlign w:val="center"/>
            <w:tcMar>
              <w:top w:w="80" w:type="dxa"/>
              <w:bottom w:w="80" w:type="dxa"/>
              <w:left w:w="85" w:type="dxa"/>
              <w:right w:w="85" w:type="dxa"/>
            </w:tcMar>
            <w:shd w:fill="EAEAEA"/>
          </w:tcPr>
          <w:p>
            <w:pPr>
              <w:keepNext/>
              <w:keepLines/>
              <w:spacing w:after="0" w:before="0" w:line="247" w:lineRule="auto"/>
              <w:jc w:val="right"/>
            </w:pPr>
            <w:r>
              <w:rPr>
                <w:b/>
                <w:sz w:val="21"/>
              </w:rPr>
              <w:t xml:space="preserve">Preference 0.1 0.9</w:t>
            </w:r>
          </w:p>
        </w:tc>
        <w:tc>
          <w:tcPr>
            <w:tcW w:type="dxa" w:w="2196"/>
            <w:vAlign w:val="center"/>
            <w:tcMar>
              <w:top w:w="80" w:type="dxa"/>
              <w:bottom w:w="80" w:type="dxa"/>
              <w:left w:w="85" w:type="dxa"/>
              <w:right w:w="85" w:type="dxa"/>
            </w:tcMar>
            <w:shd w:fill="EAEAEA"/>
          </w:tcPr>
          <w:p>
            <w:pPr>
              <w:keepNext/>
              <w:keepLines/>
              <w:spacing w:after="0" w:before="0" w:line="247" w:lineRule="auto"/>
              <w:jc w:val="right"/>
            </w:pPr>
            <w:r>
              <w:rPr>
                <w:b/>
                <w:sz w:val="21"/>
              </w:rPr>
              <w:t xml:space="preserve">Normalized mixture</w:t>
            </w:r>
          </w:p>
        </w:tc>
      </w:tr>
      <w:tr>
        <w:trPr>
          <w:cantSplit/>
        </w:trPr>
        <w:tc>
          <w:tcPr>
            <w:tcW w:type="dxa" w:w="1152"/>
            <w:vAlign w:val="center"/>
            <w:tcMar>
              <w:top w:w="80" w:type="dxa"/>
              <w:bottom w:w="80" w:type="dxa"/>
              <w:left w:w="85" w:type="dxa"/>
              <w:right w:w="85" w:type="dxa"/>
            </w:tcMar>
            <w:shd w:fill="FFFFFF"/>
          </w:tcPr>
          <w:p>
            <w:pPr>
              <w:keepNext/>
              <w:keepLines/>
              <w:spacing w:after="0" w:before="0" w:line="247" w:lineRule="auto"/>
              <w:jc w:val="left"/>
            </w:pPr>
            <m:oMath>
              <m:sSub>
                <m:e>
                  <m:r>
                    <m:t>H</m:t>
                  </m:r>
                </m:e>
                <m:sub>
                  <m:r>
                    <m:t>A</m:t>
                  </m:r>
                </m:sub>
              </m:sSub>
            </m:oMath>
          </w:p>
        </w:tc>
        <w:tc>
          <w:tcPr>
            <w:tcW w:type="dxa" w:w="2196"/>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0.999999</w:t>
            </w:r>
          </w:p>
        </w:tc>
        <w:tc>
          <w:tcPr>
            <w:tcW w:type="dxa" w:w="2196"/>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0.010363</w:t>
            </w:r>
          </w:p>
        </w:tc>
        <w:tc>
          <w:tcPr>
            <w:tcW w:type="dxa" w:w="2196"/>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0.000000</w:t>
            </w:r>
          </w:p>
        </w:tc>
        <w:tc>
          <w:tcPr>
            <w:tcW w:type="dxa" w:w="2196"/>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0.336787</w:t>
            </w:r>
          </w:p>
        </w:tc>
      </w:tr>
      <w:tr>
        <w:trPr>
          <w:cantSplit/>
        </w:trPr>
        <w:tc>
          <w:tcPr>
            <w:tcW w:type="dxa" w:w="1152"/>
            <w:vAlign w:val="center"/>
            <w:tcMar>
              <w:top w:w="80" w:type="dxa"/>
              <w:bottom w:w="80" w:type="dxa"/>
              <w:left w:w="85" w:type="dxa"/>
              <w:right w:w="85" w:type="dxa"/>
            </w:tcMar>
            <w:shd w:fill="FFFFFF"/>
          </w:tcPr>
          <w:p>
            <w:pPr>
              <w:keepNext/>
              <w:keepLines/>
              <w:spacing w:after="0" w:before="0" w:line="247" w:lineRule="auto"/>
              <w:jc w:val="left"/>
            </w:pPr>
            <m:oMath>
              <m:sSub>
                <m:e>
                  <m:r>
                    <m:t>H</m:t>
                  </m:r>
                </m:e>
                <m:sub>
                  <m:r>
                    <m:t>B</m:t>
                  </m:r>
                </m:sub>
              </m:sSub>
            </m:oMath>
          </w:p>
        </w:tc>
        <w:tc>
          <w:tcPr>
            <w:tcW w:type="dxa" w:w="2196"/>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0.000001</w:t>
            </w:r>
          </w:p>
        </w:tc>
        <w:tc>
          <w:tcPr>
            <w:tcW w:type="dxa" w:w="2196"/>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0.932831</w:t>
            </w:r>
          </w:p>
        </w:tc>
        <w:tc>
          <w:tcPr>
            <w:tcW w:type="dxa" w:w="2196"/>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0.000001</w:t>
            </w:r>
          </w:p>
        </w:tc>
        <w:tc>
          <w:tcPr>
            <w:tcW w:type="dxa" w:w="2196"/>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0.310945</w:t>
            </w:r>
          </w:p>
        </w:tc>
      </w:tr>
      <w:tr>
        <w:trPr>
          <w:cantSplit/>
        </w:trPr>
        <w:tc>
          <w:tcPr>
            <w:tcW w:type="dxa" w:w="1152"/>
            <w:vAlign w:val="center"/>
            <w:tcMar>
              <w:top w:w="80" w:type="dxa"/>
              <w:bottom w:w="80" w:type="dxa"/>
              <w:left w:w="85" w:type="dxa"/>
              <w:right w:w="85" w:type="dxa"/>
            </w:tcMar>
            <w:shd w:fill="FFFFFF"/>
          </w:tcPr>
          <w:p>
            <w:pPr>
              <w:keepNext/>
              <w:keepLines/>
              <w:spacing w:after="0" w:before="0" w:line="247" w:lineRule="auto"/>
              <w:jc w:val="left"/>
            </w:pPr>
            <m:oMath>
              <m:sSub>
                <m:e>
                  <m:r>
                    <m:t>H</m:t>
                  </m:r>
                </m:e>
                <m:sub>
                  <m:r>
                    <m:t>C</m:t>
                  </m:r>
                </m:sub>
              </m:sSub>
            </m:oMath>
          </w:p>
        </w:tc>
        <w:tc>
          <w:tcPr>
            <w:tcW w:type="dxa" w:w="2196"/>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0.000000</w:t>
            </w:r>
          </w:p>
        </w:tc>
        <w:tc>
          <w:tcPr>
            <w:tcW w:type="dxa" w:w="2196"/>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0.010363</w:t>
            </w:r>
          </w:p>
        </w:tc>
        <w:tc>
          <w:tcPr>
            <w:tcW w:type="dxa" w:w="2196"/>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0.999999</w:t>
            </w:r>
          </w:p>
        </w:tc>
        <w:tc>
          <w:tcPr>
            <w:tcW w:type="dxa" w:w="2196"/>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0.336787</w:t>
            </w:r>
          </w:p>
        </w:tc>
      </w:tr>
      <w:tr>
        <w:trPr>
          <w:cantSplit/>
        </w:trPr>
        <w:tc>
          <w:tcPr>
            <w:tcW w:type="dxa" w:w="1152"/>
            <w:vAlign w:val="center"/>
            <w:tcMar>
              <w:top w:w="80" w:type="dxa"/>
              <w:bottom w:w="80" w:type="dxa"/>
              <w:left w:w="85" w:type="dxa"/>
              <w:right w:w="85" w:type="dxa"/>
            </w:tcMar>
            <w:shd w:fill="FFFFFF"/>
          </w:tcPr>
          <w:p>
            <w:pPr>
              <w:keepNext/>
              <w:keepLines/>
              <w:spacing w:after="0" w:before="0" w:line="247" w:lineRule="auto"/>
              <w:jc w:val="left"/>
            </w:pPr>
            <m:oMath>
              <m:sSub>
                <m:e>
                  <m:r>
                    <m:t>H</m:t>
                  </m:r>
                </m:e>
                <m:sub>
                  <m:r>
                    <m:t>D</m:t>
                  </m:r>
                </m:sub>
              </m:sSub>
            </m:oMath>
          </w:p>
        </w:tc>
        <w:tc>
          <w:tcPr>
            <w:tcW w:type="dxa" w:w="2196"/>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0.000000</w:t>
            </w:r>
          </w:p>
        </w:tc>
        <w:tc>
          <w:tcPr>
            <w:tcW w:type="dxa" w:w="2196"/>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0.046443</w:t>
            </w:r>
          </w:p>
        </w:tc>
        <w:tc>
          <w:tcPr>
            <w:tcW w:type="dxa" w:w="2196"/>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0.000000</w:t>
            </w:r>
          </w:p>
        </w:tc>
        <w:tc>
          <w:tcPr>
            <w:tcW w:type="dxa" w:w="2196"/>
            <w:vAlign w:val="center"/>
            <w:tcMar>
              <w:top w:w="80" w:type="dxa"/>
              <w:bottom w:w="80" w:type="dxa"/>
              <w:left w:w="85" w:type="dxa"/>
              <w:right w:w="85" w:type="dxa"/>
            </w:tcMar>
            <w:shd w:fill="FFFFFF"/>
          </w:tcPr>
          <w:p>
            <w:pPr>
              <w:keepNext/>
              <w:keepLines/>
              <w:spacing w:after="0" w:before="0" w:line="247" w:lineRule="auto"/>
              <w:jc w:val="right"/>
            </w:pPr>
            <w:r>
              <w:rPr>
                <w:b w:val="0"/>
                <w:sz w:val="21"/>
              </w:rPr>
              <w:t xml:space="preserve">0.015481</w:t>
            </w:r>
          </w:p>
        </w:tc>
      </w:tr>
      <w:tr>
        <w:trPr>
          <w:cantSplit/>
        </w:trPr>
        <w:tc>
          <w:tcPr>
            <w:tcW w:type="dxa" w:w="1152"/>
            <w:vAlign w:val="center"/>
            <w:tcMar>
              <w:top w:w="80" w:type="dxa"/>
              <w:bottom w:w="80" w:type="dxa"/>
              <w:left w:w="85" w:type="dxa"/>
              <w:right w:w="85" w:type="dxa"/>
            </w:tcMar>
            <w:shd w:fill="FFFFFF"/>
          </w:tcPr>
          <w:p>
            <w:pPr>
              <w:keepNext w:val="0"/>
              <w:keepLines/>
              <w:spacing w:after="0" w:before="0" w:line="247" w:lineRule="auto"/>
              <w:jc w:val="left"/>
            </w:pPr>
            <m:oMath>
              <m:sSub>
                <m:e>
                  <m:r>
                    <m:t>H</m:t>
                  </m:r>
                </m:e>
                <m:sub>
                  <m:r>
                    <m:t>X</m:t>
                  </m:r>
                </m:sub>
              </m:sSub>
            </m:oMath>
          </w:p>
        </w:tc>
        <w:tc>
          <w:tcPr>
            <w:tcW w:type="dxa" w:w="2196"/>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0</w:t>
            </w:r>
          </w:p>
        </w:tc>
        <w:tc>
          <w:tcPr>
            <w:tcW w:type="dxa" w:w="2196"/>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0</w:t>
            </w:r>
          </w:p>
        </w:tc>
        <w:tc>
          <w:tcPr>
            <w:tcW w:type="dxa" w:w="2196"/>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0</w:t>
            </w:r>
          </w:p>
        </w:tc>
        <w:tc>
          <w:tcPr>
            <w:tcW w:type="dxa" w:w="2196"/>
            <w:vAlign w:val="center"/>
            <w:tcMar>
              <w:top w:w="80" w:type="dxa"/>
              <w:bottom w:w="80" w:type="dxa"/>
              <w:left w:w="85" w:type="dxa"/>
              <w:right w:w="85" w:type="dxa"/>
            </w:tcMar>
            <w:shd w:fill="FFFFFF"/>
          </w:tcPr>
          <w:p>
            <w:pPr>
              <w:keepNext w:val="0"/>
              <w:keepLines/>
              <w:spacing w:after="0" w:before="0" w:line="247" w:lineRule="auto"/>
              <w:jc w:val="right"/>
            </w:pPr>
            <w:r>
              <w:rPr>
                <w:b w:val="0"/>
                <w:sz w:val="21"/>
              </w:rPr>
              <w:t xml:space="preserve">0</w:t>
            </w:r>
          </w:p>
        </w:tc>
      </w:tr>
    </w:tbl>
    <w:p>
      <w:pPr>
        <w:pStyle w:val="BodyText"/>
        <w:spacing w:before="140"/>
      </w:pPr>
      <w:r>
        <w:t xml:space="preserve">Values smaller than half a millionth round to zero in this table; only</w:t>
      </w:r>
      <w:r>
        <w:t xml:space="preserve"> </w:t>
      </w:r>
      <m:oMath>
        <m:sSub>
          <m:e>
            <m:r>
              <m:t>H</m:t>
            </m:r>
          </m:e>
          <m:sub>
            <m:r>
              <m:t>X</m:t>
            </m:r>
          </m:sub>
        </m:sSub>
      </m:oMath>
      <w:r>
        <w:t xml:space="preserve"> </w:t>
      </w:r>
      <w:r>
        <w:t xml:space="preserve">has zero mass by eligibility. Mixing raw unnormalized exponentials instead gives</w:t>
      </w:r>
      <w:r>
        <w:t xml:space="preserve"> </w:t>
      </w:r>
      <m:oMath>
        <m:sSub>
          <m:e>
            <m:r>
              <m:t>H</m:t>
            </m:r>
          </m:e>
          <m:sub>
            <m:r>
              <m:t>B</m:t>
            </m:r>
          </m:sub>
        </m:sSub>
      </m:oMath>
      <w:r>
        <w:t xml:space="preserve"> </w:t>
      </w:r>
      <w:r>
        <w:t xml:space="preserve">probability 0.000919. Equal normalized preference components give it probability 0.310945. The difference is entirely a normalizer effect, not a change in objective measurements.</w:t>
      </w:r>
    </w:p>
    <w:p>
      <w:pPr>
        <w:pStyle w:val="BodyText"/>
        <w:keepNext/>
        <w:jc w:val="center"/>
      </w:pPr>
      <w:r>
        <w:drawing>
          <wp:inline>
            <wp:extent cx="6126480" cy="2671917"/>
            <wp:effectExtent b="0" l="0" r="0" t="0"/>
            <wp:docPr descr="Finite objective frontier and density mixture comparison" title="" id="50" name="Picture"/>
            <a:graphic>
              <a:graphicData uri="http://schemas.openxmlformats.org/drawingml/2006/picture">
                <pic:pic>
                  <pic:nvPicPr>
                    <pic:cNvPr descr="figures/density_frontier.png" id="51" name="Picture"/>
                    <pic:cNvPicPr>
                      <a:picLocks noChangeArrowheads="1" noChangeAspect="1"/>
                    </pic:cNvPicPr>
                  </pic:nvPicPr>
                  <pic:blipFill>
                    <a:blip r:embed="rId49"/>
                    <a:stretch>
                      <a:fillRect/>
                    </a:stretch>
                  </pic:blipFill>
                  <pic:spPr bwMode="auto">
                    <a:xfrm>
                      <a:off x="0" y="0"/>
                      <a:ext cx="6126480" cy="2671917"/>
                    </a:xfrm>
                    <a:prstGeom prst="rect">
                      <a:avLst/>
                    </a:prstGeom>
                    <a:noFill/>
                    <a:ln w="9525">
                      <a:noFill/>
                      <a:headEnd/>
                      <a:tailEnd/>
                    </a:ln>
                  </pic:spPr>
                </pic:pic>
              </a:graphicData>
            </a:graphic>
          </wp:inline>
        </w:drawing>
      </w:r>
    </w:p>
    <w:p>
      <w:pPr>
        <w:pStyle w:val="Caption"/>
        <w:keepLines/>
      </w:pPr>
      <w:r>
        <w:t xml:space="preserve">Figure 2. Constructed harness objectives and their probability representation. Left, the balanced Pareto point lies above the line between the two extreme alternatives and cannot minimize a weighted sum. The infeasible point is excluded by qualification. Right, normalizing each preference density before mixing preserves the balanced alternative. These are analytic mass-function calculations, not measured agent success rates.</w:t>
      </w:r>
    </w:p>
    <w:p>
      <w:pPr>
        <w:pStyle w:val="BodyText"/>
      </w:pPr>
      <w:r>
        <w:t xml:space="preserve">Additional checks verify the Gibbs variational identity on 100 random distributions; the largest absolute discrepancy is</w:t>
      </w:r>
      <w:r>
        <w:t xml:space="preserve"> </w:t>
      </w:r>
      <m:oMath>
        <m:r>
          <m:t>1.11</m:t>
        </m:r>
        <m:r>
          <m:rPr>
            <m:sty m:val="p"/>
          </m:rPr>
          <m:t>×</m:t>
        </m:r>
        <m:sSup>
          <m:e>
            <m:r>
              <m:t>10</m:t>
            </m:r>
          </m:e>
          <m:sup>
            <m:r>
              <m:rPr>
                <m:sty m:val="p"/>
              </m:rPr>
              <m:t>−</m:t>
            </m:r>
            <m:r>
              <m:t>16</m:t>
            </m:r>
          </m:sup>
        </m:sSup>
      </m:oMath>
      <w:r>
        <w:t xml:space="preserve">. Constructive preference choices in Proposition 3 select each of the three Pareto vectors. The SI beam calculations and artifact-invalidation checks in Section 9 also execute successfully. Code uses NumPy and SciPy with random seed 20261016 for the random identity checks.</w:t>
      </w:r>
    </w:p>
    <w:p>
      <w:pPr>
        <w:pStyle w:val="BodyText"/>
      </w:pPr>
      <w:r>
        <w:t xml:space="preserve">The statistical admission bound is intentionally demanding. With</w:t>
      </w:r>
      <w:r>
        <w:t xml:space="preserve"> </w:t>
      </w:r>
      <m:oMath>
        <m:r>
          <m:t>M</m:t>
        </m:r>
        <m:r>
          <m:rPr>
            <m:sty m:val="p"/>
          </m:rPr>
          <m:t>=</m:t>
        </m:r>
        <m:r>
          <m:t>10</m:t>
        </m:r>
      </m:oMath>
      <w:r>
        <w:t xml:space="preserve"> </w:t>
      </w:r>
      <w:r>
        <w:t xml:space="preserve">candidates,</w:t>
      </w:r>
      <w:r>
        <w:t xml:space="preserve"> </w:t>
      </w:r>
      <m:oMath>
        <m:sSub>
          <m:e>
            <m:r>
              <m:t>d</m:t>
            </m:r>
          </m:e>
          <m:sub>
            <m:r>
              <m:t>J</m:t>
            </m:r>
          </m:sub>
        </m:sSub>
        <m:r>
          <m:rPr>
            <m:sty m:val="p"/>
          </m:rPr>
          <m:t>=</m:t>
        </m:r>
        <m:r>
          <m:t>4</m:t>
        </m:r>
      </m:oMath>
      <w:r>
        <w:t xml:space="preserve"> </w:t>
      </w:r>
      <w:r>
        <w:t xml:space="preserve">objectives,</w:t>
      </w:r>
      <w:r>
        <w:t xml:space="preserve"> </w:t>
      </w:r>
      <m:oMath>
        <m:r>
          <m:t>G</m:t>
        </m:r>
        <m:r>
          <m:rPr>
            <m:sty m:val="p"/>
          </m:rPr>
          <m:t>=</m:t>
        </m:r>
        <m:r>
          <m:t>3</m:t>
        </m:r>
      </m:oMath>
      <w:r>
        <w:t xml:space="preserve"> </w:t>
      </w:r>
      <w:r>
        <w:t xml:space="preserve">project groups,</w:t>
      </w:r>
      <w:r>
        <w:t xml:space="preserve"> </w:t>
      </w:r>
      <m:oMath>
        <m:r>
          <m:t>δ</m:t>
        </m:r>
        <m:r>
          <m:rPr>
            <m:sty m:val="p"/>
          </m:rPr>
          <m:t>=</m:t>
        </m:r>
        <m:r>
          <m:t>0.05</m:t>
        </m:r>
      </m:oMath>
      <w:r>
        <w:t xml:space="preserve">, and desired radius 0.05, (17) requires at least 6227 independent clusters</w:t>
      </w:r>
      <w:r>
        <w:t xml:space="preserve"> </w:t>
      </w:r>
      <w:r>
        <w:rPr>
          <w:iCs/>
          <w:i/>
        </w:rPr>
        <w:t xml:space="preserve">per group</w:t>
      </w:r>
      <w:r>
        <w:t xml:space="preserve">. This is a conservative sufficient count, not an estimate of an organization’s actual data requirement. It exposes the assumptions behind a distributional claim and motivates sharper predeclared analyses where justified. Similarly, zero observed failures in 300 independent Bernoulli trials has an exact one-sided 95% upper failure-probability bound</w:t>
      </w:r>
      <w:r>
        <w:t xml:space="preserve"> </w:t>
      </w:r>
      <m:oMath>
        <m:r>
          <m:t>1</m:t>
        </m:r>
        <m:r>
          <m:rPr>
            <m:sty m:val="p"/>
          </m:rPr>
          <m:t>−</m:t>
        </m:r>
        <m:sSup>
          <m:e>
            <m:r>
              <m:t>0.05</m:t>
            </m:r>
          </m:e>
          <m:sup>
            <m:r>
              <m:t>1</m:t>
            </m:r>
            <m:r>
              <m:rPr>
                <m:sty m:val="p"/>
              </m:rPr>
              <m:t>/</m:t>
            </m:r>
            <m:r>
              <m:t>300</m:t>
            </m:r>
          </m:sup>
        </m:sSup>
        <m:r>
          <m:rPr>
            <m:sty m:val="p"/>
          </m:rPr>
          <m:t>≈</m:t>
        </m:r>
        <m:r>
          <m:t>0.009936</m:t>
        </m:r>
      </m:oMath>
      <w:r>
        <w:t xml:space="preserve">. Neither calculation establishes that a rare physical hazard has been excluded.</w:t>
      </w:r>
    </w:p>
    <w:p>
      <w:pPr>
        <w:pStyle w:val="BodyText"/>
      </w:pPr>
      <w:r>
        <w:t xml:space="preserve">For the defensive exploration example,</w:t>
      </w:r>
      <w:r>
        <w:t xml:space="preserve"> </w:t>
      </w:r>
      <m:oMath>
        <m:r>
          <m:t>ε</m:t>
        </m:r>
        <m:r>
          <m:rPr>
            <m:sty m:val="p"/>
          </m:rPr>
          <m:t>=</m:t>
        </m:r>
        <m:r>
          <m:t>0.1</m:t>
        </m:r>
      </m:oMath>
      <w:r>
        <w:t xml:space="preserve"> </w:t>
      </w:r>
      <w:r>
        <w:t xml:space="preserve">and</w:t>
      </w:r>
      <w:r>
        <w:t xml:space="preserve"> </w:t>
      </w:r>
      <m:oMath>
        <m:sSub>
          <m:e>
            <m:r>
              <m:t>π</m:t>
            </m:r>
          </m:e>
          <m:sub>
            <m:r>
              <m:t>0</m:t>
            </m:r>
          </m:sub>
        </m:sSub>
        <m:d>
          <m:dPr>
            <m:begChr m:val="("/>
            <m:endChr m:val=")"/>
            <m:sepChr m:val=""/>
            <m:grow/>
          </m:dPr>
          <m:e>
            <m:sSup>
              <m:e>
                <m:r>
                  <m:t>h</m:t>
                </m:r>
              </m:e>
              <m:sup>
                <m:r>
                  <m:rPr>
                    <m:sty m:val="p"/>
                  </m:rPr>
                  <m:t>*</m:t>
                </m:r>
              </m:sup>
            </m:sSup>
          </m:e>
        </m:d>
        <m:r>
          <m:rPr>
            <m:sty m:val="p"/>
          </m:rPr>
          <m:t>=</m:t>
        </m:r>
        <m:r>
          <m:t>0.01</m:t>
        </m:r>
      </m:oMath>
      <w:r>
        <w:t xml:space="preserve"> </w:t>
      </w:r>
      <w:r>
        <w:t xml:space="preserve">give a single-configuration miss bound of 0.006721 after 5000 attempts. That is a coverage statement about a finite proposal grammar. No optimization speed-up is measured by this calculation.</w:t>
      </w:r>
    </w:p>
    <w:bookmarkEnd w:id="52"/>
    <w:bookmarkStart w:id="56" w:name="Xe26ba78dadacbb6607e2028a531b9dc8931914e"/>
    <w:p>
      <w:pPr>
        <w:pStyle w:val="Heading1"/>
      </w:pPr>
      <w:r>
        <w:t xml:space="preserve">11 Ablation and evaluation of construction automation</w:t>
      </w:r>
    </w:p>
    <w:bookmarkStart w:id="53" w:name="a-benchmark-organized-around-projects"/>
    <w:p>
      <w:pPr>
        <w:pStyle w:val="Heading2"/>
      </w:pPr>
      <w:r>
        <w:t xml:space="preserve">A benchmark organized around projects</w:t>
      </w:r>
    </w:p>
    <w:p>
      <w:pPr>
        <w:pStyle w:val="FirstParagraph"/>
      </w:pPr>
      <w:r>
        <w:t xml:space="preserve">A useful evaluation set contains project families and revision events, rather than only isolated question–answer pairs. Initial tasks can cover typed load extraction, model preparation, section verification, calculation-report consistency, drawing-property checks, and controlled revisions. Later tasks can add interfaces between structural, mechanical, electrical, and civil work. Each task defines permitted inputs, expected artifacts, mandatory checks, and the authority required to release them.</w:t>
      </w:r>
    </w:p>
    <w:p>
      <w:pPr>
        <w:pStyle w:val="BodyText"/>
      </w:pPr>
      <w:r>
        <w:t xml:space="preserve">Separate the search projects used for proposing edits, fresh admission projects, and a final reporting set used only under a declared analysis plan. Hold out entire projects, contractors or document templates where relevant. Include code-edition changes, altered units, unavailable tools, incomplete supplier data, and contradictory revisions as explicit test conditions. A high result on the current search set is not a transfer result.</w:t>
      </w:r>
    </w:p>
    <w:p>
      <w:pPr>
        <w:pStyle w:val="BodyText"/>
      </w:pPr>
      <w:r>
        <w:t xml:space="preserve">The key completion indicator is joint: the output must satisfy the task, agree with its calculations and drawings, cite the current inputs, and pass the required gate on that same episode. Record incorrect acceptance, unjustified refusal, and budget exhaustion separately. Report objective evaluations, model calls and tokens, solver time, elapsed time, reviewer effort, and required rework. A harness that replaces model calls with expensive solver calls has changed cost allocation rather than made work free.</w:t>
      </w:r>
    </w:p>
    <w:bookmarkEnd w:id="53"/>
    <w:bookmarkStart w:id="54" w:name="matched-baselines-and-layer-ablations"/>
    <w:p>
      <w:pPr>
        <w:pStyle w:val="Heading2"/>
      </w:pPr>
      <w:r>
        <w:t xml:space="preserve">Matched baselines and layer ablations</w:t>
      </w:r>
    </w:p>
    <w:p>
      <w:pPr>
        <w:pStyle w:val="FirstParagraph"/>
      </w:pPr>
      <w:r>
        <w:t xml:space="preserve">Hold the model version, task inputs, permitted tools, and budgets fixed when comparing proposal policies. Include a fixed ordinary agent loop, direct archive sampling, weighted-sum ADE, preference-conditioned ADE, and a suitable non-diffusion evolutionary or decomposition baseline. Give methods the same source access and engineering evaluator. The comparison should establish whether denoising contributes beyond having an archive, explicit preferences, and executable checks.</w:t>
      </w:r>
    </w:p>
    <w:p>
      <w:pPr>
        <w:pStyle w:val="Caption"/>
        <w:keepNext/>
      </w:pPr>
      <w:r>
        <w:rPr>
          <w:bCs/>
          <w:b w:val="0"/>
        </w:rPr>
        <w:t xml:space="preserve">Table 8. Ablations and the question each tests</w:t>
      </w:r>
    </w:p>
    <w:tbl>
      <w:tblPr>
        <w:tblStyle w:val="TableGrid"/>
        <w:tblW w:type="dxa" w:w="993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3744"/>
        <w:gridCol w:w="2808"/>
      </w:tblGrid>
      <w:tr>
        <w:trPr>
          <w:cantSplit/>
          <w:tblHeader/>
        </w:trPr>
        <w:tc>
          <w:tcPr>
            <w:tcW w:type="dxa" w:w="3384"/>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Controlled variant</w:t>
            </w:r>
          </w:p>
        </w:tc>
        <w:tc>
          <w:tcPr>
            <w:tcW w:type="dxa" w:w="3744"/>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Main question</w:t>
            </w:r>
          </w:p>
        </w:tc>
        <w:tc>
          <w:tcPr>
            <w:tcW w:type="dxa" w:w="2808"/>
            <w:vAlign w:val="center"/>
            <w:tcMar>
              <w:top w:w="80" w:type="dxa"/>
              <w:bottom w:w="80" w:type="dxa"/>
              <w:left w:w="85" w:type="dxa"/>
              <w:right w:w="85" w:type="dxa"/>
            </w:tcMar>
            <w:shd w:fill="EAEAEA"/>
          </w:tcPr>
          <w:p>
            <w:pPr>
              <w:keepNext/>
              <w:keepLines/>
              <w:spacing w:after="0" w:before="0" w:line="247" w:lineRule="auto"/>
              <w:jc w:val="left"/>
            </w:pPr>
            <w:r>
              <w:rPr>
                <w:b/>
                <w:sz w:val="21"/>
              </w:rPr>
              <w:t xml:space="preserve">Primary measure</w:t>
            </w:r>
          </w:p>
        </w:tc>
      </w:tr>
      <w:tr>
        <w:trPr>
          <w:cantSplit/>
        </w:trPr>
        <w:tc>
          <w:tcPr>
            <w:tcW w:type="dxa" w:w="33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Applicable retrieval versus text-only context</w:t>
            </w:r>
          </w:p>
        </w:tc>
        <w:tc>
          <w:tcPr>
            <w:tcW w:type="dxa" w:w="374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Does typed grounding improve use of current project facts?</w:t>
            </w:r>
          </w:p>
        </w:tc>
        <w:tc>
          <w:tcPr>
            <w:tcW w:type="dxa" w:w="280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Source and unit errors on held-out revisions</w:t>
            </w:r>
          </w:p>
        </w:tc>
      </w:tr>
      <w:tr>
        <w:trPr>
          <w:cantSplit/>
        </w:trPr>
        <w:tc>
          <w:tcPr>
            <w:tcW w:type="dxa" w:w="33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Persistent validated memory versus no cross-task memory</w:t>
            </w:r>
          </w:p>
        </w:tc>
        <w:tc>
          <w:tcPr>
            <w:tcW w:type="dxa" w:w="374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Does reuse reduce work without importing stale assumptions?</w:t>
            </w:r>
          </w:p>
        </w:tc>
        <w:tc>
          <w:tcPr>
            <w:tcW w:type="dxa" w:w="280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Completion cost and stale-memory errors</w:t>
            </w:r>
          </w:p>
        </w:tc>
      </w:tr>
      <w:tr>
        <w:trPr>
          <w:cantSplit/>
        </w:trPr>
        <w:tc>
          <w:tcPr>
            <w:tcW w:type="dxa" w:w="33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ADE proposals versus the same archive without denoising</w:t>
            </w:r>
          </w:p>
        </w:tc>
        <w:tc>
          <w:tcPr>
            <w:tcW w:type="dxa" w:w="374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Does the diffusion step add useful search?</w:t>
            </w:r>
          </w:p>
        </w:tc>
        <w:tc>
          <w:tcPr>
            <w:tcW w:type="dxa" w:w="280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Verified frontier coverage per evaluation budget</w:t>
            </w:r>
          </w:p>
        </w:tc>
      </w:tr>
      <w:tr>
        <w:trPr>
          <w:cantSplit/>
        </w:trPr>
        <w:tc>
          <w:tcPr>
            <w:tcW w:type="dxa" w:w="33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Preference mixture versus one weighted reward</w:t>
            </w:r>
          </w:p>
        </w:tc>
        <w:tc>
          <w:tcPr>
            <w:tcW w:type="dxa" w:w="374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Are competing alternatives retained?</w:t>
            </w:r>
          </w:p>
        </w:tc>
        <w:tc>
          <w:tcPr>
            <w:tcW w:type="dxa" w:w="280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Eligible nondominated coverage and joint completion</w:t>
            </w:r>
          </w:p>
        </w:tc>
      </w:tr>
      <w:tr>
        <w:trPr>
          <w:cantSplit/>
        </w:trPr>
        <w:tc>
          <w:tcPr>
            <w:tcW w:type="dxa" w:w="33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Factorized edits versus whole-harness edits</w:t>
            </w:r>
          </w:p>
        </w:tc>
        <w:tc>
          <w:tcPr>
            <w:tcW w:type="dxa" w:w="374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Do local changes transfer with fewer regressions?</w:t>
            </w:r>
          </w:p>
        </w:tc>
        <w:tc>
          <w:tcPr>
            <w:tcW w:type="dxa" w:w="280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Held-out group losses and review effort</w:t>
            </w:r>
          </w:p>
        </w:tc>
      </w:tr>
      <w:tr>
        <w:trPr>
          <w:cantSplit/>
        </w:trPr>
        <w:tc>
          <w:tcPr>
            <w:tcW w:type="dxa" w:w="33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Dependency invalidation versus text-only revision tracking</w:t>
            </w:r>
          </w:p>
        </w:tc>
        <w:tc>
          <w:tcPr>
            <w:tcW w:type="dxa" w:w="374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Are old results incorrectly reused?</w:t>
            </w:r>
          </w:p>
        </w:tc>
        <w:tc>
          <w:tcPr>
            <w:tcW w:type="dxa" w:w="280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Stale evidence accepted after controlled changes</w:t>
            </w:r>
          </w:p>
        </w:tc>
      </w:tr>
      <w:tr>
        <w:trPr>
          <w:cantSplit/>
        </w:trPr>
        <w:tc>
          <w:tcPr>
            <w:tcW w:type="dxa" w:w="338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Internal critic alone versus independent checking in shadow tests</w:t>
            </w:r>
          </w:p>
        </w:tc>
        <w:tc>
          <w:tcPr>
            <w:tcW w:type="dxa" w:w="3744"/>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What does external verification detect?</w:t>
            </w:r>
          </w:p>
        </w:tc>
        <w:tc>
          <w:tcPr>
            <w:tcW w:type="dxa" w:w="2808"/>
            <w:vAlign w:val="center"/>
            <w:tcMar>
              <w:top w:w="80" w:type="dxa"/>
              <w:bottom w:w="80" w:type="dxa"/>
              <w:left w:w="85" w:type="dxa"/>
              <w:right w:w="85" w:type="dxa"/>
            </w:tcMar>
            <w:shd w:fill="FFFFFF"/>
          </w:tcPr>
          <w:p>
            <w:pPr>
              <w:keepNext w:val="0"/>
              <w:keepLines/>
              <w:spacing w:after="0" w:before="0" w:line="247" w:lineRule="auto"/>
              <w:jc w:val="left"/>
            </w:pPr>
            <w:r>
              <w:rPr>
                <w:b w:val="0"/>
                <w:sz w:val="21"/>
              </w:rPr>
              <w:t xml:space="preserve">Incorrect acceptance under protected offline evaluation</w:t>
            </w:r>
          </w:p>
        </w:tc>
      </w:tr>
    </w:tbl>
    <w:p>
      <w:pPr>
        <w:pStyle w:val="BodyText"/>
        <w:spacing w:before="140"/>
      </w:pPr>
      <w:r>
        <w:t xml:space="preserve">All release controls remain active in deployed runs. Tests that remove a gate occur only in offline or shadow evaluation and record what would have been accepted. Gate removal is an evaluation intervention, not a permissible way for a live candidate to improve throughput.</w:t>
      </w:r>
    </w:p>
    <w:p>
      <w:pPr>
        <w:pStyle w:val="BodyText"/>
      </w:pPr>
      <w:r>
        <w:t xml:space="preserve">Ablations can have interactions. Retrieval may be useful only when a unit-aware tool consumes its results; memory may help only when invalidation works. Use paired project comparisons and, for selected interactions, factorial experiments. A difference between two isolated runs is not automatically a causal contribution of a layer. Report task-level uncertainty and computational variation under repeated model seeds where applicable.</w:t>
      </w:r>
    </w:p>
    <w:bookmarkEnd w:id="54"/>
    <w:bookmarkStart w:id="55" w:name="falsifiable-hypotheses"/>
    <w:p>
      <w:pPr>
        <w:pStyle w:val="Heading2"/>
      </w:pPr>
      <w:r>
        <w:t xml:space="preserve">Falsifiable hypotheses</w:t>
      </w:r>
    </w:p>
    <w:p>
      <w:pPr>
        <w:pStyle w:val="FirstParagraph"/>
      </w:pPr>
      <w:r>
        <w:t xml:space="preserve">The proposed architecture makes four concrete empirical predictions to test. First, typed knowledge and dependency invalidation should lower stale-source acceptance under controlled project revisions compared with text-only retrieval. Second, the normalized preference family should retain more eligible objective trade-offs than one fixed weighted-sum target at a matched search budget. Third, ADE should improve verified outcomes per evaluator call over direct archive proposals if its denoising mechanism contributes beyond memory selection. Fourth, factorized general and project-specific revisions should reduce transfer loss relative to unrestricted rewrites when evaluated on new project families.</w:t>
      </w:r>
    </w:p>
    <w:p>
      <w:pPr>
        <w:pStyle w:val="BodyText"/>
      </w:pPr>
      <w:r>
        <w:t xml:space="preserve">The third prediction is particularly important: if direct archive proposals match ADE after accounting for denoiser cost, the density representation can remain useful while the diffusion mechanism is unnecessary for that workload. The first two also require empirical tests beyond the finite identities shown here. The study should predeclare meaningful margins and failure criteria with the intended engineering users.</w:t>
      </w:r>
    </w:p>
    <w:bookmarkEnd w:id="55"/>
    <w:bookmarkEnd w:id="56"/>
    <w:bookmarkStart w:id="57" w:name="industrial-adoption-and-operating-limits"/>
    <w:p>
      <w:pPr>
        <w:pStyle w:val="Heading1"/>
      </w:pPr>
      <w:r>
        <w:t xml:space="preserve">12 Industrial adoption and operating limits</w:t>
      </w:r>
    </w:p>
    <w:p>
      <w:pPr>
        <w:pStyle w:val="FirstParagraph"/>
      </w:pPr>
      <w:r>
        <w:t xml:space="preserve">A practical first deployment is read-only. The harness retrieves approved requirements, points to sources, and produces typed input bundles for engineer review. The next stage calls deterministic calculations and checks consistency with the current project files. Drafting and model-generation capabilities then operate in isolated workspaces, with artifact comparison and review before publication. Automation can expand to a bounded design family once its complete acceptance procedure has been validated. Cross-discipline workflows require explicit interface contracts and additional project-level evaluation.</w:t>
      </w:r>
    </w:p>
    <w:p>
      <w:pPr>
        <w:pStyle w:val="BodyText"/>
      </w:pPr>
      <w:r>
        <w:t xml:space="preserve">This progression grows the executable scope rather than merely increasing prompt length. An organization can add a trusted property service, a verified analysis adapter, a drawing validator, or a reviewed procedure as a new capability. The agent loop learns when to retrieve and use these capabilities through evaluated proposals and, eventually, admitted harness revisions. The base model remains fixed during each controlled comparison; a model upgrade is a separate version change requiring reevaluation.</w:t>
      </w:r>
    </w:p>
    <w:p>
      <w:pPr>
        <w:pStyle w:val="BodyText"/>
      </w:pPr>
      <w:r>
        <w:t xml:space="preserve">The implementation should keep project-private information separate from reusable procedures. Shared memory promotion has explicit ownership, source rights, and validation requirements. Cached work is reused according to dependencies. For example, a solver factorization can support multiple load solves when the model and stiffness are unchanged, but a geometry or material revision can invalidate that reuse. The cost model records actual shared computation rather than treating every response as a new equal-cost experiment.</w:t>
      </w:r>
    </w:p>
    <w:p>
      <w:pPr>
        <w:pStyle w:val="BodyText"/>
      </w:pPr>
      <w:r>
        <w:t xml:space="preserve">Several limitations govern the present proposal. The general candidate-program space is not finite or tractably normalized, so the exact finite-density theory describes restricted configuration families. Real expected objective values are estimated. Large archives need indexing or compression, whose errors affect proposals. A useful construction chart or embedding must be validated on the intended tasks. External checking can be incomplete, and model adequacy cannot be inferred from successful execution. Statistical admission under one project distribution does not establish transfer to another.</w:t>
      </w:r>
    </w:p>
    <w:p>
      <w:pPr>
        <w:pStyle w:val="BodyText"/>
      </w:pPr>
      <w:r>
        <w:t xml:space="preserve">A Construction Harness prototype should therefore begin with a narrow, repeatable workflow such as the versioned beam calculation extended to a complete approved checking procedure. Its first deliverables are a typed task contract, a fixed baseline, an immutable evaluator, an evidence graph, and a matched-budget comparison. This provides evidence about one automation capability before widening the task family.</w:t>
      </w:r>
    </w:p>
    <w:bookmarkEnd w:id="57"/>
    <w:bookmarkStart w:id="58" w:name="conclusion"/>
    <w:p>
      <w:pPr>
        <w:pStyle w:val="Heading1"/>
      </w:pPr>
      <w:r>
        <w:t xml:space="preserve">13 Conclusion</w:t>
      </w:r>
    </w:p>
    <w:p>
      <w:pPr>
        <w:pStyle w:val="FirstParagraph"/>
      </w:pPr>
      <w:r>
        <w:t xml:space="preserve">Construction Harness organizes a fixed AI model into an engineering state machine with explicit software stages. The next model message, authorized action, and actual observation update the state used for subsequent decisions. ADE supplies a sequential, evaluated proposal mechanism for both task actions and persistent harness revisions. A family of normalized preference-conditioned densities represents competing objectives, while verified Pareto archives preserve reportable alternatives.</w:t>
      </w:r>
    </w:p>
    <w:p>
      <w:pPr>
        <w:pStyle w:val="BodyText"/>
      </w:pPr>
      <w:r>
        <w:t xml:space="preserve">The construction-specific contribution is the connection between that loop and typed project knowledge, executable numerical services, dependency invalidation, and artifact-bound release. The finite examples establish that the proposed interfaces and density calculations are testable. Whether they produce better construction automation depends on the held-out project comparisons described above. The architecture makes those comparisons possible with fixed model weights, declared budgets, and explicit evidence for each accepted result.</w:t>
      </w:r>
    </w:p>
    <w:bookmarkEnd w:id="58"/>
    <w:bookmarkStart w:id="59" w:name="X9111db168157fd1058dbf56dcc9ea418a3e7a2f"/>
    <w:p>
      <w:pPr>
        <w:pStyle w:val="Heading1"/>
      </w:pPr>
      <w:r>
        <w:t xml:space="preserve">Appendix A Minimal evidence and revision contracts</w:t>
      </w:r>
    </w:p>
    <w:p>
      <w:pPr>
        <w:pStyle w:val="FirstParagraph"/>
      </w:pPr>
      <w:r>
        <w:t xml:space="preserve">A task bundle identifies its project and task family, source revisions, geometry and load definitions, physical units, objective scales, required checks, permitted operations, and stopping conditions. A tool declaration identifies its argument schema, output schema, executable version, allowed side effects, resource class, and failure behavior. A candidate revision identifies its parent harness, edited components, general or project-specific scope, proposed behavioral change, and required regression tests.</w:t>
      </w:r>
    </w:p>
    <w:p>
      <w:pPr>
        <w:pStyle w:val="BodyText"/>
      </w:pPr>
      <w:r>
        <w:t xml:space="preserve">An evidence record can use a structure such as the following. The executable gate consumes authority-owned records and verifies their authenticity; an</w:t>
      </w:r>
      <w:r>
        <w:t xml:space="preserve"> </w:t>
      </w:r>
      <w:r>
        <w:rPr>
          <w:rStyle w:val="VerbatimChar"/>
        </w:rPr>
        <w:t xml:space="preserve">issuer</w:t>
      </w:r>
      <w:r>
        <w:t xml:space="preserve"> </w:t>
      </w:r>
      <w:r>
        <w:t xml:space="preserve">string supplied by a candidate is insufficient.</w:t>
      </w:r>
    </w:p>
    <w:p>
      <w:pPr>
        <w:pStyle w:val="SourceCode"/>
        <w:keepLines/>
        <w:spacing w:before="80" w:after="80"/>
      </w:pPr>
      <w:r>
        <w:t>from dataclasses import dataclass</w:t>
        <w:br/>
        <w:t>from typing import Literal</w:t>
      </w:r>
    </w:p>
    <w:p>
      <w:pPr>
        <w:pStyle w:val="SourceCode"/>
        <w:keepLines/>
        <w:spacing w:before="80" w:after="80"/>
      </w:pPr>
      <w:r>
        <w:t>@dataclass(frozen=True)</w:t>
        <w:br/>
        <w:t>class EvidenceRecord:</w:t>
        <w:br/>
        <w:t xml:space="preserve">    artifact_sha256: str</w:t>
        <w:br/>
        <w:t xml:space="preserve">    bundle_sha256: str</w:t>
        <w:br/>
        <w:t xml:space="preserve">    dependency_manifest_sha256: str</w:t>
        <w:br/>
        <w:t xml:space="preserve">    check_id: str</w:t>
        <w:br/>
        <w:t xml:space="preserve">    check_version: str</w:t>
        <w:br/>
        <w:t xml:space="preserve">    outcome: Literal["pass", "fail", "unknown"]</w:t>
        <w:br/>
        <w:t xml:space="preserve">    issuer_id: str</w:t>
        <w:br/>
        <w:t xml:space="preserve">    evidence_payload_sha256: str</w:t>
      </w:r>
    </w:p>
    <w:p>
      <w:pPr>
        <w:pStyle w:val="FirstParagraph"/>
      </w:pPr>
      <w:r>
        <w:t xml:space="preserve">A release record binds the artifact digest, current dependency manifest, required check set, verified authorization decision, and final disposition. The host writes it after all conditions are satisfied. A stale source, changed artifact, revoked permission, or missing check prevents current release status. Model-generated statements about having performed a check are observations to investigate, not validator records.</w:t>
      </w:r>
    </w:p>
    <w:p>
      <w:pPr>
        <w:pStyle w:val="BodyText"/>
      </w:pPr>
      <w:r>
        <w:t xml:space="preserve">For replay, retain the actual typed action, tool input, resulting output, model and harness versions, random seed where exposed, and complete dependency identifiers. A seed alone is not a replay guarantee when external tools or services change. If an accepted component is later withdrawn, use the evidence graph to identify affected tasks and releases. Software rollback restores configuration; it does not retroactively validate artifacts produced during the withdrawn version.</w:t>
      </w:r>
    </w:p>
    <w:bookmarkEnd w:id="59"/>
    <w:bookmarkStart w:id="60" w:name="X8a3f1cca7c63b29bcd3739d1077033d7c61a32a"/>
    <w:p>
      <w:pPr>
        <w:pStyle w:val="Heading1"/>
      </w:pPr>
      <w:r>
        <w:t xml:space="preserve">Appendix B Reproducing the analytic checks</w:t>
      </w:r>
    </w:p>
    <w:p>
      <w:pPr>
        <w:pStyle w:val="FirstParagraph"/>
      </w:pPr>
      <w:r>
        <w:t xml:space="preserve">The density demonstration uses finite eligible masses, not a learned embedding or a language-model run. The following code reproduces Table 7 and the raw-normalizer comparison.</w:t>
      </w:r>
    </w:p>
    <w:p>
      <w:pPr>
        <w:pStyle w:val="SourceCode"/>
        <w:keepLines/>
        <w:spacing w:before="80" w:after="80"/>
      </w:pPr>
      <w:r>
        <w:t>import numpy as np</w:t>
        <w:br/>
        <w:t>from scipy.special import logsumexp</w:t>
      </w:r>
    </w:p>
    <w:p>
      <w:pPr>
        <w:pStyle w:val="SourceCode"/>
        <w:keepLines/>
        <w:spacing w:before="80" w:after="80"/>
      </w:pPr>
      <w:r>
        <w:t>J = np.array([[.1, .9], [.6, .6], [.9, .1],</w:t>
        <w:br/>
        <w:t xml:space="preserve">              [.8, .8], [.05, .05]])</w:t>
        <w:br/>
        <w:t>eligible = np.array([True, True, True, True, False])</w:t>
        <w:br/>
        <w:t>preferences = np.array([[.9, .1], [.5, .5], [.1, .9]])</w:t>
        <w:br/>
        <w:t>beta = 30.0</w:t>
        <w:br/>
        <w:t>energy = np.max(preferences[:, None, :] * J[None, :, :], -1)</w:t>
        <w:br/>
        <w:t>log_mass = -beta * energy</w:t>
        <w:br/>
        <w:t>log_mass[:, ~eligible] = -np.inf</w:t>
        <w:br/>
        <w:t>heads = np.exp(log_mass - logsumexp(log_mass, axis=1,</w:t>
        <w:br/>
        <w:t xml:space="preserve">                                    keepdims=True))</w:t>
        <w:br/>
        <w:t>normalized_mixture = heads.mean(axis=0)</w:t>
        <w:br/>
        <w:t>raw_mixture = np.exp(log_mass).mean(axis=0)</w:t>
        <w:br/>
        <w:t>raw_mixture /= raw_mixture.sum()</w:t>
        <w:br/>
        <w:t>print(heads)</w:t>
        <w:br/>
        <w:t>print(normalized_mixture)</w:t>
        <w:br/>
        <w:t>print(raw_mixture)</w:t>
      </w:r>
    </w:p>
    <w:p>
      <w:pPr>
        <w:pStyle w:val="FirstParagraph"/>
      </w:pPr>
      <w:r>
        <w:t xml:space="preserve">The analytic section model is reproduced below. All geometry entries are converted from millimeters to meters. Cost and carbon multipliers are artificial dimensionless indices. The script prints the physical response values and the full toy objective vectors, from which ordinary feasible dominance gives Tables 5 and 6.</w:t>
      </w:r>
    </w:p>
    <w:p>
      <w:pPr>
        <w:pStyle w:val="SourceCode"/>
        <w:keepLines/>
        <w:spacing w:before="80" w:after="80"/>
      </w:pPr>
      <w:r>
        <w:t>geometry_mm = np.array([</w:t>
        <w:br/>
        <w:t xml:space="preserve">    [250, 150, 10, 6], [300, 150, 10, 6],</w:t>
        <w:br/>
        <w:t xml:space="preserve">    [300, 180, 12, 8], [350, 150, 10, 6],</w:t>
        <w:br/>
        <w:t xml:space="preserve">    [350, 180, 12, 8], [400, 160, 10, 6],</w:t>
        <w:br/>
        <w:t xml:space="preserve">    [400, 200, 12, 8], [450, 180, 10, 6]], dtype=float)</w:t>
        <w:br/>
        <w:t>cost_factor = np.array([2.4, 2.2, 1.8, 2.0, 1.5, 1.7, 1.6, 1.4])</w:t>
        <w:br/>
        <w:t>carbon_factor = np.array([2.4, 2.1, 1.9, 2.2, 1.4, 1.6, 1.3, 1.0])</w:t>
        <w:br/>
        <w:t>h, b, tf, tw = (geometry_mm / 1000).T</w:t>
        <w:br/>
        <w:t>area = 2 * b * tf + tw * (h - 2 * tf)</w:t>
        <w:br/>
        <w:t>I = (b * h**3 - (b - tw) * (h - 2 * tf)**3) / 12</w:t>
        <w:br/>
        <w:t>W = 2 * I / h</w:t>
        <w:br/>
        <w:t>span, elastic, density, gravity = 6.0, 200e9, 7850.0, 9.81</w:t>
        <w:br/>
        <w:t>mass = density * area * span</w:t>
        <w:br/>
        <w:t>load = 20000.0 + density * area * gravity</w:t>
        <w:br/>
        <w:t>stress = load * span**2 / (8 * W)</w:t>
        <w:br/>
        <w:t>deflection = 5 * load * span**4 / (384 * elastic * I)</w:t>
        <w:br/>
        <w:t>passed = (stress &lt;= 160e6) &amp; (deflection &lt;= span / 300)</w:t>
        <w:br/>
        <w:t>objectives = np.column_stack((mass, cost_factor * mass,</w:t>
        <w:br/>
        <w:t xml:space="preserve">                              carbon_factor * mass))</w:t>
        <w:br/>
        <w:t>print(np.column_stack((mass, stress / 1e6,</w:t>
        <w:br/>
        <w:t xml:space="preserve">                       deflection * 1000, passed)))</w:t>
        <w:br/>
        <w:t>print(objectives)</w:t>
      </w:r>
    </w:p>
    <w:p>
      <w:pPr>
        <w:pStyle w:val="FirstParagraph"/>
      </w:pPr>
      <w:r>
        <w:t xml:space="preserve">For the variational check, use the four eligible candidates, uniform conditioned prior, the middle preference’s energy vector, and</w:t>
      </w:r>
      <w:r>
        <w:t xml:space="preserve"> </w:t>
      </w:r>
      <m:oMath>
        <m:r>
          <m:t>β</m:t>
        </m:r>
        <m:r>
          <m:rPr>
            <m:sty m:val="p"/>
          </m:rPr>
          <m:t>=</m:t>
        </m:r>
        <m:r>
          <m:t>30</m:t>
        </m:r>
      </m:oMath>
      <w:r>
        <w:t xml:space="preserve">. Draw 100 probability vectors from</w:t>
      </w:r>
      <w:r>
        <w:t xml:space="preserve"> </w:t>
      </w:r>
      <w:r>
        <w:rPr>
          <w:rStyle w:val="VerbatimChar"/>
        </w:rPr>
        <w:t xml:space="preserve">np.random.default_rng(20261016).dirichlet(np.ones(4))</w:t>
      </w:r>
      <w:r>
        <w:t xml:space="preserve"> </w:t>
      </w:r>
      <w:r>
        <w:t xml:space="preserve">and compare the two expressions in the proof of Theorem 1. For the admission example, solve</w:t>
      </w:r>
      <w:r>
        <w:t xml:space="preserve"> </w:t>
      </w:r>
      <m:oMath>
        <m:r>
          <m:t>n</m:t>
        </m:r>
        <m:r>
          <m:rPr>
            <m:sty m:val="p"/>
          </m:rPr>
          <m:t>≥</m:t>
        </m:r>
        <m:r>
          <m:t>2</m:t>
        </m:r>
        <m:r>
          <m:rPr>
            <m:sty m:val="p"/>
          </m:rPr>
          <m:t>log</m:t>
        </m:r>
        <m:d>
          <m:dPr>
            <m:begChr m:val="("/>
            <m:endChr m:val=")"/>
            <m:sepChr m:val=""/>
            <m:grow/>
          </m:dPr>
          <m:e>
            <m:r>
              <m:t>10</m:t>
            </m:r>
            <m:r>
              <m:rPr>
                <m:sty m:val="p"/>
              </m:rPr>
              <m:t>×</m:t>
            </m:r>
            <m:r>
              <m:t>4</m:t>
            </m:r>
            <m:r>
              <m:rPr>
                <m:sty m:val="p"/>
              </m:rPr>
              <m:t>×</m:t>
            </m:r>
            <m:r>
              <m:t>3</m:t>
            </m:r>
            <m:r>
              <m:rPr>
                <m:sty m:val="p"/>
              </m:rPr>
              <m:t>/</m:t>
            </m:r>
            <m:r>
              <m:t>0.05</m:t>
            </m:r>
          </m:e>
        </m:d>
        <m:r>
          <m:rPr>
            <m:sty m:val="p"/>
          </m:rPr>
          <m:t>/</m:t>
        </m:r>
        <m:sSup>
          <m:e>
            <m:r>
              <m:t>0.05</m:t>
            </m:r>
          </m:e>
          <m:sup>
            <m:r>
              <m:t>2</m:t>
            </m:r>
          </m:sup>
        </m:sSup>
      </m:oMath>
      <w:r>
        <w:t xml:space="preserve"> </w:t>
      </w:r>
      <w:r>
        <w:t xml:space="preserve">and round up. The coverage values use</w:t>
      </w:r>
      <w:r>
        <w:t xml:space="preserve"> </w:t>
      </w:r>
      <m:oMath>
        <m:sSup>
          <m:e>
            <m:d>
              <m:dPr>
                <m:begChr m:val="["/>
                <m:endChr m:val="]"/>
                <m:sepChr m:val=""/>
                <m:grow/>
              </m:dPr>
              <m:e>
                <m:r>
                  <m:t>1</m:t>
                </m:r>
                <m:r>
                  <m:rPr>
                    <m:sty m:val="p"/>
                  </m:rPr>
                  <m:t>−</m:t>
                </m:r>
                <m:r>
                  <m:t>0.1</m:t>
                </m:r>
                <m:r>
                  <m:rPr>
                    <m:sty m:val="p"/>
                  </m:rPr>
                  <m:t>/</m:t>
                </m:r>
                <m:r>
                  <m:t>100</m:t>
                </m:r>
              </m:e>
            </m:d>
          </m:e>
          <m:sup>
            <m:r>
              <m:t>5000</m:t>
            </m:r>
          </m:sup>
        </m:sSup>
      </m:oMath>
      <w:r>
        <w:t xml:space="preserve">. These calculations support only the stated finite and analytic examples.</w:t>
      </w:r>
    </w:p>
    <w:bookmarkEnd w:id="60"/>
    <w:bookmarkStart w:id="70" w:name="references"/>
    <w:p>
      <w:pPr>
        <w:pStyle w:val="Heading1"/>
      </w:pPr>
      <w:r>
        <w:t xml:space="preserve">References</w:t>
      </w:r>
    </w:p>
    <w:p>
      <w:pPr>
        <w:pStyle w:val="FirstParagraph"/>
        <w:keepLines/>
        <w:spacing w:after="140"/>
        <w:ind w:left="360" w:hanging="360"/>
      </w:pPr>
      <w:r>
        <w:rPr>
          <w:sz w:val="21"/>
        </w:rPr>
        <w:t xml:space="preserve">[1] C. Wei, H. Guan, M. Zhu, K. Zhou, J. He, X. Zhou, H. Chen, and Y. Shen.</w:t>
      </w:r>
      <w:r>
        <w:rPr>
          <w:sz w:val="21"/>
        </w:rPr>
        <w:t xml:space="preserve"> </w:t>
      </w:r>
      <w:r>
        <w:rPr>
          <w:iCs/>
          <w:i/>
          <w:sz w:val="21"/>
        </w:rPr>
        <w:t xml:space="preserve">Self-Evolving Agent Harness</w:t>
      </w:r>
      <w:r>
        <w:rPr>
          <w:sz w:val="21"/>
        </w:rPr>
        <w:t xml:space="preserve">. Preprint, 2026.</w:t>
      </w:r>
      <w:r>
        <w:rPr>
          <w:sz w:val="21"/>
        </w:rPr>
        <w:t xml:space="preserve"> </w:t>
      </w:r>
      <w:hyperlink r:id="rId61">
        <w:r>
          <w:rPr>
            <w:rStyle w:val="Hyperlink"/>
          </w:rPr>
          <w:t xml:space="preserve">arXiv:2610.18813v1</w:t>
        </w:r>
      </w:hyperlink>
      <w:r>
        <w:rPr>
          <w:sz w:val="21"/>
        </w:rPr>
        <w:t xml:space="preserve">.</w:t>
      </w:r>
    </w:p>
    <w:p>
      <w:pPr>
        <w:pStyle w:val="BodyText"/>
        <w:keepLines/>
        <w:spacing w:after="140"/>
        <w:ind w:left="360" w:hanging="360"/>
      </w:pPr>
      <w:r>
        <w:rPr>
          <w:sz w:val="21"/>
        </w:rPr>
        <w:t xml:space="preserve">[2] W. Yu, L. Miculicich, B. Dalvi Mishra, J. Chen, S. Li, M. Fredrikson, T. Pfister, and L. T. Le.</w:t>
      </w:r>
      <w:r>
        <w:rPr>
          <w:sz w:val="21"/>
        </w:rPr>
        <w:t xml:space="preserve"> </w:t>
      </w:r>
      <w:r>
        <w:rPr>
          <w:iCs/>
          <w:i/>
          <w:sz w:val="21"/>
        </w:rPr>
        <w:t xml:space="preserve">Harmony Harness Multi-Objective Self-Evolution of Agent Harnesses</w:t>
      </w:r>
      <w:r>
        <w:rPr>
          <w:sz w:val="21"/>
        </w:rPr>
        <w:t xml:space="preserve">. Preprint, 2026.</w:t>
      </w:r>
      <w:r>
        <w:rPr>
          <w:sz w:val="21"/>
        </w:rPr>
        <w:t xml:space="preserve"> </w:t>
      </w:r>
      <w:hyperlink r:id="rId62">
        <w:r>
          <w:rPr>
            <w:rStyle w:val="Hyperlink"/>
          </w:rPr>
          <w:t xml:space="preserve">arXiv:2610.15150v1</w:t>
        </w:r>
      </w:hyperlink>
      <w:r>
        <w:rPr>
          <w:sz w:val="21"/>
        </w:rPr>
        <w:t xml:space="preserve">.</w:t>
      </w:r>
    </w:p>
    <w:p>
      <w:pPr>
        <w:pStyle w:val="BodyText"/>
        <w:keepLines/>
        <w:spacing w:after="140"/>
        <w:ind w:left="360" w:hanging="360"/>
      </w:pPr>
      <w:r>
        <w:rPr>
          <w:sz w:val="21"/>
        </w:rPr>
        <w:t xml:space="preserve">[3] D. P. Ghosh.</w:t>
      </w:r>
      <w:r>
        <w:rPr>
          <w:sz w:val="21"/>
        </w:rPr>
        <w:t xml:space="preserve"> </w:t>
      </w:r>
      <w:r>
        <w:rPr>
          <w:iCs/>
          <w:i/>
          <w:sz w:val="21"/>
        </w:rPr>
        <w:t xml:space="preserve">Autoregressive Diffusion Evolution</w:t>
      </w:r>
      <w:r>
        <w:rPr>
          <w:sz w:val="21"/>
        </w:rPr>
        <w:t xml:space="preserve">. ResearchOverFlow source collection, October 2026.</w:t>
      </w:r>
      <w:r>
        <w:rPr>
          <w:sz w:val="21"/>
        </w:rPr>
        <w:t xml:space="preserve"> </w:t>
      </w:r>
      <w:hyperlink r:id="rId63">
        <w:r>
          <w:rPr>
            <w:rStyle w:val="Hyperlink"/>
          </w:rPr>
          <w:t xml:space="preserve">Repository</w:t>
        </w:r>
      </w:hyperlink>
      <w:r>
        <w:rPr>
          <w:sz w:val="21"/>
        </w:rPr>
        <w:t xml:space="preserve">.</w:t>
      </w:r>
    </w:p>
    <w:p>
      <w:pPr>
        <w:pStyle w:val="BodyText"/>
        <w:keepLines/>
        <w:spacing w:after="140"/>
        <w:ind w:left="360" w:hanging="360"/>
      </w:pPr>
      <w:r>
        <w:rPr>
          <w:sz w:val="21"/>
        </w:rPr>
        <w:t xml:space="preserve">[4] Y. Zhang, B. Hartl, H. Hazan, and M. Levin. Diffusion models are evolutionary algorithms.</w:t>
      </w:r>
      <w:r>
        <w:rPr>
          <w:sz w:val="21"/>
        </w:rPr>
        <w:t xml:space="preserve"> </w:t>
      </w:r>
      <w:r>
        <w:rPr>
          <w:iCs/>
          <w:i/>
          <w:sz w:val="21"/>
        </w:rPr>
        <w:t xml:space="preserve">ICLR</w:t>
      </w:r>
      <w:r>
        <w:rPr>
          <w:sz w:val="21"/>
        </w:rPr>
        <w:t xml:space="preserve">, 2025; revised preprint, 2026.</w:t>
      </w:r>
      <w:r>
        <w:rPr>
          <w:sz w:val="21"/>
        </w:rPr>
        <w:t xml:space="preserve"> </w:t>
      </w:r>
      <w:hyperlink r:id="rId64">
        <w:r>
          <w:rPr>
            <w:rStyle w:val="Hyperlink"/>
          </w:rPr>
          <w:t xml:space="preserve">arXiv:2410.02543v3</w:t>
        </w:r>
      </w:hyperlink>
      <w:r>
        <w:rPr>
          <w:sz w:val="21"/>
        </w:rPr>
        <w:t xml:space="preserve">.</w:t>
      </w:r>
    </w:p>
    <w:p>
      <w:pPr>
        <w:pStyle w:val="BodyText"/>
        <w:keepLines/>
        <w:spacing w:after="140"/>
        <w:ind w:left="360" w:hanging="360"/>
      </w:pPr>
      <w:r>
        <w:rPr>
          <w:sz w:val="21"/>
        </w:rPr>
        <w:t xml:space="preserve">[5] S. Yao, J. Zhao, D. Yu, N. Du, I. Shafran, K. Narasimhan, and Y. Cao. ReAct synergizing reasoning and acting in language models.</w:t>
      </w:r>
      <w:r>
        <w:rPr>
          <w:sz w:val="21"/>
        </w:rPr>
        <w:t xml:space="preserve"> </w:t>
      </w:r>
      <w:r>
        <w:rPr>
          <w:iCs/>
          <w:i/>
          <w:sz w:val="21"/>
        </w:rPr>
        <w:t xml:space="preserve">ICLR</w:t>
      </w:r>
      <w:r>
        <w:rPr>
          <w:sz w:val="21"/>
        </w:rPr>
        <w:t xml:space="preserve">, 2023.</w:t>
      </w:r>
      <w:r>
        <w:rPr>
          <w:sz w:val="21"/>
        </w:rPr>
        <w:t xml:space="preserve"> </w:t>
      </w:r>
      <w:hyperlink r:id="rId65">
        <w:r>
          <w:rPr>
            <w:rStyle w:val="Hyperlink"/>
          </w:rPr>
          <w:t xml:space="preserve">arXiv:2210.03629</w:t>
        </w:r>
      </w:hyperlink>
      <w:r>
        <w:rPr>
          <w:sz w:val="21"/>
        </w:rPr>
        <w:t xml:space="preserve">.</w:t>
      </w:r>
    </w:p>
    <w:p>
      <w:pPr>
        <w:pStyle w:val="BodyText"/>
        <w:keepLines/>
        <w:spacing w:after="140"/>
        <w:ind w:left="360" w:hanging="360"/>
      </w:pPr>
      <w:r>
        <w:rPr>
          <w:sz w:val="21"/>
        </w:rPr>
        <w:t xml:space="preserve">[6] buildingSMART International.</w:t>
      </w:r>
      <w:r>
        <w:rPr>
          <w:sz w:val="21"/>
        </w:rPr>
        <w:t xml:space="preserve"> </w:t>
      </w:r>
      <w:r>
        <w:rPr>
          <w:iCs/>
          <w:i/>
          <w:sz w:val="21"/>
        </w:rPr>
        <w:t xml:space="preserve">IFC 4.3.2.0 Documentation</w:t>
      </w:r>
      <w:r>
        <w:rPr>
          <w:sz w:val="21"/>
        </w:rPr>
        <w:t xml:space="preserve">. Official schema documentation.</w:t>
      </w:r>
      <w:r>
        <w:rPr>
          <w:sz w:val="21"/>
        </w:rPr>
        <w:t xml:space="preserve"> </w:t>
      </w:r>
      <w:hyperlink r:id="rId66">
        <w:r>
          <w:rPr>
            <w:rStyle w:val="Hyperlink"/>
          </w:rPr>
          <w:t xml:space="preserve">IFC documentation</w:t>
        </w:r>
      </w:hyperlink>
      <w:r>
        <w:rPr>
          <w:sz w:val="21"/>
        </w:rPr>
        <w:t xml:space="preserve">.</w:t>
      </w:r>
    </w:p>
    <w:p>
      <w:pPr>
        <w:pStyle w:val="BodyText"/>
        <w:keepLines/>
        <w:spacing w:after="140"/>
        <w:ind w:left="360" w:hanging="360"/>
      </w:pPr>
      <w:r>
        <w:rPr>
          <w:sz w:val="21"/>
        </w:rPr>
        <w:t xml:space="preserve">[7] buildingSMART International.</w:t>
      </w:r>
      <w:r>
        <w:rPr>
          <w:sz w:val="21"/>
        </w:rPr>
        <w:t xml:space="preserve"> </w:t>
      </w:r>
      <w:r>
        <w:rPr>
          <w:iCs/>
          <w:i/>
          <w:sz w:val="21"/>
        </w:rPr>
        <w:t xml:space="preserve">Information Delivery Specification</w:t>
      </w:r>
      <w:r>
        <w:rPr>
          <w:sz w:val="21"/>
        </w:rPr>
        <w:t xml:space="preserve">. Official specification and resources.</w:t>
      </w:r>
      <w:r>
        <w:rPr>
          <w:sz w:val="21"/>
        </w:rPr>
        <w:t xml:space="preserve"> </w:t>
      </w:r>
      <w:hyperlink r:id="rId67">
        <w:r>
          <w:rPr>
            <w:rStyle w:val="Hyperlink"/>
          </w:rPr>
          <w:t xml:space="preserve">IDS repository</w:t>
        </w:r>
      </w:hyperlink>
      <w:r>
        <w:rPr>
          <w:sz w:val="21"/>
        </w:rPr>
        <w:t xml:space="preserve">.</w:t>
      </w:r>
    </w:p>
    <w:p>
      <w:pPr>
        <w:pStyle w:val="BodyText"/>
        <w:keepLines/>
        <w:spacing w:after="140"/>
        <w:ind w:left="360" w:hanging="360"/>
      </w:pPr>
      <w:r>
        <w:rPr>
          <w:sz w:val="21"/>
        </w:rPr>
        <w:t xml:space="preserve">[8] B. Efron. Tweedie’s formula and selection bias.</w:t>
      </w:r>
      <w:r>
        <w:rPr>
          <w:sz w:val="21"/>
        </w:rPr>
        <w:t xml:space="preserve"> </w:t>
      </w:r>
      <w:r>
        <w:rPr>
          <w:iCs/>
          <w:i/>
          <w:sz w:val="21"/>
        </w:rPr>
        <w:t xml:space="preserve">Journal of the American Statistical Association</w:t>
      </w:r>
      <w:r>
        <w:rPr>
          <w:sz w:val="21"/>
        </w:rPr>
        <w:t xml:space="preserve">, 106(496), 1602–1614, 2011. DOI</w:t>
      </w:r>
      <w:r>
        <w:rPr>
          <w:sz w:val="21"/>
        </w:rPr>
        <w:t xml:space="preserve"> </w:t>
      </w:r>
      <w:hyperlink r:id="rId68">
        <w:r>
          <w:rPr>
            <w:rStyle w:val="Hyperlink"/>
          </w:rPr>
          <w:t xml:space="preserve">10.1198/jasa.2011.tm11181</w:t>
        </w:r>
      </w:hyperlink>
      <w:r>
        <w:rPr>
          <w:sz w:val="21"/>
        </w:rPr>
        <w:t xml:space="preserve">.</w:t>
      </w:r>
    </w:p>
    <w:p>
      <w:pPr>
        <w:pStyle w:val="BodyText"/>
        <w:keepLines/>
        <w:spacing w:after="140"/>
        <w:ind w:left="360" w:hanging="360"/>
      </w:pPr>
      <w:r>
        <w:rPr>
          <w:sz w:val="21"/>
        </w:rPr>
        <w:t xml:space="preserve">[9] J. Guan, H. Wu, Z. Wang, G. G. Yen, and M. Jiang.</w:t>
      </w:r>
      <w:r>
        <w:rPr>
          <w:sz w:val="21"/>
        </w:rPr>
        <w:t xml:space="preserve"> </w:t>
      </w:r>
      <w:r>
        <w:rPr>
          <w:iCs/>
          <w:i/>
          <w:sz w:val="21"/>
        </w:rPr>
        <w:t xml:space="preserve">Training-Free Diffusion-Driven Modeling of Pareto Set Evolution for Dynamic Multiobjective Optimization</w:t>
      </w:r>
      <w:r>
        <w:rPr>
          <w:sz w:val="21"/>
        </w:rPr>
        <w:t xml:space="preserve">. Preprint, 2026.</w:t>
      </w:r>
      <w:r>
        <w:rPr>
          <w:sz w:val="21"/>
        </w:rPr>
        <w:t xml:space="preserve"> </w:t>
      </w:r>
      <w:hyperlink r:id="rId69">
        <w:r>
          <w:rPr>
            <w:rStyle w:val="Hyperlink"/>
          </w:rPr>
          <w:t xml:space="preserve">arXiv:2603.26749</w:t>
        </w:r>
      </w:hyperlink>
      <w:r>
        <w:rPr>
          <w:sz w:val="21"/>
        </w:rPr>
        <w:t xml:space="preserve">.</w:t>
      </w:r>
    </w:p>
    <w:bookmarkEnd w:id="70"/>
    <w:sectPr w:rsidR="00FC693F" w:rsidRPr="0006063C" w:rsidSect="00034616">
      <w:footerReference w:type="default" r:id="rId9"/>
      <w:pgSz w:h="15840" w:w="12240"/>
      <w:pgMar w:bottom="1037" w:footer="432" w:gutter="0" w:header="432" w:left="1152" w:right="1152" w:top="105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20"/>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Latin Modern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10" w:before="0" w:line="259" w:lineRule="auto"/>
      <w:jc w:val="both"/>
    </w:pPr>
    <w:rPr>
      <w:rFonts w:ascii="Nimbus Roman" w:hAnsi="Nimbus Roman"/>
      <w:color w:val="000000"/>
      <w:sz w:val="23"/>
    </w:rPr>
  </w:style>
  <w:style w:styleId="Header" w:type="paragraph">
    <w:name w:val="header"/>
    <w:basedOn w:val="Normal"/>
    <w:link w:val="HeaderChar"/>
    <w:uiPriority w:val="99"/>
    <w:unhideWhenUsed/>
    <w:rsid w:val="00E618BF"/>
    <w:pPr>
      <w:tabs>
        <w:tab w:pos="4680" w:val="center"/>
        <w:tab w:pos="9360" w:val="right"/>
      </w:tabs>
      <w:spacing w:after="0" w:line="240" w:lineRule="auto"/>
    </w:pPr>
    <w:rPr>
      <w:color w:val="000000"/>
    </w:rPr>
  </w:style>
  <w:style w:customStyle="1" w:styleId="HeaderChar" w:type="character">
    <w:name w:val="Header Char"/>
    <w:basedOn w:val="DefaultParagraphFont"/>
    <w:link w:val="Header"/>
    <w:uiPriority w:val="99"/>
    <w:rsid w:val="00E618BF"/>
    <w:rPr>
      <w:color w:val="000000"/>
    </w:rPr>
  </w:style>
  <w:style w:styleId="Footer" w:type="paragraph">
    <w:name w:val="footer"/>
    <w:basedOn w:val="Normal"/>
    <w:link w:val="FooterChar"/>
    <w:uiPriority w:val="99"/>
    <w:unhideWhenUsed/>
    <w:rsid w:val="00E618BF"/>
    <w:pPr>
      <w:tabs>
        <w:tab w:pos="4680" w:val="center"/>
        <w:tab w:pos="9360" w:val="right"/>
      </w:tabs>
      <w:spacing w:after="0" w:line="240" w:lineRule="auto"/>
    </w:pPr>
    <w:rPr>
      <w:color w:val="000000"/>
    </w:rPr>
  </w:style>
  <w:style w:customStyle="1" w:styleId="FooterChar" w:type="character">
    <w:name w:val="Footer Char"/>
    <w:basedOn w:val="DefaultParagraphFont"/>
    <w:link w:val="Footer"/>
    <w:uiPriority w:val="99"/>
    <w:rsid w:val="00E618BF"/>
    <w:rPr>
      <w:color w:val="000000"/>
    </w:rPr>
  </w:style>
  <w:style w:styleId="Heading1" w:type="paragraph">
    <w:name w:val="heading 1"/>
    <w:basedOn w:val="Normal"/>
    <w:next w:val="Normal"/>
    <w:link w:val="Heading1Char"/>
    <w:uiPriority w:val="9"/>
    <w:qFormat/>
    <w:rsid w:val="00FC693F"/>
    <w:pPr>
      <w:keepNext/>
      <w:keepLines/>
      <w:spacing w:after="100" w:before="260"/>
      <w:outlineLvl w:val="0"/>
    </w:pPr>
    <w:rPr>
      <w:rFonts w:ascii="Nimbus Sans" w:hAnsi="Nimbus Sans"/>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00" w:before="200"/>
      <w:outlineLvl w:val="1"/>
    </w:pPr>
    <w:rPr>
      <w:rFonts w:ascii="Nimbus Sans" w:hAnsi="Nimbus Sans"/>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00" w:before="200"/>
      <w:outlineLvl w:val="2"/>
    </w:pPr>
    <w:rPr>
      <w:rFonts w:ascii="Nimbus Sans" w:hAnsi="Nimbus Sans"/>
      <w:b/>
      <w:bCs/>
      <w:color w:val="000000"/>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b/>
      <w:bCs/>
      <w:i/>
      <w:iCs/>
      <w:color w:val="00000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color w:val="00000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i/>
      <w:iCs/>
      <w:color w:val="00000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i/>
      <w:iCs/>
      <w:color w:val="00000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olor w:val="000000"/>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i/>
      <w:iCs/>
      <w:color w:val="000000"/>
      <w:sz w:val="20"/>
      <w:szCs w:val="20"/>
    </w:rPr>
  </w:style>
  <w:style w:default="1" w:styleId="DefaultParagraphFont" w:type="character">
    <w:name w:val="Default Paragraph Font"/>
    <w:uiPriority w:val="1"/>
    <w:semiHidden/>
    <w:unhideWhenUsed/>
    <w:rPr>
      <w:color w:val="000000"/>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color w:val="000000"/>
    </w:rPr>
  </w:style>
  <w:style w:customStyle="1" w:styleId="Heading1Char" w:type="character">
    <w:name w:val="Heading 1 Char"/>
    <w:basedOn w:val="DefaultParagraphFont"/>
    <w:link w:val="Heading1"/>
    <w:uiPriority w:val="9"/>
    <w:rsid w:val="00FC693F"/>
    <w:rPr>
      <w:rFonts/>
      <w:b/>
      <w:bCs/>
      <w:color w:val="000000"/>
      <w:sz w:val="28"/>
      <w:szCs w:val="28"/>
    </w:rPr>
  </w:style>
  <w:style w:customStyle="1" w:styleId="Heading2Char" w:type="character">
    <w:name w:val="Heading 2 Char"/>
    <w:basedOn w:val="DefaultParagraphFont"/>
    <w:link w:val="Heading2"/>
    <w:uiPriority w:val="9"/>
    <w:rsid w:val="00FC693F"/>
    <w:rPr>
      <w:rFonts/>
      <w:b/>
      <w:bCs/>
      <w:color w:val="000000"/>
      <w:sz w:val="26"/>
      <w:szCs w:val="26"/>
    </w:rPr>
  </w:style>
  <w:style w:customStyle="1" w:styleId="Heading3Char" w:type="character">
    <w:name w:val="Heading 3 Char"/>
    <w:basedOn w:val="DefaultParagraphFont"/>
    <w:link w:val="Heading3"/>
    <w:uiPriority w:val="9"/>
    <w:rsid w:val="00FC693F"/>
    <w:rPr>
      <w:rFonts/>
      <w:b/>
      <w:bCs/>
      <w:color w:val="000000"/>
    </w:rPr>
  </w:style>
  <w:style w:styleId="Title" w:type="paragraph">
    <w:name w:val="Title"/>
    <w:basedOn w:val="Normal"/>
    <w:next w:val="Normal"/>
    <w:link w:val="TitleChar"/>
    <w:uiPriority w:val="10"/>
    <w:qFormat/>
    <w:rsid w:val="00FC693F"/>
    <w:pPr>
      <w:keepNext/>
      <w:spacing w:after="120" w:before="120" w:line="240" w:lineRule="auto"/>
      <w:contextualSpacing/>
      <w:jc w:val="center"/>
    </w:pPr>
    <w:rPr>
      <w:rFonts w:ascii="Nimbus Roman" w:hAnsi="Nimbus Roman"/>
      <w:b/>
      <w:color w:val="000000"/>
      <w:spacing w:val="5"/>
      <w:kern w:val="28"/>
      <w:sz w:val="46"/>
      <w:szCs w:val="52"/>
    </w:rPr>
  </w:style>
  <w:style w:customStyle="1" w:styleId="TitleChar" w:type="character">
    <w:name w:val="Title Char"/>
    <w:basedOn w:val="DefaultParagraphFont"/>
    <w:link w:val="Title"/>
    <w:uiPriority w:val="10"/>
    <w:rsid w:val="00FC693F"/>
    <w:rPr>
      <w:rFonts/>
      <w:color w:val="000000"/>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20" w:before="0"/>
      <w:jc w:val="center"/>
    </w:pPr>
    <w:rPr>
      <w:rFonts w:ascii="Nimbus Roman" w:hAnsi="Nimbus Roman"/>
      <w:b w:val="0"/>
      <w:i/>
      <w:iCs/>
      <w:color w:val="000000"/>
      <w:spacing w:val="15"/>
      <w:sz w:val="26"/>
      <w:szCs w:val="24"/>
    </w:rPr>
  </w:style>
  <w:style w:customStyle="1" w:styleId="SubtitleChar" w:type="character">
    <w:name w:val="Subtitle Char"/>
    <w:basedOn w:val="DefaultParagraphFont"/>
    <w:link w:val="Subtitle"/>
    <w:uiPriority w:val="11"/>
    <w:rsid w:val="00FC693F"/>
    <w:rPr>
      <w:rFonts/>
      <w:i/>
      <w:iCs/>
      <w:color w:val="000000"/>
      <w:spacing w:val="15"/>
      <w:sz w:val="24"/>
      <w:szCs w:val="24"/>
    </w:rPr>
  </w:style>
  <w:style w:styleId="ListParagraph" w:type="paragraph">
    <w:name w:val="List Paragraph"/>
    <w:basedOn w:val="Normal"/>
    <w:uiPriority w:val="34"/>
    <w:qFormat/>
    <w:rsid w:val="00FC693F"/>
    <w:pPr>
      <w:ind w:left="720"/>
      <w:contextualSpacing/>
    </w:pPr>
    <w:rPr>
      <w:color w:val="000000"/>
    </w:rPr>
  </w:style>
  <w:style w:styleId="BodyText" w:type="paragraph">
    <w:name w:val="Body Text"/>
    <w:basedOn w:val="Normal"/>
    <w:link w:val="BodyTextChar"/>
    <w:uiPriority w:val="99"/>
    <w:unhideWhenUsed/>
    <w:rsid w:val="00AA1D8D"/>
    <w:pPr>
      <w:widowControl/>
      <w:spacing w:after="110" w:before="0" w:line="259" w:lineRule="auto"/>
      <w:jc w:val="both"/>
    </w:pPr>
    <w:rPr>
      <w:rFonts w:ascii="Nimbus Roman" w:hAnsi="Nimbus Roman"/>
      <w:color w:val="000000"/>
      <w:sz w:val="23"/>
    </w:rPr>
  </w:style>
  <w:style w:customStyle="1" w:styleId="BodyTextChar" w:type="character">
    <w:name w:val="Body Text Char"/>
    <w:basedOn w:val="DefaultParagraphFont"/>
    <w:link w:val="BodyText"/>
    <w:uiPriority w:val="99"/>
    <w:rsid w:val="00AA1D8D"/>
    <w:rPr>
      <w:color w:val="000000"/>
    </w:rPr>
  </w:style>
  <w:style w:styleId="BodyText2" w:type="paragraph">
    <w:name w:val="Body Text 2"/>
    <w:basedOn w:val="Normal"/>
    <w:link w:val="BodyText2Char"/>
    <w:uiPriority w:val="99"/>
    <w:unhideWhenUsed/>
    <w:rsid w:val="00AA1D8D"/>
    <w:pPr>
      <w:spacing w:after="120" w:line="480" w:lineRule="auto"/>
    </w:pPr>
    <w:rPr>
      <w:color w:val="000000"/>
    </w:rPr>
  </w:style>
  <w:style w:customStyle="1" w:styleId="BodyText2Char" w:type="character">
    <w:name w:val="Body Text 2 Char"/>
    <w:basedOn w:val="DefaultParagraphFont"/>
    <w:link w:val="BodyText2"/>
    <w:uiPriority w:val="99"/>
    <w:rsid w:val="00AA1D8D"/>
    <w:rPr>
      <w:color w:val="000000"/>
    </w:rPr>
  </w:style>
  <w:style w:styleId="BodyText3" w:type="paragraph">
    <w:name w:val="Body Text 3"/>
    <w:basedOn w:val="Normal"/>
    <w:link w:val="BodyText3Char"/>
    <w:uiPriority w:val="99"/>
    <w:unhideWhenUsed/>
    <w:rsid w:val="00AA1D8D"/>
    <w:pPr>
      <w:spacing w:after="120"/>
    </w:pPr>
    <w:rPr>
      <w:color w:val="000000"/>
      <w:sz w:val="16"/>
      <w:szCs w:val="16"/>
    </w:rPr>
  </w:style>
  <w:style w:customStyle="1" w:styleId="BodyText3Char" w:type="character">
    <w:name w:val="Body Text 3 Char"/>
    <w:basedOn w:val="DefaultParagraphFont"/>
    <w:link w:val="BodyText3"/>
    <w:uiPriority w:val="99"/>
    <w:rsid w:val="00AA1D8D"/>
    <w:rPr>
      <w:color w:val="000000"/>
      <w:sz w:val="16"/>
      <w:szCs w:val="16"/>
    </w:rPr>
  </w:style>
  <w:style w:styleId="List" w:type="paragraph">
    <w:name w:val="List"/>
    <w:basedOn w:val="Normal"/>
    <w:uiPriority w:val="99"/>
    <w:unhideWhenUsed/>
    <w:rsid w:val="00AA1D8D"/>
    <w:pPr>
      <w:ind w:hanging="360" w:left="360"/>
      <w:contextualSpacing/>
    </w:pPr>
    <w:rPr>
      <w:color w:val="000000"/>
    </w:rPr>
  </w:style>
  <w:style w:styleId="List2" w:type="paragraph">
    <w:name w:val="List 2"/>
    <w:basedOn w:val="Normal"/>
    <w:uiPriority w:val="99"/>
    <w:unhideWhenUsed/>
    <w:rsid w:val="00326F90"/>
    <w:pPr>
      <w:ind w:hanging="360" w:left="720"/>
      <w:contextualSpacing/>
    </w:pPr>
    <w:rPr>
      <w:color w:val="000000"/>
    </w:rPr>
  </w:style>
  <w:style w:styleId="List3" w:type="paragraph">
    <w:name w:val="List 3"/>
    <w:basedOn w:val="Normal"/>
    <w:uiPriority w:val="99"/>
    <w:unhideWhenUsed/>
    <w:rsid w:val="00326F90"/>
    <w:pPr>
      <w:ind w:hanging="360" w:left="1080"/>
      <w:contextualSpacing/>
    </w:pPr>
    <w:rPr>
      <w:color w:val="000000"/>
    </w:rPr>
  </w:style>
  <w:style w:styleId="ListBullet" w:type="paragraph">
    <w:name w:val="List Bullet"/>
    <w:basedOn w:val="Normal"/>
    <w:uiPriority w:val="99"/>
    <w:unhideWhenUsed/>
    <w:rsid w:val="00326F90"/>
    <w:pPr>
      <w:numPr>
        <w:numId w:val="1"/>
      </w:numPr>
      <w:contextualSpacing/>
    </w:pPr>
    <w:rPr>
      <w:color w:val="000000"/>
    </w:rPr>
  </w:style>
  <w:style w:styleId="ListBullet2" w:type="paragraph">
    <w:name w:val="List Bullet 2"/>
    <w:basedOn w:val="Normal"/>
    <w:uiPriority w:val="99"/>
    <w:unhideWhenUsed/>
    <w:rsid w:val="00326F90"/>
    <w:pPr>
      <w:numPr>
        <w:numId w:val="2"/>
      </w:numPr>
      <w:contextualSpacing/>
    </w:pPr>
    <w:rPr>
      <w:color w:val="000000"/>
    </w:rPr>
  </w:style>
  <w:style w:styleId="ListBullet3" w:type="paragraph">
    <w:name w:val="List Bullet 3"/>
    <w:basedOn w:val="Normal"/>
    <w:uiPriority w:val="99"/>
    <w:unhideWhenUsed/>
    <w:rsid w:val="00326F90"/>
    <w:pPr>
      <w:numPr>
        <w:numId w:val="3"/>
      </w:numPr>
      <w:contextualSpacing/>
    </w:pPr>
    <w:rPr>
      <w:color w:val="000000"/>
    </w:rPr>
  </w:style>
  <w:style w:styleId="ListNumber" w:type="paragraph">
    <w:name w:val="List Number"/>
    <w:basedOn w:val="Normal"/>
    <w:uiPriority w:val="99"/>
    <w:unhideWhenUsed/>
    <w:rsid w:val="00326F90"/>
    <w:pPr>
      <w:numPr>
        <w:numId w:val="5"/>
      </w:numPr>
      <w:contextualSpacing/>
    </w:pPr>
    <w:rPr>
      <w:color w:val="000000"/>
    </w:rPr>
  </w:style>
  <w:style w:styleId="ListNumber2" w:type="paragraph">
    <w:name w:val="List Number 2"/>
    <w:basedOn w:val="Normal"/>
    <w:uiPriority w:val="99"/>
    <w:unhideWhenUsed/>
    <w:rsid w:val="0029639D"/>
    <w:pPr>
      <w:numPr>
        <w:numId w:val="6"/>
      </w:numPr>
      <w:contextualSpacing/>
    </w:pPr>
    <w:rPr>
      <w:color w:val="000000"/>
    </w:rPr>
  </w:style>
  <w:style w:styleId="ListNumber3" w:type="paragraph">
    <w:name w:val="List Number 3"/>
    <w:basedOn w:val="Normal"/>
    <w:uiPriority w:val="99"/>
    <w:unhideWhenUsed/>
    <w:rsid w:val="0029639D"/>
    <w:pPr>
      <w:numPr>
        <w:numId w:val="7"/>
      </w:numPr>
      <w:contextualSpacing/>
    </w:pPr>
    <w:rPr>
      <w:color w:val="000000"/>
    </w:rPr>
  </w:style>
  <w:style w:styleId="ListContinue" w:type="paragraph">
    <w:name w:val="List Continue"/>
    <w:basedOn w:val="Normal"/>
    <w:uiPriority w:val="99"/>
    <w:unhideWhenUsed/>
    <w:rsid w:val="0029639D"/>
    <w:pPr>
      <w:spacing w:after="120"/>
      <w:ind w:left="360"/>
      <w:contextualSpacing/>
    </w:pPr>
    <w:rPr>
      <w:color w:val="000000"/>
    </w:rPr>
  </w:style>
  <w:style w:styleId="ListContinue2" w:type="paragraph">
    <w:name w:val="List Continue 2"/>
    <w:basedOn w:val="Normal"/>
    <w:uiPriority w:val="99"/>
    <w:unhideWhenUsed/>
    <w:rsid w:val="0029639D"/>
    <w:pPr>
      <w:spacing w:after="120"/>
      <w:ind w:left="720"/>
      <w:contextualSpacing/>
    </w:pPr>
    <w:rPr>
      <w:color w:val="000000"/>
    </w:rPr>
  </w:style>
  <w:style w:styleId="ListContinue3" w:type="paragraph">
    <w:name w:val="List Continue 3"/>
    <w:basedOn w:val="Normal"/>
    <w:uiPriority w:val="99"/>
    <w:unhideWhenUsed/>
    <w:rsid w:val="0029639D"/>
    <w:pPr>
      <w:spacing w:after="120"/>
      <w:ind w:left="1080"/>
      <w:contextualSpacing/>
    </w:pPr>
    <w:rPr>
      <w:color w:val="000000"/>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color w:val="000000"/>
      <w:sz w:val="20"/>
      <w:szCs w:val="20"/>
    </w:rPr>
  </w:style>
  <w:style w:customStyle="1" w:styleId="MacroTextChar" w:type="character">
    <w:name w:val="Macro Text Char"/>
    <w:basedOn w:val="DefaultParagraphFont"/>
    <w:link w:val="MacroText"/>
    <w:uiPriority w:val="99"/>
    <w:rsid w:val="0029639D"/>
    <w:rPr>
      <w:rFonts w:ascii="Courier" w:hAnsi="Courier"/>
      <w:color w:val="000000"/>
      <w:sz w:val="20"/>
      <w:szCs w:val="20"/>
    </w:rPr>
  </w:style>
  <w:style w:styleId="Quote" w:type="paragraph">
    <w:name w:val="Quote"/>
    <w:basedOn w:val="Normal"/>
    <w:next w:val="Normal"/>
    <w:link w:val="QuoteChar"/>
    <w:uiPriority w:val="29"/>
    <w:qFormat/>
    <w:rsid w:val="00FC693F"/>
    <w:rPr>
      <w:i/>
      <w:iCs/>
      <w:color w:val="000000"/>
    </w:rPr>
  </w:style>
  <w:style w:customStyle="1" w:styleId="QuoteChar" w:type="character">
    <w:name w:val="Quote Char"/>
    <w:basedOn w:val="DefaultParagraphFont"/>
    <w:link w:val="Quote"/>
    <w:uiPriority w:val="29"/>
    <w:rsid w:val="00FC693F"/>
    <w:rPr>
      <w:i/>
      <w:iCs/>
      <w:color w:val="000000"/>
    </w:rPr>
  </w:style>
  <w:style w:customStyle="1" w:styleId="Heading4Char" w:type="character">
    <w:name w:val="Heading 4 Char"/>
    <w:basedOn w:val="DefaultParagraphFont"/>
    <w:link w:val="Heading4"/>
    <w:uiPriority w:val="9"/>
    <w:semiHidden/>
    <w:rsid w:val="00FC693F"/>
    <w:rPr>
      <w:rFonts/>
      <w:b/>
      <w:bCs/>
      <w:i/>
      <w:iCs/>
      <w:color w:val="000000"/>
    </w:rPr>
  </w:style>
  <w:style w:customStyle="1" w:styleId="Heading5Char" w:type="character">
    <w:name w:val="Heading 5 Char"/>
    <w:basedOn w:val="DefaultParagraphFont"/>
    <w:link w:val="Heading5"/>
    <w:uiPriority w:val="9"/>
    <w:semiHidden/>
    <w:rsid w:val="00FC693F"/>
    <w:rPr>
      <w:rFonts/>
      <w:color w:val="000000"/>
    </w:rPr>
  </w:style>
  <w:style w:customStyle="1" w:styleId="Heading6Char" w:type="character">
    <w:name w:val="Heading 6 Char"/>
    <w:basedOn w:val="DefaultParagraphFont"/>
    <w:link w:val="Heading6"/>
    <w:uiPriority w:val="9"/>
    <w:semiHidden/>
    <w:rsid w:val="00FC693F"/>
    <w:rPr>
      <w:rFonts/>
      <w:i/>
      <w:iCs/>
      <w:color w:val="000000"/>
    </w:rPr>
  </w:style>
  <w:style w:customStyle="1" w:styleId="Heading7Char" w:type="character">
    <w:name w:val="Heading 7 Char"/>
    <w:basedOn w:val="DefaultParagraphFont"/>
    <w:link w:val="Heading7"/>
    <w:uiPriority w:val="9"/>
    <w:semiHidden/>
    <w:rsid w:val="00FC693F"/>
    <w:rPr>
      <w:rFonts/>
      <w:i/>
      <w:iCs/>
      <w:color w:val="000000"/>
    </w:rPr>
  </w:style>
  <w:style w:customStyle="1" w:styleId="Heading8Char" w:type="character">
    <w:name w:val="Heading 8 Char"/>
    <w:basedOn w:val="DefaultParagraphFont"/>
    <w:link w:val="Heading8"/>
    <w:uiPriority w:val="9"/>
    <w:semiHidden/>
    <w:rsid w:val="00FC693F"/>
    <w:rPr>
      <w:rFonts/>
      <w:color w:val="000000"/>
      <w:sz w:val="20"/>
      <w:szCs w:val="20"/>
    </w:rPr>
  </w:style>
  <w:style w:customStyle="1" w:styleId="Heading9Char" w:type="character">
    <w:name w:val="Heading 9 Char"/>
    <w:basedOn w:val="DefaultParagraphFont"/>
    <w:link w:val="Heading9"/>
    <w:uiPriority w:val="9"/>
    <w:semiHidden/>
    <w:rsid w:val="00FC693F"/>
    <w:rPr>
      <w:rFonts/>
      <w:i/>
      <w:iCs/>
      <w:color w:val="000000"/>
      <w:sz w:val="20"/>
      <w:szCs w:val="20"/>
    </w:rPr>
  </w:style>
  <w:style w:styleId="Caption" w:type="paragraph">
    <w:name w:val="caption"/>
    <w:basedOn w:val="Normal"/>
    <w:next w:val="Normal"/>
    <w:uiPriority w:val="35"/>
    <w:semiHidden/>
    <w:unhideWhenUsed/>
    <w:qFormat/>
    <w:rsid w:val="00FC693F"/>
    <w:pPr>
      <w:spacing w:after="140" w:before="60" w:line="250" w:lineRule="auto"/>
      <w:jc w:val="left"/>
    </w:pPr>
    <w:rPr>
      <w:rFonts w:ascii="Nimbus Roman" w:hAnsi="Nimbus Roman"/>
      <w:b w:val="0"/>
      <w:bCs/>
      <w:color w:val="000000"/>
      <w:sz w:val="21"/>
      <w:szCs w:val="18"/>
    </w:rPr>
  </w:style>
  <w:style w:styleId="Strong" w:type="character">
    <w:name w:val="Strong"/>
    <w:basedOn w:val="DefaultParagraphFont"/>
    <w:uiPriority w:val="22"/>
    <w:qFormat/>
    <w:rsid w:val="00FC693F"/>
    <w:rPr>
      <w:b/>
      <w:bCs/>
      <w:color w:val="000000"/>
    </w:rPr>
  </w:style>
  <w:style w:styleId="Emphasis" w:type="character">
    <w:name w:val="Emphasis"/>
    <w:basedOn w:val="DefaultParagraphFont"/>
    <w:uiPriority w:val="20"/>
    <w:qFormat/>
    <w:rsid w:val="00FC693F"/>
    <w:rPr>
      <w:i/>
      <w:iCs/>
      <w:color w:val="000000"/>
    </w:rPr>
  </w:style>
  <w:style w:styleId="IntenseQuote" w:type="paragraph">
    <w:name w:val="Intense Quote"/>
    <w:basedOn w:val="Normal"/>
    <w:next w:val="Normal"/>
    <w:link w:val="IntenseQuoteChar"/>
    <w:uiPriority w:val="30"/>
    <w:qFormat/>
    <w:rsid w:val="00FC693F"/>
    <w:pPr>
      <w:spacing w:after="280" w:before="200"/>
      <w:ind w:left="936" w:right="936"/>
    </w:pPr>
    <w:rPr>
      <w:b/>
      <w:bCs/>
      <w:i/>
      <w:iCs/>
      <w:color w:val="000000"/>
    </w:rPr>
  </w:style>
  <w:style w:customStyle="1" w:styleId="IntenseQuoteChar" w:type="character">
    <w:name w:val="Intense Quote Char"/>
    <w:basedOn w:val="DefaultParagraphFont"/>
    <w:link w:val="IntenseQuote"/>
    <w:uiPriority w:val="30"/>
    <w:rsid w:val="00FC693F"/>
    <w:rPr>
      <w:b/>
      <w:bCs/>
      <w:i/>
      <w:iCs/>
      <w:color w:val="000000"/>
    </w:rPr>
  </w:style>
  <w:style w:styleId="SubtleEmphasis" w:type="character">
    <w:name w:val="Subtle Emphasis"/>
    <w:basedOn w:val="DefaultParagraphFont"/>
    <w:uiPriority w:val="19"/>
    <w:qFormat/>
    <w:rsid w:val="00FC693F"/>
    <w:rPr>
      <w:i/>
      <w:iCs/>
      <w:color w:val="000000"/>
    </w:rPr>
  </w:style>
  <w:style w:styleId="IntenseEmphasis" w:type="character">
    <w:name w:val="Intense Emphasis"/>
    <w:basedOn w:val="DefaultParagraphFont"/>
    <w:uiPriority w:val="21"/>
    <w:qFormat/>
    <w:rsid w:val="00FC693F"/>
    <w:rPr>
      <w:b/>
      <w:bCs/>
      <w:i/>
      <w:iCs/>
      <w:color w:val="000000"/>
    </w:rPr>
  </w:style>
  <w:style w:styleId="SubtleReference" w:type="character">
    <w:name w:val="Subtle Reference"/>
    <w:basedOn w:val="DefaultParagraphFont"/>
    <w:uiPriority w:val="31"/>
    <w:qFormat/>
    <w:rsid w:val="00FC693F"/>
    <w:rPr>
      <w:smallCaps/>
      <w:color w:val="000000"/>
      <w:u w:val="single"/>
    </w:rPr>
  </w:style>
  <w:style w:styleId="IntenseReference" w:type="character">
    <w:name w:val="Intense Reference"/>
    <w:basedOn w:val="DefaultParagraphFont"/>
    <w:uiPriority w:val="32"/>
    <w:qFormat/>
    <w:rsid w:val="00FC693F"/>
    <w:rPr>
      <w:b/>
      <w:bCs/>
      <w:smallCaps/>
      <w:color w:val="000000"/>
      <w:spacing w:val="5"/>
      <w:u w:val="single"/>
    </w:rPr>
  </w:style>
  <w:style w:styleId="BookTitle" w:type="character">
    <w:name w:val="Book Title"/>
    <w:basedOn w:val="DefaultParagraphFont"/>
    <w:uiPriority w:val="33"/>
    <w:qFormat/>
    <w:rsid w:val="00FC693F"/>
    <w:rPr>
      <w:b/>
      <w:bCs/>
      <w:smallCaps/>
      <w:color w:val="000000"/>
      <w:spacing w:val="5"/>
    </w:rPr>
  </w:style>
  <w:style w:styleId="TOCHeading" w:type="paragraph">
    <w:name w:val="TOC Heading"/>
    <w:basedOn w:val="Heading1"/>
    <w:next w:val="Normal"/>
    <w:uiPriority w:val="39"/>
    <w:semiHidden/>
    <w:unhideWhenUsed/>
    <w:qFormat/>
    <w:rsid w:val="00FC693F"/>
    <w:pPr>
      <w:outlineLvl w:val="9"/>
    </w:pPr>
    <w:rPr>
      <w:color w:val="000000"/>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color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color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color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color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color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color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color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widowControl/>
      <w:spacing w:after="110" w:before="0" w:line="259" w:lineRule="auto"/>
      <w:jc w:val="both"/>
    </w:pPr>
    <w:rPr>
      <w:rFonts w:ascii="Nimbus Roman" w:hAnsi="Nimbus Roman"/>
      <w:color w:val="000000"/>
      <w:sz w:val="23"/>
    </w:rPr>
  </w:style>
  <w:style w:customStyle="1" w:styleId="Compact" w:type="paragraph">
    <w:name w:val="Compact"/>
    <w:pPr>
      <w:widowControl/>
      <w:spacing w:after="110" w:before="0" w:line="259" w:lineRule="auto"/>
      <w:jc w:val="both"/>
    </w:pPr>
    <w:rPr>
      <w:rFonts w:ascii="Nimbus Roman" w:hAnsi="Nimbus Roman"/>
      <w:color w:val="000000"/>
      <w:sz w:val="23"/>
    </w:rPr>
  </w:style>
  <w:style w:customStyle="1" w:styleId="Author" w:type="paragraph">
    <w:name w:val="Author"/>
    <w:pPr>
      <w:keepNext/>
      <w:spacing w:after="80" w:before="0"/>
      <w:jc w:val="center"/>
    </w:pPr>
    <w:rPr>
      <w:rFonts w:ascii="Nimbus Roman" w:hAnsi="Nimbus Roman"/>
      <w:b w:val="0"/>
      <w:color w:val="000000"/>
      <w:sz w:val="23"/>
    </w:rPr>
  </w:style>
  <w:style w:customStyle="1" w:styleId="Date" w:type="paragraph">
    <w:name w:val="Date"/>
    <w:pPr>
      <w:keepNext/>
      <w:spacing w:after="80" w:before="0"/>
      <w:jc w:val="center"/>
    </w:pPr>
    <w:rPr>
      <w:rFonts w:ascii="Nimbus Roman" w:hAnsi="Nimbus Roman"/>
      <w:b w:val="0"/>
      <w:color w:val="000000"/>
      <w:sz w:val="21"/>
    </w:rPr>
  </w:style>
  <w:style w:customStyle="1" w:styleId="SourceCode" w:type="paragraph">
    <w:name w:val="Source Code"/>
    <w:pPr>
      <w:widowControl w:val="0"/>
      <w:spacing w:after="0" w:before="0" w:line="220" w:lineRule="exact"/>
      <w:jc w:val="left"/>
    </w:pPr>
    <w:rPr>
      <w:rFonts w:ascii="DejaVu Sans Mono" w:hAnsi="DejaVu Sans Mono"/>
      <w:color w:val="000000"/>
      <w:sz w:val="18"/>
    </w:rPr>
  </w:style>
  <w:style w:customStyle="1" w:styleId="VerbatimChar" w:type="character">
    <w:name w:val="Verbatim Char"/>
    <w:rPr>
      <w:rFonts w:ascii="DejaVu Sans Mono" w:hAnsi="DejaVu Sans Mono"/>
      <w:color w:val="000000"/>
      <w:sz w:val="20"/>
    </w:rPr>
  </w:style>
  <w:style w:customStyle="1" w:styleId="ImageCaption" w:type="paragraph">
    <w:name w:val="Image Caption"/>
    <w:pPr>
      <w:spacing w:after="140" w:before="60" w:line="250" w:lineRule="auto"/>
      <w:jc w:val="left"/>
    </w:pPr>
    <w:rPr>
      <w:rFonts w:ascii="Nimbus Roman" w:hAnsi="Nimbus Roman"/>
      <w:b w:val="0"/>
      <w:color w:val="000000"/>
      <w:sz w:val="21"/>
    </w:rPr>
  </w:style>
  <w:style w:customStyle="1" w:styleId="TableCaption" w:type="paragraph">
    <w:name w:val="Table Caption"/>
    <w:pPr>
      <w:spacing w:after="140" w:before="60" w:line="250" w:lineRule="auto"/>
      <w:jc w:val="left"/>
    </w:pPr>
    <w:rPr>
      <w:rFonts w:ascii="Nimbus Roman" w:hAnsi="Nimbus Roman"/>
      <w:b w:val="0"/>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9" Type="http://schemas.openxmlformats.org/officeDocument/2006/relationships/image" Target="media/rId49.png"/><Relationship Id="rId25" Type="http://schemas.openxmlformats.org/officeDocument/2006/relationships/image" Target="media/rId25.png"/><Relationship Id="rId65" Type="http://schemas.openxmlformats.org/officeDocument/2006/relationships/hyperlink" Target="https://arxiv.org/abs/2210.03629" TargetMode="External"/><Relationship Id="rId64" Type="http://schemas.openxmlformats.org/officeDocument/2006/relationships/hyperlink" Target="https://arxiv.org/abs/2410.02543v3" TargetMode="External"/><Relationship Id="rId69" Type="http://schemas.openxmlformats.org/officeDocument/2006/relationships/hyperlink" Target="https://arxiv.org/abs/2603.26749" TargetMode="External"/><Relationship Id="rId62" Type="http://schemas.openxmlformats.org/officeDocument/2006/relationships/hyperlink" Target="https://arxiv.org/abs/2610.15150v1" TargetMode="External"/><Relationship Id="rId61" Type="http://schemas.openxmlformats.org/officeDocument/2006/relationships/hyperlink" Target="https://arxiv.org/abs/2610.18813v1" TargetMode="External"/><Relationship Id="rId68" Type="http://schemas.openxmlformats.org/officeDocument/2006/relationships/hyperlink" Target="https://doi.org/10.1198/jasa.2011.tm11181" TargetMode="External"/><Relationship Id="rId67" Type="http://schemas.openxmlformats.org/officeDocument/2006/relationships/hyperlink" Target="https://github.com/buildingSMART/IDS" TargetMode="External"/><Relationship Id="rId63" Type="http://schemas.openxmlformats.org/officeDocument/2006/relationships/hyperlink" Target="https://github.com/debiprasadghosh/ResearchOverFlow/tree/main/October2026/AutoregressiveDiffusionEvolution" TargetMode="External"/><Relationship Id="rId66" Type="http://schemas.openxmlformats.org/officeDocument/2006/relationships/hyperlink" Target="https://standards.buildingsmart.org/IFC/RELEASE/IFC4_3/index.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5" Type="http://schemas.openxmlformats.org/officeDocument/2006/relationships/hyperlink" Target="https://arxiv.org/abs/2210.03629" TargetMode="External"/><Relationship Id="rId64" Type="http://schemas.openxmlformats.org/officeDocument/2006/relationships/hyperlink" Target="https://arxiv.org/abs/2410.02543v3" TargetMode="External"/><Relationship Id="rId69" Type="http://schemas.openxmlformats.org/officeDocument/2006/relationships/hyperlink" Target="https://arxiv.org/abs/2603.26749" TargetMode="External"/><Relationship Id="rId62" Type="http://schemas.openxmlformats.org/officeDocument/2006/relationships/hyperlink" Target="https://arxiv.org/abs/2610.15150v1" TargetMode="External"/><Relationship Id="rId61" Type="http://schemas.openxmlformats.org/officeDocument/2006/relationships/hyperlink" Target="https://arxiv.org/abs/2610.18813v1" TargetMode="External"/><Relationship Id="rId68" Type="http://schemas.openxmlformats.org/officeDocument/2006/relationships/hyperlink" Target="https://doi.org/10.1198/jasa.2011.tm11181" TargetMode="External"/><Relationship Id="rId67" Type="http://schemas.openxmlformats.org/officeDocument/2006/relationships/hyperlink" Target="https://github.com/buildingSMART/IDS" TargetMode="External"/><Relationship Id="rId63" Type="http://schemas.openxmlformats.org/officeDocument/2006/relationships/hyperlink" Target="https://github.com/debiprasadghosh/ResearchOverFlow/tree/main/October2026/AutoregressiveDiffusionEvolution" TargetMode="External"/><Relationship Id="rId66" Type="http://schemas.openxmlformats.org/officeDocument/2006/relationships/hyperlink" Target="https://standards.buildingsmart.org/IFC/RELEASE/IFC4_3/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Harness</dc:title>
  <dc:creator>Debi Prasad Ghosh</dc:creator>
  <cp:keywords>Construction Harness; ADE; agent harness; multi-objective optimization; construction automation; verification</cp:keywords>
  <dcterms:created xsi:type="dcterms:W3CDTF">2026-10-16T11:37:21Z</dcterms:created>
  <dcterms:modified xsi:type="dcterms:W3CDTF">2026-10-16T11:37:21Z</dcterms:modified>
  <dc:subject>Autoregressive diffusion evolution for engineering agents with fixed model weights</dc:subject>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16 October 2026</vt:lpwstr>
  </property>
  <property fmtid="{D5CDD505-2E9C-101B-9397-08002B2CF9AE}" pid="3" name="subtitle">
    <vt:lpwstr>Autoregressive diffusion evolution for engineering agents with fixed model weights</vt:lpwstr>
  </property>
</Properties>
</file>