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9F22" w14:textId="77777777" w:rsidR="00E8754B" w:rsidRPr="008610B0" w:rsidRDefault="00000000" w:rsidP="00445A2D">
      <w:pPr>
        <w:pStyle w:val="Title"/>
        <w:spacing w:after="160"/>
        <w:jc w:val="center"/>
        <w:rPr>
          <w:sz w:val="46"/>
          <w:szCs w:val="46"/>
        </w:rPr>
      </w:pPr>
      <w:r w:rsidRPr="00151E7A">
        <w:rPr>
          <w:sz w:val="56"/>
          <w:szCs w:val="56"/>
        </w:rPr>
        <w:t xml:space="preserve">Nonlinear Synaptic Weight Histories </w:t>
      </w:r>
      <w:r w:rsidRPr="008610B0">
        <w:rPr>
          <w:sz w:val="46"/>
          <w:szCs w:val="46"/>
        </w:rPr>
        <w:t>and Predictive Consolidation for Continual Learning</w:t>
      </w:r>
    </w:p>
    <w:p w14:paraId="6856A035" w14:textId="77777777" w:rsidR="00E8754B" w:rsidRPr="00BA659A" w:rsidRDefault="00000000" w:rsidP="00445A2D">
      <w:pPr>
        <w:pStyle w:val="Subtitle"/>
        <w:spacing w:after="100"/>
        <w:jc w:val="center"/>
        <w:rPr>
          <w:color w:val="00B0F0"/>
          <w:sz w:val="48"/>
          <w:szCs w:val="48"/>
        </w:rPr>
      </w:pPr>
      <w:r w:rsidRPr="00BA659A">
        <w:rPr>
          <w:color w:val="00B0F0"/>
          <w:sz w:val="48"/>
          <w:szCs w:val="48"/>
        </w:rPr>
        <w:t>A conceptual framework for SSRI</w:t>
      </w:r>
    </w:p>
    <w:p w14:paraId="5199F24E" w14:textId="50EC087D" w:rsidR="00151E7A" w:rsidRPr="00FE622A" w:rsidRDefault="00151E7A" w:rsidP="00151E7A">
      <w:pPr>
        <w:pStyle w:val="FirstParagraph"/>
        <w:spacing w:after="80"/>
        <w:jc w:val="center"/>
        <w:rPr>
          <w:sz w:val="28"/>
          <w:szCs w:val="28"/>
        </w:rPr>
      </w:pPr>
      <w:r w:rsidRPr="00FE622A">
        <w:rPr>
          <w:sz w:val="24"/>
          <w:szCs w:val="28"/>
        </w:rPr>
        <w:t>Debi Prasad Ghosh</w:t>
      </w:r>
      <w:r w:rsidR="008413B5" w:rsidRPr="00FE622A">
        <w:rPr>
          <w:sz w:val="24"/>
          <w:szCs w:val="28"/>
        </w:rPr>
        <w:t xml:space="preserve">, </w:t>
      </w:r>
      <w:hyperlink r:id="rId7" w:history="1">
        <w:r w:rsidR="008413B5" w:rsidRPr="00FE622A">
          <w:rPr>
            <w:rStyle w:val="Hyperlink"/>
            <w:sz w:val="24"/>
            <w:szCs w:val="28"/>
          </w:rPr>
          <w:t>debiprasadghosh@gmail.com</w:t>
        </w:r>
      </w:hyperlink>
      <w:r w:rsidR="008413B5" w:rsidRPr="00FE622A">
        <w:rPr>
          <w:sz w:val="24"/>
          <w:szCs w:val="28"/>
        </w:rPr>
        <w:t xml:space="preserve"> </w:t>
      </w:r>
    </w:p>
    <w:p w14:paraId="19F17800" w14:textId="77777777" w:rsidR="00151E7A" w:rsidRPr="00FE622A" w:rsidRDefault="00151E7A" w:rsidP="00151E7A">
      <w:pPr>
        <w:pStyle w:val="BodyText"/>
        <w:spacing w:after="160"/>
        <w:jc w:val="center"/>
        <w:rPr>
          <w:sz w:val="28"/>
          <w:szCs w:val="24"/>
        </w:rPr>
      </w:pPr>
      <w:r w:rsidRPr="00FE622A">
        <w:rPr>
          <w:sz w:val="24"/>
          <w:szCs w:val="24"/>
        </w:rPr>
        <w:t>Debias Parametric Guru, Kolkata, India</w:t>
      </w:r>
    </w:p>
    <w:p w14:paraId="10593344" w14:textId="0B0A0241" w:rsidR="00CB1D84" w:rsidRPr="00BA659A" w:rsidRDefault="00000000" w:rsidP="00445A2D">
      <w:pPr>
        <w:keepNext/>
        <w:spacing w:after="100"/>
        <w:jc w:val="center"/>
        <w:rPr>
          <w:sz w:val="18"/>
          <w:szCs w:val="16"/>
        </w:rPr>
      </w:pPr>
      <w:r w:rsidRPr="00BA659A">
        <w:rPr>
          <w:sz w:val="22"/>
          <w:szCs w:val="20"/>
        </w:rPr>
        <w:t>30 September 2026</w:t>
      </w:r>
      <w:r w:rsidR="00BA659A">
        <w:rPr>
          <w:sz w:val="22"/>
          <w:szCs w:val="20"/>
        </w:rPr>
        <w:t xml:space="preserve">, </w:t>
      </w:r>
      <w:hyperlink r:id="rId8" w:history="1">
        <w:r w:rsidR="00CB1D84" w:rsidRPr="00BA659A">
          <w:rPr>
            <w:rStyle w:val="Hyperlink"/>
            <w:sz w:val="18"/>
            <w:szCs w:val="16"/>
          </w:rPr>
          <w:t>https://doi.org/10.13140/RG.2.2.35461.51687</w:t>
        </w:r>
      </w:hyperlink>
      <w:r w:rsidR="00CB1D84" w:rsidRPr="00BA659A">
        <w:rPr>
          <w:sz w:val="18"/>
          <w:szCs w:val="16"/>
        </w:rPr>
        <w:t xml:space="preserve"> </w:t>
      </w:r>
    </w:p>
    <w:p w14:paraId="4D392BF6" w14:textId="77777777" w:rsidR="00E8754B" w:rsidRDefault="00000000" w:rsidP="00445A2D">
      <w:pPr>
        <w:pStyle w:val="Heading1"/>
        <w:spacing w:after="100"/>
        <w:jc w:val="both"/>
      </w:pPr>
      <w:bookmarkStart w:id="0" w:name="abstract"/>
      <w:r>
        <w:t>Abstract</w:t>
      </w:r>
    </w:p>
    <w:p w14:paraId="255854C9" w14:textId="77777777" w:rsidR="00E8754B" w:rsidRPr="00A93AE1" w:rsidRDefault="00000000" w:rsidP="00445A2D">
      <w:pPr>
        <w:jc w:val="both"/>
        <w:rPr>
          <w:sz w:val="20"/>
          <w:szCs w:val="18"/>
        </w:rPr>
      </w:pPr>
      <w:r w:rsidRPr="00A93AE1">
        <w:rPr>
          <w:sz w:val="20"/>
          <w:szCs w:val="18"/>
        </w:rPr>
        <w:t>Preserving a neural network’s parameter history does not necessarily preserve the functions learned from earlier tasks. This paper develops SSRI, provisionally termed Self-Supervised Representation Inertia, as a framework for distinguishing historical state, nonlinear synaptic computation, and predictive consolidation. Each parameter has one state updated by backpropagation and several stop-gradient states evolving over different timescales. We separate linear weight fusion, nonlinear transformations of stored weights, and nonlinear transformations of individual weight–input contributions. Under fixed mixing coefficients and constant-step stochastic gradient descent, linear fusion is exactly equivalent to a multiple-timescale momentum update. Weight-level nonlinearities remain compilable into conventional effective weights, whereas pathway nonlinearities generally produce a different synaptic transfer function. A fixed-point argument shows when historical members reach consensus, but does not determine whether the attained solution retains earlier tasks. We interpret a moving teacher through a local model of functional damping and distinguish decay of an initial EMA coefficient from loss of historical information. Exploratory two-task results favor temporal feature distillation over the tested forward banks. In a targeted single-seed intervention, removing the teacher loss after 5000 updates retains much of its benefit through 200000 updates, supporting a trajectory-selection interpretation within that realizable task setting. A biologically motivated extension separates training-time weight evolution from activity-dependent vesicle recovery and receptor kinetics. We specify controls for architecture, acquisition quality, input coverage, and computation, together with falsifiable hypotheses for nonlinear history and predictive consolidation. The framework identifies testable mechanisms without claiming that stored weight traces, vesicle recycling, or serotonin reuptake inhibition independently prevent catastrophic forgetting.</w:t>
      </w:r>
    </w:p>
    <w:p w14:paraId="48B96362" w14:textId="77777777" w:rsidR="00E8754B" w:rsidRPr="00A93AE1" w:rsidRDefault="00000000" w:rsidP="00445A2D">
      <w:pPr>
        <w:pStyle w:val="BodyText"/>
        <w:jc w:val="both"/>
        <w:rPr>
          <w:sz w:val="16"/>
          <w:szCs w:val="14"/>
        </w:rPr>
      </w:pPr>
      <w:r w:rsidRPr="00A93AE1">
        <w:rPr>
          <w:b/>
          <w:bCs/>
          <w:sz w:val="16"/>
          <w:szCs w:val="14"/>
        </w:rPr>
        <w:t>Keywords:</w:t>
      </w:r>
      <w:r w:rsidRPr="00A93AE1">
        <w:rPr>
          <w:sz w:val="16"/>
          <w:szCs w:val="14"/>
        </w:rPr>
        <w:t xml:space="preserve"> continual learning; synaptic dynamics; exponential moving average; nonlinear synapses; self-distillation; catastrophic forgetting; BYOL</w:t>
      </w:r>
    </w:p>
    <w:p w14:paraId="0B268191" w14:textId="77777777" w:rsidR="00E8754B" w:rsidRDefault="00000000" w:rsidP="00445A2D">
      <w:pPr>
        <w:pStyle w:val="Heading1"/>
        <w:spacing w:after="100"/>
        <w:jc w:val="both"/>
      </w:pPr>
      <w:bookmarkStart w:id="1" w:name="introduction"/>
      <w:bookmarkEnd w:id="0"/>
      <w:r>
        <w:t>1 Introduction</w:t>
      </w:r>
    </w:p>
    <w:p w14:paraId="5F455EC8" w14:textId="77777777" w:rsidR="00E8754B" w:rsidRDefault="00000000" w:rsidP="00445A2D">
      <w:pPr>
        <w:jc w:val="both"/>
      </w:pPr>
      <w:r>
        <w:t>Continual learning requires a model to acquire new capabilities while retaining useful earlier ones. A natural response to catastrophic forgetting is to preserve past parameter values. This intuition motivates the SSRI proposal: replace every conventional weight with a set containing an actively trained state and several slower historical states, and allow those states to participate in computation. The central question is whether this stored history provides a mechanism for functional retention beyond changes in optimization speed or network expressivity.</w:t>
      </w:r>
    </w:p>
    <w:p w14:paraId="035206F6" w14:textId="77777777" w:rsidR="00E8754B" w:rsidRDefault="00000000" w:rsidP="00445A2D">
      <w:pPr>
        <w:pStyle w:val="BodyText"/>
        <w:jc w:val="both"/>
      </w:pPr>
      <w:r>
        <w:t>Several established approaches already preserve information about the past in different forms. Elastic weight consolidation constrains changes to parameters assessed as important for earlier tasks [1]. Synaptic Intelligence accumulates a trajectory-based importance estimate [2]. BYOL maintains an exponential moving average target and learns representations through prediction across augmented views [3]. CaSSLe applies predictive distillation to continual self-supervised representation learning [4]. These mechanisms concern importance, target functions, and optimization history, respectively. Their shared use of memory does not make them interchangeable.</w:t>
      </w:r>
    </w:p>
    <w:p w14:paraId="7CE1B8D8" w14:textId="77777777" w:rsidR="00E8754B" w:rsidRDefault="00000000" w:rsidP="00445A2D">
      <w:pPr>
        <w:pStyle w:val="BodyText"/>
        <w:jc w:val="both"/>
      </w:pPr>
      <w:r>
        <w:t xml:space="preserve">We argue that a synaptic history proposal should specify three separate objects: the state retained, the function through which that state affects transmission, and the learning objective that determines which </w:t>
      </w:r>
      <w:r>
        <w:lastRenderedPageBreak/>
        <w:t>information remains useful. A bank may alter a forward function without favoring old-task solutions. Conversely, a transient predictive constraint may guide training toward a solution that retains old features even after the direct contribution of an earlier target state has become negligible.</w:t>
      </w:r>
    </w:p>
    <w:p w14:paraId="7A7D407C" w14:textId="77777777" w:rsidR="00E8754B" w:rsidRDefault="00000000" w:rsidP="00445A2D">
      <w:pPr>
        <w:pStyle w:val="BodyText"/>
        <w:jc w:val="both"/>
      </w:pPr>
      <w:r>
        <w:t xml:space="preserve">This paper has four contributions. </w:t>
      </w:r>
      <w:r w:rsidRPr="007D0D07">
        <w:rPr>
          <w:color w:val="00B0F0"/>
        </w:rPr>
        <w:t>First</w:t>
      </w:r>
      <w:r>
        <w:t xml:space="preserve">, it gives a precise taxonomy of history readouts and states the scope of the momentum equivalence. </w:t>
      </w:r>
      <w:r w:rsidRPr="007D0D07">
        <w:rPr>
          <w:color w:val="00B0F0"/>
        </w:rPr>
        <w:t>Second</w:t>
      </w:r>
      <w:r>
        <w:t xml:space="preserve">, it analyzes the implications and limits of consensus and fixed-point arguments. </w:t>
      </w:r>
      <w:r w:rsidRPr="007D0D07">
        <w:rPr>
          <w:color w:val="00B0F0"/>
        </w:rPr>
        <w:t>Third</w:t>
      </w:r>
      <w:r>
        <w:t xml:space="preserve">, it develops a local functional interpretation of a moving teacher and examines a teacher-removal intervention. </w:t>
      </w:r>
      <w:r w:rsidRPr="007D0D07">
        <w:rPr>
          <w:color w:val="00B0F0"/>
        </w:rPr>
        <w:t>Fourth</w:t>
      </w:r>
      <w:r>
        <w:t>, it proposes an explicitly testable extension based on activity-dependent synaptic states, while separating this engineering hypothesis from evidence about biological vesicles and serotonin transport.</w:t>
      </w:r>
    </w:p>
    <w:p w14:paraId="321FDC4B" w14:textId="77777777" w:rsidR="00E8754B" w:rsidRDefault="00000000" w:rsidP="00445A2D">
      <w:pPr>
        <w:pStyle w:val="BodyText"/>
        <w:jc w:val="both"/>
      </w:pPr>
      <w:r>
        <w:t>SSRI is used here as a research label. The self-supervised component is the proposed predictive learning mechanism; the numerical pilot considered below is supervised representation learning with an auxiliary temporal distillation loss. The paper does not present completed image-benchmark results or a validated biological model.</w:t>
      </w:r>
    </w:p>
    <w:p w14:paraId="0B52FDD8" w14:textId="77777777" w:rsidR="00E8754B" w:rsidRDefault="00000000" w:rsidP="00445A2D">
      <w:pPr>
        <w:pStyle w:val="Heading1"/>
        <w:spacing w:after="100"/>
        <w:jc w:val="both"/>
      </w:pPr>
      <w:bookmarkStart w:id="2" w:name="relation-to-existing-methods"/>
      <w:bookmarkEnd w:id="1"/>
      <w:r>
        <w:t>2 Relation to existing methods</w:t>
      </w:r>
    </w:p>
    <w:p w14:paraId="09E0FDB8" w14:textId="77777777" w:rsidR="00E8754B" w:rsidRDefault="00000000" w:rsidP="00445A2D">
      <w:pPr>
        <w:jc w:val="both"/>
      </w:pPr>
      <w:r>
        <w:t>The linear bank is closely connected to quasi-hyperbolic momentum, which combines a current gradient contribution with a momentum contribution [5], and to Aggregated Momentum, which uses several momentum timescales [6]. Multiple decay constants or an approximate power-law kernel therefore cannot establish novelty by themselves. The contribution of a nonlinear bank must be assessed after this optimizer equivalence has been controlled.</w:t>
      </w:r>
    </w:p>
    <w:p w14:paraId="177242CE" w14:textId="77777777" w:rsidR="00E8754B" w:rsidRDefault="00000000" w:rsidP="00445A2D">
      <w:pPr>
        <w:pStyle w:val="BodyText"/>
        <w:jc w:val="both"/>
      </w:pPr>
      <w:r>
        <w:t>Biological synaptic-memory models supply a different motivation. Cascade models use internal synaptic states and metaplastic transitions [7], while Benna and Fusi study coupled processes with bidirectional interactions across timescales [8]. Their analyses concern specified storage and plasticity dynamics. They do not imply that an arbitrary EMA bank trained through a current-task loss will preserve earlier neural-network functions. Likewise, the presence of several temporal memories is already represented in continual-learning systems such as CLS-ER, which combines fast and slow semantic memories with experience replay [9].</w:t>
      </w:r>
    </w:p>
    <w:p w14:paraId="15798CD7" w14:textId="77777777" w:rsidR="00E8754B" w:rsidRDefault="00000000" w:rsidP="00445A2D">
      <w:pPr>
        <w:pStyle w:val="BodyText"/>
        <w:jc w:val="both"/>
      </w:pPr>
      <w:r>
        <w:t>Predicting a past model on current inputs is related to Learning without Forgetting [10]. CaSSLe makes a closely related representation-level construction compatible with self-supervised objectives [4]. For SSRI, the meaningful comparison is therefore not merely against unconstrained SGD. It is against ordinary networks with the same predictive objective, comparable teacher states, and matched acquisition performance.</w:t>
      </w:r>
    </w:p>
    <w:p w14:paraId="731CC9D4" w14:textId="77777777" w:rsidR="00E8754B" w:rsidRDefault="00000000" w:rsidP="00445A2D">
      <w:pPr>
        <w:pStyle w:val="Heading1"/>
        <w:spacing w:after="100"/>
        <w:jc w:val="both"/>
      </w:pPr>
      <w:bookmarkStart w:id="3" w:name="state-variables-and-synaptic-readouts"/>
      <w:bookmarkEnd w:id="2"/>
      <w:r>
        <w:t>3 State variables and synaptic readouts</w:t>
      </w:r>
    </w:p>
    <w:p w14:paraId="3277ACEC" w14:textId="77777777" w:rsidR="00E8754B" w:rsidRDefault="00000000" w:rsidP="00445A2D">
      <w:pPr>
        <w:keepNext/>
        <w:jc w:val="both"/>
      </w:pPr>
      <w:r>
        <w:t xml:space="preserve">Let an ordinary network contain </w:t>
      </w:r>
      <m:oMath>
        <m:r>
          <w:rPr>
            <w:rFonts w:ascii="Cambria Math" w:hAnsi="Cambria Math"/>
          </w:rPr>
          <m:t>P</m:t>
        </m:r>
      </m:oMath>
      <w:r>
        <w:t xml:space="preserve"> scalar parameters. For parameter </w:t>
      </w:r>
      <m:oMath>
        <m:r>
          <w:rPr>
            <w:rFonts w:ascii="Cambria Math" w:hAnsi="Cambria Math"/>
          </w:rPr>
          <m:t>i</m:t>
        </m:r>
      </m:oMath>
      <w:r>
        <w:t xml:space="preserve">, introduce an active state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and </w:t>
      </w:r>
      <m:oMath>
        <m:r>
          <w:rPr>
            <w:rFonts w:ascii="Cambria Math" w:hAnsi="Cambria Math"/>
          </w:rPr>
          <m:t>K</m:t>
        </m:r>
      </m:oMath>
      <w:r>
        <w:t xml:space="preserve"> historical states </w:t>
      </w:r>
      <m:oMath>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k</m:t>
            </m:r>
          </m:sub>
        </m:sSub>
      </m:oMath>
      <w:r>
        <w:t xml:space="preserve">. A training update is indexed by </w:t>
      </w:r>
      <m:oMath>
        <m:r>
          <w:rPr>
            <w:rFonts w:ascii="Cambria Math" w:hAnsi="Cambria Math"/>
          </w:rPr>
          <m:t>n</m:t>
        </m:r>
      </m:oMath>
      <w:r>
        <w:t>. Unless stated otherwise, the history members are updated after the active parameter step:</w:t>
      </w:r>
    </w:p>
    <w:p w14:paraId="3431AA95" w14:textId="77777777" w:rsidR="00E8754B" w:rsidRDefault="00000000" w:rsidP="00445A2D">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7069EF97" w14:textId="77777777" w:rsidR="00E8754B" w:rsidRDefault="00000000" w:rsidP="00445A2D">
      <w:pPr>
        <w:jc w:val="both"/>
      </w:pPr>
      <w:r>
        <w:t>Only the active states receive parameter gradients. Stop-gradient history states can still participate in the derivative with respect to their inputs: freezing a pathway’s parameters does not eliminate that pathway from backpropagation to earlier layers. This distinction is necessary for a correct implementation.</w:t>
      </w:r>
    </w:p>
    <w:p w14:paraId="2B196F6A" w14:textId="77777777" w:rsidR="00E8754B" w:rsidRDefault="00000000" w:rsidP="00445A2D">
      <w:pPr>
        <w:pStyle w:val="BodyText"/>
        <w:jc w:val="both"/>
      </w:pPr>
      <w:r>
        <w:t xml:space="preserve">We use nonnegative mixing coefficients with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m:rPr>
            <m:sty m:val="p"/>
          </m:rPr>
          <w:rPr>
            <w:rFonts w:ascii="Cambria Math" w:hAnsi="Cambria Math"/>
          </w:rPr>
          <m:t>=</m:t>
        </m:r>
        <m:r>
          <w:rPr>
            <w:rFonts w:ascii="Cambria Math" w:hAnsi="Cambria Math"/>
          </w:rPr>
          <m:t>1</m:t>
        </m:r>
      </m:oMath>
      <w:r>
        <w:t xml:space="preserve">. The pilot has four historical members with decay coefficients 0.9, 0.99, 0.999, and 0.9999, and assigns weight 0.2 to every active or </w:t>
      </w:r>
      <w:r>
        <w:lastRenderedPageBreak/>
        <w:t>historical member. These coefficients represent overlapping temporal filters, not four discrete snapshots of known ages.</w:t>
      </w:r>
    </w:p>
    <w:p w14:paraId="09D3FD38" w14:textId="77777777" w:rsidR="00E8754B" w:rsidRDefault="00000000" w:rsidP="00445A2D">
      <w:pPr>
        <w:pStyle w:val="Caption"/>
        <w:keepNext/>
        <w:keepLines/>
        <w:jc w:val="both"/>
      </w:pPr>
      <w:r>
        <w:rPr>
          <w:b/>
        </w:rPr>
        <w:t>Table 1. Three readouts with different computational consequences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2174"/>
        <w:gridCol w:w="4642"/>
        <w:gridCol w:w="3320"/>
      </w:tblGrid>
      <w:tr w:rsidR="00E8754B" w14:paraId="24360E10" w14:textId="77777777">
        <w:trPr>
          <w:cantSplit/>
          <w:tblHeader/>
          <w:jc w:val="center"/>
        </w:trPr>
        <w:tc>
          <w:tcPr>
            <w:tcW w:w="2131" w:type="dxa"/>
            <w:shd w:val="clear" w:color="auto" w:fill="E6EEF4"/>
            <w:vAlign w:val="center"/>
          </w:tcPr>
          <w:p w14:paraId="24A5FA4D" w14:textId="77777777" w:rsidR="00E8754B" w:rsidRDefault="00000000" w:rsidP="00445A2D">
            <w:pPr>
              <w:keepNext/>
              <w:keepLines/>
              <w:spacing w:after="20" w:line="245" w:lineRule="auto"/>
              <w:jc w:val="both"/>
            </w:pPr>
            <w:r>
              <w:rPr>
                <w:b/>
                <w:sz w:val="20"/>
              </w:rPr>
              <w:t>Readout</w:t>
            </w:r>
          </w:p>
        </w:tc>
        <w:tc>
          <w:tcPr>
            <w:tcW w:w="4550" w:type="dxa"/>
            <w:shd w:val="clear" w:color="auto" w:fill="E6EEF4"/>
            <w:vAlign w:val="center"/>
          </w:tcPr>
          <w:p w14:paraId="0E803537" w14:textId="77777777" w:rsidR="00E8754B" w:rsidRDefault="00000000" w:rsidP="00445A2D">
            <w:pPr>
              <w:keepNext/>
              <w:keepLines/>
              <w:spacing w:after="20" w:line="245" w:lineRule="auto"/>
              <w:jc w:val="both"/>
            </w:pPr>
            <w:r>
              <w:rPr>
                <w:b/>
                <w:sz w:val="20"/>
              </w:rPr>
              <w:t>Synaptic response</w:t>
            </w:r>
          </w:p>
        </w:tc>
        <w:tc>
          <w:tcPr>
            <w:tcW w:w="3254" w:type="dxa"/>
            <w:shd w:val="clear" w:color="auto" w:fill="E6EEF4"/>
            <w:vAlign w:val="center"/>
          </w:tcPr>
          <w:p w14:paraId="67863F44" w14:textId="77777777" w:rsidR="00E8754B" w:rsidRDefault="00000000" w:rsidP="00445A2D">
            <w:pPr>
              <w:keepNext/>
              <w:keepLines/>
              <w:spacing w:after="20" w:line="245" w:lineRule="auto"/>
              <w:jc w:val="both"/>
            </w:pPr>
            <w:r>
              <w:rPr>
                <w:b/>
                <w:sz w:val="20"/>
              </w:rPr>
              <w:t>Consequence</w:t>
            </w:r>
          </w:p>
        </w:tc>
      </w:tr>
      <w:tr w:rsidR="00E8754B" w14:paraId="1E7B487A" w14:textId="77777777">
        <w:trPr>
          <w:cantSplit/>
          <w:jc w:val="center"/>
        </w:trPr>
        <w:tc>
          <w:tcPr>
            <w:tcW w:w="2131" w:type="dxa"/>
            <w:shd w:val="clear" w:color="auto" w:fill="FFFFFF"/>
            <w:vAlign w:val="center"/>
          </w:tcPr>
          <w:p w14:paraId="48C6470A" w14:textId="77777777" w:rsidR="00E8754B" w:rsidRDefault="00000000" w:rsidP="00445A2D">
            <w:pPr>
              <w:keepNext/>
              <w:keepLines/>
              <w:spacing w:after="20" w:line="245" w:lineRule="auto"/>
              <w:jc w:val="both"/>
            </w:pPr>
            <w:r>
              <w:rPr>
                <w:sz w:val="20"/>
              </w:rPr>
              <w:t>Linear fusion</w:t>
            </w:r>
          </w:p>
        </w:tc>
        <w:tc>
          <w:tcPr>
            <w:tcW w:w="4550" w:type="dxa"/>
            <w:shd w:val="clear" w:color="auto" w:fill="FFFFFF"/>
            <w:vAlign w:val="center"/>
          </w:tcPr>
          <w:p w14:paraId="79A0328E" w14:textId="77777777" w:rsidR="00E8754B" w:rsidRDefault="00000000" w:rsidP="00445A2D">
            <w:pPr>
              <w:keepNext/>
              <w:keepLines/>
              <w:spacing w:after="20" w:line="245" w:lineRule="auto"/>
              <w:jc w:val="both"/>
            </w:pPr>
            <m:oMathPara>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ξ</m:t>
                        </m:r>
                      </m:e>
                      <m:sub>
                        <m:r>
                          <w:rPr>
                            <w:rFonts w:ascii="Cambria Math" w:hAnsi="Cambria Math"/>
                          </w:rPr>
                          <m:t>k</m:t>
                        </m:r>
                      </m:sub>
                    </m:sSub>
                  </m:e>
                </m:d>
                <m:r>
                  <w:rPr>
                    <w:rFonts w:ascii="Cambria Math" w:hAnsi="Cambria Math"/>
                  </w:rPr>
                  <m:t>x</m:t>
                </m:r>
              </m:oMath>
            </m:oMathPara>
          </w:p>
        </w:tc>
        <w:tc>
          <w:tcPr>
            <w:tcW w:w="3254" w:type="dxa"/>
            <w:shd w:val="clear" w:color="auto" w:fill="FFFFFF"/>
            <w:vAlign w:val="center"/>
          </w:tcPr>
          <w:p w14:paraId="11C06F52" w14:textId="77777777" w:rsidR="00E8754B" w:rsidRDefault="00000000" w:rsidP="00445A2D">
            <w:pPr>
              <w:keepNext/>
              <w:keepLines/>
              <w:spacing w:after="20" w:line="245" w:lineRule="auto"/>
              <w:jc w:val="both"/>
            </w:pPr>
            <w:r>
              <w:rPr>
                <w:sz w:val="20"/>
              </w:rPr>
              <w:t>One effective scalar weight</w:t>
            </w:r>
          </w:p>
        </w:tc>
      </w:tr>
      <w:tr w:rsidR="00E8754B" w14:paraId="797793B5" w14:textId="77777777">
        <w:trPr>
          <w:cantSplit/>
          <w:jc w:val="center"/>
        </w:trPr>
        <w:tc>
          <w:tcPr>
            <w:tcW w:w="2131" w:type="dxa"/>
            <w:shd w:val="clear" w:color="auto" w:fill="F7F8FA"/>
            <w:vAlign w:val="center"/>
          </w:tcPr>
          <w:p w14:paraId="7A981FD2" w14:textId="77777777" w:rsidR="00E8754B" w:rsidRDefault="00000000" w:rsidP="00445A2D">
            <w:pPr>
              <w:keepNext/>
              <w:keepLines/>
              <w:spacing w:after="20" w:line="245" w:lineRule="auto"/>
              <w:jc w:val="both"/>
            </w:pPr>
            <w:r>
              <w:rPr>
                <w:sz w:val="20"/>
              </w:rPr>
              <w:t>Weight nonlinearity</w:t>
            </w:r>
          </w:p>
        </w:tc>
        <w:tc>
          <w:tcPr>
            <w:tcW w:w="4550" w:type="dxa"/>
            <w:shd w:val="clear" w:color="auto" w:fill="F7F8FA"/>
            <w:vAlign w:val="center"/>
          </w:tcPr>
          <w:p w14:paraId="3909C1A3" w14:textId="77777777" w:rsidR="00E8754B" w:rsidRDefault="00000000" w:rsidP="00445A2D">
            <w:pPr>
              <w:keepNext/>
              <w:keepLines/>
              <w:spacing w:after="20" w:line="245" w:lineRule="auto"/>
              <w:jc w:val="both"/>
            </w:pPr>
            <m:oMathPara>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k</m:t>
                            </m:r>
                          </m:sub>
                        </m:sSub>
                      </m:e>
                    </m:d>
                  </m:e>
                </m:d>
                <m:r>
                  <w:rPr>
                    <w:rFonts w:ascii="Cambria Math" w:hAnsi="Cambria Math"/>
                  </w:rPr>
                  <m:t>x</m:t>
                </m:r>
              </m:oMath>
            </m:oMathPara>
          </w:p>
        </w:tc>
        <w:tc>
          <w:tcPr>
            <w:tcW w:w="3254" w:type="dxa"/>
            <w:shd w:val="clear" w:color="auto" w:fill="F7F8FA"/>
            <w:vAlign w:val="center"/>
          </w:tcPr>
          <w:p w14:paraId="465657EA" w14:textId="77777777" w:rsidR="00E8754B" w:rsidRDefault="00000000" w:rsidP="00445A2D">
            <w:pPr>
              <w:keepNext/>
              <w:keepLines/>
              <w:spacing w:after="20" w:line="245" w:lineRule="auto"/>
              <w:jc w:val="both"/>
            </w:pPr>
            <w:r>
              <w:rPr>
                <w:sz w:val="20"/>
              </w:rPr>
              <w:t>One effective scalar weight with nonlinear state dynamics</w:t>
            </w:r>
          </w:p>
        </w:tc>
      </w:tr>
      <w:tr w:rsidR="00E8754B" w14:paraId="19E7D0E3" w14:textId="77777777">
        <w:trPr>
          <w:cantSplit/>
          <w:jc w:val="center"/>
        </w:trPr>
        <w:tc>
          <w:tcPr>
            <w:tcW w:w="2131" w:type="dxa"/>
            <w:shd w:val="clear" w:color="auto" w:fill="FFFFFF"/>
            <w:vAlign w:val="center"/>
          </w:tcPr>
          <w:p w14:paraId="7B6A6F93" w14:textId="77777777" w:rsidR="00E8754B" w:rsidRDefault="00000000" w:rsidP="00445A2D">
            <w:pPr>
              <w:keepLines/>
              <w:spacing w:after="20" w:line="245" w:lineRule="auto"/>
              <w:jc w:val="both"/>
            </w:pPr>
            <w:r>
              <w:rPr>
                <w:sz w:val="20"/>
              </w:rPr>
              <w:t>Pathway nonlinearity</w:t>
            </w:r>
          </w:p>
        </w:tc>
        <w:tc>
          <w:tcPr>
            <w:tcW w:w="4550" w:type="dxa"/>
            <w:shd w:val="clear" w:color="auto" w:fill="FFFFFF"/>
            <w:vAlign w:val="center"/>
          </w:tcPr>
          <w:p w14:paraId="3D475F1A" w14:textId="77777777" w:rsidR="00E8754B" w:rsidRDefault="00000000" w:rsidP="00445A2D">
            <w:pPr>
              <w:keepLines/>
              <w:spacing w:after="20" w:line="245"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θx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k</m:t>
                        </m:r>
                      </m:sub>
                    </m:sSub>
                    <m:r>
                      <w:rPr>
                        <w:rFonts w:ascii="Cambria Math" w:hAnsi="Cambria Math"/>
                      </w:rPr>
                      <m:t>x</m:t>
                    </m:r>
                  </m:e>
                </m:d>
              </m:oMath>
            </m:oMathPara>
          </w:p>
        </w:tc>
        <w:tc>
          <w:tcPr>
            <w:tcW w:w="3254" w:type="dxa"/>
            <w:shd w:val="clear" w:color="auto" w:fill="FFFFFF"/>
            <w:vAlign w:val="center"/>
          </w:tcPr>
          <w:p w14:paraId="7618364B" w14:textId="77777777" w:rsidR="00E8754B" w:rsidRDefault="00000000" w:rsidP="00445A2D">
            <w:pPr>
              <w:keepLines/>
              <w:spacing w:after="20" w:line="245" w:lineRule="auto"/>
              <w:jc w:val="both"/>
            </w:pPr>
            <w:r>
              <w:rPr>
                <w:sz w:val="20"/>
              </w:rPr>
              <w:t>Input-dependent nonlinear synapse</w:t>
            </w:r>
          </w:p>
        </w:tc>
      </w:tr>
    </w:tbl>
    <w:p w14:paraId="6D454ED5" w14:textId="77777777" w:rsidR="00E8754B" w:rsidRDefault="00000000" w:rsidP="00445A2D">
      <w:pPr>
        <w:pStyle w:val="BodyText"/>
        <w:spacing w:before="100"/>
        <w:jc w:val="both"/>
      </w:pPr>
      <w:r>
        <w:t>The distinction in Table 1 persists regardless of whether history updates are described as consolidation or diffusion. For the first two rows, all history members can be combined before deployment into one weight for each ordinary synapse. For the third, such a reduction is generally unavailable. A multilayer implementation sums these synaptic responses before applying any additional neuron-level activation.</w:t>
      </w:r>
    </w:p>
    <w:p w14:paraId="16EE2E54" w14:textId="77777777" w:rsidR="00E8754B" w:rsidRDefault="00000000" w:rsidP="00445A2D">
      <w:pPr>
        <w:pStyle w:val="BodyText"/>
        <w:keepNext/>
        <w:jc w:val="both"/>
      </w:pPr>
      <w:r>
        <w:t xml:space="preserve">For the pathway model, consider </w:t>
      </w:r>
      <m:oMath>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tanh</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e>
        </m:d>
      </m:oMath>
      <w:r>
        <w:t xml:space="preserve"> with positive saturation scales. Around zero input,</w:t>
      </w:r>
    </w:p>
    <w:p w14:paraId="4A740430" w14:textId="77777777" w:rsidR="00E8754B" w:rsidRDefault="00000000" w:rsidP="00445A2D">
      <w:pPr>
        <w:pStyle w:val="BodyText"/>
        <w:keepLines/>
        <w:spacing w:before="80" w:after="140"/>
        <w:jc w:val="both"/>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ξ</m:t>
                  </m:r>
                </m:e>
                <m:sub>
                  <m:r>
                    <w:rPr>
                      <w:rFonts w:ascii="Cambria Math" w:hAnsi="Cambria Math"/>
                    </w:rPr>
                    <m:t>k</m:t>
                  </m:r>
                </m:sub>
              </m:sSub>
            </m:e>
          </m:d>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ξ</m:t>
                      </m:r>
                    </m:e>
                    <m:sub>
                      <m:r>
                        <w:rPr>
                          <w:rFonts w:ascii="Cambria Math" w:hAnsi="Cambria Math"/>
                        </w:rPr>
                        <m:t>k</m:t>
                      </m:r>
                    </m:sub>
                    <m:sup>
                      <m:r>
                        <w:rPr>
                          <w:rFonts w:ascii="Cambria Math" w:hAnsi="Cambria Math"/>
                        </w:rPr>
                        <m:t>3</m:t>
                      </m:r>
                    </m:sup>
                  </m:sSubSup>
                </m:num>
                <m:den>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2</m:t>
                      </m:r>
                    </m:sup>
                  </m:sSubSup>
                </m:den>
              </m:f>
            </m:e>
          </m:nary>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5</m:t>
                  </m:r>
                </m:sup>
              </m:s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5FD17DB4" w14:textId="77777777" w:rsidR="00E8754B" w:rsidRDefault="00000000" w:rsidP="00445A2D">
      <w:pPr>
        <w:jc w:val="both"/>
      </w:pPr>
      <w:r>
        <w:t>Equation (2) gives a constructive reason for the architectural difference: identical linear coefficients do not determine the cubic and higher-order response coefficients. This is a statement about available computation, not a retention theorem. In a small-signal regime the nonlinear bank can also remain close to its linear counterpart, making the actual operating range an essential experimental measurement.</w:t>
      </w:r>
    </w:p>
    <w:p w14:paraId="02D03B2F" w14:textId="77777777" w:rsidR="00E8754B" w:rsidRDefault="00000000" w:rsidP="00445A2D">
      <w:pPr>
        <w:pStyle w:val="BodyText"/>
        <w:keepNext/>
        <w:spacing w:before="100" w:after="20"/>
        <w:jc w:val="both"/>
      </w:pPr>
      <w:r>
        <w:rPr>
          <w:noProof/>
        </w:rPr>
        <w:drawing>
          <wp:inline distT="0" distB="0" distL="0" distR="0" wp14:anchorId="76C38017" wp14:editId="4515FBD9">
            <wp:extent cx="6126480" cy="2619292"/>
            <wp:effectExtent l="0" t="0" r="0" b="0"/>
            <wp:docPr id="24" name="Picture" descr="Analytic responses of two history banks with equal linear coefficients"/>
            <wp:cNvGraphicFramePr/>
            <a:graphic xmlns:a="http://schemas.openxmlformats.org/drawingml/2006/main">
              <a:graphicData uri="http://schemas.openxmlformats.org/drawingml/2006/picture">
                <pic:pic xmlns:pic="http://schemas.openxmlformats.org/drawingml/2006/picture">
                  <pic:nvPicPr>
                    <pic:cNvPr id="25" name="Picture" descr="assets/nonlinear_history_response.png"/>
                    <pic:cNvPicPr>
                      <a:picLocks noChangeAspect="1" noChangeArrowheads="1"/>
                    </pic:cNvPicPr>
                  </pic:nvPicPr>
                  <pic:blipFill>
                    <a:blip r:embed="rId9"/>
                    <a:stretch>
                      <a:fillRect/>
                    </a:stretch>
                  </pic:blipFill>
                  <pic:spPr bwMode="auto">
                    <a:xfrm>
                      <a:off x="0" y="0"/>
                      <a:ext cx="6126480" cy="2619292"/>
                    </a:xfrm>
                    <a:prstGeom prst="rect">
                      <a:avLst/>
                    </a:prstGeom>
                    <a:noFill/>
                    <a:ln w="9525">
                      <a:noFill/>
                      <a:headEnd/>
                      <a:tailEnd/>
                    </a:ln>
                  </pic:spPr>
                </pic:pic>
              </a:graphicData>
            </a:graphic>
          </wp:inline>
        </w:drawing>
      </w:r>
    </w:p>
    <w:p w14:paraId="097B36EB" w14:textId="77777777" w:rsidR="00E8754B" w:rsidRDefault="00000000" w:rsidP="00445A2D">
      <w:pPr>
        <w:pStyle w:val="Caption"/>
        <w:keepLines/>
        <w:jc w:val="both"/>
      </w:pPr>
      <w:r>
        <w:t>Figure 1. Analytic illustration of different nonlinear responses at the same linear coefficient. The active weight is 1, every mixing coefficient is 0.2, and saturation scales are 0.05, 0.1, 0.2, and 0.4. Bank A has historical weights (1, 1, 1, 1); bank B has (0.25, 0.5, 1.25, 2). Both have linear coefficient 1. This constructed example is not a learning experiment.</w:t>
      </w:r>
    </w:p>
    <w:p w14:paraId="56F69BBB" w14:textId="77777777" w:rsidR="00E8754B" w:rsidRDefault="00000000" w:rsidP="00445A2D">
      <w:pPr>
        <w:pStyle w:val="Heading1"/>
        <w:spacing w:after="100"/>
        <w:jc w:val="both"/>
      </w:pPr>
      <w:bookmarkStart w:id="4" w:name="exact-equivalence-and-its-limits"/>
      <w:bookmarkEnd w:id="3"/>
      <w:r>
        <w:lastRenderedPageBreak/>
        <w:t>4 Exact equivalence and its limits</w:t>
      </w:r>
    </w:p>
    <w:p w14:paraId="4DC134E8" w14:textId="77777777" w:rsidR="00E8754B" w:rsidRDefault="00000000" w:rsidP="00445A2D">
      <w:pPr>
        <w:pStyle w:val="Heading2"/>
        <w:spacing w:after="100"/>
        <w:jc w:val="both"/>
      </w:pPr>
      <w:bookmarkStart w:id="5" w:name="linear-fusion-is-a-momentum-update"/>
      <w:r>
        <w:t>4.1 Linear fusion is a momentum update</w:t>
      </w:r>
    </w:p>
    <w:p w14:paraId="08178CFD" w14:textId="77777777" w:rsidR="00E8754B" w:rsidRDefault="00000000" w:rsidP="00445A2D">
      <w:pPr>
        <w:keepNext/>
        <w:jc w:val="both"/>
      </w:pPr>
      <w:r>
        <w:rPr>
          <w:b/>
          <w:bCs/>
        </w:rPr>
        <w:t>Proposition 1.</w:t>
      </w:r>
      <w:r>
        <w:t xml:space="preserve"> Assume linear fusion, identical initial active and historical states, fixed mixing coefficients and decay constants, a constant learning rate </w:t>
      </w:r>
      <m:oMath>
        <m:r>
          <w:rPr>
            <w:rFonts w:ascii="Cambria Math" w:hAnsi="Cambria Math"/>
          </w:rPr>
          <m:t>η</m:t>
        </m:r>
      </m:oMath>
      <w:r>
        <w:t xml:space="preserve">, and post-step EMA updates. Let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w</m:t>
            </m:r>
          </m:sub>
        </m:sSub>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n</m:t>
                </m:r>
              </m:sub>
            </m:sSub>
          </m:e>
        </m:d>
      </m:oMath>
      <w:r>
        <w:t>, where the sample loss can change arbitrarily with the data stream. Then the effective weight trajectory is identical to</w:t>
      </w:r>
    </w:p>
    <w:p w14:paraId="0A887E2F" w14:textId="77777777" w:rsidR="00E8754B" w:rsidRDefault="00000000" w:rsidP="00445A2D">
      <w:pPr>
        <w:pStyle w:val="BodyText"/>
        <w:keepNext/>
        <w:keepLines/>
        <w:spacing w:before="80" w:after="14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n</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315D945C" w14:textId="77777777" w:rsidR="00E8754B" w:rsidRDefault="00000000" w:rsidP="00445A2D">
      <w:pPr>
        <w:keepLines/>
        <w:spacing w:before="80" w:after="140"/>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6E116B9B" w14:textId="77777777" w:rsidR="00E8754B" w:rsidRDefault="00000000" w:rsidP="00445A2D">
      <w:pPr>
        <w:jc w:val="both"/>
      </w:pPr>
      <w:r>
        <w:rPr>
          <w:b/>
          <w:bCs/>
        </w:rPr>
        <w:t>Proof.</w:t>
      </w:r>
      <w:r>
        <w:t xml:space="preserve"> Backpropagation through the active contribution gives </w:t>
      </w:r>
      <m:oMath>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n</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g</m:t>
            </m:r>
          </m:e>
          <m:sub>
            <m:r>
              <w:rPr>
                <w:rFonts w:ascii="Cambria Math" w:hAnsi="Cambria Math"/>
              </w:rPr>
              <m:t>n</m:t>
            </m:r>
          </m:sub>
        </m:sSub>
      </m:oMath>
      <w:r>
        <w:t xml:space="preserve">. Subtracting successive EMA recurrences shows that the increment of each historical member obeys the same linear filtering recurrence as </w:t>
      </w:r>
      <m:oMath>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n</m:t>
            </m:r>
          </m:sub>
        </m:sSub>
      </m:oMath>
      <w:r>
        <w:t xml:space="preserve">. With identical initial states, </w:t>
      </w:r>
      <m:oMath>
        <m:sSub>
          <m:sSubPr>
            <m:ctrlPr>
              <w:rPr>
                <w:rFonts w:ascii="Cambria Math" w:hAnsi="Cambria Math"/>
              </w:rPr>
            </m:ctrlPr>
          </m:sSubPr>
          <m:e>
            <m:r>
              <w:rPr>
                <w:rFonts w:ascii="Cambria Math" w:hAnsi="Cambria Math"/>
              </w:rPr>
              <m:t>ξ</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k</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oMath>
      <w:r>
        <w:t>. Substituting these increments into the effective-weight sum gives (4). The argument applies componentwise to the entire parameter vector and does not assume a linear network or a quadratic loss.</w:t>
      </w:r>
    </w:p>
    <w:p w14:paraId="2D59FF83" w14:textId="77777777" w:rsidR="00E8754B" w:rsidRDefault="00000000" w:rsidP="00445A2D">
      <w:pPr>
        <w:pStyle w:val="BodyText"/>
        <w:jc w:val="both"/>
      </w:pPr>
      <w:r>
        <w:t xml:space="preserve">For one historical member this reduces to quasi-hyperbolic momentum with step size </w:t>
      </w:r>
      <m:oMath>
        <m:r>
          <w:rPr>
            <w:rFonts w:ascii="Cambria Math" w:hAnsi="Cambria Math"/>
          </w:rPr>
          <m:t>η</m:t>
        </m:r>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and mixing parameter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[5]. For several members it is a multiple-timescale extension. The conditions matter: changing the active optimizer, update order, initialization, or readout requires a new derivation.</w:t>
      </w:r>
    </w:p>
    <w:p w14:paraId="70AC1523" w14:textId="77777777" w:rsidR="00E8754B" w:rsidRDefault="00000000" w:rsidP="00445A2D">
      <w:pPr>
        <w:pStyle w:val="BodyText"/>
        <w:keepNext/>
        <w:jc w:val="both"/>
      </w:pPr>
      <w:r>
        <w:t xml:space="preserve">The impulse-response kernel has instantaneous coefficient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w:r>
        <w:t xml:space="preserve"> and delayed coefficients</w:t>
      </w:r>
    </w:p>
    <w:p w14:paraId="14B3C3AC" w14:textId="77777777" w:rsidR="00E8754B" w:rsidRDefault="00000000" w:rsidP="00445A2D">
      <w:pPr>
        <w:pStyle w:val="BodyText"/>
        <w:keepLines/>
        <w:spacing w:before="80" w:after="140"/>
        <w:jc w:val="both"/>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m</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m</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p>
    <w:p w14:paraId="4F665CF3" w14:textId="77777777" w:rsidR="00E8754B" w:rsidRDefault="00000000" w:rsidP="00445A2D">
      <w:pPr>
        <w:jc w:val="both"/>
      </w:pPr>
      <w:r>
        <w:t xml:space="preserve">Its total mass, including the instantaneous term, is one. An isolated gradient impulse therefore produces total eventual displacement </w:t>
      </w:r>
      <m:oMath>
        <m:r>
          <w:rPr>
            <w:rFonts w:ascii="Cambria Math" w:hAnsi="Cambria Math"/>
          </w:rPr>
          <m:t>η</m:t>
        </m:r>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times that gradient. This kernel statement does not assert that SGD and the bank encounter the same gradients along their different trajectories. For equally weighted, approximately logarithmically spaced relaxation times, a continuum approximation gives </w:t>
      </w:r>
      <m:oMath>
        <m:r>
          <w:rPr>
            <w:rFonts w:ascii="Cambria Math" w:hAnsi="Cambria Math"/>
          </w:rPr>
          <m:t>h</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log</m:t>
            </m:r>
            <m:r>
              <w:rPr>
                <w:rFonts w:ascii="Cambria Math" w:hAnsi="Cambria Math"/>
              </w:rPr>
              <m:t>b</m:t>
            </m:r>
          </m:e>
        </m:d>
      </m:oMath>
      <w:r>
        <w:t xml:space="preserve"> within the interior of the timescale range, where </w:t>
      </w:r>
      <m:oMath>
        <m:r>
          <w:rPr>
            <w:rFonts w:ascii="Cambria Math" w:hAnsi="Cambria Math"/>
          </w:rPr>
          <m:t>b</m:t>
        </m:r>
      </m:oMath>
      <w:r>
        <w:t xml:space="preserve"> is the spacing ratio. A four-member bank provides only a finite approximation with endpoint effects.</w:t>
      </w:r>
    </w:p>
    <w:p w14:paraId="2508AA59" w14:textId="77777777" w:rsidR="00E8754B" w:rsidRDefault="00000000" w:rsidP="00445A2D">
      <w:pPr>
        <w:pStyle w:val="Heading2"/>
        <w:spacing w:after="100"/>
        <w:jc w:val="both"/>
      </w:pPr>
      <w:bookmarkStart w:id="6" w:name="Xcf4dcfa239196fee6c8c7ca1e535f63db924057"/>
      <w:bookmarkEnd w:id="5"/>
      <w:r>
        <w:t>4.2 Nonlinear weight fusion remains compilable</w:t>
      </w:r>
    </w:p>
    <w:p w14:paraId="587BEA87" w14:textId="77777777" w:rsidR="00E8754B" w:rsidRDefault="00000000" w:rsidP="00445A2D">
      <w:pPr>
        <w:jc w:val="both"/>
      </w:pPr>
      <w:r>
        <w:t xml:space="preserve">For weight-level nonlinearities define </w:t>
      </w:r>
      <m:oMath>
        <m:sSub>
          <m:sSubPr>
            <m:ctrlPr>
              <w:rPr>
                <w:rFonts w:ascii="Cambria Math" w:hAnsi="Cambria Math"/>
              </w:rPr>
            </m:ctrlPr>
          </m:sSubPr>
          <m:e>
            <m:r>
              <w:rPr>
                <w:rFonts w:ascii="Cambria Math" w:hAnsi="Cambria Math"/>
              </w:rPr>
              <m:t>w</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k</m:t>
                </m:r>
              </m:sub>
            </m:sSub>
          </m:e>
        </m:d>
      </m:oMath>
      <w:r>
        <w:t>. At any fixed state the forward network is an ordinary network evaluated at this effective parameter vector. The mapping from internal state to effective weights is nonlinear, so Proposition 1 no longer applies directly. Nonetheless, no separate historical paths are required during inference after compilation. Breaking a particular optimizer identity is not sufficient evidence for a new forward architecture.</w:t>
      </w:r>
    </w:p>
    <w:p w14:paraId="24E120D9" w14:textId="77777777" w:rsidR="00E8754B" w:rsidRDefault="00000000" w:rsidP="00445A2D">
      <w:pPr>
        <w:pStyle w:val="BodyText"/>
        <w:jc w:val="both"/>
      </w:pPr>
      <w:r>
        <w:t xml:space="preserve">At consensus, the effective coordinate map is </w:t>
      </w:r>
      <m:oMath>
        <m:r>
          <w:rPr>
            <w:rFonts w:ascii="Cambria Math" w:hAnsi="Cambria Math"/>
          </w:rPr>
          <m:t>ψ</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θ</m:t>
            </m:r>
          </m:e>
        </m:d>
      </m:oMath>
      <w:r>
        <w:t xml:space="preserve">. For the stated monotone saturations, </w:t>
      </w:r>
      <m:oMath>
        <m:r>
          <w:rPr>
            <w:rFonts w:ascii="Cambria Math" w:hAnsi="Cambria Math"/>
          </w:rPr>
          <m:t>ψ</m:t>
        </m:r>
        <m:r>
          <m:rPr>
            <m:sty m:val="p"/>
          </m:rPr>
          <w:rPr>
            <w:rFonts w:ascii="Cambria Math" w:hAnsi="Cambria Math"/>
          </w:rPr>
          <m:t>'</m:t>
        </m:r>
        <m:d>
          <m:dPr>
            <m:ctrlPr>
              <w:rPr>
                <w:rFonts w:ascii="Cambria Math" w:hAnsi="Cambria Math"/>
              </w:rPr>
            </m:ctrlPr>
          </m:dPr>
          <m:e>
            <m:r>
              <w:rPr>
                <w:rFonts w:ascii="Cambria Math" w:hAnsi="Cambria Math"/>
              </w:rPr>
              <m:t>θ</m:t>
            </m:r>
          </m:e>
        </m:d>
        <m:r>
          <m:rPr>
            <m:sty m:val="p"/>
          </m:rPr>
          <w:rPr>
            <w:rFonts w:ascii="Cambria Math" w:hAnsi="Cambria Math"/>
          </w:rPr>
          <m:t>&gt;</m:t>
        </m:r>
        <m:r>
          <w:rPr>
            <w:rFonts w:ascii="Cambria Math" w:hAnsi="Cambria Math"/>
          </w:rPr>
          <m:t>0</m:t>
        </m:r>
      </m:oMath>
      <w:r>
        <w:t>. The stopped-history gradient and the derivative of the collapsed objective differ by positive coordinate factors, but their zeros coincide. This statement relies on the specified coordinatewise map and should not be generalized to arbitrary nonlinear readouts.</w:t>
      </w:r>
    </w:p>
    <w:p w14:paraId="6BB5FC92" w14:textId="77777777" w:rsidR="00E8754B" w:rsidRDefault="00000000" w:rsidP="00445A2D">
      <w:pPr>
        <w:pStyle w:val="Heading2"/>
        <w:spacing w:after="100"/>
        <w:jc w:val="both"/>
      </w:pPr>
      <w:bookmarkStart w:id="7" w:name="Xb0edf3ce9523793d48aec98ca351112e56f5c57"/>
      <w:bookmarkEnd w:id="6"/>
      <w:r>
        <w:lastRenderedPageBreak/>
        <w:t>4.3 Consensus constrains equilibria but not retention</w:t>
      </w:r>
    </w:p>
    <w:p w14:paraId="3FA761C7" w14:textId="77777777" w:rsidR="00E8754B" w:rsidRDefault="00000000" w:rsidP="00445A2D">
      <w:pPr>
        <w:keepNext/>
        <w:jc w:val="both"/>
      </w:pPr>
      <w:r>
        <w:rPr>
          <w:b/>
          <w:bCs/>
        </w:rPr>
        <w:t>Proposition 2.</w:t>
      </w:r>
      <w:r>
        <w:t xml:space="preserve"> Suppose the historical update is </w:t>
      </w:r>
      <m:oMath>
        <m:r>
          <w:rPr>
            <w:rFonts w:ascii="Cambria Math" w:hAnsi="Cambria Math"/>
          </w:rPr>
          <m:t>ξ</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θ</m:t>
            </m:r>
          </m:e>
        </m:d>
      </m:oMath>
      <w:r>
        <w:t xml:space="preserve"> and, for every fixed active state, has a unique fixed point </w:t>
      </w:r>
      <m:oMath>
        <m:r>
          <w:rPr>
            <w:rFonts w:ascii="Cambria Math" w:hAnsi="Cambria Math"/>
          </w:rPr>
          <m:t>h</m:t>
        </m:r>
        <m:d>
          <m:dPr>
            <m:ctrlPr>
              <w:rPr>
                <w:rFonts w:ascii="Cambria Math" w:hAnsi="Cambria Math"/>
              </w:rPr>
            </m:ctrlPr>
          </m:dPr>
          <m:e>
            <m:r>
              <w:rPr>
                <w:rFonts w:ascii="Cambria Math" w:hAnsi="Cambria Math"/>
              </w:rPr>
              <m:t>θ</m:t>
            </m:r>
          </m:e>
        </m:d>
      </m:oMath>
      <w:r>
        <w:t>. Suppose also that any extra coupling into the active state vanishes at that historical fixed point. Every full-batch fixed point then satisfies</w:t>
      </w:r>
    </w:p>
    <w:p w14:paraId="135EE923" w14:textId="77777777" w:rsidR="00E8754B" w:rsidRDefault="00000000" w:rsidP="00445A2D">
      <w:pPr>
        <w:pStyle w:val="BodyText"/>
        <w:keepLines/>
        <w:spacing w:before="80" w:after="140"/>
        <w:jc w:val="both"/>
      </w:pPr>
      <m:oMathPara>
        <m:oMathParaPr>
          <m:jc m:val="center"/>
        </m:oMathParaPr>
        <m:oMath>
          <m:r>
            <w:rPr>
              <w:rFonts w:ascii="Cambria Math" w:hAnsi="Cambria Math"/>
            </w:rPr>
            <m:t>ξ</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e>
              </m:d>
            </m:e>
            <m:sub>
              <m:r>
                <w:rPr>
                  <w:rFonts w:ascii="Cambria Math" w:hAnsi="Cambria Math"/>
                </w:rPr>
                <m:t>ξ</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θ</m:t>
                  </m:r>
                </m:e>
              </m:d>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3B228F06" w14:textId="77777777" w:rsidR="00E8754B" w:rsidRDefault="00000000" w:rsidP="00445A2D">
      <w:pPr>
        <w:jc w:val="both"/>
      </w:pPr>
      <w:r>
        <w:rPr>
          <w:b/>
          <w:bCs/>
        </w:rPr>
        <w:t>Proof.</w:t>
      </w:r>
      <w:r>
        <w:t xml:space="preserve"> At a fixed point, the historical update must be stationary, which gives the first condition by uniqueness. Stationarity of the active update and the assumed vanishing of extra coupling then give the second. This is a necessary equilibrium characterization, not a convergence theorem.</w:t>
      </w:r>
    </w:p>
    <w:p w14:paraId="37D5B292" w14:textId="77777777" w:rsidR="00E8754B" w:rsidRDefault="00000000" w:rsidP="00445A2D">
      <w:pPr>
        <w:pStyle w:val="BodyText"/>
        <w:jc w:val="both"/>
      </w:pPr>
      <w:r>
        <w:t xml:space="preserve">An EMA has </w:t>
      </w:r>
      <m:oMath>
        <m:r>
          <w:rPr>
            <w:rFonts w:ascii="Cambria Math" w:hAnsi="Cambria Math"/>
          </w:rPr>
          <m:t>h</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θ</m:t>
        </m:r>
      </m:oMath>
      <w:r>
        <w:t>. A connected diffusion system with positive capacities and strictly sign-consistent edge fluxes also equilibrates to the imposed boundary value when the active state is held fixed. Dead zones, frozen members, disconnected components, and multistable dynamics can violate uniqueness and must be analyzed separately.</w:t>
      </w:r>
    </w:p>
    <w:p w14:paraId="1C305944" w14:textId="77777777" w:rsidR="00E8754B" w:rsidRDefault="00000000" w:rsidP="00445A2D">
      <w:pPr>
        <w:pStyle w:val="BodyText"/>
        <w:keepNext/>
        <w:jc w:val="both"/>
      </w:pPr>
      <w:r>
        <w:t xml:space="preserve">For a pathway readout, consider one synapse with output error signal </w:t>
      </w:r>
      <m:oMath>
        <m:r>
          <w:rPr>
            <w:rFonts w:ascii="Cambria Math" w:hAnsi="Cambria Math"/>
          </w:rPr>
          <m:t>δ</m:t>
        </m:r>
      </m:oMath>
      <w:r>
        <w:t xml:space="preserve">. The stopped-history derivative is </w:t>
      </w:r>
      <m:oMath>
        <m:sSub>
          <m:sSubPr>
            <m:ctrlPr>
              <w:rPr>
                <w:rFonts w:ascii="Cambria Math" w:hAnsi="Cambria Math"/>
              </w:rPr>
            </m:ctrlPr>
          </m:sSubPr>
          <m:e>
            <m:r>
              <w:rPr>
                <w:rFonts w:ascii="Cambria Math" w:hAnsi="Cambria Math"/>
              </w:rPr>
              <m:t>c</m:t>
            </m:r>
          </m:e>
          <m:sub>
            <m:r>
              <w:rPr>
                <w:rFonts w:ascii="Cambria Math" w:hAnsi="Cambria Math"/>
              </w:rPr>
              <m:t>0</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δx</m:t>
            </m:r>
          </m:e>
        </m:d>
      </m:oMath>
      <w:r>
        <w:t>. The derivative obtained after substituting consensus into the forward function is instead</w:t>
      </w:r>
    </w:p>
    <w:p w14:paraId="05DD5176" w14:textId="77777777" w:rsidR="00E8754B" w:rsidRDefault="00000000" w:rsidP="00445A2D">
      <w:pPr>
        <w:pStyle w:val="BodyText"/>
        <w:keepLines/>
        <w:spacing w:before="80" w:after="140"/>
        <w:jc w:val="both"/>
      </w:pPr>
      <m:oMathPara>
        <m:oMathParaPr>
          <m:jc m:val="center"/>
        </m:oMathParaPr>
        <m:oMath>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θx</m:t>
                      </m:r>
                    </m:e>
                  </m:d>
                </m:e>
              </m:d>
              <m:r>
                <w:rPr>
                  <w:rFonts w:ascii="Cambria Math" w:hAnsi="Cambria Math"/>
                </w:rPr>
                <m:t>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14:paraId="168AC17C" w14:textId="77777777" w:rsidR="00E8754B" w:rsidRDefault="00000000" w:rsidP="00445A2D">
      <w:pPr>
        <w:jc w:val="both"/>
      </w:pPr>
      <w:r>
        <w:t>These zero sets need not coincide. Thus, the stopped-history fixed point need not be stationary for the collapsed forward objective. This does not establish that the update lacks every possible potential function. More importantly, neither fixed-point condition determines which solution is reached. Current-task solutions can differ substantially in their retention of old features, and transient history can influence this selection.</w:t>
      </w:r>
    </w:p>
    <w:p w14:paraId="642D6C90" w14:textId="77777777" w:rsidR="00E8754B" w:rsidRDefault="00000000" w:rsidP="00445A2D">
      <w:pPr>
        <w:pStyle w:val="Heading1"/>
        <w:spacing w:after="100"/>
        <w:jc w:val="both"/>
      </w:pPr>
      <w:bookmarkStart w:id="8" w:name="Xa7f15c3042bed514819da37bf4efc6e710f6c27"/>
      <w:bookmarkEnd w:id="4"/>
      <w:bookmarkEnd w:id="7"/>
      <w:r>
        <w:t>5 Predictive consolidation and the meaning of memory</w:t>
      </w:r>
    </w:p>
    <w:p w14:paraId="3DAACB32" w14:textId="77777777" w:rsidR="00E8754B" w:rsidRDefault="00000000" w:rsidP="00445A2D">
      <w:pPr>
        <w:pStyle w:val="Heading2"/>
        <w:spacing w:after="100"/>
        <w:jc w:val="both"/>
      </w:pPr>
      <w:bookmarkStart w:id="9" w:name="Xdf01b8e593039be5b3b996e407c801063b4ebf2"/>
      <w:r>
        <w:t>5.1 Direct EMA mass is not retained knowledge</w:t>
      </w:r>
    </w:p>
    <w:p w14:paraId="5C4212CE" w14:textId="77777777" w:rsidR="00E8754B" w:rsidRDefault="00000000" w:rsidP="00445A2D">
      <w:pPr>
        <w:keepNext/>
        <w:jc w:val="both"/>
      </w:pPr>
      <w:r>
        <w:t xml:space="preserve">For a boundary at update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the exact EMA expansion is</w:t>
      </w:r>
    </w:p>
    <w:p w14:paraId="6DD85A46" w14:textId="77777777" w:rsidR="00E8754B" w:rsidRDefault="00000000" w:rsidP="00445A2D">
      <w:pPr>
        <w:pStyle w:val="BodyText"/>
        <w:keepLines/>
        <w:spacing w:before="80" w:after="140"/>
        <w:jc w:val="both"/>
      </w:pPr>
      <m:oMathPara>
        <m:oMathParaPr>
          <m:jc m:val="center"/>
        </m:oMathParaPr>
        <m:oMath>
          <m:sSub>
            <m:sSubPr>
              <m:ctrlPr>
                <w:rPr>
                  <w:rFonts w:ascii="Cambria Math" w:hAnsi="Cambria Math"/>
                </w:rPr>
              </m:ctrlPr>
            </m:sSubPr>
            <m:e>
              <m:r>
                <w:rPr>
                  <w:rFonts w:ascii="Cambria Math" w:hAnsi="Cambria Math"/>
                </w:rPr>
                <m:t>ξ</m:t>
              </m:r>
            </m:e>
            <m:sub>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T</m:t>
              </m:r>
            </m:sup>
          </m:sSup>
          <m:sSub>
            <m:sSubPr>
              <m:ctrlPr>
                <w:rPr>
                  <w:rFonts w:ascii="Cambria Math" w:hAnsi="Cambria Math"/>
                </w:rPr>
              </m:ctrlPr>
            </m:sSubPr>
            <m:e>
              <m:r>
                <w:rPr>
                  <w:rFonts w:ascii="Cambria Math" w:hAnsi="Cambria Math"/>
                </w:rPr>
                <m:t>ξ</m:t>
              </m:r>
            </m:e>
            <m:sub>
              <m:sSub>
                <m:sSubPr>
                  <m:ctrlPr>
                    <w:rPr>
                      <w:rFonts w:ascii="Cambria Math" w:hAnsi="Cambria Math"/>
                    </w:rPr>
                  </m:ctrlPr>
                </m:sSubPr>
                <m:e>
                  <m:r>
                    <w:rPr>
                      <w:rFonts w:ascii="Cambria Math" w:hAnsi="Cambria Math"/>
                    </w:rPr>
                    <m:t>n</m:t>
                  </m:r>
                </m:e>
                <m:sub>
                  <m:r>
                    <w:rPr>
                      <w:rFonts w:ascii="Cambria Math" w:hAnsi="Cambria Math"/>
                    </w:rPr>
                    <m:t>0</m:t>
                  </m:r>
                </m:sub>
              </m:sSub>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sup>
            <m:e>
              <m:sSup>
                <m:sSupPr>
                  <m:ctrlPr>
                    <w:rPr>
                      <w:rFonts w:ascii="Cambria Math" w:hAnsi="Cambria Math"/>
                    </w:rPr>
                  </m:ctrlPr>
                </m:sSupPr>
                <m:e>
                  <m:r>
                    <w:rPr>
                      <w:rFonts w:ascii="Cambria Math" w:hAnsi="Cambria Math"/>
                    </w:rPr>
                    <m:t>τ</m:t>
                  </m:r>
                </m:e>
                <m:sup>
                  <m:r>
                    <w:rPr>
                      <w:rFonts w:ascii="Cambria Math" w:hAnsi="Cambria Math"/>
                    </w:rPr>
                    <m:t>T</m:t>
                  </m:r>
                  <m:r>
                    <m:rPr>
                      <m:sty m:val="p"/>
                    </m:rPr>
                    <w:rPr>
                      <w:rFonts w:ascii="Cambria Math" w:hAnsi="Cambria Math"/>
                    </w:rPr>
                    <m:t>-</m:t>
                  </m:r>
                  <m:r>
                    <w:rPr>
                      <w:rFonts w:ascii="Cambria Math" w:hAnsi="Cambria Math"/>
                    </w:rPr>
                    <m:t>j</m:t>
                  </m:r>
                </m:sup>
              </m:sSup>
            </m:e>
          </m:nary>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200C2FC9" w14:textId="77777777" w:rsidR="00E8754B" w:rsidRDefault="00000000" w:rsidP="00445A2D">
      <w:pPr>
        <w:jc w:val="both"/>
      </w:pPr>
      <w:r>
        <w:t xml:space="preserve">For </w:t>
      </w:r>
      <m:oMath>
        <m:r>
          <w:rPr>
            <w:rFonts w:ascii="Cambria Math" w:hAnsi="Cambria Math"/>
          </w:rPr>
          <m:t>τ</m:t>
        </m:r>
        <m:r>
          <m:rPr>
            <m:sty m:val="p"/>
          </m:rPr>
          <w:rPr>
            <w:rFonts w:ascii="Cambria Math" w:hAnsi="Cambria Math"/>
          </w:rPr>
          <m:t>=</m:t>
        </m:r>
        <m:r>
          <w:rPr>
            <w:rFonts w:ascii="Cambria Math" w:hAnsi="Cambria Math"/>
          </w:rPr>
          <m:t>0.9999</m:t>
        </m:r>
      </m:oMath>
      <w:r>
        <w:t xml:space="preserve">, the boundary-state coefficient is approximately 0.135 after 20000 updates, 0.0183 after 40000, and </w:t>
      </w:r>
      <m:oMath>
        <m:r>
          <w:rPr>
            <w:rFonts w:ascii="Cambria Math" w:hAnsi="Cambria Math"/>
          </w:rPr>
          <m:t>2.06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after 200000. These are coefficients of an explicit initial state. They do not measure the historical information in the subsequent active states, which may themselves retain earlier knowledge and be influenced by the teacher.</w:t>
      </w:r>
    </w:p>
    <w:p w14:paraId="0E91EB58" w14:textId="77777777" w:rsidR="00E8754B" w:rsidRDefault="00000000" w:rsidP="00445A2D">
      <w:pPr>
        <w:pStyle w:val="BodyText"/>
        <w:jc w:val="both"/>
      </w:pPr>
      <w:r>
        <w:t xml:space="preserve">Consequently, the requirement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1</m:t>
            </m:r>
            <m:r>
              <m:rPr>
                <m:sty m:val="p"/>
              </m:rPr>
              <w:rPr>
                <w:rFonts w:ascii="Cambria Math" w:hAnsi="Cambria Math"/>
              </w:rPr>
              <m:t>/</m:t>
            </m:r>
            <m:r>
              <w:rPr>
                <w:rFonts w:ascii="Cambria Math" w:hAnsi="Cambria Math"/>
              </w:rPr>
              <m:t>T</m:t>
            </m:r>
          </m:sup>
        </m:sSup>
      </m:oMath>
      <w:r>
        <w:t xml:space="preserve"> guarantees a chosen direct coefficient </w:t>
      </w:r>
      <m:oMath>
        <m:r>
          <w:rPr>
            <w:rFonts w:ascii="Cambria Math" w:hAnsi="Cambria Math"/>
          </w:rPr>
          <m:t>α</m:t>
        </m:r>
      </m:oMath>
      <w:r>
        <w:t>, not functional retention. The converse inference is also invalid: a small coefficient does not establish forgetting. Parameter-space distances, task losses, feature recoverability, and causal influence are different observables.</w:t>
      </w:r>
    </w:p>
    <w:p w14:paraId="0EFE40B9" w14:textId="77777777" w:rsidR="00E8754B" w:rsidRDefault="00000000" w:rsidP="00445A2D">
      <w:pPr>
        <w:pStyle w:val="Heading2"/>
        <w:spacing w:after="100"/>
        <w:jc w:val="both"/>
      </w:pPr>
      <w:bookmarkStart w:id="10" w:name="temporal-feature-distillation"/>
      <w:bookmarkEnd w:id="9"/>
      <w:r>
        <w:lastRenderedPageBreak/>
        <w:t>5.2 Temporal feature distillation</w:t>
      </w:r>
    </w:p>
    <w:p w14:paraId="4B05C40F" w14:textId="77777777" w:rsidR="00E8754B" w:rsidRDefault="00000000" w:rsidP="00445A2D">
      <w:pPr>
        <w:keepNext/>
        <w:jc w:val="both"/>
      </w:pPr>
      <w:r>
        <w:t xml:space="preserve">Let </w:t>
      </w:r>
      <m:oMath>
        <m:sSub>
          <m:sSubPr>
            <m:ctrlPr>
              <w:rPr>
                <w:rFonts w:ascii="Cambria Math" w:hAnsi="Cambria Math"/>
              </w:rPr>
            </m:ctrlPr>
          </m:sSubPr>
          <m:e>
            <m:r>
              <w:rPr>
                <w:rFonts w:ascii="Cambria Math" w:hAnsi="Cambria Math"/>
              </w:rPr>
              <m:t>h</m:t>
            </m:r>
          </m:e>
          <m:sub>
            <m:r>
              <w:rPr>
                <w:rFonts w:ascii="Cambria Math" w:hAnsi="Cambria Math"/>
              </w:rPr>
              <m:t>θ</m:t>
            </m:r>
          </m:sub>
        </m:sSub>
      </m:oMath>
      <w:r>
        <w:t xml:space="preserve"> denote the current representation and </w:t>
      </w:r>
      <m:oMath>
        <m:r>
          <w:rPr>
            <w:rFonts w:ascii="Cambria Math" w:hAnsi="Cambria Math"/>
          </w:rPr>
          <m:t>q</m:t>
        </m:r>
      </m:oMath>
      <w:r>
        <w:t xml:space="preserve"> a learned predictor. A same-view moving-teacher objective takes the form</w:t>
      </w:r>
    </w:p>
    <w:p w14:paraId="373F5EE6" w14:textId="77777777" w:rsidR="00E8754B" w:rsidRDefault="00000000" w:rsidP="00445A2D">
      <w:pPr>
        <w:pStyle w:val="BodyText"/>
        <w:keepLines/>
        <w:spacing w:before="80" w:after="140"/>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current,</m:t>
              </m:r>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e>
                  </m:d>
                  <m:r>
                    <m:rPr>
                      <m:sty m:val="p"/>
                    </m:rPr>
                    <w:rPr>
                      <w:rFonts w:ascii="Cambria Math" w:hAnsi="Cambria Math"/>
                    </w:rPr>
                    <m:t>-sg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ξ</m:t>
                          </m:r>
                        </m:sub>
                      </m:sSub>
                      <m:d>
                        <m:dPr>
                          <m:ctrlPr>
                            <w:rPr>
                              <w:rFonts w:ascii="Cambria Math" w:hAnsi="Cambria Math"/>
                            </w:rPr>
                          </m:ctrlPr>
                        </m:dPr>
                        <m:e>
                          <m:r>
                            <w:rPr>
                              <w:rFonts w:ascii="Cambria Math" w:hAnsi="Cambria Math"/>
                            </w:rPr>
                            <m:t>x</m:t>
                          </m:r>
                        </m:e>
                      </m:d>
                    </m:e>
                  </m:d>
                </m:e>
              </m:d>
            </m:e>
            <m:sup>
              <m:r>
                <w:rPr>
                  <w:rFonts w:ascii="Cambria Math" w:hAnsi="Cambria Math"/>
                </w:rPr>
                <m:t>2</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p>
    <w:p w14:paraId="1528632A" w14:textId="77777777" w:rsidR="00E8754B" w:rsidRDefault="00000000" w:rsidP="00445A2D">
      <w:pPr>
        <w:jc w:val="both"/>
      </w:pPr>
      <w:r>
        <w:t xml:space="preserve">The operator </w:t>
      </w:r>
      <m:oMath>
        <m:r>
          <m:rPr>
            <m:sty m:val="p"/>
          </m:rPr>
          <w:rPr>
            <w:rFonts w:ascii="Cambria Math" w:hAnsi="Cambria Math"/>
          </w:rPr>
          <m:t>sg</m:t>
        </m:r>
      </m:oMath>
      <w:r>
        <w:t xml:space="preserve"> stops parameter gradients through the target. The teacher is updated separately by EMA. Equation (9) is temporal feature distillation. Calling it BYOL-inspired is appropriate; calling the supervised, same-view pilot a completed BYOL experiment is not. In original BYOL, predictive learning operates across augmented views and supplies the representation-learning objective itself [3].</w:t>
      </w:r>
    </w:p>
    <w:p w14:paraId="49711248" w14:textId="77777777" w:rsidR="00E8754B" w:rsidRDefault="00000000" w:rsidP="00445A2D">
      <w:pPr>
        <w:pStyle w:val="BodyText"/>
        <w:jc w:val="both"/>
      </w:pPr>
      <w:r>
        <w:t>For a bank network, the target function must be defined explicitly. One option, used in the pilot, evaluates the slowest member through the bank’s consensus architecture by assigning it to every active and historical slot. This is a projection onto a consensus model, not an EMA of the full forward-bank state. An ordinary teacher with a different architecture is another legitimate distillation design, but changes the compatibility question. Identical architectures are not a general requirement of distillation.</w:t>
      </w:r>
    </w:p>
    <w:p w14:paraId="11D72DB3" w14:textId="77777777" w:rsidR="00E8754B" w:rsidRDefault="00000000" w:rsidP="00445A2D">
      <w:pPr>
        <w:pStyle w:val="BodyText"/>
        <w:keepNext/>
        <w:jc w:val="both"/>
      </w:pPr>
      <w:r>
        <w:t>The tested objective uses only the slowest teacher. A proposed multiple-teacher extension is</w:t>
      </w:r>
    </w:p>
    <w:p w14:paraId="0700E1D4" w14:textId="77777777" w:rsidR="00E8754B" w:rsidRDefault="00000000" w:rsidP="00445A2D">
      <w:pPr>
        <w:pStyle w:val="BodyText"/>
        <w:keepLines/>
        <w:spacing w:before="80" w:after="140"/>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current,</m:t>
              </m:r>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λ</m:t>
                  </m:r>
                </m:e>
                <m:sub>
                  <m:r>
                    <w:rPr>
                      <w:rFonts w:ascii="Cambria Math" w:hAnsi="Cambria Math"/>
                    </w:rPr>
                    <m:t>k</m:t>
                  </m:r>
                </m:sub>
              </m:sSub>
            </m:e>
          </m:nary>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n</m:t>
                  </m:r>
                </m:sub>
              </m:sSub>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e>
                  </m:d>
                  <m:r>
                    <m:rPr>
                      <m:sty m:val="p"/>
                    </m:rPr>
                    <w:rPr>
                      <w:rFonts w:ascii="Cambria Math" w:hAnsi="Cambria Math"/>
                    </w:rPr>
                    <m:t>-sg</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ξ</m:t>
                              </m:r>
                            </m:e>
                            <m:sub>
                              <m:r>
                                <w:rPr>
                                  <w:rFonts w:ascii="Cambria Math" w:hAnsi="Cambria Math"/>
                                </w:rPr>
                                <m:t>k</m:t>
                              </m:r>
                            </m:sub>
                          </m:sSub>
                        </m:sub>
                      </m:sSub>
                    </m:e>
                  </m:d>
                </m:e>
              </m:d>
            </m:e>
            <m:sup>
              <m:r>
                <w:rPr>
                  <w:rFonts w:ascii="Cambria Math" w:hAnsi="Cambria Math"/>
                </w:rPr>
                <m:t>2</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p>
    <w:p w14:paraId="47E44587" w14:textId="77777777" w:rsidR="00E8754B" w:rsidRDefault="00000000" w:rsidP="00445A2D">
      <w:pPr>
        <w:jc w:val="both"/>
      </w:pPr>
      <w:r>
        <w:t>Equation (10) is a research proposal, not a reported result. Comparisons must control total regularization strength, predictor capacity, target computation, and teacher quality. Repeating a single useful constraint four times could otherwise look like a benefit from four timescales.</w:t>
      </w:r>
    </w:p>
    <w:p w14:paraId="1B4C18C6" w14:textId="77777777" w:rsidR="00E8754B" w:rsidRDefault="00000000" w:rsidP="00445A2D">
      <w:pPr>
        <w:pStyle w:val="Heading2"/>
        <w:spacing w:after="100"/>
        <w:jc w:val="both"/>
      </w:pPr>
      <w:bookmarkStart w:id="11" w:name="a-local-model-of-functional-damping"/>
      <w:bookmarkEnd w:id="10"/>
      <w:r>
        <w:t>5.3 A local model of functional damping</w:t>
      </w:r>
    </w:p>
    <w:p w14:paraId="515F1768" w14:textId="77777777" w:rsidR="00E8754B" w:rsidRDefault="00000000" w:rsidP="00445A2D">
      <w:pPr>
        <w:keepNext/>
        <w:jc w:val="both"/>
      </w:pPr>
      <w:r>
        <w:t xml:space="preserve">Take an identity predictor and suppose online and teacher parameters are close. Linearize their feature difference as </w:t>
      </w:r>
      <m:oMath>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ξ</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x</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oMath>
      <w:r>
        <w:t xml:space="preserve">, and define </w:t>
      </w:r>
      <m:oMath>
        <m:r>
          <w:rPr>
            <w:rFonts w:ascii="Cambria Math" w:hAnsi="Cambria Math"/>
          </w:rPr>
          <m:t>G</m:t>
        </m:r>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J</m:t>
                </m:r>
              </m:e>
              <m:sub>
                <m:r>
                  <w:rPr>
                    <w:rFonts w:ascii="Cambria Math" w:hAnsi="Cambria Math"/>
                  </w:rPr>
                  <m:t>x</m:t>
                </m:r>
              </m:sub>
              <m:sup>
                <m:r>
                  <m:rPr>
                    <m:sty m:val="p"/>
                  </m:rPr>
                  <w:rPr>
                    <w:rFonts w:ascii="Cambria Math" w:hAnsi="Cambria Math"/>
                  </w:rPr>
                  <m:t>⊤</m:t>
                </m:r>
              </m:sup>
            </m:sSubSup>
            <m:sSub>
              <m:sSubPr>
                <m:ctrlPr>
                  <w:rPr>
                    <w:rFonts w:ascii="Cambria Math" w:hAnsi="Cambria Math"/>
                  </w:rPr>
                </m:ctrlPr>
              </m:sSubPr>
              <m:e>
                <m:r>
                  <w:rPr>
                    <w:rFonts w:ascii="Cambria Math" w:hAnsi="Cambria Math"/>
                  </w:rPr>
                  <m:t>J</m:t>
                </m:r>
              </m:e>
              <m:sub>
                <m:r>
                  <w:rPr>
                    <w:rFonts w:ascii="Cambria Math" w:hAnsi="Cambria Math"/>
                  </w:rPr>
                  <m:t>x</m:t>
                </m:r>
              </m:sub>
            </m:sSub>
          </m:e>
        </m:d>
      </m:oMath>
      <w:r>
        <w:t xml:space="preserve">. In a continuous-time approximation with teacher rate </w:t>
      </w:r>
      <m:oMath>
        <m:r>
          <w:rPr>
            <w:rFonts w:ascii="Cambria Math" w:hAnsi="Cambria Math"/>
          </w:rPr>
          <m:t>κ</m:t>
        </m:r>
      </m:oMath>
      <w:r>
        <w:t>,</w:t>
      </w:r>
    </w:p>
    <w:p w14:paraId="4811C274" w14:textId="77777777" w:rsidR="00E8754B" w:rsidRDefault="00000000" w:rsidP="00445A2D">
      <w:pPr>
        <w:pStyle w:val="BodyText"/>
        <w:keepLines/>
        <w:spacing w:before="80" w:after="140"/>
        <w:jc w:val="both"/>
      </w:pPr>
      <m:oMathPara>
        <m:oMathParaPr>
          <m:jc m:val="center"/>
        </m:oMathParaPr>
        <m:oMath>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λG</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ξ</m:t>
              </m:r>
            </m:e>
          </m:acc>
          <m:r>
            <m:rPr>
              <m:sty m:val="p"/>
            </m:rPr>
            <w:rPr>
              <w:rFonts w:ascii="Cambria Math" w:hAnsi="Cambria Math"/>
            </w:rPr>
            <m:t>=</m:t>
          </m:r>
          <m:r>
            <w:rPr>
              <w:rFonts w:ascii="Cambria Math" w:hAnsi="Cambria Math"/>
            </w:rPr>
            <m:t>κ</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6C5DB587" w14:textId="77777777" w:rsidR="00E8754B" w:rsidRDefault="00000000" w:rsidP="00445A2D">
      <w:pPr>
        <w:keepNext/>
        <w:jc w:val="both"/>
      </w:pPr>
      <w:r>
        <w:t xml:space="preserve">If the lag changes slowly relative to its relaxation and the local linearization remains valid, </w:t>
      </w:r>
      <m:oMath>
        <m:r>
          <w:rPr>
            <w:rFonts w:ascii="Cambria Math" w:hAnsi="Cambria Math"/>
          </w:rPr>
          <m:t>θ</m:t>
        </m:r>
        <m:r>
          <m:rPr>
            <m:sty m:val="p"/>
          </m:rPr>
          <w:rPr>
            <w:rFonts w:ascii="Cambria Math" w:hAnsi="Cambria Math"/>
          </w:rPr>
          <m:t>-</m:t>
        </m:r>
        <m:r>
          <w:rPr>
            <w:rFonts w:ascii="Cambria Math" w:hAnsi="Cambria Math"/>
          </w:rPr>
          <m:t>ξ</m:t>
        </m:r>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κ</m:t>
        </m:r>
      </m:oMath>
      <w:r>
        <w:t>, giving</w:t>
      </w:r>
    </w:p>
    <w:p w14:paraId="6209F0A1" w14:textId="77777777" w:rsidR="00E8754B" w:rsidRDefault="00000000" w:rsidP="00445A2D">
      <w:pPr>
        <w:pStyle w:val="BodyText"/>
        <w:keepLines/>
        <w:spacing w:before="80" w:after="140"/>
        <w:jc w:val="both"/>
      </w:pPr>
      <m:oMathPara>
        <m:oMathParaPr>
          <m:jc m:val="center"/>
        </m:oMathParaPr>
        <m:oMath>
          <m:d>
            <m:dPr>
              <m:ctrlPr>
                <w:rPr>
                  <w:rFonts w:ascii="Cambria Math" w:hAnsi="Cambria Math"/>
                </w:rPr>
              </m:ctrlPr>
            </m:dPr>
            <m:e>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ηλ</m:t>
                  </m:r>
                </m:num>
                <m:den>
                  <m:r>
                    <w:rPr>
                      <w:rFonts w:ascii="Cambria Math" w:hAnsi="Cambria Math"/>
                    </w:rPr>
                    <m:t>κ</m:t>
                  </m:r>
                </m:den>
              </m:f>
              <m:r>
                <w:rPr>
                  <w:rFonts w:ascii="Cambria Math" w:hAnsi="Cambria Math"/>
                </w:rPr>
                <m:t>G</m:t>
              </m:r>
            </m:e>
          </m:d>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ηg</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3261429B" w14:textId="77777777" w:rsidR="00E8754B" w:rsidRDefault="00000000" w:rsidP="00445A2D">
      <w:pPr>
        <w:jc w:val="both"/>
      </w:pPr>
      <w:r>
        <w:t xml:space="preserve">Equation (12) describes direction-dependent resistance to changing the represented function. If </w:t>
      </w:r>
      <m:oMath>
        <m:r>
          <w:rPr>
            <w:rFonts w:ascii="Cambria Math" w:hAnsi="Cambria Math"/>
          </w:rPr>
          <m:t>G</m:t>
        </m:r>
      </m:oMath>
      <w:r>
        <w:t xml:space="preserve"> is proportional to the identity, its main effect is a speed change. If its eigenvalues differ, the teacher can change the direction of travel and the attained solution. This is a local explanatory approximation; it is not an exact reduction of a nonlinear network with a jointly learned predictor.</w:t>
      </w:r>
    </w:p>
    <w:p w14:paraId="58450049" w14:textId="77777777" w:rsidR="00E8754B" w:rsidRDefault="00000000" w:rsidP="00445A2D">
      <w:pPr>
        <w:pStyle w:val="BodyText"/>
        <w:jc w:val="both"/>
      </w:pPr>
      <w:r>
        <w:t>A learned linear predictor can accommodate feature-coordinate changes while penalizing changes that destroy recoverability. This distinction motivates evaluating both a refitted probe and the original frozen task head. Good probe performance means useful information remains accessible to a new decoder; it does not ensure that an unchanged deployed decoder still works.</w:t>
      </w:r>
    </w:p>
    <w:p w14:paraId="6A28D166" w14:textId="77777777" w:rsidR="00E8754B" w:rsidRDefault="00000000" w:rsidP="00445A2D">
      <w:pPr>
        <w:pStyle w:val="Heading2"/>
        <w:spacing w:after="100"/>
        <w:jc w:val="both"/>
      </w:pPr>
      <w:bookmarkStart w:id="12" w:name="input-coverage-and-feature-alignment"/>
      <w:bookmarkEnd w:id="11"/>
      <w:r>
        <w:lastRenderedPageBreak/>
        <w:t>5.4 Input coverage and feature alignment</w:t>
      </w:r>
    </w:p>
    <w:p w14:paraId="3AF630F0" w14:textId="77777777" w:rsidR="00E8754B" w:rsidRDefault="00000000" w:rsidP="00445A2D">
      <w:pPr>
        <w:keepNext/>
        <w:jc w:val="both"/>
      </w:pPr>
      <w:r>
        <w:t xml:space="preserve">For a fixed squared feature discrepancy </w:t>
      </w:r>
      <m:oMath>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oMath>
      <w:r>
        <w:t xml:space="preserve">, if </w:t>
      </w:r>
      <m:oMath>
        <m:sSub>
          <m:sSubPr>
            <m:ctrlPr>
              <w:rPr>
                <w:rFonts w:ascii="Cambria Math" w:hAnsi="Cambria Math"/>
              </w:rPr>
            </m:ctrlPr>
          </m:sSubPr>
          <m:e>
            <m:r>
              <w:rPr>
                <w:rFonts w:ascii="Cambria Math" w:hAnsi="Cambria Math"/>
              </w:rPr>
              <m:t>p</m:t>
            </m:r>
          </m:e>
          <m:sub>
            <m:r>
              <m:rPr>
                <m:sty m:val="p"/>
              </m:rPr>
              <w:rPr>
                <w:rFonts w:ascii="Cambria Math" w:hAnsi="Cambria Math"/>
              </w:rPr>
              <m:t>old</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p</m:t>
            </m:r>
          </m:e>
          <m:sub>
            <m:r>
              <m:rPr>
                <m:sty m:val="p"/>
              </m:rPr>
              <w:rPr>
                <w:rFonts w:ascii="Cambria Math" w:hAnsi="Cambria Math"/>
              </w:rPr>
              <m:t>new</m:t>
            </m:r>
          </m:sub>
        </m:sSub>
        <m:d>
          <m:dPr>
            <m:ctrlPr>
              <w:rPr>
                <w:rFonts w:ascii="Cambria Math" w:hAnsi="Cambria Math"/>
              </w:rPr>
            </m:ctrlPr>
          </m:dPr>
          <m:e>
            <m:r>
              <w:rPr>
                <w:rFonts w:ascii="Cambria Math" w:hAnsi="Cambria Math"/>
              </w:rPr>
              <m:t>x</m:t>
            </m:r>
          </m:e>
        </m:d>
      </m:oMath>
      <w:r>
        <w:t xml:space="preserve"> almost everywhere, then</w:t>
      </w:r>
    </w:p>
    <w:p w14:paraId="11C03CD5" w14:textId="77777777" w:rsidR="00E8754B" w:rsidRDefault="00000000" w:rsidP="00445A2D">
      <w:pPr>
        <w:pStyle w:val="BodyText"/>
        <w:keepLines/>
        <w:spacing w:before="80" w:after="140"/>
        <w:jc w:val="both"/>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m:rPr>
                      <m:sty m:val="p"/>
                    </m:rPr>
                    <w:rPr>
                      <w:rFonts w:ascii="Cambria Math" w:hAnsi="Cambria Math"/>
                    </w:rPr>
                    <m:t>old</m:t>
                  </m:r>
                </m:sub>
              </m:sSub>
            </m:sub>
          </m:sSub>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e>
          </m:d>
          <m:r>
            <m:rPr>
              <m:sty m:val="p"/>
            </m:rPr>
            <w:rPr>
              <w:rFonts w:ascii="Cambria Math" w:hAnsi="Cambria Math"/>
            </w:rPr>
            <m:t>≤</m:t>
          </m:r>
          <m:r>
            <w:rPr>
              <w:rFonts w:ascii="Cambria Math" w:hAnsi="Cambria Math"/>
            </w:rPr>
            <m:t>C </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m:rPr>
                      <m:sty m:val="p"/>
                    </m:rPr>
                    <w:rPr>
                      <w:rFonts w:ascii="Cambria Math" w:hAnsi="Cambria Math"/>
                    </w:rPr>
                    <m:t>new</m:t>
                  </m:r>
                </m:sub>
              </m:sSub>
            </m:sub>
          </m:sSub>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p>
    <w:p w14:paraId="16EA8276" w14:textId="77777777" w:rsidR="00E8754B" w:rsidRDefault="00000000" w:rsidP="00445A2D">
      <w:pPr>
        <w:jc w:val="both"/>
      </w:pPr>
      <w:r>
        <w:t xml:space="preserve">The result follows by multiplying the pointwise density inequality by the nonnegative discrepancy and integrating. It bounds a particular teacher discrepancy, not accumulated continual-learning error. When both tasks share the same input distribution, </w:t>
      </w:r>
      <m:oMath>
        <m:r>
          <w:rPr>
            <w:rFonts w:ascii="Cambria Math" w:hAnsi="Cambria Math"/>
          </w:rPr>
          <m:t>C</m:t>
        </m:r>
        <m:r>
          <m:rPr>
            <m:sty m:val="p"/>
          </m:rPr>
          <w:rPr>
            <w:rFonts w:ascii="Cambria Math" w:hAnsi="Cambria Math"/>
          </w:rPr>
          <m:t>=</m:t>
        </m:r>
        <m:r>
          <w:rPr>
            <w:rFonts w:ascii="Cambria Math" w:hAnsi="Cambria Math"/>
          </w:rPr>
          <m:t>1</m:t>
        </m:r>
      </m:oMath>
      <w:r>
        <w:t>. Under covariate shift, a useful bound may be unavailable even if both distributions have full support.</w:t>
      </w:r>
    </w:p>
    <w:p w14:paraId="3D9B9C7E" w14:textId="77777777" w:rsidR="00E8754B" w:rsidRDefault="00000000" w:rsidP="00445A2D">
      <w:pPr>
        <w:pStyle w:val="BodyText"/>
        <w:jc w:val="both"/>
      </w:pPr>
      <w:r>
        <w:t>Historical weights also depend on the coordinates in which upstream features were learned. Reusing an old coefficient on a newly transformed input need not reproduce its earlier computation. Layerwise mixtures can combine incompatible historical representations. Whole-network teachers and predictor maps provide possible alignment mechanisms; per-synapse saturation alone does not establish such alignment.</w:t>
      </w:r>
    </w:p>
    <w:p w14:paraId="15CF6D63" w14:textId="77777777" w:rsidR="00E8754B" w:rsidRDefault="00000000" w:rsidP="00445A2D">
      <w:pPr>
        <w:pStyle w:val="Heading1"/>
        <w:spacing w:after="100"/>
        <w:jc w:val="both"/>
      </w:pPr>
      <w:bookmarkStart w:id="13" w:name="Xc8d783d55f8eb37eccea8c3826b8a3993bd4b94"/>
      <w:bookmarkEnd w:id="8"/>
      <w:bookmarkEnd w:id="12"/>
      <w:r>
        <w:t>6 Biological interpretation and a model with two timescales</w:t>
      </w:r>
    </w:p>
    <w:p w14:paraId="51A419C0" w14:textId="77777777" w:rsidR="00E8754B" w:rsidRDefault="00000000" w:rsidP="00445A2D">
      <w:pPr>
        <w:pStyle w:val="Heading2"/>
        <w:spacing w:after="100"/>
        <w:jc w:val="both"/>
      </w:pPr>
      <w:bookmarkStart w:id="14" w:name="activity-history-and-learning-history"/>
      <w:r>
        <w:t>6.1 Activity history and learning history</w:t>
      </w:r>
    </w:p>
    <w:p w14:paraId="1F7CA9BA" w14:textId="77777777" w:rsidR="00E8754B" w:rsidRDefault="00000000" w:rsidP="00445A2D">
      <w:pPr>
        <w:jc w:val="both"/>
      </w:pPr>
      <w:r>
        <w:t>Vesicle depletion and replenishment provide a mechanism for short-term synaptic depression and recovery, as formalized by Tsodyks and Markram [11]. More recently, Mikulasch and colleagues modeled several vesicle-recycling stages and tested exhaustion-dependent recovery in cultured hippocampal neurons. Their findings support adaptation over several timescales and an effective power-law description [12]. These are activity-dependent dynamics, driven by transmission events rather than optimizer updates.</w:t>
      </w:r>
    </w:p>
    <w:p w14:paraId="0C880948" w14:textId="77777777" w:rsidR="00E8754B" w:rsidRDefault="00000000" w:rsidP="00445A2D">
      <w:pPr>
        <w:pStyle w:val="BodyText"/>
        <w:jc w:val="both"/>
      </w:pPr>
      <w:r>
        <w:t>Vesicle recycling also involves distinct membrane and molecular processes. Watanabe and colleagues demonstrated ultrafast clathrin-independent membrane retrieval under their physiological-temperature conditions, followed by clathrin-dependent vesicle regeneration from endosomes [13]. Truckenbrodt and colleagues found preferential use of younger vesicle proteins and later inactivation and degradation in cultured neurons [14]. Neither result identifies individual vesicles with saved values of an artificial-network weight. Molecular turnover also does not, by itself, imply loss of the synapse’s learned organization.</w:t>
      </w:r>
    </w:p>
    <w:p w14:paraId="59D8D849" w14:textId="77777777" w:rsidR="00E8754B" w:rsidRDefault="00000000" w:rsidP="00445A2D">
      <w:pPr>
        <w:pStyle w:val="BodyText"/>
        <w:jc w:val="both"/>
      </w:pPr>
      <w:r>
        <w:t>SSRIs inhibit serotonin transport through SERT; transporter structures bound to antidepressants clarify this target [15]. Reuptake inhibition, membrane recycling, and learned synaptic efficacy are distinct mechanisms. The acronym in this paper makes no claim that antidepressants preserve a bank of synaptic weight values or provide a treatment-derived continual-learning algorithm.</w:t>
      </w:r>
    </w:p>
    <w:p w14:paraId="6EEE4D25" w14:textId="77777777" w:rsidR="00E8754B" w:rsidRDefault="00000000" w:rsidP="00445A2D">
      <w:pPr>
        <w:pStyle w:val="Heading2"/>
        <w:spacing w:after="100"/>
        <w:jc w:val="both"/>
      </w:pPr>
      <w:bookmarkStart w:id="15" w:name="where-the-nonlinearity-enters"/>
      <w:bookmarkEnd w:id="14"/>
      <w:r>
        <w:t>6.2 Where the nonlinearity enters</w:t>
      </w:r>
    </w:p>
    <w:p w14:paraId="47128278" w14:textId="77777777" w:rsidR="00E8754B" w:rsidRDefault="00000000" w:rsidP="00445A2D">
      <w:pPr>
        <w:keepNext/>
        <w:jc w:val="both"/>
      </w:pPr>
      <w:r>
        <w:t xml:space="preserve">For fixed coefficients, a simplified extracellular transport equation is linear in transmitter concentration </w:t>
      </w:r>
      <m:oMath>
        <m:r>
          <w:rPr>
            <w:rFonts w:ascii="Cambria Math" w:hAnsi="Cambria Math"/>
          </w:rPr>
          <m:t>C</m:t>
        </m:r>
      </m:oMath>
      <w:r>
        <w:t>:</w:t>
      </w:r>
    </w:p>
    <w:p w14:paraId="2C242384" w14:textId="77777777" w:rsidR="00E8754B" w:rsidRDefault="00000000" w:rsidP="00445A2D">
      <w:pPr>
        <w:pStyle w:val="BodyText"/>
        <w:keepLines/>
        <w:spacing w:before="80" w:after="140"/>
        <w:jc w:val="both"/>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C</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C</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r</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p>
    <w:p w14:paraId="01734457" w14:textId="77777777" w:rsidR="00E8754B" w:rsidRDefault="00000000" w:rsidP="00445A2D">
      <w:pPr>
        <w:keepNext/>
        <w:jc w:val="both"/>
      </w:pPr>
      <w:r>
        <w:t xml:space="preserve">Here </w:t>
      </w:r>
      <m:oMath>
        <m:r>
          <w:rPr>
            <w:rFonts w:ascii="Cambria Math" w:hAnsi="Cambria Math"/>
          </w:rPr>
          <m:t>S</m:t>
        </m:r>
      </m:oMath>
      <w:r>
        <w:t xml:space="preserve"> denotes release, </w:t>
      </w:r>
      <m:oMath>
        <m:r>
          <w:rPr>
            <w:rFonts w:ascii="Cambria Math" w:hAnsi="Cambria Math"/>
          </w:rPr>
          <m:t>D</m:t>
        </m:r>
      </m:oMath>
      <w:r>
        <w:t xml:space="preserve"> diffusion, and </w:t>
      </w:r>
      <m:oMath>
        <m:sSub>
          <m:sSubPr>
            <m:ctrlPr>
              <w:rPr>
                <w:rFonts w:ascii="Cambria Math" w:hAnsi="Cambria Math"/>
              </w:rPr>
            </m:ctrlPr>
          </m:sSubPr>
          <m:e>
            <m:r>
              <w:rPr>
                <w:rFonts w:ascii="Cambria Math" w:hAnsi="Cambria Math"/>
              </w:rPr>
              <m:t>κ</m:t>
            </m:r>
          </m:e>
          <m:sub>
            <m:r>
              <w:rPr>
                <w:rFonts w:ascii="Cambria Math" w:hAnsi="Cambria Math"/>
              </w:rPr>
              <m:t>C</m:t>
            </m:r>
          </m:sub>
        </m:sSub>
      </m:oMath>
      <w:r>
        <w:t xml:space="preserve"> a linearized clearance rate. Nonlinear behavior can arise from state-dependent release, finite vesicle pools, nonlinear clearance, or binding. A minimal receptor-occupancy model is</w:t>
      </w:r>
    </w:p>
    <w:p w14:paraId="3E1178B9" w14:textId="77777777" w:rsidR="00E8754B" w:rsidRDefault="00000000" w:rsidP="00445A2D">
      <w:pPr>
        <w:pStyle w:val="BodyText"/>
        <w:keepLines/>
        <w:spacing w:before="80" w:after="140"/>
        <w:jc w:val="both"/>
      </w:pPr>
      <m:oMathPara>
        <m:oMathParaPr>
          <m:jc m:val="center"/>
        </m:oMathParaPr>
        <m:oMath>
          <m:acc>
            <m:accPr>
              <m:chr m:val="̇"/>
              <m:ctrlPr>
                <w:rPr>
                  <w:rFonts w:ascii="Cambria Math" w:hAnsi="Cambria Math"/>
                </w:rPr>
              </m:ctrlPr>
            </m:accPr>
            <m:e>
              <m:r>
                <w:rPr>
                  <w:rFonts w:ascii="Cambria Math" w:hAnsi="Cambria Math"/>
                </w:rPr>
                <m:t>ρ</m:t>
              </m:r>
            </m:e>
          </m:acc>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on</m:t>
              </m:r>
            </m:sub>
          </m:sSub>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off</m:t>
              </m:r>
            </m:sub>
          </m:sSub>
          <m:r>
            <w:rPr>
              <w:rFonts w:ascii="Cambria Math" w:hAnsi="Cambria Math"/>
            </w:rPr>
            <m:t>ρ</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m:rPr>
                  <m:sty m:val="p"/>
                </m:rPr>
                <w:rPr>
                  <w:rFonts w:ascii="Cambria Math" w:hAnsi="Cambria Math"/>
                </w:rPr>
                <m:t>eq</m:t>
              </m:r>
            </m:sub>
          </m:sSub>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C</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p>
    <w:p w14:paraId="3F51371C" w14:textId="77777777" w:rsidR="00E8754B" w:rsidRDefault="00000000" w:rsidP="00445A2D">
      <w:pPr>
        <w:jc w:val="both"/>
      </w:pPr>
      <w:r>
        <w:t xml:space="preserve">Here </w:t>
      </w:r>
      <m:oMath>
        <m:r>
          <w:rPr>
            <w:rFonts w:ascii="Cambria Math" w:hAnsi="Cambria Math"/>
          </w:rPr>
          <m:t>ρ</m:t>
        </m:r>
      </m:oMath>
      <w:r>
        <w:t xml:space="preserve"> is the bound receptor fraction and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on</m:t>
            </m:r>
          </m:sub>
        </m:sSub>
      </m:oMath>
      <w:r>
        <w:t xml:space="preserve">. Equation (15) is an illustrative kinetic abstraction. It does not assert that every receptor or serotonergic synapse follows this single binding scheme. A signed </w:t>
      </w:r>
      <w:r>
        <w:lastRenderedPageBreak/>
        <w:t>hyperbolic tangent can approximate an engineering transfer function, but cannot be identified directly with a nonnegative concentration.</w:t>
      </w:r>
    </w:p>
    <w:p w14:paraId="29BC13AD" w14:textId="77777777" w:rsidR="00E8754B" w:rsidRDefault="00000000" w:rsidP="00445A2D">
      <w:pPr>
        <w:pStyle w:val="BodyText"/>
        <w:jc w:val="both"/>
      </w:pPr>
      <w:r>
        <w:t xml:space="preserve">Mixing order is consequential. A common well-mixed receptor pool responds to total concentration, producing a function such as </w:t>
      </w:r>
      <m:oMath>
        <m:r>
          <w:rPr>
            <w:rFonts w:ascii="Cambria Math" w:hAnsi="Cambria Math"/>
          </w:rPr>
          <m:t>R</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e>
        </m:d>
      </m:oMath>
      <w:r>
        <w:t xml:space="preserve">. Separate terms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instead assume separately resolved compartments, receptor populations, or release routes. The pathway bank corresponds more closely to the latter abstraction. Its physical interpretation must explain why historical channels remain separately identifiable before saturation.</w:t>
      </w:r>
    </w:p>
    <w:p w14:paraId="2F4B99E8" w14:textId="77777777" w:rsidR="00E8754B" w:rsidRDefault="00000000" w:rsidP="00445A2D">
      <w:pPr>
        <w:pStyle w:val="Heading2"/>
        <w:spacing w:after="100"/>
        <w:jc w:val="both"/>
      </w:pPr>
      <w:bookmarkStart w:id="16" w:name="an-explicitly-proposed-dynamic-extension"/>
      <w:bookmarkEnd w:id="15"/>
      <w:r>
        <w:t>6.3 An explicitly proposed dynamic extension</w:t>
      </w:r>
    </w:p>
    <w:p w14:paraId="025C2CC1" w14:textId="77777777" w:rsidR="00E8754B" w:rsidRDefault="00000000" w:rsidP="00445A2D">
      <w:pPr>
        <w:keepNext/>
        <w:jc w:val="both"/>
      </w:pPr>
      <w:r>
        <w:t xml:space="preserve">To investigate the vesicle analogy rather than use it only as terminology, introduce activity time </w:t>
      </w:r>
      <m:oMath>
        <m:r>
          <w:rPr>
            <w:rFonts w:ascii="Cambria Math" w:hAnsi="Cambria Math"/>
          </w:rPr>
          <m:t>t</m:t>
        </m:r>
      </m:oMath>
      <w:r>
        <w:t xml:space="preserve"> in addition to training index </w:t>
      </w:r>
      <m:oMath>
        <m:r>
          <w:rPr>
            <w:rFonts w:ascii="Cambria Math" w:hAnsi="Cambria Math"/>
          </w:rPr>
          <m:t>n</m:t>
        </m:r>
      </m:oMath>
      <w:r>
        <w:t>. During an input sequence, learned weights and their training-time histories can be held fixed while recovery states evolve. A minimal mean-field engineering model is</w:t>
      </w:r>
    </w:p>
    <w:p w14:paraId="252DA8EE" w14:textId="77777777" w:rsidR="00E8754B" w:rsidRDefault="00000000" w:rsidP="00445A2D">
      <w:pPr>
        <w:pStyle w:val="BodyText"/>
        <w:keepNext/>
        <w:keepLines/>
        <w:spacing w:before="80" w:after="1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rec,</m:t>
                  </m:r>
                  <m:r>
                    <w:rPr>
                      <w:rFonts w:ascii="Cambria Math" w:hAnsi="Cambria Math"/>
                    </w:rPr>
                    <m:t>k</m:t>
                  </m:r>
                </m:sub>
              </m:sSub>
            </m:den>
          </m:f>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k</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63B66A82" w14:textId="77777777" w:rsidR="00E8754B" w:rsidRDefault="00000000" w:rsidP="00445A2D">
      <w:pPr>
        <w:keepLines/>
        <w:spacing w:before="80" w:after="140"/>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m:t>
              </m:r>
            </m:sub>
          </m:sSub>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  y</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k</m:t>
                  </m:r>
                </m:sub>
              </m:sSub>
            </m:num>
            <m:den>
              <m:sSub>
                <m:sSubPr>
                  <m:ctrlPr>
                    <w:rPr>
                      <w:rFonts w:ascii="Cambria Math" w:hAnsi="Cambria Math"/>
                    </w:rPr>
                  </m:ctrlPr>
                </m:sSubPr>
                <m:e>
                  <m:r>
                    <w:rPr>
                      <w:rFonts w:ascii="Cambria Math" w:hAnsi="Cambria Math"/>
                    </w:rPr>
                    <m:t>K</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p>
    <w:p w14:paraId="6820E8F9" w14:textId="77777777" w:rsidR="00E8754B" w:rsidRDefault="00000000" w:rsidP="00445A2D">
      <w:pPr>
        <w:jc w:val="both"/>
      </w:pPr>
      <w:r>
        <w:t xml:space="preserve">Assume positive recovery times, clearance rates, and binding constants, with nonnegative release scales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Starting from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availability remains bounded and concentration remains nonnegative. Here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is a nonnegative activation-dependent release rate and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is a signed readout coefficient. The parameters controlling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may depend on the active and historical weights. Equations (16) and (17) are proposed computational dynamics, not a claim of biological identification. Their compartmental assumptions should be compared with an alternative that pools concentrations before binding.</w:t>
      </w:r>
    </w:p>
    <w:p w14:paraId="519679F0" w14:textId="77777777" w:rsidR="00E8754B" w:rsidRDefault="00000000" w:rsidP="00445A2D">
      <w:pPr>
        <w:pStyle w:val="BodyText"/>
        <w:jc w:val="both"/>
      </w:pPr>
      <w:r>
        <w:t>The extension makes a new testable prediction: identical learned parameters and identical present inputs can produce different outputs after different preceding activity histories. The original static pathway bank cannot produce this effect once its weight states are fixed. Any claim that the dynamic extension improves continual learning must still exceed ordinary recurrent or adaptive-synapse controls; reproducing recovery alone does not demonstrate protection of learned tasks.</w:t>
      </w:r>
    </w:p>
    <w:p w14:paraId="14D0D218" w14:textId="77777777" w:rsidR="00E8754B" w:rsidRDefault="00000000" w:rsidP="00445A2D">
      <w:pPr>
        <w:pStyle w:val="Heading1"/>
        <w:spacing w:after="100"/>
        <w:jc w:val="both"/>
      </w:pPr>
      <w:bookmarkStart w:id="17" w:name="exploratory-computational-evidence"/>
      <w:bookmarkEnd w:id="13"/>
      <w:bookmarkEnd w:id="16"/>
      <w:r>
        <w:t>7 Exploratory computational evidence</w:t>
      </w:r>
    </w:p>
    <w:p w14:paraId="2A189765" w14:textId="77777777" w:rsidR="00E8754B" w:rsidRDefault="00000000" w:rsidP="00445A2D">
      <w:pPr>
        <w:pStyle w:val="Heading2"/>
        <w:spacing w:after="100"/>
        <w:jc w:val="both"/>
      </w:pPr>
      <w:bookmarkStart w:id="18" w:name="protocol-and-evidence-status"/>
      <w:r>
        <w:t>7.1 Protocol and evidence status</w:t>
      </w:r>
    </w:p>
    <w:p w14:paraId="0C74CBC5" w14:textId="77777777" w:rsidR="00E8754B" w:rsidRDefault="00000000" w:rsidP="00445A2D">
      <w:pPr>
        <w:jc w:val="both"/>
      </w:pPr>
      <w:r>
        <w:t xml:space="preserve">The exploratory pilot uses Gaussian inputs of dimension 50, a shared layer of ten hyperbolic-tangent units, and two tasks with five-dimensional outputs. For task </w:t>
      </w:r>
      <m:oMath>
        <m:r>
          <w:rPr>
            <w:rFonts w:ascii="Cambria Math" w:hAnsi="Cambria Math"/>
          </w:rPr>
          <m:t>t</m:t>
        </m:r>
      </m:oMath>
      <w:r>
        <w:t xml:space="preserve">, targets are </w:t>
      </w:r>
      <m:oMath>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x</m:t>
            </m:r>
          </m:e>
        </m:d>
      </m:oMath>
      <w:r>
        <w:t>, with independent random teacher matrices. Tasks have separate heads. Training uses 20000 updates on task 1 and 40000 on task 2, mini-batches of 32, and a plain-network learning rate of 0.04. The conventional model has an explicit joint solution: concatenate the two teachers’ five hidden features and let each linear head select its own five outputs.</w:t>
      </w:r>
    </w:p>
    <w:p w14:paraId="77BA0261" w14:textId="77777777" w:rsidR="00E8754B" w:rsidRDefault="00000000" w:rsidP="00445A2D">
      <w:pPr>
        <w:pStyle w:val="BodyText"/>
        <w:keepNext/>
        <w:jc w:val="both"/>
      </w:pPr>
      <w:r>
        <w:t xml:space="preserve">Old-task evaluation fits a new ridge-regression head on 2000 probe samples and tests on a separate 2000-sample set. With augmented feature matrix </w:t>
      </w:r>
      <m:oMath>
        <m:sSub>
          <m:sSubPr>
            <m:ctrlPr>
              <w:rPr>
                <w:rFonts w:ascii="Cambria Math" w:hAnsi="Cambria Math"/>
              </w:rPr>
            </m:ctrlPr>
          </m:sSubPr>
          <m:e>
            <m:r>
              <w:rPr>
                <w:rFonts w:ascii="Cambria Math" w:hAnsi="Cambria Math"/>
              </w:rPr>
              <m:t>H</m:t>
            </m:r>
          </m:e>
          <m:sub>
            <m:r>
              <w:rPr>
                <w:rFonts w:ascii="Cambria Math" w:hAnsi="Cambria Math"/>
              </w:rPr>
              <m:t>p</m:t>
            </m:r>
          </m:sub>
        </m:sSub>
      </m:oMath>
      <w:r>
        <w:t>, the estimator is</w:t>
      </w:r>
    </w:p>
    <w:p w14:paraId="35FA3DD2" w14:textId="77777777" w:rsidR="00E8754B" w:rsidRDefault="00000000" w:rsidP="00445A2D">
      <w:pPr>
        <w:pStyle w:val="BodyText"/>
        <w:keepLines/>
        <w:spacing w:before="80" w:after="140"/>
        <w:jc w:val="both"/>
      </w:pPr>
      <m:oMathPara>
        <m:oMathParaPr>
          <m:jc m:val="center"/>
        </m:oMathParaPr>
        <m:oMath>
          <m:acc>
            <m:accPr>
              <m:ctrlPr>
                <w:rPr>
                  <w:rFonts w:ascii="Cambria Math" w:hAnsi="Cambria Math"/>
                </w:rPr>
              </m:ctrlPr>
            </m:accPr>
            <m:e>
              <m:r>
                <w:rPr>
                  <w:rFonts w:ascii="Cambria Math" w:hAnsi="Cambria Math"/>
                </w:rPr>
                <m:t>B</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p</m:t>
                      </m:r>
                    </m:sub>
                    <m:sup>
                      <m:r>
                        <m:rPr>
                          <m:sty m:val="p"/>
                        </m:rPr>
                        <w:rPr>
                          <w:rFonts w:ascii="Cambria Math" w:hAnsi="Cambria Math"/>
                        </w:rPr>
                        <m:t>⊤</m:t>
                      </m:r>
                    </m:sup>
                  </m:sSubSup>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I</m:t>
                  </m:r>
                </m:e>
              </m:d>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w:rPr>
                  <w:rFonts w:ascii="Cambria Math" w:hAnsi="Cambria Math"/>
                </w:rPr>
                <m:t>H</m:t>
              </m:r>
            </m:e>
            <m:sub>
              <m:r>
                <w:rPr>
                  <w:rFonts w:ascii="Cambria Math" w:hAnsi="Cambria Math"/>
                </w:rPr>
                <m:t>p</m:t>
              </m:r>
            </m:sub>
            <m:sup>
              <m:r>
                <m:rPr>
                  <m:sty m:val="p"/>
                </m:rPr>
                <w:rPr>
                  <w:rFonts w:ascii="Cambria Math" w:hAnsi="Cambria Math"/>
                </w:rPr>
                <m:t>⊤</m:t>
              </m:r>
            </m:sup>
          </m:sSubSup>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m:t>
              </m:r>
            </m:e>
          </m:d>
        </m:oMath>
      </m:oMathPara>
    </w:p>
    <w:p w14:paraId="5C22816C" w14:textId="77777777" w:rsidR="00E8754B" w:rsidRDefault="00000000" w:rsidP="00445A2D">
      <w:pPr>
        <w:jc w:val="both"/>
      </w:pPr>
      <w:r>
        <w:lastRenderedPageBreak/>
        <w:t>The metric is one-half the mean squared Euclidean output error. The intercept is included among the regularized coefficients. Old labels are used for evaluation, not replay training. New-task loss is measured through its trained head, so the two reported task metrics have different decoder protocols.</w:t>
      </w:r>
    </w:p>
    <w:p w14:paraId="32CBE7CC" w14:textId="0B744A3C" w:rsidR="00E8754B" w:rsidRDefault="00000000" w:rsidP="00445A2D">
      <w:pPr>
        <w:pStyle w:val="BodyText"/>
        <w:jc w:val="both"/>
      </w:pPr>
      <w:r>
        <w:t xml:space="preserve">Table 2 records the three-seed exploratory pilot summary. The table supplies descriptive means, not confidence intervals or significance tests. Selected source-code calculations and seed-0 trajectories were independently checked; the full three-seed variant matrix was not independently rerun. The source finite-difference check returned a worst sampled relative gradient error of approximately </w:t>
      </w:r>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for the supervised readouts. That check does not certify every update mechanism or the auxiliary predictor gradient.</w:t>
      </w:r>
    </w:p>
    <w:p w14:paraId="53885599" w14:textId="77777777" w:rsidR="00E8754B" w:rsidRDefault="00000000" w:rsidP="00445A2D">
      <w:pPr>
        <w:pStyle w:val="Caption"/>
        <w:keepNext/>
        <w:keepLines/>
        <w:jc w:val="both"/>
      </w:pPr>
      <w:r>
        <w:rPr>
          <w:b/>
        </w:rPr>
        <w:t>Table 2. Three-seed pilot means after 40000 updates on task 2</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5656"/>
        <w:gridCol w:w="1396"/>
        <w:gridCol w:w="1542"/>
        <w:gridCol w:w="1542"/>
      </w:tblGrid>
      <w:tr w:rsidR="00E8754B" w14:paraId="076DF366" w14:textId="77777777">
        <w:trPr>
          <w:cantSplit/>
          <w:tblHeader/>
          <w:jc w:val="center"/>
        </w:trPr>
        <w:tc>
          <w:tcPr>
            <w:tcW w:w="5544" w:type="dxa"/>
            <w:shd w:val="clear" w:color="auto" w:fill="E6EEF4"/>
            <w:vAlign w:val="center"/>
          </w:tcPr>
          <w:p w14:paraId="3048BC47" w14:textId="77777777" w:rsidR="00E8754B" w:rsidRDefault="00000000" w:rsidP="00445A2D">
            <w:pPr>
              <w:keepNext/>
              <w:keepLines/>
              <w:spacing w:after="20" w:line="245" w:lineRule="auto"/>
              <w:jc w:val="both"/>
            </w:pPr>
            <w:r>
              <w:rPr>
                <w:b/>
                <w:sz w:val="20"/>
              </w:rPr>
              <w:t>Variant</w:t>
            </w:r>
          </w:p>
        </w:tc>
        <w:tc>
          <w:tcPr>
            <w:tcW w:w="1368" w:type="dxa"/>
            <w:shd w:val="clear" w:color="auto" w:fill="E6EEF4"/>
            <w:vAlign w:val="center"/>
          </w:tcPr>
          <w:p w14:paraId="716BC6A2" w14:textId="77777777" w:rsidR="00E8754B" w:rsidRDefault="00000000" w:rsidP="00445A2D">
            <w:pPr>
              <w:keepNext/>
              <w:keepLines/>
              <w:spacing w:after="20" w:line="245" w:lineRule="auto"/>
              <w:jc w:val="both"/>
            </w:pPr>
            <w:r>
              <w:rPr>
                <w:b/>
                <w:sz w:val="20"/>
              </w:rPr>
              <w:t>Old loss at switch</w:t>
            </w:r>
          </w:p>
        </w:tc>
        <w:tc>
          <w:tcPr>
            <w:tcW w:w="1512" w:type="dxa"/>
            <w:shd w:val="clear" w:color="auto" w:fill="E6EEF4"/>
            <w:vAlign w:val="center"/>
          </w:tcPr>
          <w:p w14:paraId="4EB022B2" w14:textId="77777777" w:rsidR="00E8754B" w:rsidRDefault="00000000" w:rsidP="00445A2D">
            <w:pPr>
              <w:keepNext/>
              <w:keepLines/>
              <w:spacing w:after="20" w:line="245" w:lineRule="auto"/>
              <w:jc w:val="both"/>
            </w:pPr>
            <w:r>
              <w:rPr>
                <w:b/>
                <w:sz w:val="20"/>
              </w:rPr>
              <w:t>Final old probe loss</w:t>
            </w:r>
          </w:p>
        </w:tc>
        <w:tc>
          <w:tcPr>
            <w:tcW w:w="1512" w:type="dxa"/>
            <w:shd w:val="clear" w:color="auto" w:fill="E6EEF4"/>
            <w:vAlign w:val="center"/>
          </w:tcPr>
          <w:p w14:paraId="562FEB97" w14:textId="77777777" w:rsidR="00E8754B" w:rsidRDefault="00000000" w:rsidP="00445A2D">
            <w:pPr>
              <w:keepNext/>
              <w:keepLines/>
              <w:spacing w:after="20" w:line="245" w:lineRule="auto"/>
              <w:jc w:val="both"/>
            </w:pPr>
            <w:r>
              <w:rPr>
                <w:b/>
                <w:sz w:val="20"/>
              </w:rPr>
              <w:t>Final new task loss</w:t>
            </w:r>
          </w:p>
        </w:tc>
      </w:tr>
      <w:tr w:rsidR="00E8754B" w14:paraId="13EFBBA7" w14:textId="77777777">
        <w:trPr>
          <w:cantSplit/>
          <w:jc w:val="center"/>
        </w:trPr>
        <w:tc>
          <w:tcPr>
            <w:tcW w:w="5544" w:type="dxa"/>
            <w:shd w:val="clear" w:color="auto" w:fill="FFFFFF"/>
            <w:vAlign w:val="center"/>
          </w:tcPr>
          <w:p w14:paraId="201F46FB" w14:textId="77777777" w:rsidR="00E8754B" w:rsidRDefault="00000000" w:rsidP="00445A2D">
            <w:pPr>
              <w:keepNext/>
              <w:keepLines/>
              <w:spacing w:after="20" w:line="245" w:lineRule="auto"/>
              <w:jc w:val="both"/>
            </w:pPr>
            <w:r>
              <w:rPr>
                <w:sz w:val="20"/>
              </w:rPr>
              <w:t>SGD</w:t>
            </w:r>
          </w:p>
        </w:tc>
        <w:tc>
          <w:tcPr>
            <w:tcW w:w="1368" w:type="dxa"/>
            <w:shd w:val="clear" w:color="auto" w:fill="FFFFFF"/>
            <w:vAlign w:val="center"/>
          </w:tcPr>
          <w:p w14:paraId="6AF2C420" w14:textId="77777777" w:rsidR="00E8754B" w:rsidRDefault="00000000" w:rsidP="00445A2D">
            <w:pPr>
              <w:keepNext/>
              <w:keepLines/>
              <w:spacing w:after="20" w:line="245" w:lineRule="auto"/>
              <w:jc w:val="both"/>
            </w:pPr>
            <w:r>
              <w:rPr>
                <w:sz w:val="20"/>
              </w:rPr>
              <w:t>0.000</w:t>
            </w:r>
          </w:p>
        </w:tc>
        <w:tc>
          <w:tcPr>
            <w:tcW w:w="1512" w:type="dxa"/>
            <w:shd w:val="clear" w:color="auto" w:fill="FFFFFF"/>
            <w:vAlign w:val="center"/>
          </w:tcPr>
          <w:p w14:paraId="7E5B019F" w14:textId="77777777" w:rsidR="00E8754B" w:rsidRDefault="00000000" w:rsidP="00445A2D">
            <w:pPr>
              <w:keepNext/>
              <w:keepLines/>
              <w:spacing w:after="20" w:line="245" w:lineRule="auto"/>
              <w:jc w:val="both"/>
            </w:pPr>
            <w:r>
              <w:rPr>
                <w:sz w:val="20"/>
              </w:rPr>
              <w:t>0.269</w:t>
            </w:r>
          </w:p>
        </w:tc>
        <w:tc>
          <w:tcPr>
            <w:tcW w:w="1512" w:type="dxa"/>
            <w:shd w:val="clear" w:color="auto" w:fill="FFFFFF"/>
            <w:vAlign w:val="center"/>
          </w:tcPr>
          <w:p w14:paraId="045A36AA" w14:textId="77777777" w:rsidR="00E8754B" w:rsidRDefault="00000000" w:rsidP="00445A2D">
            <w:pPr>
              <w:keepNext/>
              <w:keepLines/>
              <w:spacing w:after="20" w:line="245" w:lineRule="auto"/>
              <w:jc w:val="both"/>
            </w:pPr>
            <w:r>
              <w:rPr>
                <w:sz w:val="20"/>
              </w:rPr>
              <w:t>0.000</w:t>
            </w:r>
          </w:p>
        </w:tc>
      </w:tr>
      <w:tr w:rsidR="00E8754B" w14:paraId="659338E7" w14:textId="77777777">
        <w:trPr>
          <w:cantSplit/>
          <w:jc w:val="center"/>
        </w:trPr>
        <w:tc>
          <w:tcPr>
            <w:tcW w:w="5544" w:type="dxa"/>
            <w:shd w:val="clear" w:color="auto" w:fill="F7F8FA"/>
            <w:vAlign w:val="center"/>
          </w:tcPr>
          <w:p w14:paraId="6EFEA95E" w14:textId="77777777" w:rsidR="00E8754B" w:rsidRDefault="00000000" w:rsidP="00445A2D">
            <w:pPr>
              <w:keepNext/>
              <w:keepLines/>
              <w:spacing w:after="20" w:line="245" w:lineRule="auto"/>
              <w:jc w:val="both"/>
            </w:pPr>
            <w:r>
              <w:rPr>
                <w:sz w:val="20"/>
              </w:rPr>
              <w:t>EWC control</w:t>
            </w:r>
          </w:p>
        </w:tc>
        <w:tc>
          <w:tcPr>
            <w:tcW w:w="1368" w:type="dxa"/>
            <w:shd w:val="clear" w:color="auto" w:fill="F7F8FA"/>
            <w:vAlign w:val="center"/>
          </w:tcPr>
          <w:p w14:paraId="3AB461BA" w14:textId="77777777" w:rsidR="00E8754B" w:rsidRDefault="00000000" w:rsidP="00445A2D">
            <w:pPr>
              <w:keepNext/>
              <w:keepLines/>
              <w:spacing w:after="20" w:line="245" w:lineRule="auto"/>
              <w:jc w:val="both"/>
            </w:pPr>
            <w:r>
              <w:rPr>
                <w:sz w:val="20"/>
              </w:rPr>
              <w:t>0.000</w:t>
            </w:r>
          </w:p>
        </w:tc>
        <w:tc>
          <w:tcPr>
            <w:tcW w:w="1512" w:type="dxa"/>
            <w:shd w:val="clear" w:color="auto" w:fill="F7F8FA"/>
            <w:vAlign w:val="center"/>
          </w:tcPr>
          <w:p w14:paraId="3515E9AC" w14:textId="77777777" w:rsidR="00E8754B" w:rsidRDefault="00000000" w:rsidP="00445A2D">
            <w:pPr>
              <w:keepNext/>
              <w:keepLines/>
              <w:spacing w:after="20" w:line="245" w:lineRule="auto"/>
              <w:jc w:val="both"/>
            </w:pPr>
            <w:r>
              <w:rPr>
                <w:sz w:val="20"/>
              </w:rPr>
              <w:t>0.000</w:t>
            </w:r>
          </w:p>
        </w:tc>
        <w:tc>
          <w:tcPr>
            <w:tcW w:w="1512" w:type="dxa"/>
            <w:shd w:val="clear" w:color="auto" w:fill="F7F8FA"/>
            <w:vAlign w:val="center"/>
          </w:tcPr>
          <w:p w14:paraId="24B241CE" w14:textId="77777777" w:rsidR="00E8754B" w:rsidRDefault="00000000" w:rsidP="00445A2D">
            <w:pPr>
              <w:keepNext/>
              <w:keepLines/>
              <w:spacing w:after="20" w:line="245" w:lineRule="auto"/>
              <w:jc w:val="both"/>
            </w:pPr>
            <w:r>
              <w:rPr>
                <w:sz w:val="20"/>
              </w:rPr>
              <w:t>0.007</w:t>
            </w:r>
          </w:p>
        </w:tc>
      </w:tr>
      <w:tr w:rsidR="00E8754B" w14:paraId="28DEF618" w14:textId="77777777">
        <w:trPr>
          <w:cantSplit/>
          <w:jc w:val="center"/>
        </w:trPr>
        <w:tc>
          <w:tcPr>
            <w:tcW w:w="5544" w:type="dxa"/>
            <w:shd w:val="clear" w:color="auto" w:fill="FFFFFF"/>
            <w:vAlign w:val="center"/>
          </w:tcPr>
          <w:p w14:paraId="5BFAD12E" w14:textId="77777777" w:rsidR="00E8754B" w:rsidRDefault="00000000" w:rsidP="00445A2D">
            <w:pPr>
              <w:keepNext/>
              <w:keepLines/>
              <w:spacing w:after="20" w:line="245" w:lineRule="auto"/>
              <w:jc w:val="both"/>
            </w:pPr>
            <w:r>
              <w:rPr>
                <w:sz w:val="20"/>
              </w:rPr>
              <w:t>Linear EMA bank</w:t>
            </w:r>
          </w:p>
        </w:tc>
        <w:tc>
          <w:tcPr>
            <w:tcW w:w="1368" w:type="dxa"/>
            <w:shd w:val="clear" w:color="auto" w:fill="FFFFFF"/>
            <w:vAlign w:val="center"/>
          </w:tcPr>
          <w:p w14:paraId="4037B4B1" w14:textId="77777777" w:rsidR="00E8754B" w:rsidRDefault="00000000" w:rsidP="00445A2D">
            <w:pPr>
              <w:keepNext/>
              <w:keepLines/>
              <w:spacing w:after="20" w:line="245" w:lineRule="auto"/>
              <w:jc w:val="both"/>
            </w:pPr>
            <w:r>
              <w:rPr>
                <w:sz w:val="20"/>
              </w:rPr>
              <w:t>0.000</w:t>
            </w:r>
          </w:p>
        </w:tc>
        <w:tc>
          <w:tcPr>
            <w:tcW w:w="1512" w:type="dxa"/>
            <w:shd w:val="clear" w:color="auto" w:fill="FFFFFF"/>
            <w:vAlign w:val="center"/>
          </w:tcPr>
          <w:p w14:paraId="341BC21E" w14:textId="77777777" w:rsidR="00E8754B" w:rsidRDefault="00000000" w:rsidP="00445A2D">
            <w:pPr>
              <w:keepNext/>
              <w:keepLines/>
              <w:spacing w:after="20" w:line="245" w:lineRule="auto"/>
              <w:jc w:val="both"/>
            </w:pPr>
            <w:r>
              <w:rPr>
                <w:sz w:val="20"/>
              </w:rPr>
              <w:t>0.676</w:t>
            </w:r>
          </w:p>
        </w:tc>
        <w:tc>
          <w:tcPr>
            <w:tcW w:w="1512" w:type="dxa"/>
            <w:shd w:val="clear" w:color="auto" w:fill="FFFFFF"/>
            <w:vAlign w:val="center"/>
          </w:tcPr>
          <w:p w14:paraId="27F2CE3E" w14:textId="77777777" w:rsidR="00E8754B" w:rsidRDefault="00000000" w:rsidP="00445A2D">
            <w:pPr>
              <w:keepNext/>
              <w:keepLines/>
              <w:spacing w:after="20" w:line="245" w:lineRule="auto"/>
              <w:jc w:val="both"/>
            </w:pPr>
            <w:r>
              <w:rPr>
                <w:sz w:val="20"/>
              </w:rPr>
              <w:t>0.000</w:t>
            </w:r>
          </w:p>
        </w:tc>
      </w:tr>
      <w:tr w:rsidR="00E8754B" w14:paraId="1D172370" w14:textId="77777777">
        <w:trPr>
          <w:cantSplit/>
          <w:jc w:val="center"/>
        </w:trPr>
        <w:tc>
          <w:tcPr>
            <w:tcW w:w="5544" w:type="dxa"/>
            <w:shd w:val="clear" w:color="auto" w:fill="F7F8FA"/>
            <w:vAlign w:val="center"/>
          </w:tcPr>
          <w:p w14:paraId="0C93BAD5" w14:textId="77777777" w:rsidR="00E8754B" w:rsidRDefault="00000000" w:rsidP="00445A2D">
            <w:pPr>
              <w:keepNext/>
              <w:keepLines/>
              <w:spacing w:after="20" w:line="245" w:lineRule="auto"/>
              <w:jc w:val="both"/>
            </w:pPr>
            <w:r>
              <w:rPr>
                <w:sz w:val="20"/>
              </w:rPr>
              <w:t>Weight-level nonlinear bank</w:t>
            </w:r>
          </w:p>
        </w:tc>
        <w:tc>
          <w:tcPr>
            <w:tcW w:w="1368" w:type="dxa"/>
            <w:shd w:val="clear" w:color="auto" w:fill="F7F8FA"/>
            <w:vAlign w:val="center"/>
          </w:tcPr>
          <w:p w14:paraId="1A733521" w14:textId="77777777" w:rsidR="00E8754B" w:rsidRDefault="00000000" w:rsidP="00445A2D">
            <w:pPr>
              <w:keepNext/>
              <w:keepLines/>
              <w:spacing w:after="20" w:line="245" w:lineRule="auto"/>
              <w:jc w:val="both"/>
            </w:pPr>
            <w:r>
              <w:rPr>
                <w:sz w:val="20"/>
              </w:rPr>
              <w:t>0.000</w:t>
            </w:r>
          </w:p>
        </w:tc>
        <w:tc>
          <w:tcPr>
            <w:tcW w:w="1512" w:type="dxa"/>
            <w:shd w:val="clear" w:color="auto" w:fill="F7F8FA"/>
            <w:vAlign w:val="center"/>
          </w:tcPr>
          <w:p w14:paraId="50C9EBDC" w14:textId="77777777" w:rsidR="00E8754B" w:rsidRDefault="00000000" w:rsidP="00445A2D">
            <w:pPr>
              <w:keepNext/>
              <w:keepLines/>
              <w:spacing w:after="20" w:line="245" w:lineRule="auto"/>
              <w:jc w:val="both"/>
            </w:pPr>
            <w:r>
              <w:rPr>
                <w:sz w:val="20"/>
              </w:rPr>
              <w:t>0.757</w:t>
            </w:r>
          </w:p>
        </w:tc>
        <w:tc>
          <w:tcPr>
            <w:tcW w:w="1512" w:type="dxa"/>
            <w:shd w:val="clear" w:color="auto" w:fill="F7F8FA"/>
            <w:vAlign w:val="center"/>
          </w:tcPr>
          <w:p w14:paraId="6D6A2B97" w14:textId="77777777" w:rsidR="00E8754B" w:rsidRDefault="00000000" w:rsidP="00445A2D">
            <w:pPr>
              <w:keepNext/>
              <w:keepLines/>
              <w:spacing w:after="20" w:line="245" w:lineRule="auto"/>
              <w:jc w:val="both"/>
            </w:pPr>
            <w:r>
              <w:rPr>
                <w:sz w:val="20"/>
              </w:rPr>
              <w:t>0.000</w:t>
            </w:r>
          </w:p>
        </w:tc>
      </w:tr>
      <w:tr w:rsidR="00E8754B" w14:paraId="36284800" w14:textId="77777777">
        <w:trPr>
          <w:cantSplit/>
          <w:jc w:val="center"/>
        </w:trPr>
        <w:tc>
          <w:tcPr>
            <w:tcW w:w="5544" w:type="dxa"/>
            <w:shd w:val="clear" w:color="auto" w:fill="FFFFFF"/>
            <w:vAlign w:val="center"/>
          </w:tcPr>
          <w:p w14:paraId="1BB7429A" w14:textId="77777777" w:rsidR="00E8754B" w:rsidRDefault="00000000" w:rsidP="00445A2D">
            <w:pPr>
              <w:keepNext/>
              <w:keepLines/>
              <w:spacing w:after="20" w:line="245" w:lineRule="auto"/>
              <w:jc w:val="both"/>
            </w:pPr>
            <w:r>
              <w:rPr>
                <w:sz w:val="20"/>
              </w:rPr>
              <w:t>Pathway nonlinear EMA bank</w:t>
            </w:r>
          </w:p>
        </w:tc>
        <w:tc>
          <w:tcPr>
            <w:tcW w:w="1368" w:type="dxa"/>
            <w:shd w:val="clear" w:color="auto" w:fill="FFFFFF"/>
            <w:vAlign w:val="center"/>
          </w:tcPr>
          <w:p w14:paraId="6082C949" w14:textId="77777777" w:rsidR="00E8754B" w:rsidRDefault="00000000" w:rsidP="00445A2D">
            <w:pPr>
              <w:keepNext/>
              <w:keepLines/>
              <w:spacing w:after="20" w:line="245" w:lineRule="auto"/>
              <w:jc w:val="both"/>
            </w:pPr>
            <w:r>
              <w:rPr>
                <w:sz w:val="20"/>
              </w:rPr>
              <w:t>0.057</w:t>
            </w:r>
          </w:p>
        </w:tc>
        <w:tc>
          <w:tcPr>
            <w:tcW w:w="1512" w:type="dxa"/>
            <w:shd w:val="clear" w:color="auto" w:fill="FFFFFF"/>
            <w:vAlign w:val="center"/>
          </w:tcPr>
          <w:p w14:paraId="1470F054" w14:textId="77777777" w:rsidR="00E8754B" w:rsidRDefault="00000000" w:rsidP="00445A2D">
            <w:pPr>
              <w:keepNext/>
              <w:keepLines/>
              <w:spacing w:after="20" w:line="245" w:lineRule="auto"/>
              <w:jc w:val="both"/>
            </w:pPr>
            <w:r>
              <w:rPr>
                <w:sz w:val="20"/>
              </w:rPr>
              <w:t>0.764</w:t>
            </w:r>
          </w:p>
        </w:tc>
        <w:tc>
          <w:tcPr>
            <w:tcW w:w="1512" w:type="dxa"/>
            <w:shd w:val="clear" w:color="auto" w:fill="FFFFFF"/>
            <w:vAlign w:val="center"/>
          </w:tcPr>
          <w:p w14:paraId="4BC09531" w14:textId="77777777" w:rsidR="00E8754B" w:rsidRDefault="00000000" w:rsidP="00445A2D">
            <w:pPr>
              <w:keepNext/>
              <w:keepLines/>
              <w:spacing w:after="20" w:line="245" w:lineRule="auto"/>
              <w:jc w:val="both"/>
            </w:pPr>
            <w:r>
              <w:rPr>
                <w:sz w:val="20"/>
              </w:rPr>
              <w:t>0.073</w:t>
            </w:r>
          </w:p>
        </w:tc>
      </w:tr>
      <w:tr w:rsidR="00E8754B" w14:paraId="441FCA1E" w14:textId="77777777">
        <w:trPr>
          <w:cantSplit/>
          <w:jc w:val="center"/>
        </w:trPr>
        <w:tc>
          <w:tcPr>
            <w:tcW w:w="5544" w:type="dxa"/>
            <w:shd w:val="clear" w:color="auto" w:fill="F7F8FA"/>
            <w:vAlign w:val="center"/>
          </w:tcPr>
          <w:p w14:paraId="425F019D" w14:textId="77777777" w:rsidR="00E8754B" w:rsidRDefault="00000000" w:rsidP="00445A2D">
            <w:pPr>
              <w:keepNext/>
              <w:keepLines/>
              <w:spacing w:after="20" w:line="245" w:lineRule="auto"/>
              <w:jc w:val="both"/>
            </w:pPr>
            <w:r>
              <w:rPr>
                <w:sz w:val="20"/>
              </w:rPr>
              <w:t>Pathway bank with dead-zone members</w:t>
            </w:r>
          </w:p>
        </w:tc>
        <w:tc>
          <w:tcPr>
            <w:tcW w:w="1368" w:type="dxa"/>
            <w:shd w:val="clear" w:color="auto" w:fill="F7F8FA"/>
            <w:vAlign w:val="center"/>
          </w:tcPr>
          <w:p w14:paraId="51CDC72A" w14:textId="77777777" w:rsidR="00E8754B" w:rsidRDefault="00000000" w:rsidP="00445A2D">
            <w:pPr>
              <w:keepNext/>
              <w:keepLines/>
              <w:spacing w:after="20" w:line="245" w:lineRule="auto"/>
              <w:jc w:val="both"/>
            </w:pPr>
            <w:r>
              <w:rPr>
                <w:sz w:val="20"/>
              </w:rPr>
              <w:t>0.055</w:t>
            </w:r>
          </w:p>
        </w:tc>
        <w:tc>
          <w:tcPr>
            <w:tcW w:w="1512" w:type="dxa"/>
            <w:shd w:val="clear" w:color="auto" w:fill="F7F8FA"/>
            <w:vAlign w:val="center"/>
          </w:tcPr>
          <w:p w14:paraId="5E5E7C02" w14:textId="77777777" w:rsidR="00E8754B" w:rsidRDefault="00000000" w:rsidP="00445A2D">
            <w:pPr>
              <w:keepNext/>
              <w:keepLines/>
              <w:spacing w:after="20" w:line="245" w:lineRule="auto"/>
              <w:jc w:val="both"/>
            </w:pPr>
            <w:r>
              <w:rPr>
                <w:sz w:val="20"/>
              </w:rPr>
              <w:t>0.748</w:t>
            </w:r>
          </w:p>
        </w:tc>
        <w:tc>
          <w:tcPr>
            <w:tcW w:w="1512" w:type="dxa"/>
            <w:shd w:val="clear" w:color="auto" w:fill="F7F8FA"/>
            <w:vAlign w:val="center"/>
          </w:tcPr>
          <w:p w14:paraId="69C84C30" w14:textId="77777777" w:rsidR="00E8754B" w:rsidRDefault="00000000" w:rsidP="00445A2D">
            <w:pPr>
              <w:keepNext/>
              <w:keepLines/>
              <w:spacing w:after="20" w:line="245" w:lineRule="auto"/>
              <w:jc w:val="both"/>
            </w:pPr>
            <w:r>
              <w:rPr>
                <w:sz w:val="20"/>
              </w:rPr>
              <w:t>0.071</w:t>
            </w:r>
          </w:p>
        </w:tc>
      </w:tr>
      <w:tr w:rsidR="00E8754B" w14:paraId="68837D3A" w14:textId="77777777">
        <w:trPr>
          <w:cantSplit/>
          <w:jc w:val="center"/>
        </w:trPr>
        <w:tc>
          <w:tcPr>
            <w:tcW w:w="5544" w:type="dxa"/>
            <w:shd w:val="clear" w:color="auto" w:fill="FFFFFF"/>
            <w:vAlign w:val="center"/>
          </w:tcPr>
          <w:p w14:paraId="1299C455" w14:textId="77777777" w:rsidR="00E8754B" w:rsidRDefault="00000000" w:rsidP="00445A2D">
            <w:pPr>
              <w:keepNext/>
              <w:keepLines/>
              <w:spacing w:after="20" w:line="245" w:lineRule="auto"/>
              <w:jc w:val="both"/>
            </w:pPr>
            <w:r>
              <w:rPr>
                <w:sz w:val="20"/>
              </w:rPr>
              <w:t>Pathway bank with slowest member frozen</w:t>
            </w:r>
          </w:p>
        </w:tc>
        <w:tc>
          <w:tcPr>
            <w:tcW w:w="1368" w:type="dxa"/>
            <w:shd w:val="clear" w:color="auto" w:fill="FFFFFF"/>
            <w:vAlign w:val="center"/>
          </w:tcPr>
          <w:p w14:paraId="300DA5C8" w14:textId="77777777" w:rsidR="00E8754B" w:rsidRDefault="00000000" w:rsidP="00445A2D">
            <w:pPr>
              <w:keepNext/>
              <w:keepLines/>
              <w:spacing w:after="20" w:line="245" w:lineRule="auto"/>
              <w:jc w:val="both"/>
            </w:pPr>
            <w:r>
              <w:rPr>
                <w:sz w:val="20"/>
              </w:rPr>
              <w:t>0.057</w:t>
            </w:r>
          </w:p>
        </w:tc>
        <w:tc>
          <w:tcPr>
            <w:tcW w:w="1512" w:type="dxa"/>
            <w:shd w:val="clear" w:color="auto" w:fill="FFFFFF"/>
            <w:vAlign w:val="center"/>
          </w:tcPr>
          <w:p w14:paraId="169DA647" w14:textId="77777777" w:rsidR="00E8754B" w:rsidRDefault="00000000" w:rsidP="00445A2D">
            <w:pPr>
              <w:keepNext/>
              <w:keepLines/>
              <w:spacing w:after="20" w:line="245" w:lineRule="auto"/>
              <w:jc w:val="both"/>
            </w:pPr>
            <w:r>
              <w:rPr>
                <w:sz w:val="20"/>
              </w:rPr>
              <w:t>0.597</w:t>
            </w:r>
          </w:p>
        </w:tc>
        <w:tc>
          <w:tcPr>
            <w:tcW w:w="1512" w:type="dxa"/>
            <w:shd w:val="clear" w:color="auto" w:fill="FFFFFF"/>
            <w:vAlign w:val="center"/>
          </w:tcPr>
          <w:p w14:paraId="3900A33F" w14:textId="77777777" w:rsidR="00E8754B" w:rsidRDefault="00000000" w:rsidP="00445A2D">
            <w:pPr>
              <w:keepNext/>
              <w:keepLines/>
              <w:spacing w:after="20" w:line="245" w:lineRule="auto"/>
              <w:jc w:val="both"/>
            </w:pPr>
            <w:r>
              <w:rPr>
                <w:sz w:val="20"/>
              </w:rPr>
              <w:t>0.035</w:t>
            </w:r>
          </w:p>
        </w:tc>
      </w:tr>
      <w:tr w:rsidR="00E8754B" w14:paraId="20D3F7E4" w14:textId="77777777">
        <w:trPr>
          <w:cantSplit/>
          <w:jc w:val="center"/>
        </w:trPr>
        <w:tc>
          <w:tcPr>
            <w:tcW w:w="5544" w:type="dxa"/>
            <w:shd w:val="clear" w:color="auto" w:fill="F7F8FA"/>
            <w:vAlign w:val="center"/>
          </w:tcPr>
          <w:p w14:paraId="17681601" w14:textId="77777777" w:rsidR="00E8754B" w:rsidRDefault="00000000" w:rsidP="00445A2D">
            <w:pPr>
              <w:keepNext/>
              <w:keepLines/>
              <w:spacing w:after="20" w:line="245" w:lineRule="auto"/>
              <w:jc w:val="both"/>
            </w:pPr>
            <w:r>
              <w:rPr>
                <w:sz w:val="20"/>
              </w:rPr>
              <w:t>Pathway bank with saturating diffusion chain</w:t>
            </w:r>
          </w:p>
        </w:tc>
        <w:tc>
          <w:tcPr>
            <w:tcW w:w="1368" w:type="dxa"/>
            <w:shd w:val="clear" w:color="auto" w:fill="F7F8FA"/>
            <w:vAlign w:val="center"/>
          </w:tcPr>
          <w:p w14:paraId="0F20E87A" w14:textId="77777777" w:rsidR="00E8754B" w:rsidRDefault="00000000" w:rsidP="00445A2D">
            <w:pPr>
              <w:keepNext/>
              <w:keepLines/>
              <w:spacing w:after="20" w:line="245" w:lineRule="auto"/>
              <w:jc w:val="both"/>
            </w:pPr>
            <w:r>
              <w:rPr>
                <w:sz w:val="20"/>
              </w:rPr>
              <w:t>0.031</w:t>
            </w:r>
          </w:p>
        </w:tc>
        <w:tc>
          <w:tcPr>
            <w:tcW w:w="1512" w:type="dxa"/>
            <w:shd w:val="clear" w:color="auto" w:fill="F7F8FA"/>
            <w:vAlign w:val="center"/>
          </w:tcPr>
          <w:p w14:paraId="7C834810" w14:textId="77777777" w:rsidR="00E8754B" w:rsidRDefault="00000000" w:rsidP="00445A2D">
            <w:pPr>
              <w:keepNext/>
              <w:keepLines/>
              <w:spacing w:after="20" w:line="245" w:lineRule="auto"/>
              <w:jc w:val="both"/>
            </w:pPr>
            <w:r>
              <w:rPr>
                <w:sz w:val="20"/>
              </w:rPr>
              <w:t>0.300</w:t>
            </w:r>
          </w:p>
        </w:tc>
        <w:tc>
          <w:tcPr>
            <w:tcW w:w="1512" w:type="dxa"/>
            <w:shd w:val="clear" w:color="auto" w:fill="F7F8FA"/>
            <w:vAlign w:val="center"/>
          </w:tcPr>
          <w:p w14:paraId="53709369" w14:textId="77777777" w:rsidR="00E8754B" w:rsidRDefault="00000000" w:rsidP="00445A2D">
            <w:pPr>
              <w:keepNext/>
              <w:keepLines/>
              <w:spacing w:after="20" w:line="245" w:lineRule="auto"/>
              <w:jc w:val="both"/>
            </w:pPr>
            <w:r>
              <w:rPr>
                <w:sz w:val="20"/>
              </w:rPr>
              <w:t>0.043</w:t>
            </w:r>
          </w:p>
        </w:tc>
      </w:tr>
      <w:tr w:rsidR="00E8754B" w14:paraId="11CDBE6E" w14:textId="77777777">
        <w:trPr>
          <w:cantSplit/>
          <w:jc w:val="center"/>
        </w:trPr>
        <w:tc>
          <w:tcPr>
            <w:tcW w:w="5544" w:type="dxa"/>
            <w:shd w:val="clear" w:color="auto" w:fill="FFFFFF"/>
            <w:vAlign w:val="center"/>
          </w:tcPr>
          <w:p w14:paraId="7ED9AA02" w14:textId="77777777" w:rsidR="00E8754B" w:rsidRDefault="00000000" w:rsidP="00445A2D">
            <w:pPr>
              <w:keepNext/>
              <w:keepLines/>
              <w:spacing w:after="20" w:line="245" w:lineRule="auto"/>
              <w:jc w:val="both"/>
            </w:pPr>
            <w:r>
              <w:rPr>
                <w:sz w:val="20"/>
              </w:rPr>
              <w:t>Pathway bank with live teacher loss</w:t>
            </w:r>
          </w:p>
        </w:tc>
        <w:tc>
          <w:tcPr>
            <w:tcW w:w="1368" w:type="dxa"/>
            <w:shd w:val="clear" w:color="auto" w:fill="FFFFFF"/>
            <w:vAlign w:val="center"/>
          </w:tcPr>
          <w:p w14:paraId="7F5C1A2A" w14:textId="77777777" w:rsidR="00E8754B" w:rsidRDefault="00000000" w:rsidP="00445A2D">
            <w:pPr>
              <w:keepNext/>
              <w:keepLines/>
              <w:spacing w:after="20" w:line="245" w:lineRule="auto"/>
              <w:jc w:val="both"/>
            </w:pPr>
            <w:r>
              <w:rPr>
                <w:sz w:val="20"/>
              </w:rPr>
              <w:t>0.057</w:t>
            </w:r>
          </w:p>
        </w:tc>
        <w:tc>
          <w:tcPr>
            <w:tcW w:w="1512" w:type="dxa"/>
            <w:shd w:val="clear" w:color="auto" w:fill="FFFFFF"/>
            <w:vAlign w:val="center"/>
          </w:tcPr>
          <w:p w14:paraId="0B64BED0" w14:textId="77777777" w:rsidR="00E8754B" w:rsidRDefault="00000000" w:rsidP="00445A2D">
            <w:pPr>
              <w:keepNext/>
              <w:keepLines/>
              <w:spacing w:after="20" w:line="245" w:lineRule="auto"/>
              <w:jc w:val="both"/>
            </w:pPr>
            <w:r>
              <w:rPr>
                <w:sz w:val="20"/>
              </w:rPr>
              <w:t>0.092</w:t>
            </w:r>
          </w:p>
        </w:tc>
        <w:tc>
          <w:tcPr>
            <w:tcW w:w="1512" w:type="dxa"/>
            <w:shd w:val="clear" w:color="auto" w:fill="FFFFFF"/>
            <w:vAlign w:val="center"/>
          </w:tcPr>
          <w:p w14:paraId="32F8E74A" w14:textId="77777777" w:rsidR="00E8754B" w:rsidRDefault="00000000" w:rsidP="00445A2D">
            <w:pPr>
              <w:keepNext/>
              <w:keepLines/>
              <w:spacing w:after="20" w:line="245" w:lineRule="auto"/>
              <w:jc w:val="both"/>
            </w:pPr>
            <w:r>
              <w:rPr>
                <w:sz w:val="20"/>
              </w:rPr>
              <w:t>0.086</w:t>
            </w:r>
          </w:p>
        </w:tc>
      </w:tr>
      <w:tr w:rsidR="00E8754B" w14:paraId="42DA0ADB" w14:textId="77777777">
        <w:trPr>
          <w:cantSplit/>
          <w:jc w:val="center"/>
        </w:trPr>
        <w:tc>
          <w:tcPr>
            <w:tcW w:w="5544" w:type="dxa"/>
            <w:shd w:val="clear" w:color="auto" w:fill="F7F8FA"/>
            <w:vAlign w:val="center"/>
          </w:tcPr>
          <w:p w14:paraId="1D0F2C73" w14:textId="77777777" w:rsidR="00E8754B" w:rsidRDefault="00000000" w:rsidP="00445A2D">
            <w:pPr>
              <w:keepNext/>
              <w:keepLines/>
              <w:spacing w:after="20" w:line="245" w:lineRule="auto"/>
              <w:jc w:val="both"/>
            </w:pPr>
            <w:r>
              <w:rPr>
                <w:sz w:val="20"/>
              </w:rPr>
              <w:t>Pathway bank with frozen teacher loss</w:t>
            </w:r>
          </w:p>
        </w:tc>
        <w:tc>
          <w:tcPr>
            <w:tcW w:w="1368" w:type="dxa"/>
            <w:shd w:val="clear" w:color="auto" w:fill="F7F8FA"/>
            <w:vAlign w:val="center"/>
          </w:tcPr>
          <w:p w14:paraId="6A28EAE0" w14:textId="77777777" w:rsidR="00E8754B" w:rsidRDefault="00000000" w:rsidP="00445A2D">
            <w:pPr>
              <w:keepNext/>
              <w:keepLines/>
              <w:spacing w:after="20" w:line="245" w:lineRule="auto"/>
              <w:jc w:val="both"/>
            </w:pPr>
            <w:r>
              <w:rPr>
                <w:sz w:val="20"/>
              </w:rPr>
              <w:t>0.057</w:t>
            </w:r>
          </w:p>
        </w:tc>
        <w:tc>
          <w:tcPr>
            <w:tcW w:w="1512" w:type="dxa"/>
            <w:shd w:val="clear" w:color="auto" w:fill="F7F8FA"/>
            <w:vAlign w:val="center"/>
          </w:tcPr>
          <w:p w14:paraId="3EC78EEF" w14:textId="77777777" w:rsidR="00E8754B" w:rsidRDefault="00000000" w:rsidP="00445A2D">
            <w:pPr>
              <w:keepNext/>
              <w:keepLines/>
              <w:spacing w:after="20" w:line="245" w:lineRule="auto"/>
              <w:jc w:val="both"/>
            </w:pPr>
            <w:r>
              <w:rPr>
                <w:sz w:val="20"/>
              </w:rPr>
              <w:t>0.096</w:t>
            </w:r>
          </w:p>
        </w:tc>
        <w:tc>
          <w:tcPr>
            <w:tcW w:w="1512" w:type="dxa"/>
            <w:shd w:val="clear" w:color="auto" w:fill="F7F8FA"/>
            <w:vAlign w:val="center"/>
          </w:tcPr>
          <w:p w14:paraId="08C32E76" w14:textId="77777777" w:rsidR="00E8754B" w:rsidRDefault="00000000" w:rsidP="00445A2D">
            <w:pPr>
              <w:keepNext/>
              <w:keepLines/>
              <w:spacing w:after="20" w:line="245" w:lineRule="auto"/>
              <w:jc w:val="both"/>
            </w:pPr>
            <w:r>
              <w:rPr>
                <w:sz w:val="20"/>
              </w:rPr>
              <w:t>0.034</w:t>
            </w:r>
          </w:p>
        </w:tc>
      </w:tr>
      <w:tr w:rsidR="00E8754B" w14:paraId="670E1350" w14:textId="77777777">
        <w:trPr>
          <w:cantSplit/>
          <w:jc w:val="center"/>
        </w:trPr>
        <w:tc>
          <w:tcPr>
            <w:tcW w:w="5544" w:type="dxa"/>
            <w:shd w:val="clear" w:color="auto" w:fill="FFFFFF"/>
            <w:vAlign w:val="center"/>
          </w:tcPr>
          <w:p w14:paraId="41DF50EB" w14:textId="77777777" w:rsidR="00E8754B" w:rsidRDefault="00000000" w:rsidP="00445A2D">
            <w:pPr>
              <w:keepNext/>
              <w:keepLines/>
              <w:spacing w:after="20" w:line="245" w:lineRule="auto"/>
              <w:jc w:val="both"/>
            </w:pPr>
            <w:r>
              <w:rPr>
                <w:sz w:val="20"/>
              </w:rPr>
              <w:t>Plain network with live teacher loss</w:t>
            </w:r>
          </w:p>
        </w:tc>
        <w:tc>
          <w:tcPr>
            <w:tcW w:w="1368" w:type="dxa"/>
            <w:shd w:val="clear" w:color="auto" w:fill="FFFFFF"/>
            <w:vAlign w:val="center"/>
          </w:tcPr>
          <w:p w14:paraId="2F302DA6" w14:textId="77777777" w:rsidR="00E8754B" w:rsidRDefault="00000000" w:rsidP="00445A2D">
            <w:pPr>
              <w:keepNext/>
              <w:keepLines/>
              <w:spacing w:after="20" w:line="245" w:lineRule="auto"/>
              <w:jc w:val="both"/>
            </w:pPr>
            <w:r>
              <w:rPr>
                <w:sz w:val="20"/>
              </w:rPr>
              <w:t>0.000</w:t>
            </w:r>
          </w:p>
        </w:tc>
        <w:tc>
          <w:tcPr>
            <w:tcW w:w="1512" w:type="dxa"/>
            <w:shd w:val="clear" w:color="auto" w:fill="FFFFFF"/>
            <w:vAlign w:val="center"/>
          </w:tcPr>
          <w:p w14:paraId="665410D2" w14:textId="77777777" w:rsidR="00E8754B" w:rsidRDefault="00000000" w:rsidP="00445A2D">
            <w:pPr>
              <w:keepNext/>
              <w:keepLines/>
              <w:spacing w:after="20" w:line="245" w:lineRule="auto"/>
              <w:jc w:val="both"/>
            </w:pPr>
            <w:r>
              <w:rPr>
                <w:sz w:val="20"/>
              </w:rPr>
              <w:t>0.035</w:t>
            </w:r>
          </w:p>
        </w:tc>
        <w:tc>
          <w:tcPr>
            <w:tcW w:w="1512" w:type="dxa"/>
            <w:shd w:val="clear" w:color="auto" w:fill="FFFFFF"/>
            <w:vAlign w:val="center"/>
          </w:tcPr>
          <w:p w14:paraId="4216281F" w14:textId="77777777" w:rsidR="00E8754B" w:rsidRDefault="00000000" w:rsidP="00445A2D">
            <w:pPr>
              <w:keepNext/>
              <w:keepLines/>
              <w:spacing w:after="20" w:line="245" w:lineRule="auto"/>
              <w:jc w:val="both"/>
            </w:pPr>
            <w:r>
              <w:rPr>
                <w:sz w:val="20"/>
              </w:rPr>
              <w:t>0.011</w:t>
            </w:r>
          </w:p>
        </w:tc>
      </w:tr>
      <w:tr w:rsidR="00E8754B" w14:paraId="195839FA" w14:textId="77777777">
        <w:trPr>
          <w:cantSplit/>
          <w:jc w:val="center"/>
        </w:trPr>
        <w:tc>
          <w:tcPr>
            <w:tcW w:w="5544" w:type="dxa"/>
            <w:shd w:val="clear" w:color="auto" w:fill="F7F8FA"/>
            <w:vAlign w:val="center"/>
          </w:tcPr>
          <w:p w14:paraId="2207CD0A" w14:textId="77777777" w:rsidR="00E8754B" w:rsidRDefault="00000000" w:rsidP="00445A2D">
            <w:pPr>
              <w:keepLines/>
              <w:spacing w:after="20" w:line="245" w:lineRule="auto"/>
              <w:jc w:val="both"/>
            </w:pPr>
            <w:r>
              <w:rPr>
                <w:sz w:val="20"/>
              </w:rPr>
              <w:t>Plain network with frozen snapshot loss</w:t>
            </w:r>
          </w:p>
        </w:tc>
        <w:tc>
          <w:tcPr>
            <w:tcW w:w="1368" w:type="dxa"/>
            <w:shd w:val="clear" w:color="auto" w:fill="F7F8FA"/>
            <w:vAlign w:val="center"/>
          </w:tcPr>
          <w:p w14:paraId="2051BE78" w14:textId="77777777" w:rsidR="00E8754B" w:rsidRDefault="00000000" w:rsidP="00445A2D">
            <w:pPr>
              <w:keepLines/>
              <w:spacing w:after="20" w:line="245" w:lineRule="auto"/>
              <w:jc w:val="both"/>
            </w:pPr>
            <w:r>
              <w:rPr>
                <w:sz w:val="20"/>
              </w:rPr>
              <w:t>0.000</w:t>
            </w:r>
          </w:p>
        </w:tc>
        <w:tc>
          <w:tcPr>
            <w:tcW w:w="1512" w:type="dxa"/>
            <w:shd w:val="clear" w:color="auto" w:fill="F7F8FA"/>
            <w:vAlign w:val="center"/>
          </w:tcPr>
          <w:p w14:paraId="7B04C028" w14:textId="77777777" w:rsidR="00E8754B" w:rsidRDefault="00000000" w:rsidP="00445A2D">
            <w:pPr>
              <w:keepLines/>
              <w:spacing w:after="20" w:line="245" w:lineRule="auto"/>
              <w:jc w:val="both"/>
            </w:pPr>
            <w:r>
              <w:rPr>
                <w:sz w:val="20"/>
              </w:rPr>
              <w:t>0.025</w:t>
            </w:r>
          </w:p>
        </w:tc>
        <w:tc>
          <w:tcPr>
            <w:tcW w:w="1512" w:type="dxa"/>
            <w:shd w:val="clear" w:color="auto" w:fill="F7F8FA"/>
            <w:vAlign w:val="center"/>
          </w:tcPr>
          <w:p w14:paraId="004CB213" w14:textId="77777777" w:rsidR="00E8754B" w:rsidRDefault="00000000" w:rsidP="00445A2D">
            <w:pPr>
              <w:keepLines/>
              <w:spacing w:after="20" w:line="245" w:lineRule="auto"/>
              <w:jc w:val="both"/>
            </w:pPr>
            <w:r>
              <w:rPr>
                <w:sz w:val="20"/>
              </w:rPr>
              <w:t>0.073</w:t>
            </w:r>
          </w:p>
        </w:tc>
      </w:tr>
    </w:tbl>
    <w:p w14:paraId="68B4F2B4" w14:textId="77777777" w:rsidR="00E8754B" w:rsidRDefault="00000000" w:rsidP="00445A2D">
      <w:pPr>
        <w:pStyle w:val="BodyText"/>
        <w:spacing w:before="100"/>
        <w:jc w:val="both"/>
      </w:pPr>
      <w:r>
        <w:t>Values displayed as 0.000 are rounded, not exact zeros. The EWC implementation uses a diagonal Gauss–Newton importance estimate. The dead-zone rule is a relaxed update toward a tolerance band rather than the canonical instantaneous play operator. The diffusion chain is a conservative, saturating coupling with unit capacities; it should not be identified with every complex-synapse model.</w:t>
      </w:r>
    </w:p>
    <w:p w14:paraId="00CFC528" w14:textId="77777777" w:rsidR="00E8754B" w:rsidRDefault="00000000" w:rsidP="00445A2D">
      <w:pPr>
        <w:pStyle w:val="BodyText"/>
        <w:jc w:val="both"/>
      </w:pPr>
      <w:r>
        <w:t>In this configuration the standalone banks provide no retention improvement over SGD. Among the proposed bank and teacher components, retention gains are associated with the teacher objective. The increase in old probe loss is approximately 0.035 with or without the pathway bank, while acquisition is poorer with the bank. These observations concern the specified parameters and protocol; they do not rule out every nonlinear history construction.</w:t>
      </w:r>
    </w:p>
    <w:p w14:paraId="3DCB4C73" w14:textId="77777777" w:rsidR="00E8754B" w:rsidRDefault="00000000" w:rsidP="00445A2D">
      <w:pPr>
        <w:pStyle w:val="Heading2"/>
        <w:spacing w:after="100"/>
        <w:jc w:val="both"/>
      </w:pPr>
      <w:bookmarkStart w:id="19" w:name="confounds-that-affect-interpretation"/>
      <w:bookmarkEnd w:id="18"/>
      <w:r>
        <w:t>7.2 Confounds that affect interpretation</w:t>
      </w:r>
    </w:p>
    <w:p w14:paraId="3B40A51B" w14:textId="77777777" w:rsidR="00E8754B" w:rsidRDefault="00000000" w:rsidP="00445A2D">
      <w:pPr>
        <w:jc w:val="both"/>
      </w:pPr>
      <w:r>
        <w:t xml:space="preserve">The pathway model applies nonlinear synapses in the task heads as well as the shared layer. Its trained decoder is therefore not linear in the evaluated features. For seed 0, after task 1, the pathway bank’s loss through the training head is 0.0701 and its refitted-probe loss is 0.0569; the plain model’s training-head </w:t>
      </w:r>
      <w:r>
        <w:lastRenderedPageBreak/>
        <w:t xml:space="preserve">loss is approximately </w:t>
      </w:r>
      <m:oMath>
        <m:r>
          <w:rPr>
            <w:rFonts w:ascii="Cambria Math" w:hAnsi="Cambria Math"/>
          </w:rPr>
          <m:t>6.15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Both the function class and acquisition quality have changed before forgetting is measured.</w:t>
      </w:r>
    </w:p>
    <w:p w14:paraId="3A0ACD22" w14:textId="77777777" w:rsidR="00E8754B" w:rsidRDefault="00000000" w:rsidP="00445A2D">
      <w:pPr>
        <w:pStyle w:val="BodyText"/>
        <w:jc w:val="both"/>
      </w:pPr>
      <w:r>
        <w:t>The linear bank’s long-run gain can be matched analytically to SGD. For nonlinear readouts, functional sensitivity depends on parameter values and possibly on inputs. A single scalar learning-rate adjustment does not remove this difference. The experiment also selects a narrow representation where SGD forgets; width sweeps are required to establish how conclusions depend on capacity.</w:t>
      </w:r>
    </w:p>
    <w:p w14:paraId="4B6C6067" w14:textId="77777777" w:rsidR="00E8754B" w:rsidRDefault="00000000" w:rsidP="00445A2D">
      <w:pPr>
        <w:pStyle w:val="BodyText"/>
        <w:jc w:val="both"/>
      </w:pPr>
      <w:r>
        <w:t>Both tasks draw from the same Gaussian input law. Thus, teacher predictions on fresh current inputs cover the old input population. This favorable coverage should be separated from the harder problem of preserving functions on regions no longer sampled. Finally, the plain frozen teacher is a boundary snapshot of the online network, whereas the live teacher is an EMA from initialization. A causal comparison of freezing should begin from the same EMA state in both conditions.</w:t>
      </w:r>
    </w:p>
    <w:p w14:paraId="17BB1B19" w14:textId="77777777" w:rsidR="00E8754B" w:rsidRDefault="00000000" w:rsidP="00445A2D">
      <w:pPr>
        <w:pStyle w:val="Heading2"/>
        <w:spacing w:after="100"/>
        <w:jc w:val="both"/>
      </w:pPr>
      <w:bookmarkStart w:id="20" w:name="removing-the-moving-teacher"/>
      <w:bookmarkEnd w:id="19"/>
      <w:r>
        <w:t>7.3 Removing the moving teacher</w:t>
      </w:r>
    </w:p>
    <w:p w14:paraId="000B5318" w14:textId="77777777" w:rsidR="00E8754B" w:rsidRDefault="00000000" w:rsidP="00445A2D">
      <w:pPr>
        <w:jc w:val="both"/>
      </w:pPr>
      <w:r>
        <w:t>A targeted intervention extends task 2 to 200000 updates for seed 0. It compares the ordinary network with a teacher loss active throughout training and with the loss removed after 5000 or 40000 task-2 updates. The initialization, data-stream seed, and other updates are unchanged. The auxiliary teacher continues to update after removal, but has no further influence on active-network gradients.</w:t>
      </w:r>
    </w:p>
    <w:p w14:paraId="4D7F7E5C" w14:textId="77777777" w:rsidR="00E8754B" w:rsidRDefault="00000000" w:rsidP="00445A2D">
      <w:pPr>
        <w:pStyle w:val="Caption"/>
        <w:keepNext/>
        <w:keepLines/>
        <w:jc w:val="both"/>
      </w:pPr>
      <w:r>
        <w:rPr>
          <w:b/>
        </w:rPr>
        <w:t>Table 3. Independently executed seed-0 intervention at 200000 task-2 updates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6096"/>
        <w:gridCol w:w="1983"/>
        <w:gridCol w:w="2057"/>
      </w:tblGrid>
      <w:tr w:rsidR="00E8754B" w14:paraId="1DA71A9A" w14:textId="77777777">
        <w:trPr>
          <w:cantSplit/>
          <w:tblHeader/>
          <w:jc w:val="center"/>
        </w:trPr>
        <w:tc>
          <w:tcPr>
            <w:tcW w:w="5976" w:type="dxa"/>
            <w:shd w:val="clear" w:color="auto" w:fill="E6EEF4"/>
            <w:vAlign w:val="center"/>
          </w:tcPr>
          <w:p w14:paraId="2F1F6392" w14:textId="77777777" w:rsidR="00E8754B" w:rsidRDefault="00000000" w:rsidP="00445A2D">
            <w:pPr>
              <w:keepNext/>
              <w:keepLines/>
              <w:spacing w:after="20" w:line="245" w:lineRule="auto"/>
              <w:jc w:val="both"/>
            </w:pPr>
            <w:r>
              <w:rPr>
                <w:b/>
                <w:sz w:val="20"/>
              </w:rPr>
              <w:t>Training condition</w:t>
            </w:r>
          </w:p>
        </w:tc>
        <w:tc>
          <w:tcPr>
            <w:tcW w:w="1944" w:type="dxa"/>
            <w:shd w:val="clear" w:color="auto" w:fill="E6EEF4"/>
            <w:vAlign w:val="center"/>
          </w:tcPr>
          <w:p w14:paraId="623B987A" w14:textId="77777777" w:rsidR="00E8754B" w:rsidRDefault="00000000" w:rsidP="00445A2D">
            <w:pPr>
              <w:keepNext/>
              <w:keepLines/>
              <w:spacing w:after="20" w:line="245" w:lineRule="auto"/>
              <w:jc w:val="both"/>
            </w:pPr>
            <w:r>
              <w:rPr>
                <w:b/>
                <w:sz w:val="20"/>
              </w:rPr>
              <w:t>Final old probe loss</w:t>
            </w:r>
          </w:p>
        </w:tc>
        <w:tc>
          <w:tcPr>
            <w:tcW w:w="2016" w:type="dxa"/>
            <w:shd w:val="clear" w:color="auto" w:fill="E6EEF4"/>
            <w:vAlign w:val="center"/>
          </w:tcPr>
          <w:p w14:paraId="23556241" w14:textId="77777777" w:rsidR="00E8754B" w:rsidRDefault="00000000" w:rsidP="00445A2D">
            <w:pPr>
              <w:keepNext/>
              <w:keepLines/>
              <w:spacing w:after="20" w:line="245" w:lineRule="auto"/>
              <w:jc w:val="both"/>
            </w:pPr>
            <w:r>
              <w:rPr>
                <w:b/>
                <w:sz w:val="20"/>
              </w:rPr>
              <w:t>Final new task loss</w:t>
            </w:r>
          </w:p>
        </w:tc>
      </w:tr>
      <w:tr w:rsidR="00E8754B" w14:paraId="7D98C2DB" w14:textId="77777777">
        <w:trPr>
          <w:cantSplit/>
          <w:jc w:val="center"/>
        </w:trPr>
        <w:tc>
          <w:tcPr>
            <w:tcW w:w="5976" w:type="dxa"/>
            <w:shd w:val="clear" w:color="auto" w:fill="FFFFFF"/>
            <w:vAlign w:val="center"/>
          </w:tcPr>
          <w:p w14:paraId="2EB44842" w14:textId="77777777" w:rsidR="00E8754B" w:rsidRDefault="00000000" w:rsidP="00445A2D">
            <w:pPr>
              <w:keepNext/>
              <w:keepLines/>
              <w:spacing w:after="20" w:line="245" w:lineRule="auto"/>
              <w:jc w:val="both"/>
            </w:pPr>
            <w:r>
              <w:rPr>
                <w:sz w:val="20"/>
              </w:rPr>
              <w:t>SGD throughout</w:t>
            </w:r>
          </w:p>
        </w:tc>
        <w:tc>
          <w:tcPr>
            <w:tcW w:w="1944" w:type="dxa"/>
            <w:shd w:val="clear" w:color="auto" w:fill="FFFFFF"/>
            <w:vAlign w:val="center"/>
          </w:tcPr>
          <w:p w14:paraId="5544DC4C" w14:textId="77777777" w:rsidR="00E8754B" w:rsidRDefault="00000000" w:rsidP="00445A2D">
            <w:pPr>
              <w:keepNext/>
              <w:keepLines/>
              <w:spacing w:after="20" w:line="245" w:lineRule="auto"/>
              <w:jc w:val="both"/>
            </w:pPr>
            <w:r>
              <w:rPr>
                <w:sz w:val="20"/>
              </w:rPr>
              <w:t>0.27055</w:t>
            </w:r>
          </w:p>
        </w:tc>
        <w:tc>
          <w:tcPr>
            <w:tcW w:w="2016" w:type="dxa"/>
            <w:shd w:val="clear" w:color="auto" w:fill="FFFFFF"/>
            <w:vAlign w:val="center"/>
          </w:tcPr>
          <w:p w14:paraId="4DC44506" w14:textId="77777777" w:rsidR="00E8754B" w:rsidRDefault="00000000" w:rsidP="00445A2D">
            <w:pPr>
              <w:keepNext/>
              <w:keepLines/>
              <w:spacing w:after="20" w:line="245" w:lineRule="auto"/>
              <w:jc w:val="both"/>
            </w:pPr>
            <w:r>
              <w:rPr>
                <w:sz w:val="20"/>
              </w:rPr>
              <w:t xml:space="preserve">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p>
        </w:tc>
      </w:tr>
      <w:tr w:rsidR="00E8754B" w14:paraId="4AD75FEE" w14:textId="77777777">
        <w:trPr>
          <w:cantSplit/>
          <w:jc w:val="center"/>
        </w:trPr>
        <w:tc>
          <w:tcPr>
            <w:tcW w:w="5976" w:type="dxa"/>
            <w:shd w:val="clear" w:color="auto" w:fill="F7F8FA"/>
            <w:vAlign w:val="center"/>
          </w:tcPr>
          <w:p w14:paraId="687836EE" w14:textId="77777777" w:rsidR="00E8754B" w:rsidRDefault="00000000" w:rsidP="00445A2D">
            <w:pPr>
              <w:keepNext/>
              <w:keepLines/>
              <w:spacing w:after="20" w:line="245" w:lineRule="auto"/>
              <w:jc w:val="both"/>
            </w:pPr>
            <w:r>
              <w:rPr>
                <w:sz w:val="20"/>
              </w:rPr>
              <w:t>Teacher loss throughout</w:t>
            </w:r>
          </w:p>
        </w:tc>
        <w:tc>
          <w:tcPr>
            <w:tcW w:w="1944" w:type="dxa"/>
            <w:shd w:val="clear" w:color="auto" w:fill="F7F8FA"/>
            <w:vAlign w:val="center"/>
          </w:tcPr>
          <w:p w14:paraId="66E02D8A" w14:textId="77777777" w:rsidR="00E8754B" w:rsidRDefault="00000000" w:rsidP="00445A2D">
            <w:pPr>
              <w:keepNext/>
              <w:keepLines/>
              <w:spacing w:after="20" w:line="245" w:lineRule="auto"/>
              <w:jc w:val="both"/>
            </w:pPr>
            <w:r>
              <w:rPr>
                <w:sz w:val="20"/>
              </w:rPr>
              <w:t>0.03941</w:t>
            </w:r>
          </w:p>
        </w:tc>
        <w:tc>
          <w:tcPr>
            <w:tcW w:w="2016" w:type="dxa"/>
            <w:shd w:val="clear" w:color="auto" w:fill="F7F8FA"/>
            <w:vAlign w:val="center"/>
          </w:tcPr>
          <w:p w14:paraId="413FE23F" w14:textId="77777777" w:rsidR="00E8754B" w:rsidRDefault="00000000" w:rsidP="00445A2D">
            <w:pPr>
              <w:keepNext/>
              <w:keepLines/>
              <w:spacing w:after="20" w:line="245" w:lineRule="auto"/>
              <w:jc w:val="both"/>
            </w:pPr>
            <m:oMathPara>
              <m:oMath>
                <m:r>
                  <w:rPr>
                    <w:rFonts w:ascii="Cambria Math" w:hAnsi="Cambria Math"/>
                  </w:rPr>
                  <m:t>2.55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r>
      <w:tr w:rsidR="00E8754B" w14:paraId="1FBE88F0" w14:textId="77777777">
        <w:trPr>
          <w:cantSplit/>
          <w:jc w:val="center"/>
        </w:trPr>
        <w:tc>
          <w:tcPr>
            <w:tcW w:w="5976" w:type="dxa"/>
            <w:shd w:val="clear" w:color="auto" w:fill="FFFFFF"/>
            <w:vAlign w:val="center"/>
          </w:tcPr>
          <w:p w14:paraId="43880D85" w14:textId="77777777" w:rsidR="00E8754B" w:rsidRDefault="00000000" w:rsidP="00445A2D">
            <w:pPr>
              <w:keepNext/>
              <w:keepLines/>
              <w:spacing w:after="20" w:line="245" w:lineRule="auto"/>
              <w:jc w:val="both"/>
            </w:pPr>
            <w:r>
              <w:rPr>
                <w:sz w:val="20"/>
              </w:rPr>
              <w:t>Teacher loss removed after 5000 updates</w:t>
            </w:r>
          </w:p>
        </w:tc>
        <w:tc>
          <w:tcPr>
            <w:tcW w:w="1944" w:type="dxa"/>
            <w:shd w:val="clear" w:color="auto" w:fill="FFFFFF"/>
            <w:vAlign w:val="center"/>
          </w:tcPr>
          <w:p w14:paraId="557B7BE9" w14:textId="77777777" w:rsidR="00E8754B" w:rsidRDefault="00000000" w:rsidP="00445A2D">
            <w:pPr>
              <w:keepNext/>
              <w:keepLines/>
              <w:spacing w:after="20" w:line="245" w:lineRule="auto"/>
              <w:jc w:val="both"/>
            </w:pPr>
            <w:r>
              <w:rPr>
                <w:sz w:val="20"/>
              </w:rPr>
              <w:t>0.04932</w:t>
            </w:r>
          </w:p>
        </w:tc>
        <w:tc>
          <w:tcPr>
            <w:tcW w:w="2016" w:type="dxa"/>
            <w:shd w:val="clear" w:color="auto" w:fill="FFFFFF"/>
            <w:vAlign w:val="center"/>
          </w:tcPr>
          <w:p w14:paraId="7D4D7641" w14:textId="77777777" w:rsidR="00E8754B" w:rsidRDefault="00000000" w:rsidP="00445A2D">
            <w:pPr>
              <w:keepNext/>
              <w:keepLines/>
              <w:spacing w:after="20" w:line="245" w:lineRule="auto"/>
              <w:jc w:val="both"/>
            </w:pPr>
            <w:r>
              <w:rPr>
                <w:sz w:val="20"/>
              </w:rPr>
              <w:t xml:space="preserve">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p>
        </w:tc>
      </w:tr>
      <w:tr w:rsidR="00E8754B" w14:paraId="3340AA49" w14:textId="77777777">
        <w:trPr>
          <w:cantSplit/>
          <w:jc w:val="center"/>
        </w:trPr>
        <w:tc>
          <w:tcPr>
            <w:tcW w:w="5976" w:type="dxa"/>
            <w:shd w:val="clear" w:color="auto" w:fill="F7F8FA"/>
            <w:vAlign w:val="center"/>
          </w:tcPr>
          <w:p w14:paraId="6B981343" w14:textId="77777777" w:rsidR="00E8754B" w:rsidRDefault="00000000" w:rsidP="00445A2D">
            <w:pPr>
              <w:keepLines/>
              <w:spacing w:after="20" w:line="245" w:lineRule="auto"/>
              <w:jc w:val="both"/>
            </w:pPr>
            <w:r>
              <w:rPr>
                <w:sz w:val="20"/>
              </w:rPr>
              <w:t>Teacher loss removed after 40000 updates</w:t>
            </w:r>
          </w:p>
        </w:tc>
        <w:tc>
          <w:tcPr>
            <w:tcW w:w="1944" w:type="dxa"/>
            <w:shd w:val="clear" w:color="auto" w:fill="F7F8FA"/>
            <w:vAlign w:val="center"/>
          </w:tcPr>
          <w:p w14:paraId="4427D465" w14:textId="77777777" w:rsidR="00E8754B" w:rsidRDefault="00000000" w:rsidP="00445A2D">
            <w:pPr>
              <w:keepLines/>
              <w:spacing w:after="20" w:line="245" w:lineRule="auto"/>
              <w:jc w:val="both"/>
            </w:pPr>
            <w:r>
              <w:rPr>
                <w:sz w:val="20"/>
              </w:rPr>
              <w:t>0.04073</w:t>
            </w:r>
          </w:p>
        </w:tc>
        <w:tc>
          <w:tcPr>
            <w:tcW w:w="2016" w:type="dxa"/>
            <w:shd w:val="clear" w:color="auto" w:fill="F7F8FA"/>
            <w:vAlign w:val="center"/>
          </w:tcPr>
          <w:p w14:paraId="470C05A0" w14:textId="77777777" w:rsidR="00E8754B" w:rsidRDefault="00000000" w:rsidP="00445A2D">
            <w:pPr>
              <w:keepLines/>
              <w:spacing w:after="20" w:line="245" w:lineRule="auto"/>
              <w:jc w:val="both"/>
            </w:pPr>
            <w:r>
              <w:rPr>
                <w:sz w:val="20"/>
              </w:rPr>
              <w:t xml:space="preserve">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p>
        </w:tc>
      </w:tr>
    </w:tbl>
    <w:p w14:paraId="52D18038" w14:textId="77777777" w:rsidR="00E8754B" w:rsidRDefault="00000000" w:rsidP="00445A2D">
      <w:pPr>
        <w:pStyle w:val="BodyText"/>
        <w:spacing w:before="100"/>
        <w:jc w:val="both"/>
      </w:pPr>
      <w:r>
        <w:t>The intervention preserves most of the benefit after the teacher loss is removed. It supports an interpretation in which early predictive regularization changes the subsequent trajectory. It does not prove this is the only mechanism, and one seed does not establish a population effect.</w:t>
      </w:r>
    </w:p>
    <w:p w14:paraId="4A30CC0B" w14:textId="77777777" w:rsidR="00E8754B" w:rsidRDefault="00000000" w:rsidP="00445A2D">
      <w:pPr>
        <w:pStyle w:val="BodyText"/>
        <w:keepNext/>
        <w:spacing w:before="100" w:after="20"/>
        <w:jc w:val="both"/>
      </w:pPr>
      <w:r>
        <w:rPr>
          <w:noProof/>
        </w:rPr>
        <w:drawing>
          <wp:inline distT="0" distB="0" distL="0" distR="0" wp14:anchorId="776B99A8" wp14:editId="75F2BC76">
            <wp:extent cx="6126480" cy="2130949"/>
            <wp:effectExtent l="0" t="0" r="0" b="0"/>
            <wp:docPr id="43" name="Picture" descr="Single seed old task probe losses with and without removal of the moving teacher objective"/>
            <wp:cNvGraphicFramePr/>
            <a:graphic xmlns:a="http://schemas.openxmlformats.org/drawingml/2006/main">
              <a:graphicData uri="http://schemas.openxmlformats.org/drawingml/2006/picture">
                <pic:pic xmlns:pic="http://schemas.openxmlformats.org/drawingml/2006/picture">
                  <pic:nvPicPr>
                    <pic:cNvPr id="44" name="Picture" descr="assets/teacher_removal_probe_loss.png"/>
                    <pic:cNvPicPr>
                      <a:picLocks noChangeAspect="1" noChangeArrowheads="1"/>
                    </pic:cNvPicPr>
                  </pic:nvPicPr>
                  <pic:blipFill>
                    <a:blip r:embed="rId10"/>
                    <a:stretch>
                      <a:fillRect/>
                    </a:stretch>
                  </pic:blipFill>
                  <pic:spPr bwMode="auto">
                    <a:xfrm>
                      <a:off x="0" y="0"/>
                      <a:ext cx="6126480" cy="2130949"/>
                    </a:xfrm>
                    <a:prstGeom prst="rect">
                      <a:avLst/>
                    </a:prstGeom>
                    <a:noFill/>
                    <a:ln w="9525">
                      <a:noFill/>
                      <a:headEnd/>
                      <a:tailEnd/>
                    </a:ln>
                  </pic:spPr>
                </pic:pic>
              </a:graphicData>
            </a:graphic>
          </wp:inline>
        </w:drawing>
      </w:r>
    </w:p>
    <w:p w14:paraId="4D10AAD2" w14:textId="77777777" w:rsidR="00E8754B" w:rsidRDefault="00000000" w:rsidP="00445A2D">
      <w:pPr>
        <w:pStyle w:val="Caption"/>
        <w:keepLines/>
        <w:jc w:val="both"/>
      </w:pPr>
      <w:r>
        <w:t>Figure 2. Old-task probe loss at recorded checkpoints for the seed-0 intervention. The horizontal axis is linear near zero and logarithmic beyond 5000 updates. Lines connect measured checkpoints and do not represent continuously recorded trajectories. All curves use the same two-task problem and data-stream seed.</w:t>
      </w:r>
    </w:p>
    <w:p w14:paraId="1376188D" w14:textId="77777777" w:rsidR="00E8754B" w:rsidRDefault="00000000" w:rsidP="00445A2D">
      <w:pPr>
        <w:pStyle w:val="BodyText"/>
        <w:jc w:val="both"/>
      </w:pPr>
      <w:r>
        <w:lastRenderedPageBreak/>
        <w:t>The tasks are noiseless and jointly realizable. Once the new task is fitted, its sample gradients become negligible, leaving little continuing interference. Persistence for many updates therefore does not demonstrate robustness to a third task or continuing noise. It does show why a non-decaying historical reference is not necessary for retention in every problem: a transient constraint can lead to a favorable current-task solution.</w:t>
      </w:r>
    </w:p>
    <w:p w14:paraId="3498A008" w14:textId="77777777" w:rsidR="00E8754B" w:rsidRDefault="00000000" w:rsidP="00445A2D">
      <w:pPr>
        <w:pStyle w:val="Heading1"/>
        <w:spacing w:after="100"/>
        <w:jc w:val="both"/>
      </w:pPr>
      <w:bookmarkStart w:id="21" w:name="a-falsifiable-research-programme"/>
      <w:bookmarkEnd w:id="17"/>
      <w:bookmarkEnd w:id="20"/>
      <w:r>
        <w:t>8 A falsifiable research programme</w:t>
      </w:r>
    </w:p>
    <w:p w14:paraId="5E401F55" w14:textId="77777777" w:rsidR="00E8754B" w:rsidRDefault="00000000" w:rsidP="00445A2D">
      <w:pPr>
        <w:jc w:val="both"/>
      </w:pPr>
      <w:r>
        <w:t>We distinguish three hypotheses. The nonlinear-history hypothesis predicts a retention advantage from temporal diversity after controlling the nonlinear architecture. The predictive-consolidation hypothesis predicts that feature-space constraints change solution selection beyond scalar slowing of learning. The activity-state hypothesis predicts additional history dependence during inference when learned weights are fixed. These hypotheses can fail independently.</w:t>
      </w:r>
    </w:p>
    <w:p w14:paraId="5CFEE435" w14:textId="77777777" w:rsidR="00E8754B" w:rsidRDefault="00000000" w:rsidP="00445A2D">
      <w:pPr>
        <w:pStyle w:val="Caption"/>
        <w:keepNext/>
        <w:keepLines/>
        <w:jc w:val="both"/>
      </w:pPr>
      <w:r>
        <w:rPr>
          <w:b/>
        </w:rPr>
        <w:t>Table 4. Experiments that distinguish the proposed mechanisms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2718"/>
        <w:gridCol w:w="3819"/>
        <w:gridCol w:w="3599"/>
      </w:tblGrid>
      <w:tr w:rsidR="00E8754B" w14:paraId="08F2DD94" w14:textId="77777777">
        <w:trPr>
          <w:cantSplit/>
          <w:tblHeader/>
          <w:jc w:val="center"/>
        </w:trPr>
        <w:tc>
          <w:tcPr>
            <w:tcW w:w="2664" w:type="dxa"/>
            <w:shd w:val="clear" w:color="auto" w:fill="E6EEF4"/>
            <w:vAlign w:val="center"/>
          </w:tcPr>
          <w:p w14:paraId="3985A769" w14:textId="77777777" w:rsidR="00E8754B" w:rsidRDefault="00000000" w:rsidP="00445A2D">
            <w:pPr>
              <w:keepNext/>
              <w:keepLines/>
              <w:spacing w:after="20" w:line="245" w:lineRule="auto"/>
              <w:jc w:val="both"/>
            </w:pPr>
            <w:r>
              <w:rPr>
                <w:b/>
                <w:sz w:val="20"/>
              </w:rPr>
              <w:t>Hypothesis</w:t>
            </w:r>
          </w:p>
        </w:tc>
        <w:tc>
          <w:tcPr>
            <w:tcW w:w="3744" w:type="dxa"/>
            <w:shd w:val="clear" w:color="auto" w:fill="E6EEF4"/>
            <w:vAlign w:val="center"/>
          </w:tcPr>
          <w:p w14:paraId="57743F09" w14:textId="77777777" w:rsidR="00E8754B" w:rsidRDefault="00000000" w:rsidP="00445A2D">
            <w:pPr>
              <w:keepNext/>
              <w:keepLines/>
              <w:spacing w:after="20" w:line="245" w:lineRule="auto"/>
              <w:jc w:val="both"/>
            </w:pPr>
            <w:r>
              <w:rPr>
                <w:b/>
                <w:sz w:val="20"/>
              </w:rPr>
              <w:t>Required control</w:t>
            </w:r>
          </w:p>
        </w:tc>
        <w:tc>
          <w:tcPr>
            <w:tcW w:w="3528" w:type="dxa"/>
            <w:shd w:val="clear" w:color="auto" w:fill="E6EEF4"/>
            <w:vAlign w:val="center"/>
          </w:tcPr>
          <w:p w14:paraId="21A31895" w14:textId="77777777" w:rsidR="00E8754B" w:rsidRDefault="00000000" w:rsidP="00445A2D">
            <w:pPr>
              <w:keepNext/>
              <w:keepLines/>
              <w:spacing w:after="20" w:line="245" w:lineRule="auto"/>
              <w:jc w:val="both"/>
            </w:pPr>
            <w:r>
              <w:rPr>
                <w:b/>
                <w:sz w:val="20"/>
              </w:rPr>
              <w:t>Evidence against the hypothesis</w:t>
            </w:r>
          </w:p>
        </w:tc>
      </w:tr>
      <w:tr w:rsidR="00E8754B" w14:paraId="3DCA9CD7" w14:textId="77777777">
        <w:trPr>
          <w:cantSplit/>
          <w:jc w:val="center"/>
        </w:trPr>
        <w:tc>
          <w:tcPr>
            <w:tcW w:w="2664" w:type="dxa"/>
            <w:shd w:val="clear" w:color="auto" w:fill="FFFFFF"/>
            <w:vAlign w:val="center"/>
          </w:tcPr>
          <w:p w14:paraId="682B3B3F" w14:textId="77777777" w:rsidR="00E8754B" w:rsidRDefault="00000000" w:rsidP="00445A2D">
            <w:pPr>
              <w:keepNext/>
              <w:keepLines/>
              <w:spacing w:after="20" w:line="245" w:lineRule="auto"/>
              <w:jc w:val="both"/>
            </w:pPr>
            <w:r>
              <w:rPr>
                <w:sz w:val="20"/>
              </w:rPr>
              <w:t>Temporal diversity in nonlinear members improves retention</w:t>
            </w:r>
          </w:p>
        </w:tc>
        <w:tc>
          <w:tcPr>
            <w:tcW w:w="3744" w:type="dxa"/>
            <w:shd w:val="clear" w:color="auto" w:fill="FFFFFF"/>
            <w:vAlign w:val="center"/>
          </w:tcPr>
          <w:p w14:paraId="5D8CE0D6" w14:textId="77777777" w:rsidR="00E8754B" w:rsidRDefault="00000000" w:rsidP="00445A2D">
            <w:pPr>
              <w:keepNext/>
              <w:keepLines/>
              <w:spacing w:after="20" w:line="245" w:lineRule="auto"/>
              <w:jc w:val="both"/>
            </w:pPr>
            <w:r>
              <w:rPr>
                <w:sz w:val="20"/>
              </w:rPr>
              <w:t>Same nonlinear readout with zero-lag members and the same stop-gradient convention</w:t>
            </w:r>
          </w:p>
        </w:tc>
        <w:tc>
          <w:tcPr>
            <w:tcW w:w="3528" w:type="dxa"/>
            <w:shd w:val="clear" w:color="auto" w:fill="FFFFFF"/>
            <w:vAlign w:val="center"/>
          </w:tcPr>
          <w:p w14:paraId="009A62BD" w14:textId="77777777" w:rsidR="00E8754B" w:rsidRDefault="00000000" w:rsidP="00445A2D">
            <w:pPr>
              <w:keepNext/>
              <w:keepLines/>
              <w:spacing w:after="20" w:line="245" w:lineRule="auto"/>
              <w:jc w:val="both"/>
            </w:pPr>
            <w:r>
              <w:rPr>
                <w:sz w:val="20"/>
              </w:rPr>
              <w:t>No advantage across matched acquisition and tuning budgets</w:t>
            </w:r>
          </w:p>
        </w:tc>
      </w:tr>
      <w:tr w:rsidR="00E8754B" w14:paraId="3B7F654F" w14:textId="77777777">
        <w:trPr>
          <w:cantSplit/>
          <w:jc w:val="center"/>
        </w:trPr>
        <w:tc>
          <w:tcPr>
            <w:tcW w:w="2664" w:type="dxa"/>
            <w:shd w:val="clear" w:color="auto" w:fill="F7F8FA"/>
            <w:vAlign w:val="center"/>
          </w:tcPr>
          <w:p w14:paraId="20EFB615" w14:textId="77777777" w:rsidR="00E8754B" w:rsidRDefault="00000000" w:rsidP="00445A2D">
            <w:pPr>
              <w:keepNext/>
              <w:keepLines/>
              <w:spacing w:after="20" w:line="245" w:lineRule="auto"/>
              <w:jc w:val="both"/>
            </w:pPr>
            <w:r>
              <w:rPr>
                <w:sz w:val="20"/>
              </w:rPr>
              <w:t>Several teacher timescales add useful information</w:t>
            </w:r>
          </w:p>
        </w:tc>
        <w:tc>
          <w:tcPr>
            <w:tcW w:w="3744" w:type="dxa"/>
            <w:shd w:val="clear" w:color="auto" w:fill="F7F8FA"/>
            <w:vAlign w:val="center"/>
          </w:tcPr>
          <w:p w14:paraId="2728F7A2" w14:textId="77777777" w:rsidR="00E8754B" w:rsidRDefault="00000000" w:rsidP="00445A2D">
            <w:pPr>
              <w:keepNext/>
              <w:keepLines/>
              <w:spacing w:after="20" w:line="245" w:lineRule="auto"/>
              <w:jc w:val="both"/>
            </w:pPr>
            <w:r>
              <w:rPr>
                <w:sz w:val="20"/>
              </w:rPr>
              <w:t>One teacher with matched total loss weight, predictor capacity, and target computation</w:t>
            </w:r>
          </w:p>
        </w:tc>
        <w:tc>
          <w:tcPr>
            <w:tcW w:w="3528" w:type="dxa"/>
            <w:shd w:val="clear" w:color="auto" w:fill="F7F8FA"/>
            <w:vAlign w:val="center"/>
          </w:tcPr>
          <w:p w14:paraId="69B0B793" w14:textId="77777777" w:rsidR="00E8754B" w:rsidRDefault="00000000" w:rsidP="00445A2D">
            <w:pPr>
              <w:keepNext/>
              <w:keepLines/>
              <w:spacing w:after="20" w:line="245" w:lineRule="auto"/>
              <w:jc w:val="both"/>
            </w:pPr>
            <w:r>
              <w:rPr>
                <w:sz w:val="20"/>
              </w:rPr>
              <w:t>Improvement disappears after matching those quantities</w:t>
            </w:r>
          </w:p>
        </w:tc>
      </w:tr>
      <w:tr w:rsidR="00E8754B" w14:paraId="0A315AF8" w14:textId="77777777">
        <w:trPr>
          <w:cantSplit/>
          <w:jc w:val="center"/>
        </w:trPr>
        <w:tc>
          <w:tcPr>
            <w:tcW w:w="2664" w:type="dxa"/>
            <w:shd w:val="clear" w:color="auto" w:fill="FFFFFF"/>
            <w:vAlign w:val="center"/>
          </w:tcPr>
          <w:p w14:paraId="215E588D" w14:textId="77777777" w:rsidR="00E8754B" w:rsidRDefault="00000000" w:rsidP="00445A2D">
            <w:pPr>
              <w:keepNext/>
              <w:keepLines/>
              <w:spacing w:after="20" w:line="245" w:lineRule="auto"/>
              <w:jc w:val="both"/>
            </w:pPr>
            <w:r>
              <w:rPr>
                <w:sz w:val="20"/>
              </w:rPr>
              <w:t>Predictive consolidation changes paths beyond scalar slowing</w:t>
            </w:r>
          </w:p>
        </w:tc>
        <w:tc>
          <w:tcPr>
            <w:tcW w:w="3744" w:type="dxa"/>
            <w:shd w:val="clear" w:color="auto" w:fill="FFFFFF"/>
            <w:vAlign w:val="center"/>
          </w:tcPr>
          <w:p w14:paraId="3B77CC53" w14:textId="77777777" w:rsidR="00E8754B" w:rsidRDefault="00000000" w:rsidP="00445A2D">
            <w:pPr>
              <w:keepNext/>
              <w:keepLines/>
              <w:spacing w:after="20" w:line="245" w:lineRule="auto"/>
              <w:jc w:val="both"/>
            </w:pPr>
            <w:r>
              <w:rPr>
                <w:sz w:val="20"/>
              </w:rPr>
              <w:t>Learning-rate sweeps and moving parameter-space penalties</w:t>
            </w:r>
          </w:p>
        </w:tc>
        <w:tc>
          <w:tcPr>
            <w:tcW w:w="3528" w:type="dxa"/>
            <w:shd w:val="clear" w:color="auto" w:fill="FFFFFF"/>
            <w:vAlign w:val="center"/>
          </w:tcPr>
          <w:p w14:paraId="7DE66158" w14:textId="77777777" w:rsidR="00E8754B" w:rsidRDefault="00000000" w:rsidP="00445A2D">
            <w:pPr>
              <w:keepNext/>
              <w:keepLines/>
              <w:spacing w:after="20" w:line="245" w:lineRule="auto"/>
              <w:jc w:val="both"/>
            </w:pPr>
            <w:r>
              <w:rPr>
                <w:sz w:val="20"/>
              </w:rPr>
              <w:t>Scalar or parameter-space controls reproduce the retention frontier</w:t>
            </w:r>
          </w:p>
        </w:tc>
      </w:tr>
      <w:tr w:rsidR="00E8754B" w14:paraId="666EB507" w14:textId="77777777">
        <w:trPr>
          <w:cantSplit/>
          <w:jc w:val="center"/>
        </w:trPr>
        <w:tc>
          <w:tcPr>
            <w:tcW w:w="2664" w:type="dxa"/>
            <w:shd w:val="clear" w:color="auto" w:fill="F7F8FA"/>
            <w:vAlign w:val="center"/>
          </w:tcPr>
          <w:p w14:paraId="227B8216" w14:textId="77777777" w:rsidR="00E8754B" w:rsidRDefault="00000000" w:rsidP="00445A2D">
            <w:pPr>
              <w:keepNext/>
              <w:keepLines/>
              <w:spacing w:after="20" w:line="245" w:lineRule="auto"/>
              <w:jc w:val="both"/>
            </w:pPr>
            <w:r>
              <w:rPr>
                <w:sz w:val="20"/>
              </w:rPr>
              <w:t>Predictive consolidation remains useful under moderate input shift</w:t>
            </w:r>
          </w:p>
        </w:tc>
        <w:tc>
          <w:tcPr>
            <w:tcW w:w="3744" w:type="dxa"/>
            <w:shd w:val="clear" w:color="auto" w:fill="F7F8FA"/>
            <w:vAlign w:val="center"/>
          </w:tcPr>
          <w:p w14:paraId="773A3CFD" w14:textId="77777777" w:rsidR="00E8754B" w:rsidRDefault="00000000" w:rsidP="00445A2D">
            <w:pPr>
              <w:keepNext/>
              <w:keepLines/>
              <w:spacing w:after="20" w:line="245" w:lineRule="auto"/>
              <w:jc w:val="both"/>
            </w:pPr>
            <w:r>
              <w:rPr>
                <w:sz w:val="20"/>
              </w:rPr>
              <w:t>Compatible tasks with controlled shifts of means or covariance</w:t>
            </w:r>
          </w:p>
        </w:tc>
        <w:tc>
          <w:tcPr>
            <w:tcW w:w="3528" w:type="dxa"/>
            <w:shd w:val="clear" w:color="auto" w:fill="F7F8FA"/>
            <w:vAlign w:val="center"/>
          </w:tcPr>
          <w:p w14:paraId="10429C31" w14:textId="77777777" w:rsidR="00E8754B" w:rsidRDefault="00000000" w:rsidP="00445A2D">
            <w:pPr>
              <w:keepNext/>
              <w:keepLines/>
              <w:spacing w:after="20" w:line="245" w:lineRule="auto"/>
              <w:jc w:val="both"/>
            </w:pPr>
            <w:r>
              <w:rPr>
                <w:sz w:val="20"/>
              </w:rPr>
              <w:t>The benefit vanishes outside identical task input laws</w:t>
            </w:r>
          </w:p>
        </w:tc>
      </w:tr>
      <w:tr w:rsidR="00E8754B" w14:paraId="39FC4398" w14:textId="77777777">
        <w:trPr>
          <w:cantSplit/>
          <w:jc w:val="center"/>
        </w:trPr>
        <w:tc>
          <w:tcPr>
            <w:tcW w:w="2664" w:type="dxa"/>
            <w:shd w:val="clear" w:color="auto" w:fill="FFFFFF"/>
            <w:vAlign w:val="center"/>
          </w:tcPr>
          <w:p w14:paraId="4023B458" w14:textId="77777777" w:rsidR="00E8754B" w:rsidRDefault="00000000" w:rsidP="00445A2D">
            <w:pPr>
              <w:keepLines/>
              <w:spacing w:after="20" w:line="245" w:lineRule="auto"/>
              <w:jc w:val="both"/>
            </w:pPr>
            <w:r>
              <w:rPr>
                <w:sz w:val="20"/>
              </w:rPr>
              <w:t>Activity-dependent recovery contributes to learning</w:t>
            </w:r>
          </w:p>
        </w:tc>
        <w:tc>
          <w:tcPr>
            <w:tcW w:w="3744" w:type="dxa"/>
            <w:shd w:val="clear" w:color="auto" w:fill="FFFFFF"/>
            <w:vAlign w:val="center"/>
          </w:tcPr>
          <w:p w14:paraId="34CA75E7" w14:textId="77777777" w:rsidR="00E8754B" w:rsidRDefault="00000000" w:rsidP="00445A2D">
            <w:pPr>
              <w:keepLines/>
              <w:spacing w:after="20" w:line="245" w:lineRule="auto"/>
              <w:jc w:val="both"/>
            </w:pPr>
            <w:r>
              <w:rPr>
                <w:sz w:val="20"/>
              </w:rPr>
              <w:t>Frozen-parameter sequence tests and ordinary recurrent controls</w:t>
            </w:r>
          </w:p>
        </w:tc>
        <w:tc>
          <w:tcPr>
            <w:tcW w:w="3528" w:type="dxa"/>
            <w:shd w:val="clear" w:color="auto" w:fill="FFFFFF"/>
            <w:vAlign w:val="center"/>
          </w:tcPr>
          <w:p w14:paraId="5619E1E7" w14:textId="77777777" w:rsidR="00E8754B" w:rsidRDefault="00000000" w:rsidP="00445A2D">
            <w:pPr>
              <w:keepLines/>
              <w:spacing w:after="20" w:line="245" w:lineRule="auto"/>
              <w:jc w:val="both"/>
            </w:pPr>
            <w:r>
              <w:rPr>
                <w:sz w:val="20"/>
              </w:rPr>
              <w:t>Recovery has no additional predictive or retention value</w:t>
            </w:r>
          </w:p>
        </w:tc>
      </w:tr>
    </w:tbl>
    <w:p w14:paraId="1DB9EE8B" w14:textId="77777777" w:rsidR="00E8754B" w:rsidRDefault="00000000" w:rsidP="00445A2D">
      <w:pPr>
        <w:pStyle w:val="BodyText"/>
        <w:spacing w:before="100"/>
        <w:jc w:val="both"/>
      </w:pPr>
      <w:r>
        <w:t>The initial architecture experiment should keep identical linear task heads for every method. It should include both a zero-lag stopped-history bank and the corresponding collapsed nonlinear network trained with ordinary backpropagation. This separates historical state from the effect of the partial gradient itself. Initial functions and first-task acquisition should be matched where possible, with remaining differences reported rather than hidden by one nominal learning rate.</w:t>
      </w:r>
    </w:p>
    <w:p w14:paraId="0101198D" w14:textId="77777777" w:rsidR="00E8754B" w:rsidRDefault="00000000" w:rsidP="00445A2D">
      <w:pPr>
        <w:pStyle w:val="BodyText"/>
        <w:jc w:val="both"/>
      </w:pPr>
      <w:r>
        <w:t>Evaluation should report old-task loss against achieved new-task loss, not only against update count. It should include unchanged old heads, refitted linear probes, both online and teacher representations, representation rank, and wall-clock and memory costs. Probe regularization should be selected consistently, since feature scaling can otherwise alter the ridge-regression result. Task orders, random seeds, and hyperparameter selection data should be fixed before the final comparison.</w:t>
      </w:r>
    </w:p>
    <w:p w14:paraId="223DDB8A" w14:textId="77777777" w:rsidR="00E8754B" w:rsidRDefault="00000000" w:rsidP="00445A2D">
      <w:pPr>
        <w:pStyle w:val="BodyText"/>
        <w:jc w:val="both"/>
      </w:pPr>
      <w:r>
        <w:t>Distribution-shift experiments should retain a verified joint solution. Merely rotating an isotropic Gaussian does not change its distribution; shifts of means, anisotropic covariance, or support are needed. A third independent five-feature teacher also requires reconsidering the ten-unit capacity. Increasing width or constructing shared teacher features avoids turning the evaluation into an impossible task.</w:t>
      </w:r>
    </w:p>
    <w:p w14:paraId="3A1C0225" w14:textId="77777777" w:rsidR="00E8754B" w:rsidRDefault="00000000" w:rsidP="00445A2D">
      <w:pPr>
        <w:pStyle w:val="BodyText"/>
        <w:jc w:val="both"/>
      </w:pPr>
      <w:r>
        <w:t xml:space="preserve">The next self-supervised study should compare sequential BYOL, CaSSLe, a single moving-teacher objective, and the nonlinear-bank extension under the same augmentations, backbone, and evaluation </w:t>
      </w:r>
      <w:r>
        <w:lastRenderedPageBreak/>
        <w:t>protocol [3,4]. Split CIFAR-100 and Split ImageNet-100 are proposed test settings, not sources of results in this paper. An always-active version and a boundary-triggered version should be distinguished, because the pilot activates its auxiliary loss at a known task boundary.</w:t>
      </w:r>
    </w:p>
    <w:p w14:paraId="5F8B0F95" w14:textId="77777777" w:rsidR="00E8754B" w:rsidRDefault="00000000" w:rsidP="00445A2D">
      <w:pPr>
        <w:pStyle w:val="BodyText"/>
        <w:jc w:val="both"/>
      </w:pPr>
      <w:r>
        <w:t>Teacher-removal tests should be repeated across seeds, activation durations, and task orders. Checkpoint resets of the teacher, common-state live-versus-frozen comparisons, and controlled gradient noise would help distinguish transient guidance from ongoing stabilization. A future claim of a retention advantage should require improvement over the single-teacher baseline on a matched acquisition frontier with uncertainty estimates, rather than a favorable isolated endpoint.</w:t>
      </w:r>
    </w:p>
    <w:p w14:paraId="74E1A9E2" w14:textId="77777777" w:rsidR="00E8754B" w:rsidRDefault="00000000" w:rsidP="00445A2D">
      <w:pPr>
        <w:pStyle w:val="Heading1"/>
        <w:spacing w:after="100"/>
        <w:jc w:val="both"/>
      </w:pPr>
      <w:bookmarkStart w:id="22" w:name="Xc6fceb49feff505edb8ad7a95ffb8e055defde4"/>
      <w:bookmarkEnd w:id="21"/>
      <w:r>
        <w:t>9 Computational cost and implementation scope</w:t>
      </w:r>
    </w:p>
    <w:p w14:paraId="103F2C61" w14:textId="77777777" w:rsidR="00E8754B" w:rsidRDefault="00000000" w:rsidP="00445A2D">
      <w:pPr>
        <w:jc w:val="both"/>
      </w:pPr>
      <w:r>
        <w:t xml:space="preserve">For </w:t>
      </w:r>
      <m:oMath>
        <m:r>
          <w:rPr>
            <w:rFonts w:ascii="Cambria Math" w:hAnsi="Cambria Math"/>
          </w:rPr>
          <m:t>P</m:t>
        </m:r>
      </m:oMath>
      <w:r>
        <w:t xml:space="preserve"> active parameters and </w:t>
      </w:r>
      <m:oMath>
        <m:r>
          <w:rPr>
            <w:rFonts w:ascii="Cambria Math" w:hAnsi="Cambria Math"/>
          </w:rPr>
          <m:t>K</m:t>
        </m:r>
      </m:oMath>
      <w:r>
        <w:t xml:space="preserve"> full historical members, the bank stores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P</m:t>
        </m:r>
      </m:oMath>
      <w:r>
        <w:t xml:space="preserve"> parameter scalars before gradients and optimizer state. Stop-gradient treatment avoids optimizer moments for historical members, but does not remove their storage or forward computation. Both linear and weight-level nonlinear banks can be compiled to </w:t>
      </w:r>
      <m:oMath>
        <m:r>
          <w:rPr>
            <w:rFonts w:ascii="Cambria Math" w:hAnsi="Cambria Math"/>
          </w:rPr>
          <m:t>P</m:t>
        </m:r>
      </m:oMath>
      <w:r>
        <w:t xml:space="preserve"> inference weights. The pathway bank generally retains its separate members and nonlinear operations at deployment.</w:t>
      </w:r>
    </w:p>
    <w:p w14:paraId="629640A8" w14:textId="77777777" w:rsidR="00E8754B" w:rsidRDefault="00000000" w:rsidP="00445A2D">
      <w:pPr>
        <w:pStyle w:val="Caption"/>
        <w:keepNext/>
        <w:keepLines/>
        <w:jc w:val="both"/>
      </w:pPr>
      <w:r>
        <w:rPr>
          <w:b/>
        </w:rPr>
        <w:t>Table 5. Parameter-state and forward-computation costs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020" w:firstRow="1" w:lastRow="0" w:firstColumn="0" w:lastColumn="0" w:noHBand="0" w:noVBand="0"/>
      </w:tblPr>
      <w:tblGrid>
        <w:gridCol w:w="3305"/>
        <w:gridCol w:w="3452"/>
        <w:gridCol w:w="3379"/>
      </w:tblGrid>
      <w:tr w:rsidR="00E8754B" w14:paraId="66C36A36" w14:textId="77777777">
        <w:trPr>
          <w:cantSplit/>
          <w:tblHeader/>
          <w:jc w:val="center"/>
        </w:trPr>
        <w:tc>
          <w:tcPr>
            <w:tcW w:w="3240" w:type="dxa"/>
            <w:shd w:val="clear" w:color="auto" w:fill="E6EEF4"/>
            <w:vAlign w:val="center"/>
          </w:tcPr>
          <w:p w14:paraId="393B4872" w14:textId="77777777" w:rsidR="00E8754B" w:rsidRDefault="00000000" w:rsidP="00445A2D">
            <w:pPr>
              <w:keepNext/>
              <w:keepLines/>
              <w:spacing w:after="20" w:line="245" w:lineRule="auto"/>
              <w:jc w:val="both"/>
            </w:pPr>
            <w:r>
              <w:rPr>
                <w:b/>
                <w:sz w:val="20"/>
              </w:rPr>
              <w:t>Construction</w:t>
            </w:r>
          </w:p>
        </w:tc>
        <w:tc>
          <w:tcPr>
            <w:tcW w:w="3384" w:type="dxa"/>
            <w:shd w:val="clear" w:color="auto" w:fill="E6EEF4"/>
            <w:vAlign w:val="center"/>
          </w:tcPr>
          <w:p w14:paraId="325707F8" w14:textId="77777777" w:rsidR="00E8754B" w:rsidRDefault="00000000" w:rsidP="00445A2D">
            <w:pPr>
              <w:keepNext/>
              <w:keepLines/>
              <w:spacing w:after="20" w:line="245" w:lineRule="auto"/>
              <w:jc w:val="both"/>
            </w:pPr>
            <w:r>
              <w:rPr>
                <w:b/>
                <w:sz w:val="20"/>
              </w:rPr>
              <w:t>Parameter state during training</w:t>
            </w:r>
          </w:p>
        </w:tc>
        <w:tc>
          <w:tcPr>
            <w:tcW w:w="3312" w:type="dxa"/>
            <w:shd w:val="clear" w:color="auto" w:fill="E6EEF4"/>
            <w:vAlign w:val="center"/>
          </w:tcPr>
          <w:p w14:paraId="4FD984AB" w14:textId="77777777" w:rsidR="00E8754B" w:rsidRDefault="00000000" w:rsidP="00445A2D">
            <w:pPr>
              <w:keepNext/>
              <w:keepLines/>
              <w:spacing w:after="20" w:line="245" w:lineRule="auto"/>
              <w:jc w:val="both"/>
            </w:pPr>
            <w:r>
              <w:rPr>
                <w:b/>
                <w:sz w:val="20"/>
              </w:rPr>
              <w:t>Inference computation</w:t>
            </w:r>
          </w:p>
        </w:tc>
      </w:tr>
      <w:tr w:rsidR="00E8754B" w14:paraId="2577DDF5" w14:textId="77777777">
        <w:trPr>
          <w:cantSplit/>
          <w:jc w:val="center"/>
        </w:trPr>
        <w:tc>
          <w:tcPr>
            <w:tcW w:w="3240" w:type="dxa"/>
            <w:shd w:val="clear" w:color="auto" w:fill="FFFFFF"/>
            <w:vAlign w:val="center"/>
          </w:tcPr>
          <w:p w14:paraId="71CE8E81" w14:textId="77777777" w:rsidR="00E8754B" w:rsidRDefault="00000000" w:rsidP="00445A2D">
            <w:pPr>
              <w:keepNext/>
              <w:keepLines/>
              <w:spacing w:after="20" w:line="245" w:lineRule="auto"/>
              <w:jc w:val="both"/>
            </w:pPr>
            <w:r>
              <w:rPr>
                <w:sz w:val="20"/>
              </w:rPr>
              <w:t>Plain network</w:t>
            </w:r>
          </w:p>
        </w:tc>
        <w:tc>
          <w:tcPr>
            <w:tcW w:w="3384" w:type="dxa"/>
            <w:shd w:val="clear" w:color="auto" w:fill="FFFFFF"/>
            <w:vAlign w:val="center"/>
          </w:tcPr>
          <w:p w14:paraId="1C3DD27E" w14:textId="77777777" w:rsidR="00E8754B" w:rsidRDefault="00000000" w:rsidP="00445A2D">
            <w:pPr>
              <w:keepNext/>
              <w:keepLines/>
              <w:spacing w:after="20" w:line="245" w:lineRule="auto"/>
              <w:jc w:val="both"/>
            </w:pPr>
            <m:oMathPara>
              <m:oMath>
                <m:r>
                  <w:rPr>
                    <w:rFonts w:ascii="Cambria Math" w:hAnsi="Cambria Math"/>
                  </w:rPr>
                  <m:t>P</m:t>
                </m:r>
              </m:oMath>
            </m:oMathPara>
          </w:p>
        </w:tc>
        <w:tc>
          <w:tcPr>
            <w:tcW w:w="3312" w:type="dxa"/>
            <w:shd w:val="clear" w:color="auto" w:fill="FFFFFF"/>
            <w:vAlign w:val="center"/>
          </w:tcPr>
          <w:p w14:paraId="0AC0E758" w14:textId="77777777" w:rsidR="00E8754B" w:rsidRDefault="00000000" w:rsidP="00445A2D">
            <w:pPr>
              <w:keepNext/>
              <w:keepLines/>
              <w:spacing w:after="20" w:line="245" w:lineRule="auto"/>
              <w:jc w:val="both"/>
            </w:pPr>
            <w:r>
              <w:rPr>
                <w:sz w:val="20"/>
              </w:rPr>
              <w:t>Conventional forward pass</w:t>
            </w:r>
          </w:p>
        </w:tc>
      </w:tr>
      <w:tr w:rsidR="00E8754B" w14:paraId="7E81F426" w14:textId="77777777">
        <w:trPr>
          <w:cantSplit/>
          <w:jc w:val="center"/>
        </w:trPr>
        <w:tc>
          <w:tcPr>
            <w:tcW w:w="3240" w:type="dxa"/>
            <w:shd w:val="clear" w:color="auto" w:fill="F7F8FA"/>
            <w:vAlign w:val="center"/>
          </w:tcPr>
          <w:p w14:paraId="028AC252" w14:textId="77777777" w:rsidR="00E8754B" w:rsidRDefault="00000000" w:rsidP="00445A2D">
            <w:pPr>
              <w:keepNext/>
              <w:keepLines/>
              <w:spacing w:after="20" w:line="245" w:lineRule="auto"/>
              <w:jc w:val="both"/>
            </w:pPr>
            <w:r>
              <w:rPr>
                <w:sz w:val="20"/>
              </w:rPr>
              <w:t>Plain network with one EMA teacher</w:t>
            </w:r>
          </w:p>
        </w:tc>
        <w:tc>
          <w:tcPr>
            <w:tcW w:w="3384" w:type="dxa"/>
            <w:shd w:val="clear" w:color="auto" w:fill="F7F8FA"/>
            <w:vAlign w:val="center"/>
          </w:tcPr>
          <w:p w14:paraId="204D6DC0" w14:textId="77777777" w:rsidR="00E8754B" w:rsidRDefault="00000000" w:rsidP="00445A2D">
            <w:pPr>
              <w:keepNext/>
              <w:keepLines/>
              <w:spacing w:after="20" w:line="245" w:lineRule="auto"/>
              <w:jc w:val="both"/>
            </w:pPr>
            <m:oMath>
              <m:r>
                <w:rPr>
                  <w:rFonts w:ascii="Cambria Math" w:hAnsi="Cambria Math"/>
                </w:rPr>
                <m:t>2P</m:t>
              </m:r>
            </m:oMath>
            <w:r>
              <w:rPr>
                <w:sz w:val="20"/>
              </w:rPr>
              <w:t xml:space="preserve"> </w:t>
            </w:r>
            <w:proofErr w:type="gramStart"/>
            <w:r>
              <w:rPr>
                <w:sz w:val="20"/>
              </w:rPr>
              <w:t>plus</w:t>
            </w:r>
            <w:proofErr w:type="gramEnd"/>
            <w:r>
              <w:rPr>
                <w:sz w:val="20"/>
              </w:rPr>
              <w:t xml:space="preserve"> predictor</w:t>
            </w:r>
          </w:p>
        </w:tc>
        <w:tc>
          <w:tcPr>
            <w:tcW w:w="3312" w:type="dxa"/>
            <w:shd w:val="clear" w:color="auto" w:fill="F7F8FA"/>
            <w:vAlign w:val="center"/>
          </w:tcPr>
          <w:p w14:paraId="55782DCD" w14:textId="77777777" w:rsidR="00E8754B" w:rsidRDefault="00000000" w:rsidP="00445A2D">
            <w:pPr>
              <w:keepNext/>
              <w:keepLines/>
              <w:spacing w:after="20" w:line="245" w:lineRule="auto"/>
              <w:jc w:val="both"/>
            </w:pPr>
            <w:r>
              <w:rPr>
                <w:sz w:val="20"/>
              </w:rPr>
              <w:t>Conventional student forward pass</w:t>
            </w:r>
          </w:p>
        </w:tc>
      </w:tr>
      <w:tr w:rsidR="00E8754B" w14:paraId="4E35E08D" w14:textId="77777777">
        <w:trPr>
          <w:cantSplit/>
          <w:jc w:val="center"/>
        </w:trPr>
        <w:tc>
          <w:tcPr>
            <w:tcW w:w="3240" w:type="dxa"/>
            <w:shd w:val="clear" w:color="auto" w:fill="FFFFFF"/>
            <w:vAlign w:val="center"/>
          </w:tcPr>
          <w:p w14:paraId="5A805E79" w14:textId="77777777" w:rsidR="00E8754B" w:rsidRDefault="00000000" w:rsidP="00445A2D">
            <w:pPr>
              <w:keepNext/>
              <w:keepLines/>
              <w:spacing w:after="20" w:line="245" w:lineRule="auto"/>
              <w:jc w:val="both"/>
            </w:pPr>
            <w:r>
              <w:rPr>
                <w:sz w:val="20"/>
              </w:rPr>
              <w:t>Linear or weight-level nonlinear bank</w:t>
            </w:r>
          </w:p>
        </w:tc>
        <w:tc>
          <w:tcPr>
            <w:tcW w:w="3384" w:type="dxa"/>
            <w:shd w:val="clear" w:color="auto" w:fill="FFFFFF"/>
            <w:vAlign w:val="center"/>
          </w:tcPr>
          <w:p w14:paraId="09B52DCA" w14:textId="77777777" w:rsidR="00E8754B" w:rsidRDefault="00000000" w:rsidP="00445A2D">
            <w:pPr>
              <w:keepNext/>
              <w:keepLines/>
              <w:spacing w:after="20" w:line="245" w:lineRule="auto"/>
              <w:jc w:val="both"/>
            </w:pPr>
            <m:oMathPara>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P</m:t>
                </m:r>
              </m:oMath>
            </m:oMathPara>
          </w:p>
        </w:tc>
        <w:tc>
          <w:tcPr>
            <w:tcW w:w="3312" w:type="dxa"/>
            <w:shd w:val="clear" w:color="auto" w:fill="FFFFFF"/>
            <w:vAlign w:val="center"/>
          </w:tcPr>
          <w:p w14:paraId="06AA4C18" w14:textId="77777777" w:rsidR="00E8754B" w:rsidRDefault="00000000" w:rsidP="00445A2D">
            <w:pPr>
              <w:keepNext/>
              <w:keepLines/>
              <w:spacing w:after="20" w:line="245" w:lineRule="auto"/>
              <w:jc w:val="both"/>
            </w:pPr>
            <w:r>
              <w:rPr>
                <w:sz w:val="20"/>
              </w:rPr>
              <w:t>One compiled parameter vector</w:t>
            </w:r>
          </w:p>
        </w:tc>
      </w:tr>
      <w:tr w:rsidR="00E8754B" w14:paraId="55ED2DE1" w14:textId="77777777">
        <w:trPr>
          <w:cantSplit/>
          <w:jc w:val="center"/>
        </w:trPr>
        <w:tc>
          <w:tcPr>
            <w:tcW w:w="3240" w:type="dxa"/>
            <w:shd w:val="clear" w:color="auto" w:fill="F7F8FA"/>
            <w:vAlign w:val="center"/>
          </w:tcPr>
          <w:p w14:paraId="03F46508" w14:textId="77777777" w:rsidR="00E8754B" w:rsidRDefault="00000000" w:rsidP="00445A2D">
            <w:pPr>
              <w:keepNext/>
              <w:keepLines/>
              <w:spacing w:after="20" w:line="245" w:lineRule="auto"/>
              <w:jc w:val="both"/>
            </w:pPr>
            <w:r>
              <w:rPr>
                <w:sz w:val="20"/>
              </w:rPr>
              <w:t>Pathway nonlinear bank</w:t>
            </w:r>
          </w:p>
        </w:tc>
        <w:tc>
          <w:tcPr>
            <w:tcW w:w="3384" w:type="dxa"/>
            <w:shd w:val="clear" w:color="auto" w:fill="F7F8FA"/>
            <w:vAlign w:val="center"/>
          </w:tcPr>
          <w:p w14:paraId="51D49549" w14:textId="77777777" w:rsidR="00E8754B" w:rsidRDefault="00000000" w:rsidP="00445A2D">
            <w:pPr>
              <w:keepNext/>
              <w:keepLines/>
              <w:spacing w:after="20" w:line="245" w:lineRule="auto"/>
              <w:jc w:val="both"/>
            </w:pPr>
            <m:oMathPara>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P</m:t>
                </m:r>
              </m:oMath>
            </m:oMathPara>
          </w:p>
        </w:tc>
        <w:tc>
          <w:tcPr>
            <w:tcW w:w="3312" w:type="dxa"/>
            <w:shd w:val="clear" w:color="auto" w:fill="F7F8FA"/>
            <w:vAlign w:val="center"/>
          </w:tcPr>
          <w:p w14:paraId="636FDFE5" w14:textId="77777777" w:rsidR="00E8754B" w:rsidRDefault="00000000" w:rsidP="00445A2D">
            <w:pPr>
              <w:keepNext/>
              <w:keepLines/>
              <w:spacing w:after="20" w:line="245" w:lineRule="auto"/>
              <w:jc w:val="both"/>
            </w:pPr>
            <w:r>
              <w:rPr>
                <w:sz w:val="20"/>
              </w:rPr>
              <w:t>Separate nonlinear historical contributions</w:t>
            </w:r>
          </w:p>
        </w:tc>
      </w:tr>
      <w:tr w:rsidR="00E8754B" w14:paraId="2C3A6C7E" w14:textId="77777777">
        <w:trPr>
          <w:cantSplit/>
          <w:jc w:val="center"/>
        </w:trPr>
        <w:tc>
          <w:tcPr>
            <w:tcW w:w="3240" w:type="dxa"/>
            <w:shd w:val="clear" w:color="auto" w:fill="FFFFFF"/>
            <w:vAlign w:val="center"/>
          </w:tcPr>
          <w:p w14:paraId="0705FAD7" w14:textId="77777777" w:rsidR="00E8754B" w:rsidRDefault="00000000" w:rsidP="00445A2D">
            <w:pPr>
              <w:keepLines/>
              <w:spacing w:after="20" w:line="245" w:lineRule="auto"/>
              <w:jc w:val="both"/>
            </w:pPr>
            <w:r>
              <w:rPr>
                <w:sz w:val="20"/>
              </w:rPr>
              <w:t>Pathway bank with consensus teacher</w:t>
            </w:r>
          </w:p>
        </w:tc>
        <w:tc>
          <w:tcPr>
            <w:tcW w:w="3384" w:type="dxa"/>
            <w:shd w:val="clear" w:color="auto" w:fill="FFFFFF"/>
            <w:vAlign w:val="center"/>
          </w:tcPr>
          <w:p w14:paraId="0B74C561" w14:textId="77777777" w:rsidR="00E8754B" w:rsidRDefault="00000000" w:rsidP="00445A2D">
            <w:pPr>
              <w:keepLines/>
              <w:spacing w:after="20" w:line="245" w:lineRule="auto"/>
              <w:jc w:val="both"/>
            </w:pP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P</m:t>
              </m:r>
            </m:oMath>
            <w:r>
              <w:rPr>
                <w:sz w:val="20"/>
              </w:rPr>
              <w:t xml:space="preserve"> </w:t>
            </w:r>
            <w:proofErr w:type="gramStart"/>
            <w:r>
              <w:rPr>
                <w:sz w:val="20"/>
              </w:rPr>
              <w:t>plus</w:t>
            </w:r>
            <w:proofErr w:type="gramEnd"/>
            <w:r>
              <w:rPr>
                <w:sz w:val="20"/>
              </w:rPr>
              <w:t xml:space="preserve"> predictor</w:t>
            </w:r>
          </w:p>
        </w:tc>
        <w:tc>
          <w:tcPr>
            <w:tcW w:w="3312" w:type="dxa"/>
            <w:shd w:val="clear" w:color="auto" w:fill="FFFFFF"/>
            <w:vAlign w:val="center"/>
          </w:tcPr>
          <w:p w14:paraId="19C4C15A" w14:textId="77777777" w:rsidR="00E8754B" w:rsidRDefault="00000000" w:rsidP="00445A2D">
            <w:pPr>
              <w:keepLines/>
              <w:spacing w:after="20" w:line="245" w:lineRule="auto"/>
              <w:jc w:val="both"/>
            </w:pPr>
            <w:r>
              <w:rPr>
                <w:sz w:val="20"/>
              </w:rPr>
              <w:t>Bank forward pass; teacher used during training</w:t>
            </w:r>
          </w:p>
        </w:tc>
      </w:tr>
    </w:tbl>
    <w:p w14:paraId="5860EC99" w14:textId="77777777" w:rsidR="00E8754B" w:rsidRDefault="00000000" w:rsidP="00445A2D">
      <w:pPr>
        <w:pStyle w:val="BodyText"/>
        <w:spacing w:before="100"/>
        <w:jc w:val="both"/>
      </w:pPr>
      <w:r>
        <w:t>The table excludes gradients, optimizer state, activations, and task-head accounting differences. Per-synapse pathway nonlinearities also reduce the extent to which computation can be expressed as a single optimized matrix multiplication. A naive implementation materializes products for each batch item and synapse, creating intermediate storage proportional to batch size times layer parameter count. Blocking or custom kernels can reduce peak storage, but throughput must be measured.</w:t>
      </w:r>
    </w:p>
    <w:p w14:paraId="196186B8" w14:textId="77777777" w:rsidR="00E8754B" w:rsidRDefault="00000000" w:rsidP="00445A2D">
      <w:pPr>
        <w:pStyle w:val="BodyText"/>
        <w:jc w:val="both"/>
      </w:pPr>
      <w:r>
        <w:t>Vesicle-like activity states introduce an additional deployment cost that depends on the number of independent sequences and compartments. Sharing recovery state across unrelated sequences changes the model’s semantics. Block-level or low-rank history approximations may reduce cost, but they should be evaluated as approximations rather than presented as identical to the full per-weight proposal.</w:t>
      </w:r>
    </w:p>
    <w:p w14:paraId="4D7A1237" w14:textId="77777777" w:rsidR="00E8754B" w:rsidRDefault="00000000" w:rsidP="00445A2D">
      <w:pPr>
        <w:pStyle w:val="Heading1"/>
        <w:spacing w:after="100"/>
        <w:jc w:val="both"/>
      </w:pPr>
      <w:bookmarkStart w:id="23" w:name="discussion-and-conclusion"/>
      <w:bookmarkEnd w:id="22"/>
      <w:r>
        <w:t>10 Discussion and conclusion</w:t>
      </w:r>
    </w:p>
    <w:p w14:paraId="5F19ABDC" w14:textId="77777777" w:rsidR="00E8754B" w:rsidRDefault="00000000" w:rsidP="00445A2D">
      <w:pPr>
        <w:jc w:val="both"/>
      </w:pPr>
      <w:r>
        <w:t>The useful distinction is between retaining a state and retaining access to a function. Linear history fusion can be exactly an optimizer state representation. Weight nonlinearities change that state mapping without necessarily changing the inference architecture. Pathway nonlinearities alter the transfer function, but their additional expressivity does not select which old capabilities should survive.</w:t>
      </w:r>
    </w:p>
    <w:p w14:paraId="76E2F5A1" w14:textId="77777777" w:rsidR="00E8754B" w:rsidRDefault="00000000" w:rsidP="00445A2D">
      <w:pPr>
        <w:pStyle w:val="BodyText"/>
        <w:jc w:val="both"/>
      </w:pPr>
      <w:r>
        <w:t xml:space="preserve">Predictive consolidation addresses this selection through a constraint on represented functions. A moving reference can influence the learning trajectory even when no fixed historical copy remains. The targeted </w:t>
      </w:r>
      <w:r>
        <w:lastRenderedPageBreak/>
        <w:t>teacher-removal result is consistent with that mechanism, while the input-coverage and realizability conditions explain why it cannot be generalized directly to unrestricted continual learning.</w:t>
      </w:r>
    </w:p>
    <w:p w14:paraId="7BF6121A" w14:textId="77777777" w:rsidR="00E8754B" w:rsidRDefault="00000000" w:rsidP="00445A2D">
      <w:pPr>
        <w:pStyle w:val="BodyText"/>
        <w:jc w:val="both"/>
      </w:pPr>
      <w:r>
        <w:t>A biological extension becomes more informative when it introduces the variables that the biological mechanism actually uses: release availability, recovery, concentration, and binding. These states evolve with activity. Treating them separately from training-time parameter histories creates a model whose claims can be tested without equating vesicle turnover or serotonin transport with a stored optimizer trajectory.</w:t>
      </w:r>
    </w:p>
    <w:p w14:paraId="2A216FF3" w14:textId="77777777" w:rsidR="00E8754B" w:rsidRDefault="00000000" w:rsidP="00445A2D">
      <w:pPr>
        <w:pStyle w:val="BodyText"/>
        <w:jc w:val="both"/>
      </w:pPr>
      <w:r>
        <w:t>SSRI should therefore be developed as a family of explicitly specified mechanisms. The current evidence supports a strong moving-teacher baseline and does not demonstrate a standalone benefit from the tested nonlinear banks. The next substantive result would be an advantage from nonlinear historical state after matching architecture, acquisition, coverage, and computation. Establishing that advantage would identify a contribution beyond temporal distillation; failing to establish it would still clarify where synaptic complexity is computationally useful.</w:t>
      </w:r>
    </w:p>
    <w:p w14:paraId="5FD08488" w14:textId="77777777" w:rsidR="00E8754B" w:rsidRDefault="00000000" w:rsidP="00445A2D">
      <w:pPr>
        <w:pStyle w:val="Heading1"/>
        <w:spacing w:after="100"/>
        <w:jc w:val="both"/>
      </w:pPr>
      <w:bookmarkStart w:id="24" w:name="appendix-a-reproducibility-details"/>
      <w:bookmarkEnd w:id="23"/>
      <w:r>
        <w:t>Appendix A Reproducibility details</w:t>
      </w:r>
    </w:p>
    <w:p w14:paraId="5D794BA4" w14:textId="77777777" w:rsidR="00E8754B" w:rsidRDefault="00000000" w:rsidP="00445A2D">
      <w:pPr>
        <w:jc w:val="both"/>
      </w:pPr>
      <w:r>
        <w:t xml:space="preserve">The pilot implementation uses NumPy in double precision. Problem seeds are 0, 1, and 2 in the three-seed summary; the intervention uses seed 0. Input-stream seeds are the problem seed plus 10000. Teacher matrices have independent standard-normal entries scaled by </w:t>
      </w:r>
      <m:oMath>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50</m:t>
            </m:r>
          </m:e>
        </m:rad>
      </m:oMath>
      <w:r>
        <w:t xml:space="preserve">. Initial shared weights use scale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50</m:t>
            </m:r>
          </m:e>
        </m:rad>
      </m:oMath>
      <w:r>
        <w:t xml:space="preserve"> and head weights use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10</m:t>
            </m:r>
          </m:e>
        </m:rad>
      </m:oMath>
      <w:r>
        <w:t>; biases are zero.</w:t>
      </w:r>
    </w:p>
    <w:p w14:paraId="1157C48C" w14:textId="77777777" w:rsidR="00E8754B" w:rsidRDefault="00000000" w:rsidP="00445A2D">
      <w:pPr>
        <w:pStyle w:val="BodyText"/>
        <w:jc w:val="both"/>
      </w:pPr>
      <w:r>
        <w:t xml:space="preserve">EMA banks use active learning rate 0.2, active coefficient 0.2, and four historical coefficients of 0.2. Pathway saturation scales are 0.05, 0.1, 0.2, and 0.4. The auxiliary objective in the code is the unhalved squared feature discrepancy with coefficient 1; </w:t>
      </w:r>
      <w:proofErr w:type="gramStart"/>
      <w:r>
        <w:t>thus</w:t>
      </w:r>
      <w:proofErr w:type="gramEnd"/>
      <w:r>
        <w:t xml:space="preserve"> its coefficient corresponds to </w:t>
      </w:r>
      <m:oMath>
        <m:r>
          <w:rPr>
            <w:rFonts w:ascii="Cambria Math" w:hAnsi="Cambria Math"/>
          </w:rPr>
          <m:t>λ</m:t>
        </m:r>
        <m:r>
          <m:rPr>
            <m:sty m:val="p"/>
          </m:rPr>
          <w:rPr>
            <w:rFonts w:ascii="Cambria Math" w:hAnsi="Cambria Math"/>
          </w:rPr>
          <m:t>=</m:t>
        </m:r>
        <m:r>
          <w:rPr>
            <w:rFonts w:ascii="Cambria Math" w:hAnsi="Cambria Math"/>
          </w:rPr>
          <m:t>2</m:t>
        </m:r>
      </m:oMath>
      <w:r>
        <w:t xml:space="preserve"> under the half-squared convention in (9). The ten-by-ten predictor starts as the identity and uses learning rate 0.04. There are no augmentations, projection heads, or target normalization in this pilot.</w:t>
      </w:r>
    </w:p>
    <w:p w14:paraId="6F1BECE6" w14:textId="77777777" w:rsidR="00E8754B" w:rsidRDefault="00000000" w:rsidP="00445A2D">
      <w:pPr>
        <w:pStyle w:val="BodyText"/>
        <w:jc w:val="both"/>
      </w:pPr>
      <w:r>
        <w:t xml:space="preserve">The conservative chain uses conductances 0.1, 0.01, 0.001, and 0.0001, unit capacities, and flux </w:t>
      </w:r>
      <m:oMath>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 0.1</m:t>
        </m:r>
        <m:r>
          <m:rPr>
            <m:sty m:val="p"/>
          </m:rPr>
          <w:rPr>
            <w:rFonts w:ascii="Cambria Math" w:hAnsi="Cambria Math"/>
          </w:rPr>
          <m:t>tanh</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0.1</m:t>
            </m:r>
          </m:e>
        </m:d>
      </m:oMath>
      <w:r>
        <w:t>. Its nominal active learning rate is 1.0. This rate compensates a linear consensus gain calculation; it does not match the nonlinear functional response to SGD. Dead-zone members use tolerance 0.05 and a rate-scaled update toward the tolerance band.</w:t>
      </w:r>
    </w:p>
    <w:p w14:paraId="1D5C1CAE" w14:textId="77777777" w:rsidR="00E8754B" w:rsidRDefault="00000000" w:rsidP="00445A2D">
      <w:pPr>
        <w:pStyle w:val="BodyText"/>
        <w:jc w:val="both"/>
      </w:pPr>
      <w:r>
        <w:t>For the removal intervention, only the task-2 horizon and the condition activating the auxiliary loss are changed. Task 2 runs for 200000 updates, with checkpoints at 0, 5000, 40000, 100000, and 200000. The teacher-loss cutoff is either absent, 5000, or 40000. When the loss is inactive, the predictor receives no update. The plain SGD comparison uses the same initialization and input-stream seed.</w:t>
      </w:r>
    </w:p>
    <w:p w14:paraId="71C5130E" w14:textId="77777777" w:rsidR="00E8754B" w:rsidRDefault="00000000" w:rsidP="00445A2D">
      <w:pPr>
        <w:pStyle w:val="BodyText"/>
        <w:jc w:val="both"/>
      </w:pPr>
      <w:r>
        <w:t>The three-seed table should be treated as a preliminary pilot summary until its complete raw outputs, uncertainty estimates, and a versioned executable implementation are archived together. The single-seed removal table is an independently executed intervention and is not a replacement for that multi-seed validation. No real-data benchmark scores are inferred from either table.</w:t>
      </w:r>
    </w:p>
    <w:p w14:paraId="3078E3BE" w14:textId="77777777" w:rsidR="00E8754B" w:rsidRDefault="00000000" w:rsidP="00445A2D">
      <w:pPr>
        <w:pStyle w:val="Heading1"/>
        <w:pageBreakBefore/>
        <w:spacing w:after="100"/>
        <w:jc w:val="both"/>
      </w:pPr>
      <w:bookmarkStart w:id="25" w:name="references"/>
      <w:bookmarkEnd w:id="24"/>
      <w:r>
        <w:lastRenderedPageBreak/>
        <w:t>References</w:t>
      </w:r>
    </w:p>
    <w:p w14:paraId="28C5B9FB" w14:textId="5A7048B8" w:rsidR="00E8754B" w:rsidRDefault="00000000" w:rsidP="00445A2D">
      <w:pPr>
        <w:keepLines/>
        <w:spacing w:after="140" w:line="245" w:lineRule="auto"/>
        <w:jc w:val="both"/>
      </w:pPr>
      <w:r>
        <w:rPr>
          <w:sz w:val="20"/>
        </w:rPr>
        <w:t xml:space="preserve">[1] Kirkpatrick, J., et al. (2017). Overcoming catastrophic forgetting in neural networks. </w:t>
      </w:r>
      <w:r>
        <w:rPr>
          <w:i/>
          <w:iCs/>
          <w:sz w:val="20"/>
        </w:rPr>
        <w:t>Proceedings of the National Academy of Sciences</w:t>
      </w:r>
      <w:r>
        <w:rPr>
          <w:sz w:val="20"/>
        </w:rPr>
        <w:t xml:space="preserve">, 114(13), 3521–3526. </w:t>
      </w:r>
      <w:hyperlink r:id="rId11" w:history="1">
        <w:r w:rsidR="00A93AE1" w:rsidRPr="003170BF">
          <w:rPr>
            <w:rStyle w:val="Hyperlink"/>
            <w:sz w:val="20"/>
          </w:rPr>
          <w:t>https://doi.org/10.1073/pnas.1611835114</w:t>
        </w:r>
      </w:hyperlink>
      <w:r w:rsidR="00A93AE1">
        <w:rPr>
          <w:sz w:val="20"/>
        </w:rPr>
        <w:t xml:space="preserve"> </w:t>
      </w:r>
    </w:p>
    <w:p w14:paraId="447C9060" w14:textId="6F81EB4E" w:rsidR="00E8754B" w:rsidRDefault="00000000" w:rsidP="00445A2D">
      <w:pPr>
        <w:pStyle w:val="BodyText"/>
        <w:keepLines/>
        <w:spacing w:after="140" w:line="245" w:lineRule="auto"/>
        <w:jc w:val="both"/>
      </w:pPr>
      <w:r>
        <w:rPr>
          <w:sz w:val="20"/>
        </w:rPr>
        <w:t xml:space="preserve">[2] Zenke, F., Poole, B., and Ganguli, S. (2017). Continual learning through synaptic intelligence. </w:t>
      </w:r>
      <w:r>
        <w:rPr>
          <w:i/>
          <w:iCs/>
          <w:sz w:val="20"/>
        </w:rPr>
        <w:t>Proceedings of the 34th International Conference on Machine Learning</w:t>
      </w:r>
      <w:r>
        <w:rPr>
          <w:sz w:val="20"/>
        </w:rPr>
        <w:t xml:space="preserve">, PMLR 70, 3987–3995. </w:t>
      </w:r>
      <w:hyperlink r:id="rId12" w:history="1">
        <w:r w:rsidR="00A93AE1" w:rsidRPr="003170BF">
          <w:rPr>
            <w:rStyle w:val="Hyperlink"/>
            <w:sz w:val="20"/>
          </w:rPr>
          <w:t>https://proceedings.mlr.press/v70/zenke17a.html</w:t>
        </w:r>
      </w:hyperlink>
      <w:r w:rsidR="00A93AE1">
        <w:rPr>
          <w:sz w:val="20"/>
        </w:rPr>
        <w:t xml:space="preserve"> </w:t>
      </w:r>
    </w:p>
    <w:p w14:paraId="79BB8392" w14:textId="0FE5E381" w:rsidR="00E8754B" w:rsidRDefault="00000000" w:rsidP="00445A2D">
      <w:pPr>
        <w:pStyle w:val="BodyText"/>
        <w:keepLines/>
        <w:spacing w:after="140" w:line="245" w:lineRule="auto"/>
        <w:jc w:val="both"/>
      </w:pPr>
      <w:r>
        <w:rPr>
          <w:sz w:val="20"/>
        </w:rPr>
        <w:t xml:space="preserve">[3] Grill, J.-B., et al. (2020). Bootstrap your own latent: A new approach to self-supervised learning. </w:t>
      </w:r>
      <w:r>
        <w:rPr>
          <w:i/>
          <w:iCs/>
          <w:sz w:val="20"/>
        </w:rPr>
        <w:t>Advances in Neural Information Processing Systems</w:t>
      </w:r>
      <w:r>
        <w:rPr>
          <w:sz w:val="20"/>
        </w:rPr>
        <w:t xml:space="preserve">, 33, 21271–21284. </w:t>
      </w:r>
      <w:hyperlink r:id="rId13" w:history="1">
        <w:r w:rsidR="00A93AE1" w:rsidRPr="003170BF">
          <w:rPr>
            <w:rStyle w:val="Hyperlink"/>
            <w:sz w:val="20"/>
          </w:rPr>
          <w:t>https://arxiv.org/abs/2006.07733</w:t>
        </w:r>
      </w:hyperlink>
      <w:r w:rsidR="00A93AE1">
        <w:rPr>
          <w:sz w:val="20"/>
        </w:rPr>
        <w:t xml:space="preserve"> </w:t>
      </w:r>
    </w:p>
    <w:p w14:paraId="29B369EF" w14:textId="11B7FFCE" w:rsidR="00E8754B" w:rsidRDefault="00000000" w:rsidP="00445A2D">
      <w:pPr>
        <w:pStyle w:val="BodyText"/>
        <w:keepLines/>
        <w:spacing w:after="140" w:line="245" w:lineRule="auto"/>
        <w:jc w:val="both"/>
      </w:pPr>
      <w:r>
        <w:rPr>
          <w:sz w:val="20"/>
        </w:rPr>
        <w:t xml:space="preserve">[4] Fini, E., da Costa, V. G. T., Alameda-Pineda, X., Ricci, E., Alahari, K., and Mairal, J. (2022). Self-supervised models are continual learners. </w:t>
      </w:r>
      <w:r>
        <w:rPr>
          <w:i/>
          <w:iCs/>
          <w:sz w:val="20"/>
        </w:rPr>
        <w:t>Proceedings of the IEEE/CVF Conference on Computer Vision and Pattern Recognition</w:t>
      </w:r>
      <w:r>
        <w:rPr>
          <w:sz w:val="20"/>
        </w:rPr>
        <w:t xml:space="preserve">, 9621–9630. </w:t>
      </w:r>
      <w:hyperlink r:id="rId14" w:history="1">
        <w:r w:rsidR="00A93AE1" w:rsidRPr="003170BF">
          <w:rPr>
            <w:rStyle w:val="Hyperlink"/>
            <w:sz w:val="20"/>
          </w:rPr>
          <w:t>https://arxiv.org/abs/2112.04215</w:t>
        </w:r>
      </w:hyperlink>
      <w:r w:rsidR="00A93AE1">
        <w:rPr>
          <w:sz w:val="20"/>
        </w:rPr>
        <w:t xml:space="preserve"> </w:t>
      </w:r>
    </w:p>
    <w:p w14:paraId="62F3ACE5" w14:textId="7660E394" w:rsidR="00E8754B" w:rsidRDefault="00000000" w:rsidP="00445A2D">
      <w:pPr>
        <w:pStyle w:val="BodyText"/>
        <w:keepLines/>
        <w:spacing w:after="140" w:line="245" w:lineRule="auto"/>
        <w:jc w:val="both"/>
      </w:pPr>
      <w:r>
        <w:rPr>
          <w:sz w:val="20"/>
        </w:rPr>
        <w:t xml:space="preserve">[5] Ma, J., and Yarats, D. (2019). Quasi-hyperbolic momentum and Adam for deep learning. </w:t>
      </w:r>
      <w:r>
        <w:rPr>
          <w:i/>
          <w:iCs/>
          <w:sz w:val="20"/>
        </w:rPr>
        <w:t>International Conference on Learning Representations</w:t>
      </w:r>
      <w:r>
        <w:rPr>
          <w:sz w:val="20"/>
        </w:rPr>
        <w:t xml:space="preserve">. </w:t>
      </w:r>
      <w:hyperlink r:id="rId15" w:history="1">
        <w:r w:rsidR="00A93AE1" w:rsidRPr="003170BF">
          <w:rPr>
            <w:rStyle w:val="Hyperlink"/>
            <w:sz w:val="20"/>
          </w:rPr>
          <w:t>https://openreview.net/forum?id=S1fUpoR5FQ</w:t>
        </w:r>
      </w:hyperlink>
      <w:r w:rsidR="00A93AE1">
        <w:rPr>
          <w:sz w:val="20"/>
        </w:rPr>
        <w:t xml:space="preserve"> </w:t>
      </w:r>
    </w:p>
    <w:p w14:paraId="393CBA70" w14:textId="18FD2F04" w:rsidR="00E8754B" w:rsidRDefault="00000000" w:rsidP="00445A2D">
      <w:pPr>
        <w:pStyle w:val="BodyText"/>
        <w:keepLines/>
        <w:spacing w:after="140" w:line="245" w:lineRule="auto"/>
        <w:jc w:val="both"/>
      </w:pPr>
      <w:r>
        <w:rPr>
          <w:sz w:val="20"/>
        </w:rPr>
        <w:t xml:space="preserve">[6] Lucas, J., Sun, S., Zemel, R., and Grosse, R. (2019). Aggregated momentum: Stability through passive damping. </w:t>
      </w:r>
      <w:r>
        <w:rPr>
          <w:i/>
          <w:iCs/>
          <w:sz w:val="20"/>
        </w:rPr>
        <w:t>International Conference on Learning Representations</w:t>
      </w:r>
      <w:r>
        <w:rPr>
          <w:sz w:val="20"/>
        </w:rPr>
        <w:t xml:space="preserve">. </w:t>
      </w:r>
      <w:hyperlink r:id="rId16" w:history="1">
        <w:r w:rsidR="00A93AE1" w:rsidRPr="003170BF">
          <w:rPr>
            <w:rStyle w:val="Hyperlink"/>
            <w:sz w:val="20"/>
          </w:rPr>
          <w:t>https://openreview.net/forum?id=Syxt5oC5YQ</w:t>
        </w:r>
      </w:hyperlink>
      <w:r w:rsidR="00A93AE1">
        <w:rPr>
          <w:sz w:val="20"/>
        </w:rPr>
        <w:t xml:space="preserve"> </w:t>
      </w:r>
    </w:p>
    <w:p w14:paraId="69C92E15" w14:textId="117C6F0B" w:rsidR="00E8754B" w:rsidRDefault="00000000" w:rsidP="00445A2D">
      <w:pPr>
        <w:pStyle w:val="BodyText"/>
        <w:keepLines/>
        <w:spacing w:after="140" w:line="245" w:lineRule="auto"/>
        <w:jc w:val="both"/>
      </w:pPr>
      <w:r>
        <w:rPr>
          <w:sz w:val="20"/>
        </w:rPr>
        <w:t xml:space="preserve">[7] Fusi, S., Drew, P. J., and Abbott, L. F. (2005). Cascade models of synaptically stored memories. </w:t>
      </w:r>
      <w:r>
        <w:rPr>
          <w:i/>
          <w:iCs/>
          <w:sz w:val="20"/>
        </w:rPr>
        <w:t>Neuron</w:t>
      </w:r>
      <w:r>
        <w:rPr>
          <w:sz w:val="20"/>
        </w:rPr>
        <w:t xml:space="preserve">, 45(4), 599–611. </w:t>
      </w:r>
      <w:hyperlink r:id="rId17" w:history="1">
        <w:r w:rsidR="00A93AE1" w:rsidRPr="003170BF">
          <w:rPr>
            <w:rStyle w:val="Hyperlink"/>
            <w:sz w:val="20"/>
          </w:rPr>
          <w:t>https://doi.org/10.1016/j.neuron.2005.02.001</w:t>
        </w:r>
      </w:hyperlink>
      <w:r w:rsidR="00A93AE1">
        <w:rPr>
          <w:sz w:val="20"/>
        </w:rPr>
        <w:t xml:space="preserve"> </w:t>
      </w:r>
    </w:p>
    <w:p w14:paraId="65F9BBD6" w14:textId="7F21DE10" w:rsidR="00E8754B" w:rsidRDefault="00000000" w:rsidP="00445A2D">
      <w:pPr>
        <w:pStyle w:val="BodyText"/>
        <w:keepLines/>
        <w:spacing w:after="140" w:line="245" w:lineRule="auto"/>
        <w:jc w:val="both"/>
      </w:pPr>
      <w:r>
        <w:rPr>
          <w:sz w:val="20"/>
        </w:rPr>
        <w:t xml:space="preserve">[8] Benna, M. K., and Fusi, S. (2016). Computational principles of synaptic memory consolidation. </w:t>
      </w:r>
      <w:r>
        <w:rPr>
          <w:i/>
          <w:iCs/>
          <w:sz w:val="20"/>
        </w:rPr>
        <w:t>Nature Neuroscience</w:t>
      </w:r>
      <w:r>
        <w:rPr>
          <w:sz w:val="20"/>
        </w:rPr>
        <w:t xml:space="preserve">, 19, 1697–1706. </w:t>
      </w:r>
      <w:hyperlink r:id="rId18" w:history="1">
        <w:r w:rsidR="00A93AE1" w:rsidRPr="003170BF">
          <w:rPr>
            <w:rStyle w:val="Hyperlink"/>
            <w:sz w:val="20"/>
          </w:rPr>
          <w:t>https://doi.org/10.1038/nn.4401</w:t>
        </w:r>
      </w:hyperlink>
      <w:r w:rsidR="00A93AE1">
        <w:rPr>
          <w:sz w:val="20"/>
        </w:rPr>
        <w:t xml:space="preserve"> </w:t>
      </w:r>
    </w:p>
    <w:p w14:paraId="38A7E346" w14:textId="3A13EB5C" w:rsidR="00E8754B" w:rsidRDefault="00000000" w:rsidP="00445A2D">
      <w:pPr>
        <w:pStyle w:val="BodyText"/>
        <w:keepLines/>
        <w:spacing w:after="140" w:line="245" w:lineRule="auto"/>
        <w:jc w:val="both"/>
      </w:pPr>
      <w:r>
        <w:rPr>
          <w:sz w:val="20"/>
        </w:rPr>
        <w:t xml:space="preserve">[9] Arani, E., Sarfraz, F., and Zonooz, B. (2022). Learning fast, learning slow: A general continual learning method based on complementary learning system. </w:t>
      </w:r>
      <w:r>
        <w:rPr>
          <w:i/>
          <w:iCs/>
          <w:sz w:val="20"/>
        </w:rPr>
        <w:t>International Conference on Learning Representations</w:t>
      </w:r>
      <w:r>
        <w:rPr>
          <w:sz w:val="20"/>
        </w:rPr>
        <w:t xml:space="preserve">. </w:t>
      </w:r>
      <w:hyperlink r:id="rId19" w:history="1">
        <w:r w:rsidR="00A93AE1" w:rsidRPr="003170BF">
          <w:rPr>
            <w:rStyle w:val="Hyperlink"/>
            <w:sz w:val="20"/>
          </w:rPr>
          <w:t>https://openreview.net/forum?id=uxxFrDwrE7Y</w:t>
        </w:r>
      </w:hyperlink>
      <w:r w:rsidR="00A93AE1">
        <w:rPr>
          <w:sz w:val="20"/>
        </w:rPr>
        <w:t xml:space="preserve"> </w:t>
      </w:r>
    </w:p>
    <w:p w14:paraId="1BC6C8CD" w14:textId="103CF587" w:rsidR="00E8754B" w:rsidRDefault="00000000" w:rsidP="00445A2D">
      <w:pPr>
        <w:pStyle w:val="BodyText"/>
        <w:keepLines/>
        <w:spacing w:after="140" w:line="245" w:lineRule="auto"/>
        <w:jc w:val="both"/>
      </w:pPr>
      <w:r>
        <w:rPr>
          <w:sz w:val="20"/>
        </w:rPr>
        <w:t xml:space="preserve">[10] Li, Z., and Hoiem, D. (2016). Learning without forgetting. </w:t>
      </w:r>
      <w:r>
        <w:rPr>
          <w:i/>
          <w:iCs/>
          <w:sz w:val="20"/>
        </w:rPr>
        <w:t>European Conference on Computer Vision</w:t>
      </w:r>
      <w:r>
        <w:rPr>
          <w:sz w:val="20"/>
        </w:rPr>
        <w:t xml:space="preserve">. Preprint available at </w:t>
      </w:r>
      <w:hyperlink r:id="rId20" w:history="1">
        <w:r w:rsidR="00A93AE1" w:rsidRPr="003170BF">
          <w:rPr>
            <w:rStyle w:val="Hyperlink"/>
            <w:sz w:val="20"/>
          </w:rPr>
          <w:t>https://arxiv.org/abs/1606.09282</w:t>
        </w:r>
      </w:hyperlink>
      <w:r w:rsidR="00A93AE1">
        <w:rPr>
          <w:sz w:val="20"/>
        </w:rPr>
        <w:t xml:space="preserve"> </w:t>
      </w:r>
    </w:p>
    <w:p w14:paraId="3412282E" w14:textId="7B51A4D0" w:rsidR="00E8754B" w:rsidRDefault="00000000" w:rsidP="00445A2D">
      <w:pPr>
        <w:pStyle w:val="BodyText"/>
        <w:keepLines/>
        <w:spacing w:after="140" w:line="245" w:lineRule="auto"/>
        <w:jc w:val="both"/>
      </w:pPr>
      <w:r>
        <w:rPr>
          <w:sz w:val="20"/>
        </w:rPr>
        <w:t xml:space="preserve">[11] Tsodyks, M. V., and Markram, H. (1997). The neural code between neocortical pyramidal neurons depends on neurotransmitter release probability. </w:t>
      </w:r>
      <w:r>
        <w:rPr>
          <w:i/>
          <w:iCs/>
          <w:sz w:val="20"/>
        </w:rPr>
        <w:t>Proceedings of the National Academy of Sciences</w:t>
      </w:r>
      <w:r>
        <w:rPr>
          <w:sz w:val="20"/>
        </w:rPr>
        <w:t xml:space="preserve">, 94(2), 719–723. </w:t>
      </w:r>
      <w:hyperlink r:id="rId21" w:history="1">
        <w:r w:rsidR="00A93AE1" w:rsidRPr="003170BF">
          <w:rPr>
            <w:rStyle w:val="Hyperlink"/>
            <w:sz w:val="20"/>
          </w:rPr>
          <w:t>https://doi.org/10.1073/pnas.94.2.719</w:t>
        </w:r>
      </w:hyperlink>
      <w:r w:rsidR="00A93AE1">
        <w:rPr>
          <w:sz w:val="20"/>
        </w:rPr>
        <w:t xml:space="preserve"> </w:t>
      </w:r>
    </w:p>
    <w:p w14:paraId="379C4008" w14:textId="0F759FD0" w:rsidR="00E8754B" w:rsidRDefault="00000000" w:rsidP="00445A2D">
      <w:pPr>
        <w:pStyle w:val="BodyText"/>
        <w:keepLines/>
        <w:spacing w:after="140" w:line="245" w:lineRule="auto"/>
        <w:jc w:val="both"/>
      </w:pPr>
      <w:r>
        <w:rPr>
          <w:sz w:val="20"/>
        </w:rPr>
        <w:t xml:space="preserve">[12] Mikulasch, F. A., Georgiev, S. V., Rudelt, L., Rizzoli, S. O., and Priesemann, V. (2025). Power-law adaptation in the presynaptic vesicle cycle. </w:t>
      </w:r>
      <w:r>
        <w:rPr>
          <w:i/>
          <w:iCs/>
          <w:sz w:val="20"/>
        </w:rPr>
        <w:t>Communications Biology</w:t>
      </w:r>
      <w:r>
        <w:rPr>
          <w:sz w:val="20"/>
        </w:rPr>
        <w:t xml:space="preserve">, 8, 542. </w:t>
      </w:r>
      <w:hyperlink r:id="rId22" w:history="1">
        <w:r w:rsidR="00A93AE1" w:rsidRPr="003170BF">
          <w:rPr>
            <w:rStyle w:val="Hyperlink"/>
            <w:sz w:val="20"/>
          </w:rPr>
          <w:t>https://doi.org/10.1038/s42003-025-07956-6</w:t>
        </w:r>
      </w:hyperlink>
      <w:r w:rsidR="00A93AE1">
        <w:rPr>
          <w:sz w:val="20"/>
        </w:rPr>
        <w:t xml:space="preserve"> </w:t>
      </w:r>
    </w:p>
    <w:p w14:paraId="00514C26" w14:textId="2DEF08A6" w:rsidR="00E8754B" w:rsidRDefault="00000000" w:rsidP="00445A2D">
      <w:pPr>
        <w:pStyle w:val="BodyText"/>
        <w:keepLines/>
        <w:spacing w:after="140" w:line="245" w:lineRule="auto"/>
        <w:jc w:val="both"/>
      </w:pPr>
      <w:r>
        <w:rPr>
          <w:sz w:val="20"/>
        </w:rPr>
        <w:t xml:space="preserve">[13] Watanabe, S., et al. (2014). Clathrin regenerates synaptic vesicles from endosomes. </w:t>
      </w:r>
      <w:r>
        <w:rPr>
          <w:i/>
          <w:iCs/>
          <w:sz w:val="20"/>
        </w:rPr>
        <w:t>Nature</w:t>
      </w:r>
      <w:r>
        <w:rPr>
          <w:sz w:val="20"/>
        </w:rPr>
        <w:t xml:space="preserve">, 515, 228–233. </w:t>
      </w:r>
      <w:hyperlink r:id="rId23" w:history="1">
        <w:r w:rsidR="00A93AE1" w:rsidRPr="003170BF">
          <w:rPr>
            <w:rStyle w:val="Hyperlink"/>
            <w:sz w:val="20"/>
          </w:rPr>
          <w:t>https://doi.org/10.1038/nature13846</w:t>
        </w:r>
      </w:hyperlink>
      <w:r w:rsidR="00A93AE1">
        <w:rPr>
          <w:sz w:val="20"/>
        </w:rPr>
        <w:t xml:space="preserve"> </w:t>
      </w:r>
    </w:p>
    <w:p w14:paraId="49E30E18" w14:textId="7E26F893" w:rsidR="00E8754B" w:rsidRDefault="00000000" w:rsidP="00445A2D">
      <w:pPr>
        <w:pStyle w:val="BodyText"/>
        <w:keepLines/>
        <w:spacing w:after="140" w:line="245" w:lineRule="auto"/>
        <w:jc w:val="both"/>
      </w:pPr>
      <w:r>
        <w:rPr>
          <w:sz w:val="20"/>
        </w:rPr>
        <w:t xml:space="preserve">[14] Truckenbrodt, S., et al. (2018). Newly produced synaptic vesicle proteins are preferentially used in synaptic transmission. </w:t>
      </w:r>
      <w:r>
        <w:rPr>
          <w:i/>
          <w:iCs/>
          <w:sz w:val="20"/>
        </w:rPr>
        <w:t>The EMBO Journal</w:t>
      </w:r>
      <w:r>
        <w:rPr>
          <w:sz w:val="20"/>
        </w:rPr>
        <w:t xml:space="preserve">, 37, e98044. </w:t>
      </w:r>
      <w:hyperlink r:id="rId24" w:history="1">
        <w:r w:rsidR="00A93AE1" w:rsidRPr="003170BF">
          <w:rPr>
            <w:rStyle w:val="Hyperlink"/>
            <w:sz w:val="20"/>
          </w:rPr>
          <w:t>https://doi.org/10.15252/embj.201798044</w:t>
        </w:r>
      </w:hyperlink>
      <w:r w:rsidR="00A93AE1">
        <w:rPr>
          <w:sz w:val="20"/>
        </w:rPr>
        <w:t xml:space="preserve"> </w:t>
      </w:r>
    </w:p>
    <w:p w14:paraId="2C923C02" w14:textId="77777777" w:rsidR="00062EB1" w:rsidRDefault="00000000" w:rsidP="00445A2D">
      <w:pPr>
        <w:pStyle w:val="BodyText"/>
        <w:keepLines/>
        <w:spacing w:after="140" w:line="245" w:lineRule="auto"/>
        <w:jc w:val="both"/>
        <w:rPr>
          <w:sz w:val="20"/>
        </w:rPr>
      </w:pPr>
      <w:r>
        <w:rPr>
          <w:sz w:val="20"/>
        </w:rPr>
        <w:t xml:space="preserve">[15] Coleman, J. A., Green, E. M., and Gouaux, E. (2016). X-ray structures and mechanism of the human serotonin transporter. </w:t>
      </w:r>
      <w:r>
        <w:rPr>
          <w:i/>
          <w:iCs/>
          <w:sz w:val="20"/>
        </w:rPr>
        <w:t>Nature</w:t>
      </w:r>
      <w:r>
        <w:rPr>
          <w:sz w:val="20"/>
        </w:rPr>
        <w:t xml:space="preserve">, 532, 334–339. </w:t>
      </w:r>
      <w:hyperlink r:id="rId25" w:history="1">
        <w:r w:rsidR="00A93AE1" w:rsidRPr="003170BF">
          <w:rPr>
            <w:rStyle w:val="Hyperlink"/>
            <w:sz w:val="20"/>
          </w:rPr>
          <w:t>https://doi.org/10.1038/nature17629</w:t>
        </w:r>
      </w:hyperlink>
      <w:bookmarkEnd w:id="25"/>
    </w:p>
    <w:p w14:paraId="26A082B7" w14:textId="07F64663" w:rsidR="00E8754B" w:rsidRDefault="00062EB1" w:rsidP="00445A2D">
      <w:pPr>
        <w:pStyle w:val="BodyText"/>
        <w:keepLines/>
        <w:spacing w:after="140" w:line="245" w:lineRule="auto"/>
        <w:jc w:val="both"/>
        <w:rPr>
          <w:sz w:val="20"/>
        </w:rPr>
      </w:pPr>
      <w:r>
        <w:rPr>
          <w:sz w:val="20"/>
        </w:rPr>
        <w:t xml:space="preserve">[16] Author’s </w:t>
      </w:r>
      <w:r w:rsidRPr="00062EB1">
        <w:rPr>
          <w:sz w:val="20"/>
        </w:rPr>
        <w:t>work-in-progress drafts</w:t>
      </w:r>
      <w:r>
        <w:rPr>
          <w:sz w:val="20"/>
        </w:rPr>
        <w:t xml:space="preserve">: </w:t>
      </w:r>
      <w:hyperlink r:id="rId26" w:history="1">
        <w:r w:rsidRPr="003170BF">
          <w:rPr>
            <w:rStyle w:val="Hyperlink"/>
            <w:sz w:val="20"/>
          </w:rPr>
          <w:t>https://github.com/debiprasadghosh/ResearchOverFlow/</w:t>
        </w:r>
      </w:hyperlink>
      <w:r>
        <w:rPr>
          <w:sz w:val="20"/>
        </w:rPr>
        <w:t xml:space="preserve"> </w:t>
      </w:r>
      <w:r w:rsidR="00A93AE1">
        <w:rPr>
          <w:sz w:val="20"/>
        </w:rPr>
        <w:t xml:space="preserve"> </w:t>
      </w:r>
    </w:p>
    <w:p w14:paraId="7E19C33A" w14:textId="77777777" w:rsidR="00062EB1" w:rsidRDefault="00062EB1" w:rsidP="00445A2D">
      <w:pPr>
        <w:pStyle w:val="BodyText"/>
        <w:keepLines/>
        <w:spacing w:after="140" w:line="245" w:lineRule="auto"/>
        <w:jc w:val="both"/>
      </w:pPr>
    </w:p>
    <w:sectPr w:rsidR="00062EB1" w:rsidSect="00034616">
      <w:footerReference w:type="default" r:id="rId27"/>
      <w:pgSz w:w="12240" w:h="15840"/>
      <w:pgMar w:top="1109" w:right="1152" w:bottom="1080" w:left="1152"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7CE6" w14:textId="77777777" w:rsidR="00D04805" w:rsidRDefault="00D04805">
      <w:pPr>
        <w:spacing w:after="0" w:line="240" w:lineRule="auto"/>
      </w:pPr>
      <w:r>
        <w:separator/>
      </w:r>
    </w:p>
  </w:endnote>
  <w:endnote w:type="continuationSeparator" w:id="0">
    <w:p w14:paraId="1FD3A9A7" w14:textId="77777777" w:rsidR="00D04805" w:rsidRDefault="00D04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4FA5" w14:textId="77777777" w:rsidR="00E8754B" w:rsidRDefault="00000000">
    <w:pPr>
      <w:pStyle w:val="Footer"/>
      <w:jc w:val="center"/>
    </w:pPr>
    <w:r>
      <w:fldChar w:fldCharType="begin"/>
    </w:r>
    <w:r>
      <w:instrText>PAGE</w:instrText>
    </w:r>
    <w:r>
      <w:fldChar w:fldCharType="separate"/>
    </w:r>
    <w:r w:rsidR="00445A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86F27" w14:textId="77777777" w:rsidR="00D04805" w:rsidRDefault="00D04805">
      <w:r>
        <w:separator/>
      </w:r>
    </w:p>
  </w:footnote>
  <w:footnote w:type="continuationSeparator" w:id="0">
    <w:p w14:paraId="7266319C" w14:textId="77777777" w:rsidR="00D04805" w:rsidRDefault="00D048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2A29B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99233744">
    <w:abstractNumId w:val="8"/>
  </w:num>
  <w:num w:numId="2" w16cid:durableId="1194076475">
    <w:abstractNumId w:val="6"/>
  </w:num>
  <w:num w:numId="3" w16cid:durableId="366415213">
    <w:abstractNumId w:val="5"/>
  </w:num>
  <w:num w:numId="4" w16cid:durableId="2119064967">
    <w:abstractNumId w:val="4"/>
  </w:num>
  <w:num w:numId="5" w16cid:durableId="1223129517">
    <w:abstractNumId w:val="7"/>
  </w:num>
  <w:num w:numId="6" w16cid:durableId="1052657089">
    <w:abstractNumId w:val="3"/>
  </w:num>
  <w:num w:numId="7" w16cid:durableId="2128500266">
    <w:abstractNumId w:val="2"/>
  </w:num>
  <w:num w:numId="8" w16cid:durableId="521015967">
    <w:abstractNumId w:val="1"/>
  </w:num>
  <w:num w:numId="9" w16cid:durableId="44569115">
    <w:abstractNumId w:val="0"/>
  </w:num>
  <w:num w:numId="10" w16cid:durableId="1881436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754B"/>
    <w:rsid w:val="00062EB1"/>
    <w:rsid w:val="00151E7A"/>
    <w:rsid w:val="0022752A"/>
    <w:rsid w:val="00445A2D"/>
    <w:rsid w:val="007D0D07"/>
    <w:rsid w:val="00803F62"/>
    <w:rsid w:val="008413B5"/>
    <w:rsid w:val="008610B0"/>
    <w:rsid w:val="008B5081"/>
    <w:rsid w:val="00A93AE1"/>
    <w:rsid w:val="00B70AF9"/>
    <w:rsid w:val="00BA659A"/>
    <w:rsid w:val="00CB1D84"/>
    <w:rsid w:val="00D04805"/>
    <w:rsid w:val="00DB3A87"/>
    <w:rsid w:val="00E8754B"/>
    <w:rsid w:val="00FE622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0DB1"/>
  <w15:docId w15:val="{DBA0E5DC-80CE-4C1C-8BBA-1A8A3632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b w:val="0"/>
      <w:color w:val="000000"/>
      <w:sz w:val="23"/>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b w:val="0"/>
      <w:color w:val="000000"/>
      <w:sz w:val="23"/>
    </w:rPr>
  </w:style>
  <w:style w:type="paragraph" w:styleId="NoSpacing">
    <w:name w:val="No Spacing"/>
    <w:uiPriority w:val="1"/>
    <w:qFormat/>
    <w:rsid w:val="00FC693F"/>
    <w:pPr>
      <w:spacing w:after="0" w:line="240" w:lineRule="auto"/>
    </w:pPr>
    <w:rPr>
      <w:rFonts w:ascii="Times New Roman" w:hAnsi="Times New Roman"/>
      <w:color w:val="000000"/>
      <w:sz w:val="23"/>
    </w:rPr>
  </w:style>
  <w:style w:type="character" w:customStyle="1" w:styleId="Heading1Char">
    <w:name w:val="Heading 1 Char"/>
    <w:basedOn w:val="DefaultParagraphFont"/>
    <w:link w:val="Heading1"/>
    <w:uiPriority w:val="9"/>
    <w:rsid w:val="00FC693F"/>
    <w:rPr>
      <w:rFonts w:ascii="Times New Roman" w:eastAsiaTheme="majorEastAsia" w:hAnsi="Times New Roman" w:cstheme="majorBidi"/>
      <w:b w:val="0"/>
      <w:bCs/>
      <w:color w:val="000000"/>
      <w:sz w:val="23"/>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heme="majorBidi"/>
      <w:b w:val="0"/>
      <w:bCs/>
      <w:color w:val="000000"/>
      <w:sz w:val="23"/>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heme="majorBidi"/>
      <w:b w:val="0"/>
      <w:bCs/>
      <w:color w:val="000000"/>
      <w:sz w:val="23"/>
    </w:rPr>
  </w:style>
  <w:style w:type="paragraph" w:styleId="Title">
    <w:name w:val="Title"/>
    <w:basedOn w:val="Normal"/>
    <w:next w:val="Normal"/>
    <w:link w:val="TitleChar"/>
    <w:uiPriority w:val="10"/>
    <w:qFormat/>
    <w:rsid w:val="00FC693F"/>
    <w:pPr>
      <w:keepNext/>
      <w:spacing w:line="240" w:lineRule="auto"/>
      <w:contextualSpacing/>
    </w:pPr>
    <w:rPr>
      <w:rFonts w:eastAsiaTheme="majorEastAsia"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heme="majorEastAsia" w:hAnsi="Times New Roman" w:cstheme="majorBidi"/>
      <w:b w:val="0"/>
      <w:color w:val="000000"/>
      <w:spacing w:val="5"/>
      <w:kern w:val="28"/>
      <w:sz w:val="23"/>
      <w:szCs w:val="52"/>
    </w:rPr>
  </w:style>
  <w:style w:type="paragraph" w:styleId="Subtitle">
    <w:name w:val="Subtitle"/>
    <w:basedOn w:val="Normal"/>
    <w:next w:val="Normal"/>
    <w:link w:val="SubtitleChar"/>
    <w:uiPriority w:val="11"/>
    <w:qFormat/>
    <w:rsid w:val="00FC693F"/>
    <w:pPr>
      <w:keepNext/>
      <w:numPr>
        <w:ilvl w:val="1"/>
      </w:numPr>
    </w:pPr>
    <w:rPr>
      <w:rFonts w:eastAsiaTheme="majorEastAsia" w:cstheme="majorBidi"/>
      <w:i/>
      <w:iCs/>
      <w:spacing w:val="15"/>
      <w:sz w:val="24"/>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val="0"/>
      <w:i/>
      <w:iCs/>
      <w:color w:val="000000"/>
      <w:spacing w:val="15"/>
      <w:sz w:val="23"/>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b w:val="0"/>
      <w:color w:val="000000"/>
      <w:sz w:val="23"/>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hAnsi="Times New Roman"/>
      <w:b w:val="0"/>
      <w:color w:val="000000"/>
      <w:sz w:val="23"/>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b w:val="0"/>
      <w:color w:val="000000"/>
      <w:sz w:val="23"/>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3"/>
      <w:szCs w:val="20"/>
    </w:rPr>
  </w:style>
  <w:style w:type="character" w:customStyle="1" w:styleId="MacroTextChar">
    <w:name w:val="Macro Text Char"/>
    <w:basedOn w:val="DefaultParagraphFont"/>
    <w:link w:val="MacroText"/>
    <w:uiPriority w:val="99"/>
    <w:rsid w:val="0029639D"/>
    <w:rPr>
      <w:rFonts w:ascii="Times New Roman" w:hAnsi="Times New Roman"/>
      <w:b w:val="0"/>
      <w:color w:val="000000"/>
      <w:sz w:val="23"/>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b w:val="0"/>
      <w:i/>
      <w:iCs/>
      <w:color w:val="000000"/>
      <w:sz w:val="23"/>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heme="majorBidi"/>
      <w:b w:val="0"/>
      <w:bCs/>
      <w:i/>
      <w:iCs/>
      <w:color w:val="000000"/>
      <w:sz w:val="23"/>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heme="majorBidi"/>
      <w:b w:val="0"/>
      <w:color w:val="000000"/>
      <w:sz w:val="23"/>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heme="majorBidi"/>
      <w:b w:val="0"/>
      <w:i/>
      <w:iCs/>
      <w:color w:val="000000"/>
      <w:sz w:val="23"/>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heme="majorBidi"/>
      <w:b w:val="0"/>
      <w:i/>
      <w:iCs/>
      <w:color w:val="000000"/>
      <w:sz w:val="23"/>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heme="majorBidi"/>
      <w:b w:val="0"/>
      <w:color w:val="000000"/>
      <w:sz w:val="23"/>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heme="majorBidi"/>
      <w:b w:val="0"/>
      <w:i/>
      <w:iCs/>
      <w:color w:val="000000"/>
      <w:sz w:val="23"/>
      <w:szCs w:val="20"/>
    </w:rPr>
  </w:style>
  <w:style w:type="paragraph" w:styleId="Caption">
    <w:name w:val="caption"/>
    <w:basedOn w:val="Normal"/>
    <w:next w:val="Normal"/>
    <w:uiPriority w:val="35"/>
    <w:semiHidden/>
    <w:unhideWhenUsed/>
    <w:qFormat/>
    <w:rsid w:val="00FC693F"/>
    <w:pPr>
      <w:spacing w:before="80" w:after="160" w:line="252" w:lineRule="auto"/>
    </w:pPr>
    <w:rPr>
      <w:bCs/>
      <w:sz w:val="20"/>
      <w:szCs w:val="18"/>
    </w:rPr>
  </w:style>
  <w:style w:type="character" w:styleId="Strong">
    <w:name w:val="Strong"/>
    <w:basedOn w:val="DefaultParagraphFont"/>
    <w:uiPriority w:val="22"/>
    <w:qFormat/>
    <w:rsid w:val="00FC693F"/>
    <w:rPr>
      <w:rFonts w:ascii="Times New Roman" w:hAnsi="Times New Roman"/>
      <w:b w:val="0"/>
      <w:bCs/>
      <w:color w:val="000000"/>
      <w:sz w:val="23"/>
    </w:rPr>
  </w:style>
  <w:style w:type="character" w:styleId="Emphasis">
    <w:name w:val="Emphasis"/>
    <w:basedOn w:val="DefaultParagraphFont"/>
    <w:uiPriority w:val="20"/>
    <w:qFormat/>
    <w:rsid w:val="00FC693F"/>
    <w:rPr>
      <w:rFonts w:ascii="Times New Roman" w:hAnsi="Times New Roman"/>
      <w:b w:val="0"/>
      <w:i/>
      <w:iCs/>
      <w:color w:val="000000"/>
      <w:sz w:val="23"/>
    </w:rPr>
  </w:style>
  <w:style w:type="paragraph" w:styleId="IntenseQuote">
    <w:name w:val="Intense Quote"/>
    <w:basedOn w:val="Normal"/>
    <w:next w:val="Normal"/>
    <w:link w:val="IntenseQuoteChar"/>
    <w:uiPriority w:val="30"/>
    <w:qFormat/>
    <w:rsid w:val="00FC693F"/>
    <w:pPr>
      <w:spacing w:before="200" w:after="280"/>
      <w:ind w:left="936" w:right="936"/>
    </w:pPr>
    <w:rPr>
      <w:bCs/>
      <w:i/>
      <w:iCs/>
    </w:rPr>
  </w:style>
  <w:style w:type="character" w:customStyle="1" w:styleId="IntenseQuoteChar">
    <w:name w:val="Intense Quote Char"/>
    <w:basedOn w:val="DefaultParagraphFont"/>
    <w:link w:val="IntenseQuote"/>
    <w:uiPriority w:val="30"/>
    <w:rsid w:val="00FC693F"/>
    <w:rPr>
      <w:rFonts w:ascii="Times New Roman" w:hAnsi="Times New Roman"/>
      <w:b w:val="0"/>
      <w:bCs/>
      <w:i/>
      <w:iCs/>
      <w:color w:val="000000"/>
      <w:sz w:val="23"/>
    </w:rPr>
  </w:style>
  <w:style w:type="character" w:styleId="SubtleEmphasis">
    <w:name w:val="Subtle Emphasis"/>
    <w:basedOn w:val="DefaultParagraphFont"/>
    <w:uiPriority w:val="19"/>
    <w:qFormat/>
    <w:rsid w:val="00FC693F"/>
    <w:rPr>
      <w:rFonts w:ascii="Times New Roman" w:hAnsi="Times New Roman"/>
      <w:b w:val="0"/>
      <w:i/>
      <w:iCs/>
      <w:color w:val="000000"/>
      <w:sz w:val="23"/>
    </w:rPr>
  </w:style>
  <w:style w:type="character" w:styleId="IntenseEmphasis">
    <w:name w:val="Intense Emphasis"/>
    <w:basedOn w:val="DefaultParagraphFont"/>
    <w:uiPriority w:val="21"/>
    <w:qFormat/>
    <w:rsid w:val="00FC693F"/>
    <w:rPr>
      <w:rFonts w:ascii="Times New Roman" w:hAnsi="Times New Roman"/>
      <w:b w:val="0"/>
      <w:bCs/>
      <w:i/>
      <w:iCs/>
      <w:color w:val="000000"/>
      <w:sz w:val="23"/>
    </w:rPr>
  </w:style>
  <w:style w:type="character" w:styleId="SubtleReference">
    <w:name w:val="Subtle Reference"/>
    <w:basedOn w:val="DefaultParagraphFont"/>
    <w:uiPriority w:val="31"/>
    <w:qFormat/>
    <w:rsid w:val="00FC693F"/>
    <w:rPr>
      <w:rFonts w:ascii="Times New Roman" w:hAnsi="Times New Roman"/>
      <w:b w:val="0"/>
      <w:smallCaps/>
      <w:color w:val="000000"/>
      <w:sz w:val="23"/>
      <w:u w:val="single"/>
    </w:rPr>
  </w:style>
  <w:style w:type="character" w:styleId="IntenseReference">
    <w:name w:val="Intense Reference"/>
    <w:basedOn w:val="DefaultParagraphFont"/>
    <w:uiPriority w:val="32"/>
    <w:qFormat/>
    <w:rsid w:val="00FC693F"/>
    <w:rPr>
      <w:rFonts w:ascii="Times New Roman" w:hAnsi="Times New Roman"/>
      <w:b w:val="0"/>
      <w:bCs/>
      <w:smallCaps/>
      <w:color w:val="000000"/>
      <w:spacing w:val="5"/>
      <w:sz w:val="23"/>
      <w:u w:val="single"/>
    </w:rPr>
  </w:style>
  <w:style w:type="character" w:styleId="BookTitle">
    <w:name w:val="Book Title"/>
    <w:basedOn w:val="DefaultParagraphFont"/>
    <w:uiPriority w:val="33"/>
    <w:qFormat/>
    <w:rsid w:val="00FC693F"/>
    <w:rPr>
      <w:rFonts w:ascii="Times New Roman" w:hAnsi="Times New Roman"/>
      <w:b w:val="0"/>
      <w:bCs/>
      <w:smallCaps/>
      <w:color w:val="000000"/>
      <w:spacing w:val="5"/>
      <w:sz w:val="23"/>
    </w:rPr>
  </w:style>
  <w:style w:type="paragraph" w:styleId="TOCHeading">
    <w:name w:val="TOC Heading"/>
    <w:basedOn w:val="Heading1"/>
    <w:next w:val="Normal"/>
    <w:uiPriority w:val="39"/>
    <w:semiHidden/>
    <w:unhideWhenUsed/>
    <w:qFormat/>
    <w:rsid w:val="00FC693F"/>
    <w:pPr>
      <w:outlineLvl w:val="9"/>
    </w:pPr>
    <w:rPr>
      <w:b w:val="0"/>
      <w:sz w:val="23"/>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rFonts w:ascii="Times New Roman" w:hAnsi="Times New Roman"/>
      <w:b w:val="0"/>
      <w:color w:val="000000"/>
      <w:sz w:val="23"/>
    </w:rPr>
  </w:style>
  <w:style w:type="character" w:customStyle="1" w:styleId="DataTypeTok">
    <w:name w:val="DataTypeTok"/>
    <w:rPr>
      <w:rFonts w:ascii="Times New Roman" w:hAnsi="Times New Roman"/>
      <w:b w:val="0"/>
      <w:color w:val="000000"/>
      <w:sz w:val="23"/>
    </w:rPr>
  </w:style>
  <w:style w:type="character" w:customStyle="1" w:styleId="DecValTok">
    <w:name w:val="DecValTok"/>
    <w:rPr>
      <w:rFonts w:ascii="Times New Roman" w:hAnsi="Times New Roman"/>
      <w:b w:val="0"/>
      <w:color w:val="000000"/>
      <w:sz w:val="23"/>
    </w:rPr>
  </w:style>
  <w:style w:type="character" w:customStyle="1" w:styleId="BaseNTok">
    <w:name w:val="BaseNTok"/>
    <w:rPr>
      <w:rFonts w:ascii="Times New Roman" w:hAnsi="Times New Roman"/>
      <w:b w:val="0"/>
      <w:color w:val="000000"/>
      <w:sz w:val="23"/>
    </w:rPr>
  </w:style>
  <w:style w:type="character" w:customStyle="1" w:styleId="FloatTok">
    <w:name w:val="FloatTok"/>
    <w:rPr>
      <w:rFonts w:ascii="Times New Roman" w:hAnsi="Times New Roman"/>
      <w:b w:val="0"/>
      <w:color w:val="000000"/>
      <w:sz w:val="23"/>
    </w:rPr>
  </w:style>
  <w:style w:type="character" w:customStyle="1" w:styleId="ConstantTok">
    <w:name w:val="ConstantTok"/>
    <w:rPr>
      <w:rFonts w:ascii="Times New Roman" w:hAnsi="Times New Roman"/>
      <w:b w:val="0"/>
      <w:color w:val="000000"/>
      <w:sz w:val="23"/>
    </w:rPr>
  </w:style>
  <w:style w:type="character" w:customStyle="1" w:styleId="CharTok">
    <w:name w:val="CharTok"/>
    <w:rPr>
      <w:rFonts w:ascii="Times New Roman" w:hAnsi="Times New Roman"/>
      <w:b w:val="0"/>
      <w:color w:val="000000"/>
      <w:sz w:val="23"/>
    </w:rPr>
  </w:style>
  <w:style w:type="character" w:customStyle="1" w:styleId="SpecialCharTok">
    <w:name w:val="SpecialCharTok"/>
    <w:rPr>
      <w:rFonts w:ascii="Times New Roman" w:hAnsi="Times New Roman"/>
      <w:b w:val="0"/>
      <w:color w:val="000000"/>
      <w:sz w:val="23"/>
    </w:rPr>
  </w:style>
  <w:style w:type="character" w:customStyle="1" w:styleId="StringTok">
    <w:name w:val="StringTok"/>
    <w:rPr>
      <w:rFonts w:ascii="Times New Roman" w:hAnsi="Times New Roman"/>
      <w:b w:val="0"/>
      <w:color w:val="000000"/>
      <w:sz w:val="23"/>
    </w:rPr>
  </w:style>
  <w:style w:type="character" w:customStyle="1" w:styleId="VerbatimStringTok">
    <w:name w:val="VerbatimStringTok"/>
    <w:rPr>
      <w:rFonts w:ascii="Times New Roman" w:hAnsi="Times New Roman"/>
      <w:b w:val="0"/>
      <w:color w:val="000000"/>
      <w:sz w:val="23"/>
    </w:rPr>
  </w:style>
  <w:style w:type="character" w:customStyle="1" w:styleId="SpecialStringTok">
    <w:name w:val="SpecialStringTok"/>
    <w:rPr>
      <w:rFonts w:ascii="Times New Roman" w:hAnsi="Times New Roman"/>
      <w:b w:val="0"/>
      <w:color w:val="000000"/>
      <w:sz w:val="23"/>
    </w:rPr>
  </w:style>
  <w:style w:type="character" w:customStyle="1" w:styleId="ImportTok">
    <w:name w:val="ImportTok"/>
    <w:rPr>
      <w:rFonts w:ascii="Times New Roman" w:hAnsi="Times New Roman"/>
      <w:b w:val="0"/>
      <w:color w:val="000000"/>
      <w:sz w:val="23"/>
    </w:rPr>
  </w:style>
  <w:style w:type="character" w:customStyle="1" w:styleId="CommentTok">
    <w:name w:val="CommentTok"/>
    <w:rPr>
      <w:rFonts w:ascii="Times New Roman" w:hAnsi="Times New Roman"/>
      <w:b w:val="0"/>
      <w:i/>
      <w:color w:val="000000"/>
      <w:sz w:val="23"/>
    </w:rPr>
  </w:style>
  <w:style w:type="character" w:customStyle="1" w:styleId="DocumentationTok">
    <w:name w:val="DocumentationTok"/>
    <w:rPr>
      <w:rFonts w:ascii="Times New Roman" w:hAnsi="Times New Roman"/>
      <w:b w:val="0"/>
      <w:i/>
      <w:color w:val="000000"/>
      <w:sz w:val="23"/>
    </w:rPr>
  </w:style>
  <w:style w:type="character" w:customStyle="1" w:styleId="AnnotationTok">
    <w:name w:val="AnnotationTok"/>
    <w:rPr>
      <w:rFonts w:ascii="Times New Roman" w:hAnsi="Times New Roman"/>
      <w:b w:val="0"/>
      <w:i/>
      <w:color w:val="000000"/>
      <w:sz w:val="23"/>
    </w:rPr>
  </w:style>
  <w:style w:type="character" w:customStyle="1" w:styleId="CommentVarTok">
    <w:name w:val="CommentVarTok"/>
    <w:rPr>
      <w:rFonts w:ascii="Times New Roman" w:hAnsi="Times New Roman"/>
      <w:b w:val="0"/>
      <w:i/>
      <w:color w:val="000000"/>
      <w:sz w:val="23"/>
    </w:rPr>
  </w:style>
  <w:style w:type="character" w:customStyle="1" w:styleId="OtherTok">
    <w:name w:val="OtherTok"/>
    <w:rPr>
      <w:rFonts w:ascii="Times New Roman" w:hAnsi="Times New Roman"/>
      <w:b w:val="0"/>
      <w:color w:val="000000"/>
      <w:sz w:val="23"/>
    </w:rPr>
  </w:style>
  <w:style w:type="character" w:customStyle="1" w:styleId="FunctionTok">
    <w:name w:val="FunctionTok"/>
    <w:rPr>
      <w:rFonts w:ascii="Times New Roman" w:hAnsi="Times New Roman"/>
      <w:b w:val="0"/>
      <w:color w:val="000000"/>
      <w:sz w:val="23"/>
    </w:rPr>
  </w:style>
  <w:style w:type="character" w:customStyle="1" w:styleId="VariableTok">
    <w:name w:val="VariableTok"/>
    <w:rPr>
      <w:rFonts w:ascii="Times New Roman" w:hAnsi="Times New Roman"/>
      <w:b w:val="0"/>
      <w:color w:val="000000"/>
      <w:sz w:val="23"/>
    </w:rPr>
  </w:style>
  <w:style w:type="character" w:customStyle="1" w:styleId="ControlFlowTok">
    <w:name w:val="ControlFlowTok"/>
    <w:rPr>
      <w:rFonts w:ascii="Times New Roman" w:hAnsi="Times New Roman"/>
      <w:b w:val="0"/>
      <w:color w:val="000000"/>
      <w:sz w:val="23"/>
    </w:rPr>
  </w:style>
  <w:style w:type="character" w:customStyle="1" w:styleId="OperatorTok">
    <w:name w:val="OperatorTok"/>
    <w:rPr>
      <w:rFonts w:ascii="Times New Roman" w:hAnsi="Times New Roman"/>
      <w:b w:val="0"/>
      <w:color w:val="000000"/>
      <w:sz w:val="23"/>
    </w:rPr>
  </w:style>
  <w:style w:type="character" w:customStyle="1" w:styleId="BuiltInTok">
    <w:name w:val="BuiltInTok"/>
    <w:rPr>
      <w:rFonts w:ascii="Times New Roman" w:hAnsi="Times New Roman"/>
      <w:b w:val="0"/>
      <w:color w:val="000000"/>
      <w:sz w:val="23"/>
    </w:rPr>
  </w:style>
  <w:style w:type="character" w:customStyle="1" w:styleId="ExtensionTok">
    <w:name w:val="ExtensionTok"/>
    <w:rPr>
      <w:rFonts w:ascii="Times New Roman" w:hAnsi="Times New Roman"/>
      <w:b w:val="0"/>
      <w:color w:val="000000"/>
      <w:sz w:val="23"/>
    </w:rPr>
  </w:style>
  <w:style w:type="character" w:customStyle="1" w:styleId="PreprocessorTok">
    <w:name w:val="PreprocessorTok"/>
    <w:rPr>
      <w:rFonts w:ascii="Times New Roman" w:hAnsi="Times New Roman"/>
      <w:b w:val="0"/>
      <w:color w:val="000000"/>
      <w:sz w:val="23"/>
    </w:rPr>
  </w:style>
  <w:style w:type="character" w:customStyle="1" w:styleId="AttributeTok">
    <w:name w:val="AttributeTok"/>
    <w:rPr>
      <w:rFonts w:ascii="Times New Roman" w:hAnsi="Times New Roman"/>
      <w:b w:val="0"/>
      <w:color w:val="000000"/>
      <w:sz w:val="23"/>
    </w:rPr>
  </w:style>
  <w:style w:type="character" w:customStyle="1" w:styleId="RegionMarkerTok">
    <w:name w:val="RegionMarkerTok"/>
    <w:rPr>
      <w:rFonts w:ascii="Times New Roman" w:hAnsi="Times New Roman"/>
      <w:b w:val="0"/>
      <w:color w:val="000000"/>
      <w:sz w:val="23"/>
    </w:rPr>
  </w:style>
  <w:style w:type="character" w:customStyle="1" w:styleId="InformationTok">
    <w:name w:val="InformationTok"/>
    <w:rPr>
      <w:rFonts w:ascii="Times New Roman" w:hAnsi="Times New Roman"/>
      <w:b w:val="0"/>
      <w:i/>
      <w:color w:val="000000"/>
      <w:sz w:val="23"/>
    </w:rPr>
  </w:style>
  <w:style w:type="character" w:customStyle="1" w:styleId="WarningTok">
    <w:name w:val="WarningTok"/>
    <w:rPr>
      <w:rFonts w:ascii="Times New Roman" w:hAnsi="Times New Roman"/>
      <w:b w:val="0"/>
      <w:i/>
      <w:color w:val="000000"/>
      <w:sz w:val="23"/>
    </w:rPr>
  </w:style>
  <w:style w:type="character" w:customStyle="1" w:styleId="AlertTok">
    <w:name w:val="AlertTok"/>
    <w:rPr>
      <w:rFonts w:ascii="Times New Roman" w:hAnsi="Times New Roman"/>
      <w:b w:val="0"/>
      <w:color w:val="000000"/>
      <w:sz w:val="23"/>
    </w:rPr>
  </w:style>
  <w:style w:type="character" w:customStyle="1" w:styleId="ErrorTok">
    <w:name w:val="ErrorTok"/>
    <w:rPr>
      <w:rFonts w:ascii="Times New Roman" w:hAnsi="Times New Roman"/>
      <w:b w:val="0"/>
      <w:color w:val="000000"/>
      <w:sz w:val="23"/>
    </w:rPr>
  </w:style>
  <w:style w:type="character" w:customStyle="1" w:styleId="NormalTok">
    <w:name w:val="NormalTok"/>
    <w:rPr>
      <w:rFonts w:ascii="Times New Roman" w:hAnsi="Times New Roman"/>
      <w:b w:val="0"/>
      <w:color w:val="000000"/>
      <w:sz w:val="23"/>
    </w:rPr>
  </w:style>
  <w:style w:type="paragraph" w:customStyle="1" w:styleId="FirstParagraph">
    <w:name w:val="First Paragraph"/>
    <w:basedOn w:val="Normal"/>
    <w:rsid w:val="00151E7A"/>
    <w:rPr>
      <w:sz w:val="22"/>
    </w:rPr>
  </w:style>
  <w:style w:type="character" w:styleId="Hyperlink">
    <w:name w:val="Hyperlink"/>
    <w:basedOn w:val="DefaultParagraphFont"/>
    <w:uiPriority w:val="99"/>
    <w:unhideWhenUsed/>
    <w:rsid w:val="008413B5"/>
    <w:rPr>
      <w:color w:val="0000FF" w:themeColor="hyperlink"/>
      <w:u w:val="single"/>
    </w:rPr>
  </w:style>
  <w:style w:type="character" w:styleId="UnresolvedMention">
    <w:name w:val="Unresolved Mention"/>
    <w:basedOn w:val="DefaultParagraphFont"/>
    <w:uiPriority w:val="99"/>
    <w:semiHidden/>
    <w:unhideWhenUsed/>
    <w:rsid w:val="00841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35461.51687" TargetMode="External"/><Relationship Id="rId13" Type="http://schemas.openxmlformats.org/officeDocument/2006/relationships/hyperlink" Target="https://arxiv.org/abs/2006.07733" TargetMode="External"/><Relationship Id="rId18" Type="http://schemas.openxmlformats.org/officeDocument/2006/relationships/hyperlink" Target="https://doi.org/10.1038/nn.4401" TargetMode="External"/><Relationship Id="rId26" Type="http://schemas.openxmlformats.org/officeDocument/2006/relationships/hyperlink" Target="https://github.com/debiprasadghosh/ResearchOverFlow/" TargetMode="External"/><Relationship Id="rId3" Type="http://schemas.openxmlformats.org/officeDocument/2006/relationships/settings" Target="settings.xml"/><Relationship Id="rId21" Type="http://schemas.openxmlformats.org/officeDocument/2006/relationships/hyperlink" Target="https://doi.org/10.1073/pnas.94.2.719" TargetMode="External"/><Relationship Id="rId7" Type="http://schemas.openxmlformats.org/officeDocument/2006/relationships/hyperlink" Target="mailto:debiprasadghosh@gmail.com" TargetMode="External"/><Relationship Id="rId12" Type="http://schemas.openxmlformats.org/officeDocument/2006/relationships/hyperlink" Target="https://proceedings.mlr.press/v70/zenke17a.html" TargetMode="External"/><Relationship Id="rId17" Type="http://schemas.openxmlformats.org/officeDocument/2006/relationships/hyperlink" Target="https://doi.org/10.1016/j.neuron.2005.02.001" TargetMode="External"/><Relationship Id="rId25" Type="http://schemas.openxmlformats.org/officeDocument/2006/relationships/hyperlink" Target="https://doi.org/10.1038/nature17629" TargetMode="External"/><Relationship Id="rId2" Type="http://schemas.openxmlformats.org/officeDocument/2006/relationships/styles" Target="styles.xml"/><Relationship Id="rId16" Type="http://schemas.openxmlformats.org/officeDocument/2006/relationships/hyperlink" Target="https://openreview.net/forum?id=Syxt5oC5YQ" TargetMode="External"/><Relationship Id="rId20" Type="http://schemas.openxmlformats.org/officeDocument/2006/relationships/hyperlink" Target="https://arxiv.org/abs/1606.0928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73/pnas.1611835114" TargetMode="External"/><Relationship Id="rId24" Type="http://schemas.openxmlformats.org/officeDocument/2006/relationships/hyperlink" Target="https://doi.org/10.15252/embj.201798044" TargetMode="External"/><Relationship Id="rId5" Type="http://schemas.openxmlformats.org/officeDocument/2006/relationships/footnotes" Target="footnotes.xml"/><Relationship Id="rId15" Type="http://schemas.openxmlformats.org/officeDocument/2006/relationships/hyperlink" Target="https://openreview.net/forum?id=S1fUpoR5FQ" TargetMode="External"/><Relationship Id="rId23" Type="http://schemas.openxmlformats.org/officeDocument/2006/relationships/hyperlink" Target="https://doi.org/10.1038/nature13846"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openreview.net/forum?id=uxxFrDwrE7Y"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arxiv.org/abs/2112.04215" TargetMode="External"/><Relationship Id="rId22" Type="http://schemas.openxmlformats.org/officeDocument/2006/relationships/hyperlink" Target="https://doi.org/10.1038/s42003-025-07956-6"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14</Pages>
  <Words>6557</Words>
  <Characters>37381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Synaptic Weight Histories and Predictive Consolidation for Continual Learning</dc:title>
  <dc:subject>Conceptual framework for SSRI and continual learning</dc:subject>
  <dc:creator/>
  <cp:keywords>SSRI; continual learning; nonlinear synapses; moving teacher; weight history</cp:keywords>
  <dc:description/>
  <cp:lastModifiedBy>Debiprasad Ghosh</cp:lastModifiedBy>
  <cp:revision>11</cp:revision>
  <cp:lastPrinted>2026-09-30T10:14:00Z</cp:lastPrinted>
  <dcterms:created xsi:type="dcterms:W3CDTF">2026-09-30T08:25:00Z</dcterms:created>
  <dcterms:modified xsi:type="dcterms:W3CDTF">2026-09-30T17:20:00Z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September 2026</vt:lpwstr>
  </property>
  <property fmtid="{D5CDD505-2E9C-101B-9397-08002B2CF9AE}" pid="3" name="subtitle">
    <vt:lpwstr>A conceptual framework for SSRI</vt:lpwstr>
  </property>
</Properties>
</file>