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Sheaf Geometry for Flexible Cognition</w:t>
      </w:r>
    </w:p>
    <w:p>
      <w:pPr>
        <w:pStyle w:val="Subtitle"/>
      </w:pPr>
      <w:r>
        <w:t>Shared task abstractions and preserved task specific information</w:t>
      </w:r>
    </w:p>
    <w:p>
      <w:r>
        <w:t>Debi Prasad Ghosh</w:t>
        <w:br/>
        <w:t>Debias Parametric Guru  •  Kolkata India</w:t>
        <w:br/>
        <w:t>23 October 2026</w:t>
      </w:r>
    </w:p>
    <w:p>
      <w:r>
        <w:t>Mathematical research proposal extending the recurrent cellular sheaf programme</w:t>
      </w:r>
    </w:p>
    <w:p>
      <w:pPr>
        <w:pStyle w:val="Heading1"/>
      </w:pPr>
      <w:r>
        <w:t>Abstract</w:t>
      </w:r>
    </w:p>
    <w:p>
      <w:r>
        <w:t>Flexible cognition requires reusable task abstractions together with access to the details needed for a particular action. We extend the cortical recurrent cellular sheaf framework using the network geometry results of Chakravarthula and colleagues. A cortical communication graph carries regional state spaces and feature-specific interface maps; coherent interface descriptions need not identify complete regional states. A short exact sequence of cellular sheaves separates a shared quotient from a task-detail kernel. We derive an explicit connecting obstruction that decides whether a coherent quotient state has a coherent full-state realisation, a least-squares certificate for failed lifting, and a dimension formula for the remaining degrees of freedom. A separate local-kernel theorem shows when compatibility relaxation preserves task-specific contrasts exactly. We connect activity flow to sheaf inference through a resolvent and its Schur complement, while proving that exact rank, participation ratio and nonlinear conjunctive coding support different claims about expansion. Small deterministic calculations verify the formulas and expose an obstruction despite local representability. The resulting architecture combines shared inference, protected detail, and task-conditioned readout. Its empirical commitments concern held-out cross-task generalisation, retention of task identity and prediction of intervention effects beyond matched scalar and block-linear baselines. The mathematical results are conditional finite-dimensional statements; the biological mapping remains a testable hypothesis. No new neural recordings or trained-model benchmark results are reported.</w:t>
      </w:r>
    </w:p>
    <w:p>
      <w:r>
        <w:t>Keywords  cellular sheaf  cognitive flexibility  quotient representation  lifting obstruction  task specificity  activity flow  recurrent inference</w:t>
      </w:r>
    </w:p>
    <w:p>
      <w:pPr>
        <w:pStyle w:val="Heading1"/>
      </w:pPr>
      <w:r>
        <w:t>1 Research question and extension of the cortical sheaf programme</w:t>
      </w:r>
    </w:p>
    <w:p>
      <w:r>
        <w:t>The proposed extension is to make information sharing selective. Two regions can agree about an abstract rule without agreeing about every sensory feature, response parameter or episode identifier. In a cellular sheaf, endpoint restrictions expose only the features that an interface compares. Compatibility can therefore enforce a common rule while leaving other coordinates distinct. Flexible cognition becomes the problem of learning useful interfaces, retaining sufficient detail outside them, and selecting a coherent action when the task changes.</w:t>
      </w:r>
    </w:p>
    <w:p>
      <w:r>
        <w:t>The earlier manuscript The Cortical Sheet as a Recurrent Cellular Sheaf [3] supplies the starting commitments. The horizontal base is a communication multigraph, layer-resolved population spaces are stalks, and recurrence is an explicit state update. A microcolumn is a possible anatomical support for a stalk rather than a complete recurrent sheaf network. Vertical laminar processing is an operator algebra; anatomical layer order does not supply a differential. We retain fixed restrictions within an inference episode and distinguish positive enforcement weights from changes in the restrictions themselves.</w:t>
      </w:r>
    </w:p>
    <w:p>
      <w:r>
        <w:t>This paper adds a quotient-and-kernel decomposition of task information, an explicit lifting gate, a connection to the geometry of activity flow, and a task-conditioned readout. It does not require all task-specific information to lie in an individually isolated local channel. Some details can reside in globally constrained kernel sections, and some information can arrive through parallel inputs or persistent memory. Each case has a different mathematical guarantee, which we state separately.</w:t>
      </w:r>
    </w:p>
    <w:p>
      <w:r>
        <w:t>The main architectural conclusion is precise: compress the information that needs to be shared, and retain a sufficient statistic for distinctions that downstream behaviour still needs. An expansion stage can change coding geometry; it cannot recover a distinction that every accessible channel has already erased. The sheaf construction specifies where that retained information can reside and when it can coexist with a shared abstraction.</w:t>
      </w:r>
    </w:p>
    <w:p>
      <w:pPr>
        <w:pStyle w:val="Heading1"/>
      </w:pPr>
      <w:r>
        <w:t>2 What the new cortical evidence establishes</w:t>
      </w:r>
    </w:p>
    <w:p>
      <w:r>
        <w:t>Chakravarthula, Ito, Tzalavras and Cole published Network geometry shapes the transformation of task representations across the human cortex in Nature Neuroscience on 22 October 2026 [1]. The supplied attachment is the September 3 2026 version of its bioRxiv preprint [2], with a slightly different title. The published abstract and bibliographic record were checked online; the detailed methods and numerical results discussed below were read from the supplied preprint. The publisher full text was unavailable through the retrieval service. We therefore do not assume that every preprint detail is unchanged in the version of record.</w:t>
      </w:r>
    </w:p>
    <w:p>
      <w:r>
        <w:t>The published abstract links low-dimensional connectivity to compression and greater similarity across tasks, and high-dimensional connectivity to expansion and conjunctive coding. The preprint analyses 16 visually presented tasks decomposed into 96 conditions. Although the source MDTB resource contains 24 participants, the matched task-and-rest analysis uses the 18 with resting-state scans. A separate HCP analysis uses 352 participants. The preprint reports a regional relationship between connectivity dimensionality and representational change of approximately r = 0.44, with spatial-autocorrelation controls [2]. These counts and effect sizes refer to that preprint version.</w:t>
      </w:r>
    </w:p>
    <w:p>
      <w:r>
        <w:t>Activity flow predicts target patterns by weighted summation of observed source patterns using task-free functional connectivity. Its predictions reproduce important features of target representational geometry. This supports an explanatory contribution from connectivity geometry. Functional connectivity estimated from fMRI is not a measured synaptic restriction map, and predictive activity flow does not by itself establish intervention-level causation. The source paper also demonstrates that sufficiently strong nonlinear local computations can decouple connectivity dimensionality from representational change [2].</w:t>
      </w:r>
    </w:p>
    <w:p>
      <w:r>
        <w:t>The strongest conceptual bridge is consequently at the regional population level. Parcels provide an empirical graph and measured population codes provide stalk coordinates. Extending the same fitted construction to microcolumns or named cortical layers would require measurements at that scale. The present fMRI evidence cannot assign the quotient to one lamina, prove a thalamic storage role, or establish a cortical cohomology group.</w:t>
      </w:r>
    </w:p>
    <w:tbl>
      <w:tblPr>
        <w:tblW w:type="auto" w:w="0"/>
        <w:tblLayout w:type="fixed"/>
        <w:tblLook w:firstColumn="1" w:firstRow="1" w:lastColumn="0" w:lastRow="0" w:noHBand="0" w:noVBand="1" w:val="04A0"/>
      </w:tblPr>
      <w:tblGrid>
        <w:gridCol w:w="3264"/>
        <w:gridCol w:w="3264"/>
        <w:gridCol w:w="3264"/>
      </w:tblGrid>
      <w:tr>
        <w:trPr>
          <w:cantSplit/>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E4EAF0"/>
          </w:tcPr>
          <w:p>
            <w:pPr>
              <w:spacing w:after="40" w:line="240" w:lineRule="auto"/>
            </w:pPr>
            <w:r>
              <w:rPr>
                <w:b/>
                <w:sz w:val="18"/>
              </w:rPr>
              <w:t>Source observation</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E4EAF0"/>
          </w:tcPr>
          <w:p>
            <w:pPr>
              <w:spacing w:after="40" w:line="240" w:lineRule="auto"/>
            </w:pPr>
            <w:r>
              <w:rPr>
                <w:b/>
                <w:sz w:val="18"/>
              </w:rPr>
              <w:t>Mathematical extension</w:t>
            </w:r>
          </w:p>
        </w:tc>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shd w:fill="E4EAF0"/>
          </w:tcPr>
          <w:p>
            <w:pPr>
              <w:spacing w:after="40" w:line="240" w:lineRule="auto"/>
            </w:pPr>
            <w:r>
              <w:rPr>
                <w:b/>
                <w:sz w:val="18"/>
              </w:rPr>
              <w:t>Required additional evidence</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Connectivity geometry predicts task geometry</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Feature-selective interface maps constrain inference</w:t>
            </w:r>
          </w:p>
        </w:tc>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Independent map calibration and held-out prediction</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Greater cross-task similarity in compressed representations</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A shared quotient removes selected distinctions</w:t>
            </w:r>
          </w:p>
        </w:tc>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Cross-condition generalisation with task-factor controls</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Expansion and conjunctive coding</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Parallel detail and context support richer readout</w:t>
            </w:r>
          </w:p>
        </w:tc>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Detail retention and context-specific behavioural tests</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Activity flow approximates target patterns</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A fitted transfer is compared with sheaf inference</w:t>
            </w:r>
          </w:p>
        </w:tc>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Budget-matched scalar and unconstrained block models</w:t>
            </w:r>
          </w:p>
        </w:tc>
      </w:tr>
    </w:tbl>
    <w:p/>
    <w:p>
      <w:r>
        <w:t>These are proposed correspondences, not identifications already demonstrated by the source study. Similarity alone does not establish generalisation, and high dimensionality alone does not establish useful task specificity. Both must be assessed with behaviour or held-out computational targets.</w:t>
      </w:r>
    </w:p>
    <w:p>
      <w:pPr>
        <w:pStyle w:val="Heading1"/>
      </w:pPr>
      <w:r>
        <w:t>3 A finite cellular sheaf with selective interfaces</w:t>
      </w:r>
    </w:p>
    <w:p>
      <w:pPr>
        <w:pStyle w:val="Heading2"/>
      </w:pPr>
      <w:r>
        <w:t>3 1 State spaces and compatibility</w:t>
      </w:r>
    </w:p>
    <w:p>
      <w:r>
        <w:t>Let G = (V,E) be a finite oriented multigraph. Orientation sets algebraic signs; it does not assert reciprocal anatomy. A real cellular sheaf F assigns a finite-dimensional inner-product space F(v) to each vertex and F(e) to each edge, with endpoint-to-interface maps Rᶠᵥₑ : F(v) → F(e). On a graph there are no higher incidence identities to check. Parallel routes can be represented by separate edges.</w:t>
      </w:r>
    </w:p>
    <w:p>
      <w:pPr>
        <w:spacing w:before="100" w:after="140"/>
        <w:jc w:val="center"/>
      </w:pPr>
      <w:r>
        <w:drawing>
          <wp:inline xmlns:a="http://schemas.openxmlformats.org/drawingml/2006/main" xmlns:pic="http://schemas.openxmlformats.org/drawingml/2006/picture">
            <wp:extent cx="2505989" cy="385927"/>
            <wp:docPr id="1" name="Picture 1"/>
            <wp:cNvGraphicFramePr>
              <a:graphicFrameLocks noChangeAspect="1"/>
            </wp:cNvGraphicFramePr>
            <a:graphic>
              <a:graphicData uri="http://schemas.openxmlformats.org/drawingml/2006/picture">
                <pic:pic>
                  <pic:nvPicPr>
                    <pic:cNvPr id="0" name="eq0.png"/>
                    <pic:cNvPicPr/>
                  </pic:nvPicPr>
                  <pic:blipFill>
                    <a:blip r:embed="rId11"/>
                    <a:stretch>
                      <a:fillRect/>
                    </a:stretch>
                  </pic:blipFill>
                  <pic:spPr>
                    <a:xfrm>
                      <a:off x="0" y="0"/>
                      <a:ext cx="2505989" cy="385927"/>
                    </a:xfrm>
                    <a:prstGeom prst="rect"/>
                  </pic:spPr>
                </pic:pic>
              </a:graphicData>
            </a:graphic>
          </wp:inline>
        </w:drawing>
      </w:r>
    </w:p>
    <w:p>
      <w:pPr>
        <w:spacing w:before="100" w:after="140"/>
        <w:jc w:val="center"/>
      </w:pPr>
      <w:r>
        <w:drawing>
          <wp:inline xmlns:a="http://schemas.openxmlformats.org/drawingml/2006/main" xmlns:pic="http://schemas.openxmlformats.org/drawingml/2006/picture">
            <wp:extent cx="2530144" cy="213172"/>
            <wp:docPr id="2" name="Picture 2"/>
            <wp:cNvGraphicFramePr>
              <a:graphicFrameLocks noChangeAspect="1"/>
            </wp:cNvGraphicFramePr>
            <a:graphic>
              <a:graphicData uri="http://schemas.openxmlformats.org/drawingml/2006/picture">
                <pic:pic>
                  <pic:nvPicPr>
                    <pic:cNvPr id="0" name="eq1.png"/>
                    <pic:cNvPicPr/>
                  </pic:nvPicPr>
                  <pic:blipFill>
                    <a:blip r:embed="rId12"/>
                    <a:stretch>
                      <a:fillRect/>
                    </a:stretch>
                  </pic:blipFill>
                  <pic:spPr>
                    <a:xfrm>
                      <a:off x="0" y="0"/>
                      <a:ext cx="2530144" cy="213172"/>
                    </a:xfrm>
                    <a:prstGeom prst="rect"/>
                  </pic:spPr>
                </pic:pic>
              </a:graphicData>
            </a:graphic>
          </wp:inline>
        </w:drawing>
      </w:r>
    </w:p>
    <w:p>
      <w:pPr>
        <w:spacing w:before="100" w:after="140"/>
        <w:jc w:val="center"/>
      </w:pPr>
      <w:r>
        <w:drawing>
          <wp:inline xmlns:a="http://schemas.openxmlformats.org/drawingml/2006/main" xmlns:pic="http://schemas.openxmlformats.org/drawingml/2006/picture">
            <wp:extent cx="2666911" cy="208273"/>
            <wp:docPr id="3" name="Picture 3"/>
            <wp:cNvGraphicFramePr>
              <a:graphicFrameLocks noChangeAspect="1"/>
            </wp:cNvGraphicFramePr>
            <a:graphic>
              <a:graphicData uri="http://schemas.openxmlformats.org/drawingml/2006/picture">
                <pic:pic>
                  <pic:nvPicPr>
                    <pic:cNvPr id="0" name="eq2.png"/>
                    <pic:cNvPicPr/>
                  </pic:nvPicPr>
                  <pic:blipFill>
                    <a:blip r:embed="rId13"/>
                    <a:stretch>
                      <a:fillRect/>
                    </a:stretch>
                  </pic:blipFill>
                  <pic:spPr>
                    <a:xfrm>
                      <a:off x="0" y="0"/>
                      <a:ext cx="2666911" cy="208273"/>
                    </a:xfrm>
                    <a:prstGeom prst="rect"/>
                  </pic:spPr>
                </pic:pic>
              </a:graphicData>
            </a:graphic>
          </wp:inline>
        </w:drawing>
      </w:r>
    </w:p>
    <w:p>
      <w:r>
        <w:t>A section is an assignment of full local states whose interface descriptions agree. The endpoint maps can be rectangular, rank deficient and different at the two ends. They are not automatically vertex-to-vertex transports. Invertible transport, holonomy and local-system results apply only to a separately identified invertible sector [4].</w:t>
      </w:r>
    </w:p>
    <w:p>
      <w:r>
        <w:t>For X whose columns are states across conditions, interface agreement concerns δF X. It does not imply Xᵤ = Xᵥ, equal regional representational similarity matrices, or identical task decoders. Heterogeneous local coordinates can express one compatible abstract variable in different ways. This is the mathematical source of agreement without collapse.</w:t>
      </w:r>
    </w:p>
    <w:p>
      <w:pPr>
        <w:pStyle w:val="Heading2"/>
      </w:pPr>
      <w:r>
        <w:t>3 2 Geometry and calibration</w:t>
      </w:r>
    </w:p>
    <w:p>
      <w:r>
        <w:t>Choose registered vertex and interface metrics before comparing dimensionality, residuals or intervention effects. A general invertible change of coordinates can alter singular values and participation ratios when metrics are silently held Euclidean. Cohomology dimensions are algebraically invariant under sheaf isomorphism; these numerical geometric measures require metrics to be transported with the coordinates. Orthogonal changes in a fixed metric are harmless.</w:t>
      </w:r>
    </w:p>
    <w:p>
      <w:r>
        <w:t>Restrictions must be constrained by a declared feature interface or independent causal calibration. Resting-state regression gives a predictive candidate, not an automatic compatibility law. Multiple afferents may contribute to one target, so a target state cannot generally be equated with each source contribution independently. Aggregate source nodes, auxiliary summation variables or a factor-graph representation are needed when the intended law is an additive activity-flow equation.</w:t>
      </w:r>
    </w:p>
    <w:p>
      <w:pPr>
        <w:pStyle w:val="Heading1"/>
      </w:pPr>
      <w:r>
        <w:t>4 Shared abstractions as a quotient sheaf</w:t>
      </w:r>
    </w:p>
    <w:p>
      <w:r>
        <w:t>Let K contain task-detail directions and Q describe the information exposed as a common abstraction. Assume a cellwise short exact sequence of cellular sheaves and commuting incidence maps:</w:t>
      </w:r>
    </w:p>
    <w:p>
      <w:pPr>
        <w:spacing w:before="100" w:after="140"/>
        <w:jc w:val="center"/>
      </w:pPr>
      <w:r>
        <w:drawing>
          <wp:inline xmlns:a="http://schemas.openxmlformats.org/drawingml/2006/main" xmlns:pic="http://schemas.openxmlformats.org/drawingml/2006/picture">
            <wp:extent cx="1576476" cy="238629"/>
            <wp:docPr id="4" name="Picture 4"/>
            <wp:cNvGraphicFramePr>
              <a:graphicFrameLocks noChangeAspect="1"/>
            </wp:cNvGraphicFramePr>
            <a:graphic>
              <a:graphicData uri="http://schemas.openxmlformats.org/drawingml/2006/picture">
                <pic:pic>
                  <pic:nvPicPr>
                    <pic:cNvPr id="0" name="eq3.png"/>
                    <pic:cNvPicPr/>
                  </pic:nvPicPr>
                  <pic:blipFill>
                    <a:blip r:embed="rId14"/>
                    <a:stretch>
                      <a:fillRect/>
                    </a:stretch>
                  </pic:blipFill>
                  <pic:spPr>
                    <a:xfrm>
                      <a:off x="0" y="0"/>
                      <a:ext cx="1576476" cy="238629"/>
                    </a:xfrm>
                    <a:prstGeom prst="rect"/>
                  </pic:spPr>
                </pic:pic>
              </a:graphicData>
            </a:graphic>
          </wp:inline>
        </w:drawing>
      </w:r>
    </w:p>
    <w:p>
      <w:r>
        <w:t>Exactness means that π is onto at every cell and its kernel is precisely the injected K. It is a model specification to be estimated and tested. The quotient has no intrinsic semantic meaning until shared task factors have been operationally defined. Likewise K is not an automatic repository of useful detail; the task readout must actually use information in it.</w:t>
      </w:r>
    </w:p>
    <w:p>
      <w:r>
        <w:t>Choose vector-space splittings F(a) ≅ K(a) ⊕ Q(a) at each cell a. These always exist over the reals but need not respect restrictions. In these coordinates the endpoint restrictions and coboundary have triangular form:</w:t>
      </w:r>
    </w:p>
    <w:p>
      <w:pPr>
        <w:spacing w:before="100" w:after="140"/>
        <w:jc w:val="center"/>
      </w:pPr>
      <w:r>
        <w:drawing>
          <wp:inline xmlns:a="http://schemas.openxmlformats.org/drawingml/2006/main" xmlns:pic="http://schemas.openxmlformats.org/drawingml/2006/picture">
            <wp:extent cx="1216672" cy="395418"/>
            <wp:docPr id="5" name="Picture 5"/>
            <wp:cNvGraphicFramePr>
              <a:graphicFrameLocks noChangeAspect="1"/>
            </wp:cNvGraphicFramePr>
            <a:graphic>
              <a:graphicData uri="http://schemas.openxmlformats.org/drawingml/2006/picture">
                <pic:pic>
                  <pic:nvPicPr>
                    <pic:cNvPr id="0" name="eq4.png"/>
                    <pic:cNvPicPr/>
                  </pic:nvPicPr>
                  <pic:blipFill>
                    <a:blip r:embed="rId15"/>
                    <a:stretch>
                      <a:fillRect/>
                    </a:stretch>
                  </pic:blipFill>
                  <pic:spPr>
                    <a:xfrm>
                      <a:off x="0" y="0"/>
                      <a:ext cx="1216672" cy="395418"/>
                    </a:xfrm>
                    <a:prstGeom prst="rect"/>
                  </pic:spPr>
                </pic:pic>
              </a:graphicData>
            </a:graphic>
          </wp:inline>
        </w:drawing>
      </w:r>
    </w:p>
    <w:p>
      <w:pPr>
        <w:spacing w:before="100" w:after="140"/>
        <w:jc w:val="center"/>
      </w:pPr>
      <w:r>
        <w:drawing>
          <wp:inline xmlns:a="http://schemas.openxmlformats.org/drawingml/2006/main" xmlns:pic="http://schemas.openxmlformats.org/drawingml/2006/picture">
            <wp:extent cx="1701038" cy="198031"/>
            <wp:docPr id="6" name="Picture 6"/>
            <wp:cNvGraphicFramePr>
              <a:graphicFrameLocks noChangeAspect="1"/>
            </wp:cNvGraphicFramePr>
            <a:graphic>
              <a:graphicData uri="http://schemas.openxmlformats.org/drawingml/2006/picture">
                <pic:pic>
                  <pic:nvPicPr>
                    <pic:cNvPr id="0" name="eq5.png"/>
                    <pic:cNvPicPr/>
                  </pic:nvPicPr>
                  <pic:blipFill>
                    <a:blip r:embed="rId16"/>
                    <a:stretch>
                      <a:fillRect/>
                    </a:stretch>
                  </pic:blipFill>
                  <pic:spPr>
                    <a:xfrm>
                      <a:off x="0" y="0"/>
                      <a:ext cx="1701038" cy="198031"/>
                    </a:xfrm>
                    <a:prstGeom prst="rect"/>
                  </pic:spPr>
                </pic:pic>
              </a:graphicData>
            </a:graphic>
          </wp:inline>
        </w:drawing>
      </w:r>
    </w:p>
    <w:p>
      <w:r>
        <w:t>Here (Bq)ₑ = Bᵥₑqᵥ − Bᵤₑqᵤ; A and C are the restrictions of K and Q. The off-diagonal B describes how selecting an abstract state requires adjustments of task-detail coordinates. A direct-sum sheaf has B = 0 after compatible splittings, but a general extension does not. Local availability of an abstract representation therefore need not guarantee a coherent network-wide implementation.</w:t>
      </w:r>
    </w:p>
    <w:p>
      <w:r>
        <w:rPr>
          <w:b/>
        </w:rPr>
        <w:t xml:space="preserve">Theorem 1 on coherent realisation </w:t>
      </w:r>
      <w:r>
        <w:t>For q ∈ H⁰(Q), choose any degree-zero lift x with πx = q. There is a unique b ∈ C¹(K) with i b = δF x. The class ∂q = [b] ∈ H¹(K) is independent of the lift. A section f ∈ H⁰(F) with πf = q exists exactly when ∂q = 0. When a lift exists, all section lifts form an affine space over H⁰(K).</w:t>
      </w:r>
    </w:p>
    <w:p>
      <w:r>
        <w:rPr>
          <w:i/>
        </w:rPr>
        <w:t xml:space="preserve">Proof. </w:t>
      </w:r>
      <w:r>
        <w:t>The commuting square gives πδF x = δQ q = 0, so exactness at degree one identifies δF x with i b. Another lift is x + i k and changes b by δK k. Thus [b] is well defined. If its class is zero, choose k with δK k = −b, and x + i k is a section lifting q. Conversely a section lift makes the class zero. The difference of two section lifts lies in the injected kernel and has zero coboundary, hence is a section of K. □</w:t>
      </w:r>
    </w:p>
    <w:p>
      <w:r>
        <w:t>This is the connecting homomorphism from the standard long exact sequence, written here in computational coordinates [4,6]. Its use for task-conditioned implementation is the proposed extension; the exact-sequence theorem itself is established mathematics. A nonzero ∂q means that this abstraction cannot be implemented under these interfaces without changing the abstraction, revising a constraint, or accepting residual disagreement.</w:t>
      </w:r>
    </w:p>
    <w:p>
      <w:r>
        <w:rPr>
          <w:b/>
        </w:rPr>
        <w:t xml:space="preserve">Corollary 1 on simultaneous capacity </w:t>
      </w:r>
      <w:r>
        <w:t>The full section dimension satisfies dim H⁰(F) = dim H⁰(K) + dim ker ∂. The quotient states attainable coherently are exactly ker ∂ ⊆ H⁰(Q).</w:t>
      </w:r>
    </w:p>
    <w:p>
      <w:r>
        <w:rPr>
          <w:i/>
        </w:rPr>
        <w:t xml:space="preserve">Proof. </w:t>
      </w:r>
      <w:r>
        <w:t>The kernel of the restricted map π : H⁰(F) → H⁰(Q) is H⁰(K), and Theorem 1 identifies its image with ker ∂. Apply rank–nullity. □</w:t>
      </w:r>
    </w:p>
    <w:p>
      <w:r>
        <w:t>A large locally defined quotient can therefore overstate usable shared capacity. The relevant global capacity is dim ker ∂, supplemented by the task-detail degrees of freedom in H⁰(K). This is a linear capacity count, not a bit capacity or a prediction of behavioural accuracy.</w:t>
      </w:r>
    </w:p>
    <w:p>
      <w:pPr>
        <w:pStyle w:val="Heading1"/>
      </w:pPr>
      <w:r>
        <w:t>5 A quantitative certificate for a failed lift</w:t>
      </w:r>
    </w:p>
    <w:p>
      <w:r>
        <w:t>Fix q ∈ H⁰(Q) and a lift x₀. Write b for its K-valued residual. Give C¹(K) a positive-definite weight W and C⁰(K) its registered metric. The minimum implementation error is</w:t>
      </w:r>
    </w:p>
    <w:p>
      <w:pPr>
        <w:spacing w:before="100" w:after="140"/>
        <w:jc w:val="center"/>
      </w:pPr>
      <w:r>
        <w:drawing>
          <wp:inline xmlns:a="http://schemas.openxmlformats.org/drawingml/2006/main" xmlns:pic="http://schemas.openxmlformats.org/drawingml/2006/picture">
            <wp:extent cx="1899183" cy="342767"/>
            <wp:docPr id="7" name="Picture 7"/>
            <wp:cNvGraphicFramePr>
              <a:graphicFrameLocks noChangeAspect="1"/>
            </wp:cNvGraphicFramePr>
            <a:graphic>
              <a:graphicData uri="http://schemas.openxmlformats.org/drawingml/2006/picture">
                <pic:pic>
                  <pic:nvPicPr>
                    <pic:cNvPr id="0" name="eq6.png"/>
                    <pic:cNvPicPr/>
                  </pic:nvPicPr>
                  <pic:blipFill>
                    <a:blip r:embed="rId17"/>
                    <a:stretch>
                      <a:fillRect/>
                    </a:stretch>
                  </pic:blipFill>
                  <pic:spPr>
                    <a:xfrm>
                      <a:off x="0" y="0"/>
                      <a:ext cx="1899183" cy="342767"/>
                    </a:xfrm>
                    <a:prstGeom prst="rect"/>
                  </pic:spPr>
                </pic:pic>
              </a:graphicData>
            </a:graphic>
          </wp:inline>
        </w:drawing>
      </w:r>
    </w:p>
    <w:p>
      <w:r>
        <w:t>Define D = W¹ᐟ²δK, c = W¹ᐟ²b, and let P be the orthogonal projector onto ker D*. An asterisk denotes adjoint in the chosen metrics.</w:t>
      </w:r>
    </w:p>
    <w:p>
      <w:r>
        <w:rPr>
          <w:b/>
        </w:rPr>
        <w:t xml:space="preserve">Theorem 2 on obstruction size </w:t>
      </w:r>
      <w:r>
        <w:t>The minimum residual is ε(q) = ‖Pc‖. A minimum-norm correction is k* = −D†c, where † is the Moore–Penrose inverse. Exact lifting holds precisely when Pc = 0. Every minimizing correction differs from k* by an element of ker D.</w:t>
      </w:r>
    </w:p>
    <w:p>
      <w:r>
        <w:rPr>
          <w:i/>
        </w:rPr>
        <w:t xml:space="preserve">Proof. </w:t>
      </w:r>
      <w:r>
        <w:t>Decompose c orthogonally as a component in im D and a component in ker D*. The term Dk can cancel the first component and cannot alter the second. The pseudoinverse cancels the image component with smallest correction norm, and its remaining ambiguity is ker D. □</w:t>
      </w:r>
    </w:p>
    <w:p>
      <w:r>
        <w:t>Changing the initial lift replaces c by c + Dh and leaves Pc unchanged. Positive weights change the numerical size of the obstruction but not whether it vanishes. The harmonic representative is identified with H¹(K) after the metric is specified; it is not independent of the metric. This gives a computable implementation gate rather than a label inferred from a Betti number alone.</w:t>
      </w:r>
    </w:p>
    <w:p>
      <w:r>
        <w:rPr>
          <w:b/>
        </w:rPr>
        <w:t xml:space="preserve">Proposition 1 on conditioning </w:t>
      </w:r>
      <w:r>
        <w:t>Let σ₊ be the smallest positive singular value of D. If D is nonzero then ‖k*‖ ≤ ‖c‖/σ₊. For a fixed linear lift choice and fixed D, changes in q give ‖Δk*‖ ≤ ‖D†‖ ‖Δc‖. If D = 0, the minimum-norm correction is zero and the residual is all of c.</w:t>
      </w:r>
    </w:p>
    <w:p>
      <w:r>
        <w:rPr>
          <w:i/>
        </w:rPr>
        <w:t xml:space="preserve">Proof. </w:t>
      </w:r>
      <w:r>
        <w:t>Use ‖D†‖ = 1/σ₊ and linearity of the minimum-norm correction for fixed D. The zero case follows directly from the minimisation problem. □</w:t>
      </w:r>
    </w:p>
    <w:p>
      <w:r>
        <w:t>Exact liftability and robust liftability are different. A nearly singular D can admit an exact section while requiring a large change in task-detail coordinates. An engineered gate should therefore test residual, correction size and parameter uncertainty, with tolerances set from readout performance. Neither ε nor σ₊ alone is an established neural confidence measure.</w:t>
      </w:r>
    </w:p>
    <w:p>
      <w:pPr>
        <w:pStyle w:val="Heading2"/>
      </w:pPr>
      <w:r>
        <w:t>5 1 What the obstruction is not</w:t>
      </w:r>
    </w:p>
    <w:p>
      <w:r>
        <w:t>The residual δF x₀ is exact in the full F complex and consequently represents zero in H¹(F). Its nonzero class can appear in H¹(K) because correction is restricted to K while q is held fixed. Confusing these coefficient systems would erase the meaning of the lifting test. Similarly, nonzero H¹(K) merely supplies a possible obstruction space; the particular ∂q can vanish. A graph cycle is neither necessary nor sufficient for nonzero H¹ of a general cellular sheaf.</w:t>
      </w:r>
    </w:p>
    <w:p>
      <w:r>
        <w:t>For example, on one edge let both endpoint stalks be R and the edge stalk be R², with both restrictions t ↦ (t,0). The coboundary misses the second coordinate, so H¹ has dimension one even though the base is a tree. For an invertible local system on a tree the coboundary is onto and H¹ vanishes. The chosen restriction class, rather than the graph alone, determines which statement applies.</w:t>
      </w:r>
    </w:p>
    <w:p>
      <w:pPr>
        <w:pStyle w:val="Heading1"/>
      </w:pPr>
      <w:r>
        <w:t>6 Preserving task details during compatibility inference</w:t>
      </w:r>
    </w:p>
    <w:p>
      <w:r>
        <w:t>The kernel K of the quotient and the kernel of every exposed interface play different roles. A K coordinate can be constrained across regions by δK and need not remain unchanged under inference. To identify completely protected local detail, stack the outgoing endpoint maps at each vertex and define</w:t>
      </w:r>
    </w:p>
    <w:p>
      <w:pPr>
        <w:spacing w:before="100" w:after="140"/>
        <w:jc w:val="center"/>
      </w:pPr>
      <w:r>
        <w:drawing>
          <wp:inline xmlns:a="http://schemas.openxmlformats.org/drawingml/2006/main" xmlns:pic="http://schemas.openxmlformats.org/drawingml/2006/picture">
            <wp:extent cx="2034476" cy="386068"/>
            <wp:docPr id="8" name="Picture 8"/>
            <wp:cNvGraphicFramePr>
              <a:graphicFrameLocks noChangeAspect="1"/>
            </wp:cNvGraphicFramePr>
            <a:graphic>
              <a:graphicData uri="http://schemas.openxmlformats.org/drawingml/2006/picture">
                <pic:pic>
                  <pic:nvPicPr>
                    <pic:cNvPr id="0" name="eq7.png"/>
                    <pic:cNvPicPr/>
                  </pic:nvPicPr>
                  <pic:blipFill>
                    <a:blip r:embed="rId18"/>
                    <a:stretch>
                      <a:fillRect/>
                    </a:stretch>
                  </pic:blipFill>
                  <pic:spPr>
                    <a:xfrm>
                      <a:off x="0" y="0"/>
                      <a:ext cx="2034476" cy="386068"/>
                    </a:xfrm>
                    <a:prstGeom prst="rect"/>
                  </pic:spPr>
                </pic:pic>
              </a:graphicData>
            </a:graphic>
          </wp:inline>
        </w:drawing>
      </w:r>
    </w:p>
    <w:p>
      <w:r>
        <w:t>Every vector supported in N is a global section because all its interface images vanish. N is a direct sum of independently hidden local directions. Other sections can carry additional, globally coordinated detail.</w:t>
      </w:r>
    </w:p>
    <w:p>
      <w:r>
        <w:rPr>
          <w:b/>
        </w:rPr>
        <w:t xml:space="preserve">Theorem 3 on protected local contrasts </w:t>
      </w:r>
      <w:r>
        <w:t>With fixed restrictions and positive W, let L = δF* W δF. For the free symmetric dynamics ẋ = −Lx, or xₙ₊₁ = (I − ηL)xₙ with 0 &lt; η &lt; 2/λmax(L), the orthogonal projection onto N is constant. The dynamics converges to the orthogonal projection onto H⁰(F). For the same initial state this endpoint is independent of positive W. If L = 0 the state is fixed.</w:t>
      </w:r>
    </w:p>
    <w:p>
      <w:r>
        <w:rPr>
          <w:i/>
        </w:rPr>
        <w:t xml:space="preserve">Proof. </w:t>
      </w:r>
      <w:r>
        <w:t>For n ∈ N, δF n = 0 and therefore Ln = 0. Self-adjointness implies P_N L = 0, so the N component is conserved. Positivity gives ker L = ker δF. Spectral decomposition eliminates every positive-eigenvalue component under the continuous or stated discrete dynamics and preserves the zero modes. Positive reweighting does not change the kernel or its orthogonal projector. □</w:t>
      </w:r>
    </w:p>
    <w:p>
      <w:r>
        <w:t>This extends the earlier positive-reweighting result [3] by identifying an operational task-detail subspace. The result requires a fixed state metric and unforced symmetric relaxation. A task switch can change the readout or cue while retaining these maps; it cannot be described as weight-only modulation if measured feature restrictions rotate. Clamped conflicting cues, changed mobility, nonlinear updates and finite observation time do not inherit endpoint invariance automatically.</w:t>
      </w:r>
    </w:p>
    <w:p>
      <w:r>
        <w:rPr>
          <w:b/>
        </w:rPr>
        <w:t xml:space="preserve">Proposition 2 on approximate protection </w:t>
      </w:r>
      <w:r>
        <w:t>If z is an approximately private contrast with ‖W¹ᐟ²δF z‖ ≤ ε, then free continuous relaxation obeys ‖exp(−tL)z − z‖ ≤ t ‖δF*W¹ᐟ²‖ ε. The estimate uses the fixed operator and is informative only over a stated time horizon.</w:t>
      </w:r>
    </w:p>
    <w:p>
      <w:r>
        <w:rPr>
          <w:i/>
        </w:rPr>
        <w:t xml:space="preserve">Proof. </w:t>
      </w:r>
      <w:r>
        <w:t>Write exp(−tL)z − z = −∫₀ᵗ exp(−sL)Lz ds. Positive semidefiniteness makes the semigroup a contraction. Bound ‖Lz‖ by ‖δF*W¹ᐟ²‖ ‖W¹ᐟ²δF z‖. □</w:t>
      </w:r>
    </w:p>
    <w:p>
      <w:r>
        <w:t>The estimate predicts gradual leakage when nominally private directions are only approximately invisible. Indefinite retention is justified only for exact kernel components in this model. A private state can also be preserved by a separately specified memory update, but that is an additional mechanism.</w:t>
      </w:r>
    </w:p>
    <w:p>
      <w:pPr>
        <w:pStyle w:val="Heading2"/>
      </w:pPr>
      <w:r>
        <w:t>6 1 A minimal example</w:t>
      </w:r>
    </w:p>
    <w:p>
      <w:r>
        <w:t>Take two vertices with states x₁ = (s₁,p₁) and x₂ = (s₂,p₂), one scalar edge, and both restrictions (s,p) ↦ s. Compatibility aligns s₁ and s₂ while leaving p₁ and p₂ independent. Here dim H⁰(F) = 3, with one shared coordinate and two private coordinates. The scalar edge residual is s₂ − s₁.</w:t>
      </w:r>
    </w:p>
    <w:p>
      <w:pPr>
        <w:spacing w:before="100" w:after="140"/>
        <w:jc w:val="center"/>
      </w:pPr>
      <w:r>
        <w:drawing>
          <wp:inline xmlns:a="http://schemas.openxmlformats.org/drawingml/2006/main" xmlns:pic="http://schemas.openxmlformats.org/drawingml/2006/picture">
            <wp:extent cx="2741282" cy="190367"/>
            <wp:docPr id="9" name="Picture 9"/>
            <wp:cNvGraphicFramePr>
              <a:graphicFrameLocks noChangeAspect="1"/>
            </wp:cNvGraphicFramePr>
            <a:graphic>
              <a:graphicData uri="http://schemas.openxmlformats.org/drawingml/2006/picture">
                <pic:pic>
                  <pic:nvPicPr>
                    <pic:cNvPr id="0" name="eq8.png"/>
                    <pic:cNvPicPr/>
                  </pic:nvPicPr>
                  <pic:blipFill>
                    <a:blip r:embed="rId19"/>
                    <a:stretch>
                      <a:fillRect/>
                    </a:stretch>
                  </pic:blipFill>
                  <pic:spPr>
                    <a:xfrm>
                      <a:off x="0" y="0"/>
                      <a:ext cx="2741282" cy="190367"/>
                    </a:xfrm>
                    <a:prstGeom prst="rect"/>
                  </pic:spPr>
                </pic:pic>
              </a:graphicData>
            </a:graphic>
          </wp:inline>
        </w:drawing>
      </w:r>
    </w:p>
    <w:p>
      <w:r>
        <w:t>The two private values remain available for separate task readouts. Full-state scalar consensus on the same two-dimensional node features would instead force both coordinates to agree, losing their difference. A conventional block model can implement exactly this selective coupling; the value of the sheaf formulation lies in its declared interfaces and compositional constraints, not in a new expressive power unavailable to block matrices.</w:t>
      </w:r>
    </w:p>
    <w:p>
      <w:pPr>
        <w:pStyle w:val="Heading1"/>
      </w:pPr>
      <w:r>
        <w:t>7 Connecting activity flow to sheaf inference</w:t>
      </w:r>
    </w:p>
    <w:p>
      <w:r>
        <w:t>The source model has the form Y = TX, where columns index task conditions, X stacks source states and T is a fitted connectivity transfer. A sheaf energy compares interfaces and does not automatically implement this directed input-output equation. We connect them by fixing a concrete inference problem:</w:t>
      </w:r>
    </w:p>
    <w:p>
      <w:pPr>
        <w:spacing w:before="100" w:after="140"/>
        <w:jc w:val="center"/>
      </w:pPr>
      <w:r>
        <w:drawing>
          <wp:inline xmlns:a="http://schemas.openxmlformats.org/drawingml/2006/main" xmlns:pic="http://schemas.openxmlformats.org/drawingml/2006/picture">
            <wp:extent cx="2654846" cy="357871"/>
            <wp:docPr id="10" name="Picture 10"/>
            <wp:cNvGraphicFramePr>
              <a:graphicFrameLocks noChangeAspect="1"/>
            </wp:cNvGraphicFramePr>
            <a:graphic>
              <a:graphicData uri="http://schemas.openxmlformats.org/drawingml/2006/picture">
                <pic:pic>
                  <pic:nvPicPr>
                    <pic:cNvPr id="0" name="eq9.png"/>
                    <pic:cNvPicPr/>
                  </pic:nvPicPr>
                  <pic:blipFill>
                    <a:blip r:embed="rId20"/>
                    <a:stretch>
                      <a:fillRect/>
                    </a:stretch>
                  </pic:blipFill>
                  <pic:spPr>
                    <a:xfrm>
                      <a:off x="0" y="0"/>
                      <a:ext cx="2654846" cy="357871"/>
                    </a:xfrm>
                    <a:prstGeom prst="rect"/>
                  </pic:spPr>
                </pic:pic>
              </a:graphicData>
            </a:graphic>
          </wp:inline>
        </w:drawing>
      </w:r>
    </w:p>
    <w:p>
      <w:pPr>
        <w:spacing w:before="100" w:after="140"/>
        <w:jc w:val="center"/>
      </w:pPr>
      <w:r>
        <w:drawing>
          <wp:inline xmlns:a="http://schemas.openxmlformats.org/drawingml/2006/main" xmlns:pic="http://schemas.openxmlformats.org/drawingml/2006/picture">
            <wp:extent cx="2717546" cy="208261"/>
            <wp:docPr id="11" name="Picture 11"/>
            <wp:cNvGraphicFramePr>
              <a:graphicFrameLocks noChangeAspect="1"/>
            </wp:cNvGraphicFramePr>
            <a:graphic>
              <a:graphicData uri="http://schemas.openxmlformats.org/drawingml/2006/picture">
                <pic:pic>
                  <pic:nvPicPr>
                    <pic:cNvPr id="0" name="eq10.png"/>
                    <pic:cNvPicPr/>
                  </pic:nvPicPr>
                  <pic:blipFill>
                    <a:blip r:embed="rId21"/>
                    <a:stretch>
                      <a:fillRect/>
                    </a:stretch>
                  </pic:blipFill>
                  <pic:spPr>
                    <a:xfrm>
                      <a:off x="0" y="0"/>
                      <a:ext cx="2717546" cy="208261"/>
                    </a:xfrm>
                    <a:prstGeom prst="rect"/>
                  </pic:spPr>
                </pic:pic>
              </a:graphicData>
            </a:graphic>
          </wp:inline>
        </w:drawing>
      </w:r>
    </w:p>
    <w:p>
      <w:r>
        <w:t>The fidelity term retains the cue z, so this is driven regularised inference rather than the free relaxation of Theorem 3. It is unique for every finite τ because I + τL is positive definite. If S selects or injects measured source coordinates and P selects target readouts, the effective transfer is T_eff = P Hτ S. Whether it predicts empirical activity flow is an estimation question.</w:t>
      </w:r>
    </w:p>
    <w:p>
      <w:r>
        <w:rPr>
          <w:b/>
        </w:rPr>
        <w:t xml:space="preserve">Proposition 3 on the effective geometry </w:t>
      </w:r>
      <w:r>
        <w:t>Hτ has eigenvalues 1/(1 + τλⱼ(L)). Every section direction has gain one; incompatible directions are attenuated. Thus the spectrum and eigenvectors of the sheaf Laplacian determine which task contrasts survive this inference problem. Hτ is invertible at finite τ, so attenuation need not reduce exact rank before observation or thresholding.</w:t>
      </w:r>
    </w:p>
    <w:p>
      <w:r>
        <w:rPr>
          <w:i/>
        </w:rPr>
        <w:t xml:space="preserve">Proof. </w:t>
      </w:r>
      <w:r>
        <w:t>Diagonalise the self-adjoint positive-semidefinite L and invert I + τL eigenvalue by eigenvalue. Zero eigenvalues have multiplier one, and all finite multipliers are positive. □</w:t>
      </w:r>
    </w:p>
    <w:p>
      <w:r>
        <w:t>Regional input-output maps can be asymmetric even though Hτ is self-adjoint, because source injection and target observation differ. Nevertheless not every empirical directed transfer is a subblock of a chosen resolvent. Rejecting that constrained fit is meaningful; adding enough unconstrained operators to reproduce every matrix would remove its explanatory content.</w:t>
      </w:r>
    </w:p>
    <w:p>
      <w:pPr>
        <w:pStyle w:val="Heading2"/>
      </w:pPr>
      <w:r>
        <w:t>7 1 Eliminating unobserved regional states</w:t>
      </w:r>
    </w:p>
    <w:p>
      <w:r>
        <w:t>Partition A = I + τL into retained coordinates r and unobserved coordinates h. Both principal blocks are positive definite. Eliminating h gives an exact reduced equation:</w:t>
      </w:r>
    </w:p>
    <w:p>
      <w:pPr>
        <w:spacing w:before="100" w:after="140"/>
        <w:jc w:val="center"/>
      </w:pPr>
      <w:r>
        <w:drawing>
          <wp:inline xmlns:a="http://schemas.openxmlformats.org/drawingml/2006/main" xmlns:pic="http://schemas.openxmlformats.org/drawingml/2006/picture">
            <wp:extent cx="2453576" cy="220974"/>
            <wp:docPr id="12" name="Picture 12"/>
            <wp:cNvGraphicFramePr>
              <a:graphicFrameLocks noChangeAspect="1"/>
            </wp:cNvGraphicFramePr>
            <a:graphic>
              <a:graphicData uri="http://schemas.openxmlformats.org/drawingml/2006/picture">
                <pic:pic>
                  <pic:nvPicPr>
                    <pic:cNvPr id="0" name="eq11.png"/>
                    <pic:cNvPicPr/>
                  </pic:nvPicPr>
                  <pic:blipFill>
                    <a:blip r:embed="rId22"/>
                    <a:stretch>
                      <a:fillRect/>
                    </a:stretch>
                  </pic:blipFill>
                  <pic:spPr>
                    <a:xfrm>
                      <a:off x="0" y="0"/>
                      <a:ext cx="2453576" cy="220974"/>
                    </a:xfrm>
                    <a:prstGeom prst="rect"/>
                  </pic:spPr>
                </pic:pic>
              </a:graphicData>
            </a:graphic>
          </wp:inline>
        </w:drawing>
      </w:r>
    </w:p>
    <w:p>
      <w:r>
        <w:t>This Schur complement shows how parallel hidden routes modify the effective geometry and how hidden cues contribute to retained activity. It is a reduction of the chosen quadratic model, not evidence that a thalamic relay is memoryless or can always be removed. In general it introduces dense couplings; it need not retain a prescribed edge-local sheaf parameterisation or preserve cohomology under a separately chosen coarsening.</w:t>
      </w:r>
    </w:p>
    <w:p>
      <w:r>
        <w:rPr>
          <w:b/>
        </w:rPr>
        <w:t xml:space="preserve">Proposition 4 on perturbation stability </w:t>
      </w:r>
      <w:r>
        <w:t>For positive-semidefinite L and L′ in a common metric and τ ≥ 0, the regularised states satisfy ‖Hτz − H′τz‖ ≤ τ‖L − L′‖‖z‖.</w:t>
      </w:r>
    </w:p>
    <w:p>
      <w:r>
        <w:rPr>
          <w:i/>
        </w:rPr>
        <w:t xml:space="preserve">Proof. </w:t>
      </w:r>
      <w:r>
        <w:t>The inverse identity gives Hτ − H′τ = τHτ(L′ − L)H′τ. Each inverse has operator norm at most one. Apply submultiplicativity. □</w:t>
      </w:r>
    </w:p>
    <w:p>
      <w:r>
        <w:t>The estimate gives a conservative tolerance for uncertain restrictions or weights. It is deliberately a bound on a declared input-output computation. It supplies no automatic claim about behaviour, and it can be loose when the perturbation acts outside the cue subspace.</w:t>
      </w:r>
    </w:p>
    <w:p>
      <w:pPr>
        <w:pStyle w:val="Heading1"/>
      </w:pPr>
      <w:r>
        <w:t>8 Compression expansion and the information that remains available</w:t>
      </w:r>
    </w:p>
    <w:p>
      <w:pPr>
        <w:pStyle w:val="Heading2"/>
      </w:pPr>
      <w:r>
        <w:t>8 1 Exact rank and effective dimensionality</w:t>
      </w:r>
    </w:p>
    <w:p>
      <w:r>
        <w:t>For a nonzero positive-semidefinite covariance Σ, define participation ratio PR(Σ) = tr(Σ)²/tr(Σ²). It measures spectral spread, not algebraic rank. The supplied preprint uses the participation ratio of a task similarity eigenspectrum for representation dimensionality and of the unsquared singular-value spectrum for connectivity dimensionality [2]. These should be reproduced with the authors’ estimator in any replication. The population-covariance calculations below use PSD matrices and are not a reanalysis of cross-validated RSMs, which can be non-PSD or non-symmetric in finite samples.</w:t>
      </w:r>
    </w:p>
    <w:p>
      <w:r>
        <w:rPr>
          <w:b/>
        </w:rPr>
        <w:t xml:space="preserve">Theorem 4 on linear limits </w:t>
      </w:r>
      <w:r>
        <w:t>For deterministic linear activity flow Y = TX, rank Y ≤ min(rank T, rank X). With source covariance Σ, the target covariance is TΣT*. There is no general inequality PR(TΣT*) ≤ PR(Σ), nor a universal bound by the participation ratio of the singular values of T.</w:t>
      </w:r>
    </w:p>
    <w:p>
      <w:r>
        <w:rPr>
          <w:i/>
        </w:rPr>
        <w:t xml:space="preserve">Proof. </w:t>
      </w:r>
      <w:r>
        <w:t>The rank inequality is the standard product-rank bound. For the failed PR bounds, take Σ = diag(100,1) and T = diag(0.1,1). The target covariance is I₂. Hence source PR is 10201/10001 ≈ 1.019998, target PR is 2, and the PR of the singular values of T is 1.21/1.01 ≈ 1.198020. Both ranks remain two. This counterexample violates both proposed PR upper bounds. □</w:t>
      </w:r>
    </w:p>
    <w:p>
      <w:r>
        <w:t>Expansion in participation ratio can thus result from equalising variance across existing directions. It does not require newly created information. In addition, target dimensionality can exceed the average dimensionality of individual sources when distinct source subspaces are pooled. Two separate one-dimensional sources can jointly span two dimensions even though neither does so alone. The rank bound applies to the concatenated source matrix, rather than to an average over regions.</w:t>
      </w:r>
    </w:p>
    <w:p>
      <w:r>
        <w:rPr>
          <w:b/>
        </w:rPr>
        <w:t xml:space="preserve">Proposition 5 on a conditional PR bound </w:t>
      </w:r>
      <w:r>
        <w:t>If T is injective on the source space, has singular values between a &gt; 0 and b, and Σ is PSD and nonzero, then (a/b)⁴ PR(Σ) ≤ PR(TΣT*) ≤ (b/a)⁴ PR(Σ), together with the ordinary bound PR ≤ rank.</w:t>
      </w:r>
    </w:p>
    <w:p>
      <w:r>
        <w:rPr>
          <w:i/>
        </w:rPr>
        <w:t xml:space="preserve">Proof. </w:t>
      </w:r>
      <w:r>
        <w:t>Set M = T*T, so a²I ≤ M ≤ b²I. The output trace lies between a²trΣ and b²trΣ. Its Frobenius norm equals ‖Σ¹ᐟ²MΣ¹ᐟ²‖F and lies between a²‖Σ‖F and b²‖Σ‖F, since the latter PSD matrix is bounded between a²Σ and b²Σ in Loewner order. Squaring and taking the ratio gives the result. □</w:t>
      </w:r>
    </w:p>
    <w:p>
      <w:r>
        <w:t>This coarse estimate makes conditioning explicit. For noninjective transfers the positive lower bound can disappear. Singular values alone also omit alignment: even a high-rank transfer can transmit little task variance if its well-amplified right singular vectors miss the task-relevant source subspace. The sheaf extension therefore estimates both the interface geometry and the actual distribution of task contrasts.</w:t>
      </w:r>
    </w:p>
    <w:p>
      <w:pPr>
        <w:pStyle w:val="Heading2"/>
      </w:pPr>
      <w:r>
        <w:t>8 2 Reinstatement requires retained detail</w:t>
      </w:r>
    </w:p>
    <w:p>
      <w:r>
        <w:rPr>
          <w:b/>
        </w:rPr>
        <w:t xml:space="preserve">Theorem 5 on erased distinctions </w:t>
      </w:r>
      <w:r>
        <w:t>Suppose two histories a and b yield the same compressed state q. Any deterministic readout using only q gives the same output for both histories. Any stochastic readout whose conditional law depends only on q also has identical output laws. Distinct history-dependent actions require an additional accessible variable, different q, or additional observation.</w:t>
      </w:r>
    </w:p>
    <w:p>
      <w:r>
        <w:rPr>
          <w:i/>
        </w:rPr>
        <w:t xml:space="preserve">Proof. </w:t>
      </w:r>
      <w:r>
        <w:t>Both evaluations condition on the same input, or on the same conditional output law. Their outputs or output distributions therefore coincide. □</w:t>
      </w:r>
    </w:p>
    <w:p>
      <w:r>
        <w:t>A kernel state k, a parallel sensory input, an episodic register or the task cue can supply the additional variable. The pair (q,k) supports a readout y = g(q,k,c). Merely assigning a larger output layer to q does not restore erased distinctions. This is the most direct architectural implication of joining network compression to the sheaf framework.</w:t>
      </w:r>
    </w:p>
    <w:p>
      <w:pPr>
        <w:pStyle w:val="Heading2"/>
      </w:pPr>
      <w:r>
        <w:t>8 3 Conjunctive codes</w:t>
      </w:r>
    </w:p>
    <w:p>
      <w:r>
        <w:rPr>
          <w:b/>
        </w:rPr>
        <w:t xml:space="preserve">Proposition 6 on tensor readout </w:t>
      </w:r>
      <w:r>
        <w:t>Let Q and C be matrices of abstract and context feature columns. Across the complete Cartesian product of those columns, the conjunctive feature matrix is Q ⊗ C up to column order and has rank rank(Q)rank(C). It need not have that rank when only a restricted subset of combinations is observed.</w:t>
      </w:r>
    </w:p>
    <w:p>
      <w:r>
        <w:rPr>
          <w:i/>
        </w:rPr>
        <w:t xml:space="preserve">Proof. </w:t>
      </w:r>
      <w:r>
        <w:t>The Kronecker-product rank identity gives the full Cartesian-product result. Removing columns can lower rank, which proves the qualification. □</w:t>
      </w:r>
    </w:p>
    <w:p>
      <w:r>
        <w:t>The feature map (q,c) ↦ q ⊗ c is bilinear in the two inputs and nonlinear in their concatenation. A later linear readout can use these conjunctive features, but cannot attribute their creation to a single fixed linear map acting on q alone. A four-combination example with two independent basis vectors for each factor yields rank four for the tensor code. Such expansion changes linear separability without increasing information beyond the joint input.</w:t>
      </w:r>
    </w:p>
    <w:p>
      <w:pPr>
        <w:pStyle w:val="Heading1"/>
      </w:pPr>
      <w:r>
        <w:t>9 Explicit examples and deterministic verification</w:t>
      </w:r>
    </w:p>
    <w:p>
      <w:pPr>
        <w:pStyle w:val="Heading2"/>
      </w:pPr>
      <w:r>
        <w:t>9 1 A coherent abstraction with no coherent implementation</w:t>
      </w:r>
    </w:p>
    <w:p>
      <w:r>
        <w:t>Take an oriented triangle with vertices 1, 2, 3 and edges 1→2, 2→3, 3→1. Let K and Q be constant scalar sheaves. Let each full stalk be R² and define target restrictions as I₂ and source restrictions on edge e as [[1,−bₑ],[0,1]]. The quotient map selects q. For q₁ = q₂ = q₃ = 1, full compatibility requires</w:t>
      </w:r>
    </w:p>
    <w:p>
      <w:pPr>
        <w:spacing w:before="100" w:after="140"/>
        <w:jc w:val="center"/>
      </w:pPr>
      <w:r>
        <w:drawing>
          <wp:inline xmlns:a="http://schemas.openxmlformats.org/drawingml/2006/main" xmlns:pic="http://schemas.openxmlformats.org/drawingml/2006/picture">
            <wp:extent cx="1081062" cy="644577"/>
            <wp:docPr id="13" name="Picture 13"/>
            <wp:cNvGraphicFramePr>
              <a:graphicFrameLocks noChangeAspect="1"/>
            </wp:cNvGraphicFramePr>
            <a:graphic>
              <a:graphicData uri="http://schemas.openxmlformats.org/drawingml/2006/picture">
                <pic:pic>
                  <pic:nvPicPr>
                    <pic:cNvPr id="0" name="eq12.png"/>
                    <pic:cNvPicPr/>
                  </pic:nvPicPr>
                  <pic:blipFill>
                    <a:blip r:embed="rId23"/>
                    <a:stretch>
                      <a:fillRect/>
                    </a:stretch>
                  </pic:blipFill>
                  <pic:spPr>
                    <a:xfrm>
                      <a:off x="0" y="0"/>
                      <a:ext cx="1081062" cy="644577"/>
                    </a:xfrm>
                    <a:prstGeom prst="rect"/>
                  </pic:spPr>
                </pic:pic>
              </a:graphicData>
            </a:graphic>
          </wp:inline>
        </w:drawing>
      </w:r>
    </w:p>
    <w:p>
      <w:r>
        <w:t>Summation gives the exact lift condition b₁₂ + b₂₃ + b₃₁ = 0. Every edge equation is individually solvable, while all three need not be jointly solvable. With identity residual weights, the unit harmonic vector is (1,1,1)/√3 and ε(q) = |b₁₂ + b₂₃ + b₃₁|/√3. Thus the obstruction is explicit and has a declared coefficient sheaf.</w:t>
      </w:r>
    </w:p>
    <w:p>
      <w:r>
        <w:t>For b = (1,1,−2), a minimum-norm lift is k = (1,0,−1), and ∂q vanishes. For b = (1,1,1), the minimum-norm correction is zero and ε = √3. The quotient section still exists in Q. If all three b values are rescaled continuously, the obstruction amplitude changes continuously even though the dimensions of the cohomology groups need not change. A dimension-only diagnostic would miss that variation.</w:t>
      </w:r>
    </w:p>
    <w:p>
      <w:pPr>
        <w:pStyle w:val="Heading2"/>
      </w:pPr>
      <w:r>
        <w:t>9 2 Checked values</w:t>
      </w:r>
    </w:p>
    <w:p>
      <w:r>
        <w:t>We evaluated the displayed matrices using NumPy double precision, SciPy matrix exponentiation and random seed 23 for the stability example. These calculations check formulas; they are not evidence about cognition. The complete constructions are specified here so that the results do not depend on a hidden dataset.</w:t>
      </w:r>
    </w:p>
    <w:tbl>
      <w:tblPr>
        <w:tblW w:type="auto" w:w="0"/>
        <w:tblLayout w:type="fixed"/>
        <w:tblLook w:firstColumn="1" w:firstRow="1" w:lastColumn="0" w:lastRow="0" w:noHBand="0" w:noVBand="1" w:val="04A0"/>
      </w:tblPr>
      <w:tblGrid>
        <w:gridCol w:w="3264"/>
        <w:gridCol w:w="3264"/>
        <w:gridCol w:w="3264"/>
      </w:tblGrid>
      <w:tr>
        <w:trPr>
          <w:cantSplit/>
          <w:tblHeader/>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E4EAF0"/>
          </w:tcPr>
          <w:p>
            <w:pPr>
              <w:spacing w:after="40" w:line="240" w:lineRule="auto"/>
            </w:pPr>
            <w:r>
              <w:rPr>
                <w:b/>
                <w:sz w:val="18"/>
              </w:rPr>
              <w:t>Check</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E4EAF0"/>
          </w:tcPr>
          <w:p>
            <w:pPr>
              <w:spacing w:after="40" w:line="240" w:lineRule="auto"/>
            </w:pPr>
            <w:r>
              <w:rPr>
                <w:b/>
                <w:sz w:val="18"/>
              </w:rPr>
              <w:t>Calculation</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E4EAF0"/>
          </w:tcPr>
          <w:p>
            <w:pPr>
              <w:spacing w:after="40" w:line="240" w:lineRule="auto"/>
            </w:pPr>
            <w:r>
              <w:rPr>
                <w:b/>
                <w:sz w:val="18"/>
              </w:rPr>
              <w:t>Result</w:t>
            </w:r>
          </w:p>
        </w:tc>
      </w:tr>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Compatible triangle</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‖δK k* + b‖</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2.48 × 10⁻¹⁶</w:t>
            </w:r>
          </w:p>
        </w:tc>
      </w:tr>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Obstructed triangle</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ε for b = (1,1,1)</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1.7320508075688774</w:t>
            </w:r>
          </w:p>
        </w:tc>
      </w:tr>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Linear variance equalisation</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Source PR → target PR</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1.0199980002 → 2.0000000000</w:t>
            </w:r>
          </w:p>
        </w:tc>
      </w:tr>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Connectivity spectrum</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PR of singular values of diag(0.1,1)</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1.1980198020</w:t>
            </w:r>
          </w:p>
        </w:tc>
      </w:tr>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Protected private coordinates</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Weights 0.2, 1 and 4 at time 20</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0" w:lineRule="auto"/>
            </w:pPr>
            <w:r>
              <w:rPr>
                <w:b w:val="0"/>
                <w:sz w:val="18"/>
              </w:rPr>
              <w:t>Private-coordinate error exactly 0</w:t>
            </w:r>
          </w:p>
        </w:tc>
      </w:tr>
      <w:tr>
        <w:trPr>
          <w:cantSplit/>
        </w:trPr>
        <w:tc>
          <w:tcPr>
            <w:tcW w:type="dxa" w:w="2520"/>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Resolvent perturbation</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Observed change ≤ conservative bound</w:t>
            </w:r>
          </w:p>
        </w:tc>
        <w:tc>
          <w:tcPr>
            <w:tcW w:type="dxa" w:w="273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40" w:line="240" w:lineRule="auto"/>
            </w:pPr>
            <w:r>
              <w:rPr>
                <w:b w:val="0"/>
                <w:sz w:val="18"/>
              </w:rPr>
              <w:t>0.06073055 ≤ 0.76063127</w:t>
            </w:r>
          </w:p>
        </w:tc>
      </w:tr>
    </w:tbl>
    <w:p/>
    <w:p>
      <w:r>
        <w:t>In the private-coordinate example each shared coordinate at time 20 has magnitude approximately 3.35 × 10⁻⁴ for edge weight 0.2, while faster weights are at numerical equilibrium. Equal asymptotic endpoints therefore coexist with unequal finite-time trajectories, as required by Theorem 3.</w:t>
      </w:r>
    </w:p>
    <w:p>
      <w:pPr>
        <w:pStyle w:val="Heading2"/>
      </w:pPr>
      <w:r>
        <w:t>9 3 Reproduction recipe</w:t>
      </w:r>
    </w:p>
    <w:p>
      <w:r>
        <w:t>Construct the triangle incidence matrix with rows (−1,1,0), (0,−1,1), (1,0,−1). For each b compute k = −pinv(D)b and residual Dk+b. For the private example use row δ = (−1,0,1,0), initial state (1,2,−1,−3), and exp(−20wδᵀδ). For PR use trace(S)²/trace(S@S). For stability draw A as a 7 by 10 standard-normal matrix, then E = 0.02 times the next such draw and z as the next length-10 normal draw, with numpy.random.default_rng(23). Set L=AᵀA, L′=(A+E)ᵀ(A+E), τ=0.3 and solve both resolvent equations. Numerical tolerances are 10⁻¹² for the triangle identities and the analytical upper bound is checked directly.</w:t>
      </w:r>
    </w:p>
    <w:p>
      <w:pPr>
        <w:pStyle w:val="Heading1"/>
      </w:pPr>
      <w:r>
        <w:t>10 A concrete architecture for flexible cognition</w:t>
      </w:r>
    </w:p>
    <w:p>
      <w:r>
        <w:t>At each regional or artificial module v, encode a state xᵥ whose quotient πᵥxᵥ exposes a shared rule while detail remains in the fibre. Use a graph of declared feature interfaces, hold its restrictions fixed during an episode, and run either free cue relaxation or the driven regularised inference problem. These are distinct operating modes. A task-specific readout accesses the coherent shared state together with the retained local or episodic variables needed for its output.</w:t>
      </w:r>
    </w:p>
    <w:p>
      <w:r>
        <w:t>The proposal does not force a global direct-sum decomposition. Start with one if identification demands simplicity; add a nonzero extension term B only when held-out implementation errors justify it. Before accepting a quotient state q, test δQ q, then the restricted lifting residual ε(q), then the size and robustness of its correction. A q that is not a quotient section first requires quotient reconciliation; Theorem 2 cannot certify it by ignoring δQ q.</w:t>
      </w:r>
    </w:p>
    <w:p>
      <w:r>
        <w:t>The implementation can preserve N coordinates explicitly and update the remaining coordinates by gradient or conjugate-gradient inference. If a task readout needs detail outside N, store its H⁰(K) coordinates, use a declared memory state, or constrain the optimisation accordingly. Such constraints alter the inference operator and must be included in its derivation. Protecting every unused coordinate would preserve nuisance information as well; task-factor supervision and retention tests determine what is useful.</w:t>
      </w:r>
    </w:p>
    <w:p>
      <w:r>
        <w:drawing>
          <wp:inline xmlns:a="http://schemas.openxmlformats.org/drawingml/2006/main" xmlns:pic="http://schemas.openxmlformats.org/drawingml/2006/picture">
            <wp:extent cx="6080760" cy="1876978"/>
            <wp:docPr id="14" name="Picture 14"/>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6080760" cy="1876978"/>
                    </a:xfrm>
                    <a:prstGeom prst="rect"/>
                  </pic:spPr>
                </pic:pic>
              </a:graphicData>
            </a:graphic>
          </wp:inline>
        </w:drawing>
      </w:r>
    </w:p>
    <w:p>
      <w:pPr>
        <w:pStyle w:val="Caption"/>
      </w:pPr>
      <w:r>
        <w:rPr>
          <w:color w:val="000000"/>
          <w:sz w:val="18"/>
        </w:rPr>
        <w:t>Figure 1  Proposed computational organisation. Interface inference shares selected features. A separate path preserves detail required by task readout. This is an engineered design, not an anatomical localisation.</w:t>
      </w:r>
    </w:p>
    <w:p>
      <w:pPr>
        <w:pStyle w:val="Heading2"/>
      </w:pPr>
      <w:r>
        <w:t>10 1 Learning and identifiability</w:t>
      </w:r>
    </w:p>
    <w:p>
      <w:r>
        <w:t>One candidate objective combines held-out task prediction, quotient prediction of prespecified shared factors, kernel prediction of required task details, compatibility energy and a complexity penalty. If shared factors should exclude task identity, measure the exclusion conditionally on relevant rule variables rather than assuming any compression achieves it. Conversely, task identity can be necessary context; removing it everywhere would defeat Theorem 5.</w:t>
      </w:r>
    </w:p>
    <w:p>
      <w:pPr>
        <w:spacing w:before="100" w:after="140"/>
        <w:jc w:val="center"/>
      </w:pPr>
      <w:r>
        <w:drawing>
          <wp:inline xmlns:a="http://schemas.openxmlformats.org/drawingml/2006/main" xmlns:pic="http://schemas.openxmlformats.org/drawingml/2006/picture">
            <wp:extent cx="3738854" cy="226058"/>
            <wp:docPr id="15" name="Picture 15"/>
            <wp:cNvGraphicFramePr>
              <a:graphicFrameLocks noChangeAspect="1"/>
            </wp:cNvGraphicFramePr>
            <a:graphic>
              <a:graphicData uri="http://schemas.openxmlformats.org/drawingml/2006/picture">
                <pic:pic>
                  <pic:nvPicPr>
                    <pic:cNvPr id="0" name="eq13.png"/>
                    <pic:cNvPicPr/>
                  </pic:nvPicPr>
                  <pic:blipFill>
                    <a:blip r:embed="rId25"/>
                    <a:stretch>
                      <a:fillRect/>
                    </a:stretch>
                  </pic:blipFill>
                  <pic:spPr>
                    <a:xfrm>
                      <a:off x="0" y="0"/>
                      <a:ext cx="3738854" cy="226058"/>
                    </a:xfrm>
                    <a:prstGeom prst="rect"/>
                  </pic:spPr>
                </pic:pic>
              </a:graphicData>
            </a:graphic>
          </wp:inline>
        </w:drawing>
      </w:r>
    </w:p>
    <w:p>
      <w:r>
        <w:t>This is an objective family, not a claim that the optimum must generalise. Zero restrictions make compatibility trivially perfect; dimensional collapse can also look smooth. Fix interface dimensions, normalise admissible map scales, penalise unused channels, and evaluate task prediction and retention. Cellwise changes of splitting move coordinates between k and q without changing the underlying extension, so semantic labels need independent anchoring.</w:t>
      </w:r>
    </w:p>
    <w:p>
      <w:r>
        <w:t>For dense endpoint maps from d-dimensional stalks to r-dimensional interfaces, one matrix-free residual and adjoint pass costs O(|E|rd); scalar diagonal residual weights add O(|E|r). T iterations cost O(T|E|rd), excluding encoding, feature construction, map learning and readout. Tensor features of dimensions a and b cost ab coordinates unless factorised. Hardware and end-to-end latency must be measured before asserting an advantage over a conventional recurrent backbone.</w:t>
      </w:r>
    </w:p>
    <w:p>
      <w:pPr>
        <w:pStyle w:val="Heading2"/>
      </w:pPr>
      <w:r>
        <w:t>10 2 Relationship to current neural sheaf models</w:t>
      </w:r>
    </w:p>
    <w:p>
      <w:r>
        <w:t>Neural Sheaf Diffusion [5] already uses learned restrictions to improve control of separation and oversmoothing. The present proposal uses that computational vocabulary but asks a distinct question: how to couple a shared quotient to retained task detail and certify coherent realisation. A compatible block-linear system has the same numerical expressivity. The intended gains are interpretable constraints, reusable interface structure and predictions under interventions, which require empirical demonstration rather than a claim of uniquely sheaf-based computation.</w:t>
      </w:r>
    </w:p>
    <w:p>
      <w:pPr>
        <w:pStyle w:val="Heading1"/>
      </w:pPr>
      <w:r>
        <w:t>11 Neuroscientific hypotheses and discriminating experiments</w:t>
      </w:r>
    </w:p>
    <w:p>
      <w:pPr>
        <w:pStyle w:val="Heading2"/>
      </w:pPr>
      <w:r>
        <w:t>11 1 Regional tests using the task battery</w:t>
      </w:r>
    </w:p>
    <w:p>
      <w:r>
        <w:t>First reproduce the source study’s regional RSMs and dimensionality estimates using its actual pipeline. Fit feature coordinates on training sessions only; use subject-level splits for population generalisation and task-family splits for cross-task generalisation. Resting-state connectivity can constrain graph support and provide a predictive transfer candidate. It must not be estimated from held-out task responses that are later treated as an independent test.</w:t>
      </w:r>
    </w:p>
    <w:p>
      <w:r>
        <w:t>Identify a shared factor, such as an abstract response rule, and independently vary implementation details such as effector and stimulus context. Report cross-condition decoding of the shared factor, conditional decoding of detail within a fixed shared factor, task performance and reliability. A low PR or a high RSM correlation cannot substitute for these measurements. Use held-out factor combinations to test genuine recombination rather than interpolation over familiar tasks.</w:t>
      </w:r>
    </w:p>
    <w:p>
      <w:r>
        <w:t>Compare four models with matched observed input, feature dimension, fitting data and parameter or regularisation budget: activity flow; a scalar graph Laplacian in the same feature space; the constrained sheaf model; and an unconstrained block-linear model. Include an explicit shared-plus-private latent-factor model to test whether the quotient interpretation adds more than a familiar factorisation. A block model reproducing the sheaf matrix exactly is observationally equivalent and cannot be separated by relabelling its parameters.</w:t>
      </w:r>
    </w:p>
    <w:p>
      <w:r>
        <w:rPr>
          <w:b/>
        </w:rPr>
        <w:t xml:space="preserve">Hypothesis 1 on selective preservation </w:t>
      </w:r>
      <w:r>
        <w:t>At matched target accuracy, the calibrated interface model predicts held-out shared-factor generalisation and task-detail retention jointly better than scalar consensus on the same features. If it only improves smoothness or reproduces dimensionality, this hypothesis fails.</w:t>
      </w:r>
    </w:p>
    <w:p>
      <w:r>
        <w:t>Model selection should use nested validation and subject-level uncertainty, with spatially structured nulls where regional correlations are assessed. Do not treat cortical parcels as independent participants. Prespecify effect thresholds from test-retest reliability and meaningful behavioural change; the present paper does not invent an effect size or claim a powered neural experiment.</w:t>
      </w:r>
    </w:p>
    <w:p>
      <w:pPr>
        <w:pStyle w:val="Heading2"/>
      </w:pPr>
      <w:r>
        <w:t>11 2 Perturbing geometry and enforcement separately</w:t>
      </w:r>
    </w:p>
    <w:p>
      <w:r>
        <w:t>The earlier RCS experiment [3] separates moderate modulation of constraint strength from alteration of feature-carrying restrictions. Retain that distinction here. A proposed positive-W intervention predicts changed transient rates with the same calibrated free-relaxation endpoint. A driver manipulation predicts a structured change in which contrasts align and which abstractions can be lifted. These predictions require a measured regime approximating the specified effective dynamics.</w:t>
      </w:r>
    </w:p>
    <w:p>
      <w:r>
        <w:rPr>
          <w:b/>
        </w:rPr>
        <w:t xml:space="preserve">Hypothesis 2 on task detail </w:t>
      </w:r>
      <w:r>
        <w:t>A manipulation that selectively increases leakage of a calibrated detail subspace changes within-rule task-detail decoding more than shared-rule decoding, after controlling for observation gain. The resulting effect is predicted from held-out interface perturbations, not fitted retrospectively.</w:t>
      </w:r>
    </w:p>
    <w:p>
      <w:r>
        <w:t>Theorem 3 is an endpoint result, so neural tests at fixed short latency must also estimate the transient. Proving preservation calls for an equivalence interval on decoding or geometry after registered gain correction; a nonsignificant difference is insufficient. A manipulation that rotates feature maps rejects its weight-only assignment within that declared range.</w:t>
      </w:r>
    </w:p>
    <w:p>
      <w:r>
        <w:rPr>
          <w:b/>
        </w:rPr>
        <w:t xml:space="preserve">Hypothesis 3 on implementation failure </w:t>
      </w:r>
      <w:r>
        <w:t>A calibrated nonzero lifting residual predicts failure of a particular abstract rule to produce a mutually consistent task-specific implementation beyond cue similarity, conventional decoder uncertainty and task difficulty. Failure of this incremental held-out prediction rejects the obstruction diagnostic as useful for that instantiation.</w:t>
      </w:r>
    </w:p>
    <w:p>
      <w:r>
        <w:t>Testing Hypothesis 3 requires independent multi-interface calibration. Regressing arbitrary B blocks on behavioural error and then reporting an obstruction-error association would be circular. To distinguish a topological constraint from ordinary underfitting, compare the constrained model with regularised residual and latent-factor baselines and test a new combination of individually calibrated interfaces.</w:t>
      </w:r>
    </w:p>
    <w:p>
      <w:pPr>
        <w:pStyle w:val="Heading2"/>
      </w:pPr>
      <w:r>
        <w:t>11 3 Laminar and subcortical interpretation</w:t>
      </w:r>
    </w:p>
    <w:p>
      <w:r>
        <w:t>A layer-resolved experiment can test whether local processing operators determine which features are exposed to interregional interfaces. It must independently identify operators, communication features and gains. Neither a six-layer diagram nor fMRI parcel geometry proves this mapping. If a double complex is introduced, the vertical residual maps and commuting chain-map identities must be specified and tested, as in the earlier manuscript [3].</w:t>
      </w:r>
    </w:p>
    <w:p>
      <w:r>
        <w:t>Thalamic routing and hippocampal episodic access are plausible additional channels in the broader research programme. In this paper they are candidate implementations of access control and retained context, respectively. The present Nature study does not assign them these jobs. The architecture can be tested first with cortex-only regional data, then extended only when the added state and measured communication justify it.</w:t>
      </w:r>
    </w:p>
    <w:p>
      <w:pPr>
        <w:pStyle w:val="Heading1"/>
      </w:pPr>
      <w:r>
        <w:t>12 Consequences for Construction AGI</w:t>
      </w:r>
    </w:p>
    <w:p>
      <w:r>
        <w:t>Engineering, procurement and construction teams can share an abstract object or requirement while retaining discipline-specific information. For a steel member, a quotient might expose identity, revision, interface forces and selected geometric commitments. The engineering fibre retains analysis assumptions, procurement retains supplier and lot constraints, and construction retains erection sequence and site access. These examples specify information roles; they do not assert that all industrial constraints are linear.</w:t>
      </w:r>
    </w:p>
    <w:p>
      <w:r>
        <w:t>A lifting test asks whether the current shared commitment has mutually compatible full implementations. Pairwise agreement about a revision number alone is insufficient if engineering requires a material grade that procurement cannot supply and construction cannot erect under the selected method. A linearised interface model can quantify one local incompatibility; a mixed discrete or nonlinear feasibility solver is required for the full case.</w:t>
      </w:r>
    </w:p>
    <w:p>
      <w:r>
        <w:t>The triangle construction offers a minimal test harness: each team can solve its local interface equation, but the combined offsets need not close. Retaining task details prevents a shared summary from erasing why one implementation fails. The system should propose a corrected shared commitment or expose the unresolved interface rather than allowing a downstream expansion model to invent missing supplier or site facts.</w:t>
      </w:r>
    </w:p>
    <w:p>
      <w:r>
        <w:t>The same distinction applies to memory. Shared schemas and routing can be reused without mixing private project content. This is an information-organisation analogy. A sheaf kernel is not a security mechanism: access permissions, provenance, revision control and confidentiality need their own enforcement. Likewise a zero linear lifting residual does not certify physical safety or compliance beyond the stated constraints.</w:t>
      </w:r>
    </w:p>
    <w:p>
      <w:pPr>
        <w:pStyle w:val="Heading1"/>
      </w:pPr>
      <w:r>
        <w:t>13 Open mathematical directions</w:t>
      </w:r>
    </w:p>
    <w:p>
      <w:r>
        <w:rPr>
          <w:b/>
        </w:rPr>
        <w:t xml:space="preserve">Conjecture 1 on sample efficiency </w:t>
      </w:r>
      <w:r>
        <w:t>When tasks share a stable, correctly specified interface sheaf and differ primarily along retained kernel directions, learning readouts on coherent quotient states will require fewer task examples than learning independent full-state models at the same task accuracy. This is a statistical conjecture requiring assumptions on the task distribution and hypothesis class.</w:t>
      </w:r>
    </w:p>
    <w:p>
      <w:r>
        <w:t>A useful theorem would specify a shared representation class, bounded observation noise, minimum singular values and a distribution of task-specific readouts. The dimension formula alone is insufficient for a sample-complexity claim. Misspecified shared factors can induce negative transfer even when the section space is large.</w:t>
      </w:r>
    </w:p>
    <w:p>
      <w:r>
        <w:rPr>
          <w:b/>
        </w:rPr>
        <w:t xml:space="preserve">Conjecture 2 on robust transfer </w:t>
      </w:r>
      <w:r>
        <w:t>After fixing the task-relevant metric and conditioning, lifting cost and retained-detail observability jointly predict out-of-combination task performance better than representation PR alone. The proposed joint predictor is rejected if it fails the prespecified held-out comparison.</w:t>
      </w:r>
    </w:p>
    <w:p>
      <w:r>
        <w:t>For nonlinear task manifolds, a cellwise smooth surjection with a compatible kernel of differentials gives a local tangent exact sequence only under constant-rank and commutation hypotheses. Theorems 1 and 2 then describe a local linearised problem. A vanishing tangent obstruction does not ensure a finite nonlinear global lift. Curvature, multiple solution branches and discrete context changes require additional analysis.</w:t>
      </w:r>
    </w:p>
    <w:p>
      <w:r>
        <w:t>For time-varying episodes, keep fixed restrictions while testing weight modulation, or explicitly index sheaves Fₜ and define comparison maps between them. Task switching need not be a morphism preserving every section. Across sampling scales, use declared cochain maps and persistence or zigzag comparisons; quotienting a graph or averaging regional states does not generally preserve H¹. These restrictions preserve the earlier programme’s distinction between horizontal topology, local algebra and analytic dynamics.</w:t>
      </w:r>
    </w:p>
    <w:p>
      <w:pPr>
        <w:pStyle w:val="Heading1"/>
      </w:pPr>
      <w:r>
        <w:t>14 Discussion and conclusion</w:t>
      </w:r>
    </w:p>
    <w:p>
      <w:r>
        <w:t>The cortical geometry study motivates a specific extension of the sheaf programme: distinguish the information that must agree across tasks from the information that must remain available for a particular implementation. Selective endpoint maps allow both requirements in one network. The quotient describes a candidate abstraction, kernel sections describe compatible task detail, and the connecting map decides which abstractions admit coherent realisation.</w:t>
      </w:r>
    </w:p>
    <w:p>
      <w:r>
        <w:t>The mathematical contribution is an explicit synthesis rather than a claim that standard exact-sequence or spectral results are new. It combines a computable lifting obstruction, protected local contrasts, a resolvent connection to activity flow, and careful distinctions between rank expansion, participation-ratio expansion and nonlinear conjunction. The triangle example demonstrates a failure that a local abstraction alone cannot reveal; the two-node example demonstrates detail preservation under selective compatibility.</w:t>
      </w:r>
    </w:p>
    <w:p>
      <w:r>
        <w:t>The empirical burden remains substantial. Functional connectivity does not identify the sheaf, RSM compression does not prove transfer, and the presence of a kernel does not prove that behaviour can retrieve its contents. The proposed regional and intervention tests address these gaps through independent calibration and held-out comparisons. If a scalar, latent-factor or unconstrained block model predicts the same outcomes at the same cost, the added sheaf interpretation has not established an operational advantage.</w:t>
      </w:r>
    </w:p>
    <w:p>
      <w:r>
        <w:t>A concrete next study is to fit the shared-plus-detail construction on factorised tasks, test new factor combinations, and perturb the independently calibrated interfaces. That study can determine whether network geometry supports flexible cognition through selective agreement with accessible detail, as proposed here.</w:t>
      </w:r>
    </w:p>
    <w:p>
      <w:pPr>
        <w:pStyle w:val="Heading1"/>
      </w:pPr>
      <w:r>
        <w:t>References</w:t>
      </w:r>
    </w:p>
    <w:p>
      <w:r>
        <w:t>[1] Chakravarthula, L. N. C., Ito, T., Tzalavras, A. and Cole, M. W. (2026). Network geometry shapes the transformation of task representations across the human cortex. Nature Neuroscience. Published 22 October 2026. https://doi.org/10.1038/s41593-026-02486-8. Publisher abstract and publication metadata checked 23 October 2026; version-of-record full text not retrieved.</w:t>
      </w:r>
    </w:p>
    <w:p>
      <w:r>
        <w:t>[2] Chakravarthula, L. N. C., Ito, T., Tzalavras, A. and Cole, M. W. (2026). Network geometry shapes the transformation of task representations across human cortex. bioRxiv, version 3, posted 3 September 2026. https://doi.org/10.1101/2025.03.14.643366. Detailed source: user-supplied file 2025.03.14.643366v3.full.pdf. Sections cited include Results, Discussion and Methods on pages 4–12 and 25–29.</w:t>
      </w:r>
    </w:p>
    <w:p>
      <w:r>
        <w:t>[3] Ghosh, D. P. (2026). The Cortical Sheet as a Recurrent Cellular Sheaf: Horizontal Topology and Vertical Algebra. Unpublished research manuscript, September 2026. Current supplied-project manuscript read in full for this extension. No public DOI asserted.</w:t>
      </w:r>
    </w:p>
    <w:p>
      <w:r>
        <w:t>[4] Hansen, J. and Ghrist, R. (2019). Toward a spectral theory of cellular sheaves. Journal of Applied and Computational Topology 3, 315–358. https://doi.org/10.1007/s41468-019-00038-7. Open manuscript https://arxiv.org/abs/1808.01513.</w:t>
      </w:r>
    </w:p>
    <w:p>
      <w:r>
        <w:t>[5] Bodnar, C., Di Giovanni, F., Chamberlain, B. P., Liò, P. and Bronstein, M. M. (2022). Neural Sheaf Diffusion: A Topological Perspective on Heterophily and Oversmoothing in GNNs. Advances in Neural Information Processing Systems 35. https://arxiv.org/abs/2202.04579.</w:t>
      </w:r>
    </w:p>
    <w:p>
      <w:r>
        <w:t>[6] The Stacks Project Authors. Homological Algebra. Section 12.13, Complexes. https://stacks.math.columbia.edu/tag/010V. General background for complexes and the cohomology exact sequence. The relevant finite-dimensional connecting-map proof is given in full in Theorem 1.</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SHEAF GEOMETRY AND FLEXIBLE COGNITION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mbria" w:hAnsi="Cambria"/>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mbria" w:hAnsi="Cambria"/>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Cambria" w:hAnsi="Cambr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 Geometry for Flexible Cognition</dc:title>
  <dc:subject>Shared task abstractions and preserved task specific information</dc:subject>
  <dc:creator>Debi Prasad Ghosh</dc:creator>
  <cp:keywords/>
  <dc:description>generated by python-docx</dc:description>
  <cp:lastModifiedBy/>
  <cp:revision>1</cp:revision>
  <dcterms:created xsi:type="dcterms:W3CDTF">2013-12-23T23:15:00Z</dcterms:created>
  <dcterms:modified xsi:type="dcterms:W3CDTF">2013-12-23T23:15:00Z</dcterms:modified>
  <cp:category/>
</cp:coreProperties>
</file>