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B917" w14:textId="77777777" w:rsidR="006D39C8" w:rsidRPr="0037015F" w:rsidRDefault="00000000">
      <w:pPr>
        <w:pStyle w:val="Title"/>
        <w:rPr>
          <w:rFonts w:hint="eastAsia"/>
          <w:sz w:val="68"/>
          <w:szCs w:val="32"/>
        </w:rPr>
      </w:pPr>
      <w:r w:rsidRPr="0037015F">
        <w:rPr>
          <w:sz w:val="68"/>
          <w:szCs w:val="32"/>
        </w:rPr>
        <w:t>Caches Temperature and Reuse</w:t>
      </w:r>
    </w:p>
    <w:p w14:paraId="2A6A5FC7" w14:textId="572833F1" w:rsidR="006D39C8" w:rsidRPr="0037015F" w:rsidRDefault="00000000">
      <w:pPr>
        <w:pStyle w:val="Subtitle"/>
        <w:rPr>
          <w:rFonts w:hint="eastAsia"/>
          <w:color w:val="00B0F0"/>
          <w:sz w:val="24"/>
          <w:szCs w:val="22"/>
        </w:rPr>
      </w:pPr>
      <w:r w:rsidRPr="0037015F">
        <w:rPr>
          <w:color w:val="00B0F0"/>
          <w:sz w:val="24"/>
          <w:szCs w:val="22"/>
        </w:rPr>
        <w:t>Exact archive updates and selective evaluation</w:t>
      </w:r>
      <w:r w:rsidR="0037015F" w:rsidRPr="0037015F">
        <w:rPr>
          <w:color w:val="00B0F0"/>
          <w:sz w:val="24"/>
          <w:szCs w:val="22"/>
        </w:rPr>
        <w:t xml:space="preserve"> </w:t>
      </w:r>
      <w:r w:rsidRPr="0037015F">
        <w:rPr>
          <w:color w:val="00B0F0"/>
          <w:sz w:val="24"/>
          <w:szCs w:val="22"/>
        </w:rPr>
        <w:t>in Autoregressive Diffusion Evolution</w:t>
      </w:r>
    </w:p>
    <w:p w14:paraId="4DE92684" w14:textId="77777777" w:rsidR="006D39C8" w:rsidRDefault="00000000">
      <w:pPr>
        <w:pStyle w:val="FirstParagraph"/>
        <w:keepLines/>
        <w:jc w:val="center"/>
        <w:rPr>
          <w:rFonts w:hint="eastAsia"/>
        </w:rPr>
      </w:pPr>
      <w:r>
        <w:t>Debi Prasad Ghosh</w:t>
      </w:r>
      <w:r>
        <w:br/>
        <w:t>Founder and Principal Engineer</w:t>
      </w:r>
      <w:r>
        <w:br/>
        <w:t>Debias Parametric Guru, Kolkata, India</w:t>
      </w:r>
      <w:r>
        <w:br/>
        <w:t>Revised 29 October 2026</w:t>
      </w:r>
    </w:p>
    <w:p w14:paraId="04776BE6" w14:textId="77777777" w:rsidR="006D39C8" w:rsidRDefault="00000000">
      <w:pPr>
        <w:pStyle w:val="Heading1"/>
        <w:spacing w:before="240"/>
        <w:rPr>
          <w:rFonts w:hint="eastAsia"/>
        </w:rPr>
      </w:pPr>
      <w:bookmarkStart w:id="0" w:name="abstract"/>
      <w:r>
        <w:t>Abstract</w:t>
      </w:r>
    </w:p>
    <w:p w14:paraId="74731724" w14:textId="77777777" w:rsidR="006D39C8" w:rsidRDefault="00000000">
      <w:pPr>
        <w:pStyle w:val="FirstParagraph"/>
        <w:rPr>
          <w:rFonts w:hint="eastAsia"/>
        </w:rPr>
      </w:pPr>
      <w:r>
        <w:t xml:space="preserve">Autoregressive Diffusion Evolution (ADE) repeatedly retrieves from an archive, proposes a design and obtains an external response. Its efficiency depends on what can be cached, how exploration is controlled and which responses require new evaluation. We give a mathematical specification that separates selection strength, observation bandwidth and fresh proposal noise. The noise calculation distinguishes conditional covariance, residual second moment and final candidate spread; none can substitute for the others. For a fixed Gaussian observation kernel, archive occupancy sums admit exact incremental updates despite asymmetry. We derive a detailed-balance identity and identify the representation and parameter changes that invalidate a cache. Occupancy is a novelty statistic, not the conditional density of an adaptive proposal. For selective evaluation, inverse-probability weighting restores unnormalized integral identities, while a self-normalized ratio remains generally biased at finite sample size. We replace a claimed universal variance factor by an exact variance decomposition and prove fixed-temperature consistency under defensive proposal and observation floors. Exact memoization, interval screening, surrogate steering and multi-fidelity evaluation retain different guarantees. Fresh tests give incremental occupancy errors below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and an inclusion-corrected mean of 0.9958 against an analytic value of 1.0000 using 31,078 observed responses from 100,000 attempts. A validated C# reimplementation with outward-rounded interval arithmetic adds certificates. The occupancy recurrence stays within 3.7 × 10⁻¹⁴ of exact sums, a transposed update is certified wrong at every archived point, and the supplied Gibbs reference of 10.34 is confirmed by the enclosure [10.34452, 10.34463]. Symbolic computation shows that the retrieval ratio bound is sharp. It also shows that omitting inclusion correction converges to 1 + 3/(e√π(4 − 3 erf 1)) ≈ 1.42303 in the audit, a limit matched by 200 C# seeds. At the same observation budget, an oracle inclusion rule lowers asymptotic variance by 33% relative to the gate. The supplied engineering benchmark measurements are retained with explicit provenance. Recent work on detailed episodic retrieval, replay prioritization and adaptation motivates separate controls for retained evidence, selective access and exploration. An AI harness analogy translates these distinctions into versioned memory, tool caches, runtime state and verification gates, with a proposed construction-engineering workflow.</w:t>
      </w:r>
    </w:p>
    <w:p w14:paraId="7E4BAFF1" w14:textId="77777777" w:rsidR="006D39C8" w:rsidRDefault="00000000">
      <w:pPr>
        <w:pStyle w:val="BodyText"/>
        <w:rPr>
          <w:rFonts w:hint="eastAsia"/>
        </w:rPr>
      </w:pPr>
      <w:r>
        <w:t>Keywords: Autoregressive Diffusion Evolution; occupancy cache; selective evaluation; inverse-probability weighting; adaptive importance sampling; neural replay; AI agent harness.</w:t>
      </w:r>
    </w:p>
    <w:p w14:paraId="38A9B819" w14:textId="77777777" w:rsidR="006D39C8" w:rsidRDefault="00000000">
      <w:pPr>
        <w:pStyle w:val="Heading1"/>
        <w:rPr>
          <w:rFonts w:hint="eastAsia"/>
        </w:rPr>
      </w:pPr>
      <w:bookmarkStart w:id="1" w:name="introduction"/>
      <w:bookmarkEnd w:id="0"/>
      <w:r>
        <w:t>1 Introduction</w:t>
      </w:r>
    </w:p>
    <w:p w14:paraId="6208612F" w14:textId="77777777" w:rsidR="006D39C8" w:rsidRDefault="00000000">
      <w:pPr>
        <w:pStyle w:val="FirstParagraph"/>
        <w:rPr>
          <w:rFonts w:hint="eastAsia"/>
        </w:rPr>
      </w:pPr>
      <w:r>
        <w:t>An expensive engineering response should be reused whenever its evaluation contract permits it. A cache hit, a nearby response, a surrogate prediction and a new solver result, however, carry different information. Their distinction matters both for optimization and for any statistical statement built from the resulting archive. A useful proposal may use approximate information; an estimator of a declared high-fidelity target requires an appropriate observation and sampling correction.</w:t>
      </w:r>
    </w:p>
    <w:p w14:paraId="76853A90" w14:textId="77777777" w:rsidR="006D39C8" w:rsidRDefault="00000000">
      <w:pPr>
        <w:pStyle w:val="BodyText"/>
        <w:rPr>
          <w:rFonts w:hint="eastAsia"/>
        </w:rPr>
      </w:pPr>
      <w:r>
        <w:t xml:space="preserve">ADE generates candidates sequentially. Each candidate traverses several diffusion-inspired stages, and newly observed intermediate responses can influence the next stage. The relevant questions are therefore operational: which kernel sums remain exact after an append, what fresh noise changes, and how many solver calls can be avoided without changing the meaning of a reported estimate. Diffusion Evolution supplies the population-based antecedent [1], and DDIM supplies the transition </w:t>
      </w:r>
      <w:r>
        <w:lastRenderedPageBreak/>
        <w:t>parameterization [2]. The sequential adaptive archive and its evaluation policy require additional analysis, complementing the revised ADE specification [7].</w:t>
      </w:r>
    </w:p>
    <w:p w14:paraId="70249521" w14:textId="77777777" w:rsidR="006D39C8" w:rsidRDefault="00000000">
      <w:pPr>
        <w:pStyle w:val="BodyText"/>
        <w:rPr>
          <w:rFonts w:hint="eastAsia"/>
        </w:rPr>
      </w:pPr>
      <w:r>
        <w:t>This revision develops that analysis independently of a companion book. Its main results are an exact occupancy recurrence, a reversibility identity for the observation kernel, a corrected noise-moment calculation, an inclusion variance identity, and sufficient consistency conditions for selective adaptive evaluation. We also characterize exact grouped retrieval and error-controlled approximate retrieval. The implementation contract makes candidate attempts, available exact responses and actual solver calls separate counters.</w:t>
      </w:r>
    </w:p>
    <w:p w14:paraId="467A05B4" w14:textId="77777777" w:rsidR="006D39C8" w:rsidRDefault="00000000">
      <w:pPr>
        <w:pStyle w:val="BodyText"/>
        <w:rPr>
          <w:rFonts w:hint="eastAsia"/>
        </w:rPr>
      </w:pPr>
      <w:r>
        <w:t>The supplied Word manuscript [3] is the source of the legacy engineering measurements. Its complete experiment drivers and per-seed traces were not attached, so those measurements are not presented as newly reproduced experiments. The fresh numerical checks in Section 8 instead compare corrected implementations with batch sums and analytically known targets. They add validated interval computation in C# and symbolic verification in SymPy. Sections 9 and 10 develop the neuroscience and agent harness connections as evidence-informed design hypotheses.</w:t>
      </w:r>
    </w:p>
    <w:p w14:paraId="5239A7D3" w14:textId="77777777" w:rsidR="006D39C8" w:rsidRDefault="00000000">
      <w:pPr>
        <w:pStyle w:val="Heading1"/>
        <w:rPr>
          <w:rFonts w:hint="eastAsia"/>
        </w:rPr>
      </w:pPr>
      <w:bookmarkStart w:id="2" w:name="state-measures-and-proposal-laws"/>
      <w:bookmarkEnd w:id="1"/>
      <w:r>
        <w:t>2 State measures and proposal laws</w:t>
      </w:r>
    </w:p>
    <w:p w14:paraId="08E836E7" w14:textId="77777777" w:rsidR="006D39C8" w:rsidRDefault="00000000">
      <w:pPr>
        <w:pStyle w:val="FirstParagraph"/>
        <w:keepNext/>
        <w:rPr>
          <w:rFonts w:hint="eastAsia"/>
        </w:rPr>
      </w:pPr>
      <w:r>
        <w:t xml:space="preserve">Let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denote coordinates in a fixed, versioned, dimensionless chart. The deterministic high-fidelity loss </w:t>
      </w:r>
      <m:oMath>
        <m:r>
          <w:rPr>
            <w:rFonts w:ascii="Cambria Math" w:hAnsi="Cambria Math"/>
          </w:rPr>
          <m:t>J</m:t>
        </m:r>
        <m:d>
          <m:dPr>
            <m:ctrlPr>
              <w:rPr>
                <w:rFonts w:ascii="Cambria Math" w:hAnsi="Cambria Math"/>
              </w:rPr>
            </m:ctrlPr>
          </m:dPr>
          <m:e>
            <m:r>
              <w:rPr>
                <w:rFonts w:ascii="Cambria Math" w:hAnsi="Cambria Math"/>
              </w:rPr>
              <m:t>y</m:t>
            </m:r>
          </m:e>
        </m:d>
      </m:oMath>
      <w:r>
        <w:t xml:space="preserve"> is measurable and nonnegative. A known lower bound can be subtracted when necessary. Lower loss is better. Let </w:t>
      </w:r>
      <m:oMath>
        <m:r>
          <w:rPr>
            <w:rFonts w:ascii="Cambria Math" w:hAnsi="Cambria Math"/>
          </w:rPr>
          <m:t>ν</m:t>
        </m:r>
        <m:d>
          <m:dPr>
            <m:ctrlPr>
              <w:rPr>
                <w:rFonts w:ascii="Cambria Math" w:hAnsi="Cambria Math"/>
              </w:rPr>
            </m:ctrlPr>
          </m:dPr>
          <m:e>
            <m:r>
              <w:rPr>
                <w:rFonts w:ascii="Cambria Math" w:hAnsi="Cambria Math"/>
              </w:rPr>
              <m:t>y</m:t>
            </m:r>
          </m:e>
        </m:d>
      </m:oMath>
      <w:r>
        <w:t xml:space="preserve"> be a known reference probability density. A probability target at a fixed inverse temperature </w:t>
      </w:r>
      <m:oMath>
        <m:r>
          <w:rPr>
            <w:rFonts w:ascii="Cambria Math" w:hAnsi="Cambria Math"/>
          </w:rPr>
          <m:t>β</m:t>
        </m:r>
        <m:r>
          <m:rPr>
            <m:sty m:val="p"/>
          </m:rPr>
          <w:rPr>
            <w:rFonts w:ascii="Cambria Math" w:hAnsi="Cambria Math"/>
          </w:rPr>
          <m:t>&gt;</m:t>
        </m:r>
        <m:r>
          <w:rPr>
            <w:rFonts w:ascii="Cambria Math" w:hAnsi="Cambria Math"/>
          </w:rPr>
          <m:t>0</m:t>
        </m:r>
      </m:oMath>
      <w:r>
        <w:t xml:space="preserve"> is</w:t>
      </w:r>
    </w:p>
    <w:p w14:paraId="4F8EE8F3"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nor/>
            </m:rPr>
            <m:t>    </m:t>
          </m:r>
          <m:r>
            <w:rPr>
              <w:rFonts w:ascii="Cambria Math" w:hAnsi="Cambria Math"/>
            </w:rPr>
            <m:t>dy</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(1)</m:t>
          </m:r>
        </m:oMath>
      </m:oMathPara>
    </w:p>
    <w:p w14:paraId="388B927C" w14:textId="77777777" w:rsidR="006D39C8" w:rsidRDefault="00000000">
      <w:pPr>
        <w:pStyle w:val="FirstParagraph"/>
        <w:rPr>
          <w:rFonts w:hint="eastAsia"/>
        </w:rPr>
      </w:pPr>
      <w:r>
        <w:t xml:space="preserve">Assume </w:t>
      </w:r>
      <m:oMath>
        <m:r>
          <w:rPr>
            <w:rFonts w:ascii="Cambria Math" w:hAnsi="Cambria Math"/>
          </w:rPr>
          <m:t>J</m:t>
        </m:r>
      </m:oMath>
      <w:r>
        <w:t xml:space="preserve"> is finite </w:t>
      </w:r>
      <m:oMath>
        <m:r>
          <w:rPr>
            <w:rFonts w:ascii="Cambria Math" w:hAnsi="Cambria Math"/>
          </w:rPr>
          <m:t>ν</m:t>
        </m:r>
      </m:oMath>
      <w:r>
        <w:t xml:space="preserve">-almost everywhere, so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1</m:t>
        </m:r>
      </m:oMath>
      <w:r>
        <w:t xml:space="preserve">. For hard constraints, a declared measurable feasible-set indicator can be included in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provided the feasible set has positive reference mass. The constraint and evaluator versions must match the reported target.</w:t>
      </w:r>
    </w:p>
    <w:p w14:paraId="5D7F8193" w14:textId="77777777" w:rsidR="006D39C8" w:rsidRDefault="00000000">
      <w:pPr>
        <w:pStyle w:val="BodyText"/>
        <w:keepNext/>
        <w:rPr>
          <w:rFonts w:hint="eastAsia"/>
        </w:rPr>
      </w:pPr>
      <w:r>
        <w:t xml:space="preserve">Candidate </w:t>
      </w:r>
      <m:oMath>
        <m:r>
          <w:rPr>
            <w:rFonts w:ascii="Cambria Math" w:hAnsi="Cambria Math"/>
          </w:rPr>
          <m:t>k</m:t>
        </m:r>
      </m:oMath>
      <w:r>
        <w:t xml:space="preserve"> traverses stages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At stage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the unnormalized observation kernel is</w:t>
      </w:r>
    </w:p>
    <w:p w14:paraId="7F9ADF22"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p>
                <m:sSupPr>
                  <m:ctrlPr>
                    <w:rPr>
                      <w:rFonts w:ascii="Cambria Math" w:hAnsi="Cambria Math"/>
                    </w:rPr>
                  </m:ctrlPr>
                </m:sSupPr>
                <m:e>
                  <m:d>
                    <m:dPr>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m:t>
          </m:r>
          <m:r>
            <m:rPr>
              <m:nor/>
            </m:rPr>
            <m:t>    (2)</m:t>
          </m:r>
        </m:oMath>
      </m:oMathPara>
    </w:p>
    <w:p w14:paraId="736F096B" w14:textId="77777777" w:rsidR="006D39C8" w:rsidRDefault="00000000">
      <w:pPr>
        <w:pStyle w:val="FirstParagraph"/>
        <w:keepNext/>
        <w:rPr>
          <w:rFonts w:hint="eastAsia"/>
        </w:rPr>
      </w:pPr>
      <w:r>
        <w:t xml:space="preserve">For proposal scores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oMath>
      <w:r>
        <w:t xml:space="preserve">, which may be predictions, and an optional occupancy score </w:t>
      </w:r>
      <m:oMath>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0</m:t>
        </m:r>
      </m:oMath>
      <w:r>
        <w:t>, one possible retrieval is</w:t>
      </w:r>
    </w:p>
    <w:p w14:paraId="05C947A2" w14:textId="77777777" w:rsidR="006D39C8" w:rsidRDefault="00000000">
      <w:pPr>
        <w:pStyle w:val="BodyText"/>
        <w:keepLines/>
        <w:spacing w:before="60" w:after="120"/>
        <w:jc w:val="center"/>
        <w:rPr>
          <w:rFonts w:hint="eastAsia"/>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sup>
          </m:sSup>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e>
              </m:d>
            </m:e>
            <m:sup>
              <m:r>
                <m:rPr>
                  <m:sty m:val="p"/>
                </m:rPr>
                <w:rPr>
                  <w:rFonts w:ascii="Cambria Math" w:hAnsi="Cambria Math"/>
                </w:rPr>
                <m:t>-</m:t>
              </m:r>
              <m:r>
                <w:rPr>
                  <w:rFonts w:ascii="Cambria Math" w:hAnsi="Cambria Math"/>
                </w:rPr>
                <m:t>λ</m:t>
              </m:r>
            </m:sup>
          </m:sSup>
          <m:r>
            <m:rPr>
              <m:sty m:val="p"/>
            </m:rPr>
            <w:rPr>
              <w:rFonts w:ascii="Cambria Math" w:hAnsi="Cambria Math"/>
            </w:rPr>
            <m:t>.</m:t>
          </m:r>
          <m:r>
            <m:rPr>
              <m:nor/>
            </m:rPr>
            <m:t>    (3)</m:t>
          </m:r>
        </m:oMath>
      </m:oMathPara>
    </w:p>
    <w:p w14:paraId="15CDCBC6" w14:textId="77777777" w:rsidR="006D39C8" w:rsidRDefault="00000000">
      <w:pPr>
        <w:pStyle w:val="FirstParagraph"/>
        <w:rPr>
          <w:rFonts w:hint="eastAsia"/>
        </w:rPr>
      </w:pPr>
      <w:r>
        <w:t xml:space="preserve">Normalize the logits with log-sum-exp. With </w:t>
      </w:r>
      <m:oMath>
        <m:r>
          <w:rPr>
            <w:rFonts w:ascii="Cambria Math" w:hAnsi="Cambria Math"/>
          </w:rPr>
          <m:t>λ</m:t>
        </m:r>
        <m:r>
          <m:rPr>
            <m:sty m:val="p"/>
          </m:rPr>
          <w:rPr>
            <w:rFonts w:ascii="Cambria Math" w:hAnsi="Cambria Math"/>
          </w:rPr>
          <m:t>=</m:t>
        </m:r>
        <m:r>
          <w:rPr>
            <w:rFonts w:ascii="Cambria Math" w:hAnsi="Cambria Math"/>
          </w:rPr>
          <m:t>0</m:t>
        </m:r>
      </m:oMath>
      <w:r>
        <w:t xml:space="preserve">, occupancy is absent. If predictions are used in (3), they shape the proposal only; they do not become measured values of </w:t>
      </w:r>
      <m:oMath>
        <m:r>
          <w:rPr>
            <w:rFonts w:ascii="Cambria Math" w:hAnsi="Cambria Math"/>
          </w:rPr>
          <m:t>J</m:t>
        </m:r>
      </m:oMath>
      <w:r>
        <w:t xml:space="preserve">. Even with exact </w:t>
      </w:r>
      <m:oMath>
        <m:r>
          <w:rPr>
            <w:rFonts w:ascii="Cambria Math" w:hAnsi="Cambria Math"/>
          </w:rPr>
          <m:t>J</m:t>
        </m:r>
      </m:oMath>
      <w:r>
        <w:t>, raw archive weights define a changing empirical measure and do not automatically estimate (1).</w:t>
      </w:r>
    </w:p>
    <w:p w14:paraId="130F2E12" w14:textId="77777777" w:rsidR="006D39C8" w:rsidRDefault="00000000">
      <w:pPr>
        <w:pStyle w:val="BodyText"/>
        <w:rPr>
          <w:rFonts w:hint="eastAsia"/>
        </w:rPr>
      </w:pPr>
      <w:r>
        <w:t xml:space="preserve">The event log records each attempted state, its proposal provenance, a predicted response if used, an observed exact response when available, the observation probability and all relevant versions. Proposal density is denoted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where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is the history before attempt </w:t>
      </w:r>
      <m:oMath>
        <m:r>
          <w:rPr>
            <w:rFonts w:ascii="Cambria Math" w:hAnsi="Cambria Math"/>
          </w:rPr>
          <m:t>i</m:t>
        </m:r>
      </m:oMath>
      <w:r>
        <w:t xml:space="preserve">. It must be fixed before drawing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This density is distinct from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and from archive occupancy.</w:t>
      </w:r>
    </w:p>
    <w:p w14:paraId="4867126C" w14:textId="77777777" w:rsidR="006D39C8" w:rsidRDefault="00000000">
      <w:pPr>
        <w:pStyle w:val="Heading1"/>
        <w:rPr>
          <w:rFonts w:hint="eastAsia"/>
        </w:rPr>
      </w:pPr>
      <w:bookmarkStart w:id="3" w:name="selection-bandwidth-and-fresh-noise"/>
      <w:bookmarkEnd w:id="2"/>
      <w:r>
        <w:lastRenderedPageBreak/>
        <w:t>3 Selection bandwidth and fresh noise</w:t>
      </w:r>
    </w:p>
    <w:p w14:paraId="353AA7AE" w14:textId="77777777" w:rsidR="006D39C8" w:rsidRDefault="00000000">
      <w:pPr>
        <w:pStyle w:val="Heading2"/>
        <w:rPr>
          <w:rFonts w:hint="eastAsia"/>
        </w:rPr>
      </w:pPr>
      <w:bookmarkStart w:id="4" w:name="three-separate-controls"/>
      <w:r>
        <w:t>3.1 Three separate controls</w:t>
      </w:r>
    </w:p>
    <w:p w14:paraId="263F8E03" w14:textId="77777777" w:rsidR="006D39C8" w:rsidRDefault="00000000">
      <w:pPr>
        <w:pStyle w:val="Caption"/>
        <w:keepNext/>
        <w:rPr>
          <w:rFonts w:hint="eastAsia"/>
        </w:rPr>
      </w:pPr>
      <w:r>
        <w:t>Table 1. Controls and their interpretation in a dimensionless design chart.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376"/>
        <w:gridCol w:w="5760"/>
      </w:tblGrid>
      <w:tr w:rsidR="006D39C8" w14:paraId="385ED0BD" w14:textId="77777777">
        <w:trPr>
          <w:cantSplit/>
          <w:tblHeader/>
          <w:jc w:val="center"/>
        </w:trPr>
        <w:tc>
          <w:tcPr>
            <w:tcW w:w="1800" w:type="dxa"/>
            <w:shd w:val="clear" w:color="auto" w:fill="EAEAEA"/>
            <w:tcMar>
              <w:top w:w="80" w:type="dxa"/>
              <w:left w:w="85" w:type="dxa"/>
              <w:bottom w:w="80" w:type="dxa"/>
              <w:right w:w="85" w:type="dxa"/>
            </w:tcMar>
            <w:vAlign w:val="center"/>
          </w:tcPr>
          <w:p w14:paraId="6F37CDB9" w14:textId="77777777" w:rsidR="006D39C8" w:rsidRDefault="00000000">
            <w:pPr>
              <w:keepNext/>
              <w:keepLines/>
              <w:spacing w:after="0" w:line="247" w:lineRule="auto"/>
              <w:jc w:val="left"/>
              <w:rPr>
                <w:rFonts w:hint="eastAsia"/>
              </w:rPr>
            </w:pPr>
            <w:r>
              <w:rPr>
                <w:b/>
                <w:sz w:val="21"/>
              </w:rPr>
              <w:t>Control</w:t>
            </w:r>
          </w:p>
        </w:tc>
        <w:tc>
          <w:tcPr>
            <w:tcW w:w="2376" w:type="dxa"/>
            <w:shd w:val="clear" w:color="auto" w:fill="EAEAEA"/>
            <w:tcMar>
              <w:top w:w="80" w:type="dxa"/>
              <w:left w:w="85" w:type="dxa"/>
              <w:bottom w:w="80" w:type="dxa"/>
              <w:right w:w="85" w:type="dxa"/>
            </w:tcMar>
            <w:vAlign w:val="center"/>
          </w:tcPr>
          <w:p w14:paraId="4ADC1ABB" w14:textId="77777777" w:rsidR="006D39C8" w:rsidRDefault="00000000">
            <w:pPr>
              <w:keepNext/>
              <w:keepLines/>
              <w:spacing w:after="0" w:line="247" w:lineRule="auto"/>
              <w:jc w:val="left"/>
              <w:rPr>
                <w:rFonts w:hint="eastAsia"/>
              </w:rPr>
            </w:pPr>
            <w:r>
              <w:rPr>
                <w:b/>
                <w:sz w:val="21"/>
              </w:rPr>
              <w:t>Role</w:t>
            </w:r>
          </w:p>
        </w:tc>
        <w:tc>
          <w:tcPr>
            <w:tcW w:w="5760" w:type="dxa"/>
            <w:shd w:val="clear" w:color="auto" w:fill="EAEAEA"/>
            <w:tcMar>
              <w:top w:w="80" w:type="dxa"/>
              <w:left w:w="85" w:type="dxa"/>
              <w:bottom w:w="80" w:type="dxa"/>
              <w:right w:w="85" w:type="dxa"/>
            </w:tcMar>
            <w:vAlign w:val="center"/>
          </w:tcPr>
          <w:p w14:paraId="78FA60C1" w14:textId="77777777" w:rsidR="006D39C8" w:rsidRDefault="00000000">
            <w:pPr>
              <w:keepNext/>
              <w:keepLines/>
              <w:spacing w:after="0" w:line="247" w:lineRule="auto"/>
              <w:jc w:val="left"/>
              <w:rPr>
                <w:rFonts w:hint="eastAsia"/>
              </w:rPr>
            </w:pPr>
            <w:r>
              <w:rPr>
                <w:b/>
                <w:sz w:val="21"/>
              </w:rPr>
              <w:t>Interpretation and limits</w:t>
            </w:r>
          </w:p>
        </w:tc>
      </w:tr>
      <w:tr w:rsidR="006D39C8" w14:paraId="2237F701" w14:textId="77777777">
        <w:trPr>
          <w:cantSplit/>
          <w:jc w:val="center"/>
        </w:trPr>
        <w:tc>
          <w:tcPr>
            <w:tcW w:w="1800" w:type="dxa"/>
            <w:shd w:val="clear" w:color="auto" w:fill="FFFFFF"/>
            <w:tcMar>
              <w:top w:w="80" w:type="dxa"/>
              <w:left w:w="85" w:type="dxa"/>
              <w:bottom w:w="80" w:type="dxa"/>
              <w:right w:w="85" w:type="dxa"/>
            </w:tcMar>
            <w:vAlign w:val="center"/>
          </w:tcPr>
          <w:p w14:paraId="287AA99E" w14:textId="77777777" w:rsidR="006D39C8" w:rsidRDefault="00000000">
            <w:pPr>
              <w:keepNext/>
              <w:keepLines/>
              <w:spacing w:after="0" w:line="247" w:lineRule="auto"/>
              <w:jc w:val="left"/>
              <w:rPr>
                <w:rFonts w:hint="eastAsia"/>
              </w:rPr>
            </w:pPr>
            <m:oMathPara>
              <m:oMath>
                <m:r>
                  <w:rPr>
                    <w:rFonts w:ascii="Cambria Math" w:hAnsi="Cambria Math"/>
                  </w:rPr>
                  <m:t>β</m:t>
                </m:r>
              </m:oMath>
            </m:oMathPara>
          </w:p>
        </w:tc>
        <w:tc>
          <w:tcPr>
            <w:tcW w:w="2376" w:type="dxa"/>
            <w:shd w:val="clear" w:color="auto" w:fill="FFFFFF"/>
            <w:tcMar>
              <w:top w:w="80" w:type="dxa"/>
              <w:left w:w="85" w:type="dxa"/>
              <w:bottom w:w="80" w:type="dxa"/>
              <w:right w:w="85" w:type="dxa"/>
            </w:tcMar>
            <w:vAlign w:val="center"/>
          </w:tcPr>
          <w:p w14:paraId="04C9ECC4" w14:textId="77777777" w:rsidR="006D39C8" w:rsidRDefault="00000000">
            <w:pPr>
              <w:keepNext/>
              <w:keepLines/>
              <w:spacing w:after="0" w:line="247" w:lineRule="auto"/>
              <w:jc w:val="left"/>
              <w:rPr>
                <w:rFonts w:hint="eastAsia"/>
              </w:rPr>
            </w:pPr>
            <w:r>
              <w:rPr>
                <w:sz w:val="21"/>
              </w:rPr>
              <w:t xml:space="preserve">Selection strength in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p>
        </w:tc>
        <w:tc>
          <w:tcPr>
            <w:tcW w:w="5760" w:type="dxa"/>
            <w:shd w:val="clear" w:color="auto" w:fill="FFFFFF"/>
            <w:tcMar>
              <w:top w:w="80" w:type="dxa"/>
              <w:left w:w="85" w:type="dxa"/>
              <w:bottom w:w="80" w:type="dxa"/>
              <w:right w:w="85" w:type="dxa"/>
            </w:tcMar>
            <w:vAlign w:val="center"/>
          </w:tcPr>
          <w:p w14:paraId="518CD0ED" w14:textId="77777777" w:rsidR="006D39C8" w:rsidRDefault="00000000">
            <w:pPr>
              <w:keepNext/>
              <w:keepLines/>
              <w:spacing w:after="0" w:line="247" w:lineRule="auto"/>
              <w:jc w:val="left"/>
              <w:rPr>
                <w:rFonts w:hint="eastAsia"/>
              </w:rPr>
            </w:pPr>
            <w:r>
              <w:rPr>
                <w:sz w:val="21"/>
              </w:rPr>
              <w:t>Inverse loss units; larger values emphasize lower loss among geometrically compatible records</w:t>
            </w:r>
          </w:p>
        </w:tc>
      </w:tr>
      <w:tr w:rsidR="006D39C8" w14:paraId="68BEEB48" w14:textId="77777777">
        <w:trPr>
          <w:cantSplit/>
          <w:jc w:val="center"/>
        </w:trPr>
        <w:tc>
          <w:tcPr>
            <w:tcW w:w="1800" w:type="dxa"/>
            <w:shd w:val="clear" w:color="auto" w:fill="FFFFFF"/>
            <w:tcMar>
              <w:top w:w="80" w:type="dxa"/>
              <w:left w:w="85" w:type="dxa"/>
              <w:bottom w:w="80" w:type="dxa"/>
              <w:right w:w="85" w:type="dxa"/>
            </w:tcMar>
            <w:vAlign w:val="center"/>
          </w:tcPr>
          <w:p w14:paraId="580BB236" w14:textId="77777777" w:rsidR="006D39C8" w:rsidRDefault="00000000">
            <w:pPr>
              <w:keepNext/>
              <w:keepLines/>
              <w:spacing w:after="0" w:line="247" w:lineRule="auto"/>
              <w:jc w:val="left"/>
              <w:rPr>
                <w:rFonts w:hint="eastAsia"/>
              </w:rPr>
            </w:pPr>
            <m:oMathPara>
              <m:oMath>
                <m:r>
                  <w:rPr>
                    <w:rFonts w:ascii="Cambria Math" w:hAnsi="Cambria Math"/>
                  </w:rPr>
                  <m:t>1</m:t>
                </m:r>
                <m:r>
                  <m:rPr>
                    <m:sty m:val="p"/>
                  </m:rPr>
                  <w:rPr>
                    <w:rFonts w:ascii="Cambria Math" w:hAnsi="Cambria Math"/>
                  </w:rPr>
                  <m:t>-</m:t>
                </m:r>
                <m:r>
                  <w:rPr>
                    <w:rFonts w:ascii="Cambria Math" w:hAnsi="Cambria Math"/>
                  </w:rPr>
                  <m:t>a</m:t>
                </m:r>
              </m:oMath>
            </m:oMathPara>
          </w:p>
        </w:tc>
        <w:tc>
          <w:tcPr>
            <w:tcW w:w="2376" w:type="dxa"/>
            <w:shd w:val="clear" w:color="auto" w:fill="FFFFFF"/>
            <w:tcMar>
              <w:top w:w="80" w:type="dxa"/>
              <w:left w:w="85" w:type="dxa"/>
              <w:bottom w:w="80" w:type="dxa"/>
              <w:right w:w="85" w:type="dxa"/>
            </w:tcMar>
            <w:vAlign w:val="center"/>
          </w:tcPr>
          <w:p w14:paraId="53C09B15" w14:textId="77777777" w:rsidR="006D39C8" w:rsidRDefault="00000000">
            <w:pPr>
              <w:keepNext/>
              <w:keepLines/>
              <w:spacing w:after="0" w:line="247" w:lineRule="auto"/>
              <w:jc w:val="left"/>
              <w:rPr>
                <w:rFonts w:hint="eastAsia"/>
              </w:rPr>
            </w:pPr>
            <w:r>
              <w:rPr>
                <w:sz w:val="21"/>
              </w:rPr>
              <w:t>Observation variance factor</w:t>
            </w:r>
          </w:p>
        </w:tc>
        <w:tc>
          <w:tcPr>
            <w:tcW w:w="5760" w:type="dxa"/>
            <w:shd w:val="clear" w:color="auto" w:fill="FFFFFF"/>
            <w:tcMar>
              <w:top w:w="80" w:type="dxa"/>
              <w:left w:w="85" w:type="dxa"/>
              <w:bottom w:w="80" w:type="dxa"/>
              <w:right w:w="85" w:type="dxa"/>
            </w:tcMar>
            <w:vAlign w:val="center"/>
          </w:tcPr>
          <w:p w14:paraId="1F0A49D3" w14:textId="77777777" w:rsidR="006D39C8" w:rsidRDefault="00000000">
            <w:pPr>
              <w:keepNext/>
              <w:keepLines/>
              <w:spacing w:after="0" w:line="247" w:lineRule="auto"/>
              <w:jc w:val="left"/>
              <w:rPr>
                <w:rFonts w:hint="eastAsia"/>
              </w:rPr>
            </w:pPr>
            <w:r>
              <w:rPr>
                <w:sz w:val="21"/>
              </w:rPr>
              <w:t xml:space="preserve">Dimensionless in the chart; changes both bandwidth and the shrinkage of key centers through </w:t>
            </w:r>
            <m:oMath>
              <m:rad>
                <m:radPr>
                  <m:degHide m:val="1"/>
                  <m:ctrlPr>
                    <w:rPr>
                      <w:rFonts w:ascii="Cambria Math" w:hAnsi="Cambria Math"/>
                    </w:rPr>
                  </m:ctrlPr>
                </m:radPr>
                <m:deg/>
                <m:e>
                  <m:r>
                    <w:rPr>
                      <w:rFonts w:ascii="Cambria Math" w:hAnsi="Cambria Math"/>
                    </w:rPr>
                    <m:t>a</m:t>
                  </m:r>
                </m:e>
              </m:rad>
            </m:oMath>
          </w:p>
        </w:tc>
      </w:tr>
      <w:tr w:rsidR="006D39C8" w14:paraId="705845B6" w14:textId="77777777">
        <w:trPr>
          <w:cantSplit/>
          <w:jc w:val="center"/>
        </w:trPr>
        <w:tc>
          <w:tcPr>
            <w:tcW w:w="1800" w:type="dxa"/>
            <w:shd w:val="clear" w:color="auto" w:fill="FFFFFF"/>
            <w:tcMar>
              <w:top w:w="80" w:type="dxa"/>
              <w:left w:w="85" w:type="dxa"/>
              <w:bottom w:w="80" w:type="dxa"/>
              <w:right w:w="85" w:type="dxa"/>
            </w:tcMar>
            <w:vAlign w:val="center"/>
          </w:tcPr>
          <w:p w14:paraId="7F551BDE" w14:textId="77777777" w:rsidR="006D39C8" w:rsidRDefault="00000000">
            <w:pPr>
              <w:keepLines/>
              <w:spacing w:after="0" w:line="247" w:lineRule="auto"/>
              <w:jc w:val="left"/>
              <w:rPr>
                <w:rFonts w:hint="eastAsia"/>
              </w:rPr>
            </w:pPr>
            <m:oMath>
              <m:r>
                <w:rPr>
                  <w:rFonts w:ascii="Cambria Math" w:hAnsi="Cambria Math"/>
                </w:rPr>
                <m:t>σ</m:t>
              </m:r>
            </m:oMath>
            <w:r>
              <w:rPr>
                <w:sz w:val="21"/>
              </w:rPr>
              <w:t xml:space="preserve"> and </w:t>
            </w:r>
            <m:oMath>
              <m:r>
                <w:rPr>
                  <w:rFonts w:ascii="Cambria Math" w:hAnsi="Cambria Math"/>
                </w:rPr>
                <m:t>η</m:t>
              </m:r>
            </m:oMath>
          </w:p>
        </w:tc>
        <w:tc>
          <w:tcPr>
            <w:tcW w:w="2376" w:type="dxa"/>
            <w:shd w:val="clear" w:color="auto" w:fill="FFFFFF"/>
            <w:tcMar>
              <w:top w:w="80" w:type="dxa"/>
              <w:left w:w="85" w:type="dxa"/>
              <w:bottom w:w="80" w:type="dxa"/>
              <w:right w:w="85" w:type="dxa"/>
            </w:tcMar>
            <w:vAlign w:val="center"/>
          </w:tcPr>
          <w:p w14:paraId="7F1B175E" w14:textId="77777777" w:rsidR="006D39C8" w:rsidRDefault="00000000">
            <w:pPr>
              <w:keepLines/>
              <w:spacing w:after="0" w:line="247" w:lineRule="auto"/>
              <w:jc w:val="left"/>
              <w:rPr>
                <w:rFonts w:hint="eastAsia"/>
              </w:rPr>
            </w:pPr>
            <w:r>
              <w:rPr>
                <w:sz w:val="21"/>
              </w:rPr>
              <w:t>Conditional proposal noise</w:t>
            </w:r>
          </w:p>
        </w:tc>
        <w:tc>
          <w:tcPr>
            <w:tcW w:w="5760" w:type="dxa"/>
            <w:shd w:val="clear" w:color="auto" w:fill="FFFFFF"/>
            <w:tcMar>
              <w:top w:w="80" w:type="dxa"/>
              <w:left w:w="85" w:type="dxa"/>
              <w:bottom w:w="80" w:type="dxa"/>
              <w:right w:w="85" w:type="dxa"/>
            </w:tcMar>
            <w:vAlign w:val="center"/>
          </w:tcPr>
          <w:p w14:paraId="4D5C7DF0" w14:textId="77777777" w:rsidR="006D39C8" w:rsidRDefault="00000000">
            <w:pPr>
              <w:keepLines/>
              <w:spacing w:after="0" w:line="247" w:lineRule="auto"/>
              <w:jc w:val="left"/>
              <w:rPr>
                <w:rFonts w:hint="eastAsia"/>
              </w:rPr>
            </w:pPr>
            <w:r>
              <w:rPr>
                <w:sz w:val="21"/>
              </w:rPr>
              <w:t>Standard deviation and a dimensionless schedule multiplier; change exploration and the realized proposal density</w:t>
            </w:r>
          </w:p>
        </w:tc>
      </w:tr>
    </w:tbl>
    <w:p w14:paraId="05775C0B" w14:textId="77777777" w:rsidR="006D39C8" w:rsidRDefault="00000000">
      <w:pPr>
        <w:pStyle w:val="BodyText"/>
        <w:spacing w:before="140"/>
        <w:rPr>
          <w:rFonts w:hint="eastAsia"/>
        </w:rPr>
      </w:pPr>
      <w:r>
        <w:t>A physical chart requires a declared covariance scale. In physical coordinates the covariance is not automatically an identity matrix with compatible units. A fixed whitening transform can provide a chart, but changing it invalidates geometric cache entries and requires transforming densities with the appropriate Jacobian. Selection, bandwidth and proposal noise should therefore not be treated as one temperature.</w:t>
      </w:r>
    </w:p>
    <w:p w14:paraId="4F12CE76" w14:textId="77777777" w:rsidR="006D39C8" w:rsidRDefault="00000000">
      <w:pPr>
        <w:pStyle w:val="BodyText"/>
        <w:rPr>
          <w:rFonts w:hint="eastAsia"/>
        </w:rPr>
      </w:pPr>
      <w:r>
        <w:t xml:space="preserve">Large </w:t>
      </w:r>
      <m:oMath>
        <m:r>
          <w:rPr>
            <w:rFonts w:ascii="Cambria Math" w:hAnsi="Cambria Math"/>
          </w:rPr>
          <m:t>β</m:t>
        </m:r>
      </m:oMath>
      <w:r>
        <w:t xml:space="preserve"> does not necessarily copy the globally best archived state at a finite value: locality still enters (3). Large bandwidth also does not make an arbitrary ADE run a sampler from one fixed target. Increasing </w:t>
      </w:r>
      <m:oMath>
        <m:r>
          <w:rPr>
            <w:rFonts w:ascii="Cambria Math" w:hAnsi="Cambria Math"/>
          </w:rPr>
          <m:t>σ</m:t>
        </m:r>
      </m:oMath>
      <w:r>
        <w:t xml:space="preserve"> changes the proposal law rather than producing independent samples from the objective distribution.</w:t>
      </w:r>
    </w:p>
    <w:p w14:paraId="1F87751D" w14:textId="77777777" w:rsidR="006D39C8" w:rsidRDefault="00000000">
      <w:pPr>
        <w:pStyle w:val="Heading2"/>
        <w:rPr>
          <w:rFonts w:hint="eastAsia"/>
        </w:rPr>
      </w:pPr>
      <w:bookmarkStart w:id="5" w:name="Xdb47de88acc540caa0e5d5a5c90d6d172d5b1c5"/>
      <w:bookmarkEnd w:id="4"/>
      <w:r>
        <w:t>3.2 Conditional covariance and residual moments</w:t>
      </w:r>
    </w:p>
    <w:p w14:paraId="2AA490C2" w14:textId="77777777" w:rsidR="006D39C8" w:rsidRDefault="00000000">
      <w:pPr>
        <w:pStyle w:val="FirstParagraph"/>
        <w:keepNext/>
        <w:rPr>
          <w:rFonts w:hint="eastAsia"/>
        </w:rPr>
      </w:pPr>
      <w:r>
        <w:t xml:space="preserve">For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define</w:t>
      </w:r>
    </w:p>
    <w:p w14:paraId="0652374D"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m:rPr>
              <m:nor/>
            </m:rPr>
            <m:t>    </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rad>
          <m:r>
            <m:rPr>
              <m:sty m:val="p"/>
            </m:rPr>
            <w:rPr>
              <w:rFonts w:ascii="Cambria Math" w:hAnsi="Cambria Math"/>
            </w:rPr>
            <m:t>,</m:t>
          </m:r>
          <m:r>
            <m:rPr>
              <m:nor/>
            </m:rPr>
            <m:t>    </m:t>
          </m:r>
          <m:acc>
            <m:accPr>
              <m:ctrlPr>
                <w:rPr>
                  <w:rFonts w:ascii="Cambria Math" w:hAnsi="Cambria Math"/>
                </w:rPr>
              </m:ctrlPr>
            </m:accPr>
            <m:e>
              <m:r>
                <w:rPr>
                  <w:rFonts w:ascii="Cambria Math" w:hAnsi="Cambria Math"/>
                </w:rPr>
                <m:t>ϵ</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m</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den>
          </m:f>
          <m:r>
            <m:rPr>
              <m:sty m:val="p"/>
            </m:rPr>
            <w:rPr>
              <w:rFonts w:ascii="Cambria Math" w:hAnsi="Cambria Math"/>
            </w:rPr>
            <m:t>.</m:t>
          </m:r>
          <m:r>
            <m:rPr>
              <m:nor/>
            </m:rPr>
            <m:t>    (4)</m:t>
          </m:r>
        </m:oMath>
      </m:oMathPara>
    </w:p>
    <w:p w14:paraId="1B2029C4" w14:textId="77777777" w:rsidR="006D39C8" w:rsidRDefault="00000000">
      <w:pPr>
        <w:pStyle w:val="FirstParagraph"/>
        <w:keepNext/>
        <w:rPr>
          <w:rFonts w:hint="eastAsia"/>
        </w:rPr>
      </w:pPr>
      <w:r>
        <w:t xml:space="preserve">The standard range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xml:space="preserve"> makes the square root real. The next state is</w:t>
      </w:r>
    </w:p>
    <w:p w14:paraId="3BEEFECC" w14:textId="77777777" w:rsidR="006D39C8"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nor/>
            </m:rPr>
            <m:t>    </m:t>
          </m:r>
          <m:r>
            <w:rPr>
              <w:rFonts w:ascii="Cambria Math" w:hAnsi="Cambria Math"/>
            </w:rPr>
            <m:t>m</m:t>
          </m:r>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ϵ</m:t>
              </m:r>
            </m:e>
          </m:acc>
          <m:r>
            <m:rPr>
              <m:sty m:val="p"/>
            </m:rPr>
            <w:rPr>
              <w:rFonts w:ascii="Cambria Math" w:hAnsi="Cambria Math"/>
            </w:rPr>
            <m:t>+</m:t>
          </m:r>
          <m:r>
            <w:rPr>
              <w:rFonts w:ascii="Cambria Math" w:hAnsi="Cambria Math"/>
            </w:rPr>
            <m:t>σξ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(5)</m:t>
          </m:r>
        </m:oMath>
      </m:oMathPara>
    </w:p>
    <w:p w14:paraId="5AB1B398" w14:textId="77777777" w:rsidR="006D39C8" w:rsidRDefault="00000000">
      <w:pPr>
        <w:pStyle w:val="FirstParagraph"/>
        <w:rPr>
          <w:rFonts w:hint="eastAsia"/>
        </w:rPr>
      </w:pPr>
      <w:r>
        <w:t xml:space="preserve">Conditional on the full history before this draw, </w:t>
      </w:r>
      <m:oMath>
        <m:r>
          <w:rPr>
            <w:rFonts w:ascii="Cambria Math" w:hAnsi="Cambria Math"/>
          </w:rPr>
          <m:t>m</m:t>
        </m:r>
      </m:oMath>
      <w:r>
        <w:t xml:space="preserve">, </w:t>
      </w:r>
      <m:oMath>
        <m:acc>
          <m:accPr>
            <m:ctrlPr>
              <w:rPr>
                <w:rFonts w:ascii="Cambria Math" w:hAnsi="Cambria Math"/>
              </w:rPr>
            </m:ctrlPr>
          </m:accPr>
          <m:e>
            <m:r>
              <w:rPr>
                <w:rFonts w:ascii="Cambria Math" w:hAnsi="Cambria Math"/>
              </w:rPr>
              <m:t>ϵ</m:t>
            </m:r>
          </m:e>
        </m:acc>
      </m:oMath>
      <w:r>
        <w:t xml:space="preserve">, </w:t>
      </w:r>
      <m:oMath>
        <m:r>
          <w:rPr>
            <w:rFonts w:ascii="Cambria Math" w:hAnsi="Cambria Math"/>
          </w:rPr>
          <m:t>c</m:t>
        </m:r>
      </m:oMath>
      <w:r>
        <w:t xml:space="preserve"> and </w:t>
      </w:r>
      <m:oMath>
        <m:r>
          <w:rPr>
            <w:rFonts w:ascii="Cambria Math" w:hAnsi="Cambria Math"/>
          </w:rPr>
          <m:t>σ</m:t>
        </m:r>
      </m:oMath>
      <w:r>
        <w:t xml:space="preserve"> are fixed. Consequently </w:t>
      </w:r>
      <m:oMath>
        <m:r>
          <m:rPr>
            <m:sty m:val="p"/>
          </m:rPr>
          <w:rPr>
            <w:rFonts w:ascii="Cambria Math" w:hAnsi="Cambria Math"/>
          </w:rPr>
          <m:t>Cov</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oMath>
      <w:r>
        <w:t>. A nonzero residual vector affects the conditional mean, not the conditional covariance.</w:t>
      </w:r>
    </w:p>
    <w:p w14:paraId="6E43C61A" w14:textId="77777777" w:rsidR="006D39C8" w:rsidRDefault="00000000">
      <w:pPr>
        <w:pStyle w:val="BodyText"/>
        <w:keepNext/>
        <w:keepLines/>
        <w:rPr>
          <w:rFonts w:hint="eastAsia"/>
        </w:rPr>
      </w:pPr>
      <w:r>
        <w:t xml:space="preserve">Proposition 1 — Residual second moment across histories. Suppose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oMath>
      <w:r>
        <w:t xml:space="preserve"> are fixed across the histories being compared, </w:t>
      </w:r>
      <m:oMath>
        <m:r>
          <w:rPr>
            <w:rFonts w:ascii="Cambria Math" w:hAnsi="Cambria Math"/>
          </w:rPr>
          <m:t>ξ</m:t>
        </m:r>
      </m:oMath>
      <w:r>
        <w:t xml:space="preserve"> is drawn independently afterward, and </w:t>
      </w:r>
      <m:oMath>
        <m:r>
          <w:rPr>
            <w:rFonts w:ascii="Cambria Math" w:hAnsi="Cambria Math"/>
          </w:rPr>
          <m:t>s</m:t>
        </m:r>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&lt;∞</m:t>
        </m:r>
      </m:oMath>
      <w:r>
        <w:t xml:space="preserve">. For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nor/>
          </m:rPr>
          <m:t>    </m:t>
        </m:r>
        <m:r>
          <w:rPr>
            <w:rFonts w:ascii="Cambria Math" w:hAnsi="Cambria Math"/>
          </w:rPr>
          <m:t>m</m:t>
        </m:r>
      </m:oMath>
      <w:r>
        <w:t>,</w:t>
      </w:r>
    </w:p>
    <w:p w14:paraId="3913C543" w14:textId="77777777" w:rsidR="006D39C8"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D</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r>
            <m:rPr>
              <m:nor/>
            </m:rPr>
            <m:t>    (6)</m:t>
          </m:r>
        </m:oMath>
      </m:oMathPara>
    </w:p>
    <w:p w14:paraId="468371E2" w14:textId="77777777" w:rsidR="006D39C8" w:rsidRDefault="00000000">
      <w:pPr>
        <w:pStyle w:val="FirstParagraph"/>
        <w:rPr>
          <w:rFonts w:hint="eastAsia"/>
        </w:rPr>
      </w:pPr>
      <w:r>
        <w:t xml:space="preserve">Proof. Expand the squared norm in (5). The cross term has zero expectation because the fresh Gaussian has mean zero conditional on the history. Its expected squared norm is </w:t>
      </w:r>
      <m:oMath>
        <m:r>
          <w:rPr>
            <w:rFonts w:ascii="Cambria Math" w:hAnsi="Cambria Math"/>
          </w:rPr>
          <m:t>D</m:t>
        </m:r>
      </m:oMath>
      <w:r>
        <w:t>. The remaining two terms give (6). ∎</w:t>
      </w:r>
    </w:p>
    <w:p w14:paraId="3BB4BD13" w14:textId="77777777" w:rsidR="006D39C8" w:rsidRDefault="00000000">
      <w:pPr>
        <w:pStyle w:val="BodyText"/>
        <w:rPr>
          <w:rFonts w:hint="eastAsia"/>
        </w:rPr>
      </w:pPr>
      <w:r>
        <w:t xml:space="preserve">If </w:t>
      </w:r>
      <m:oMath>
        <m:r>
          <w:rPr>
            <w:rFonts w:ascii="Cambria Math" w:hAnsi="Cambria Math"/>
          </w:rPr>
          <m:t>v</m:t>
        </m:r>
        <m:r>
          <m:rPr>
            <m:sty m:val="p"/>
          </m:rPr>
          <w:rPr>
            <w:rFonts w:ascii="Cambria Math" w:hAnsi="Cambria Math"/>
          </w:rPr>
          <m:t>=trCov</m:t>
        </m:r>
        <m:d>
          <m:dPr>
            <m:ctrlPr>
              <w:rPr>
                <w:rFonts w:ascii="Cambria Math" w:hAnsi="Cambria Math"/>
              </w:rPr>
            </m:ctrlPr>
          </m:dPr>
          <m:e>
            <m:acc>
              <m:accPr>
                <m:ctrlPr>
                  <w:rPr>
                    <w:rFonts w:ascii="Cambria Math" w:hAnsi="Cambria Math"/>
                  </w:rPr>
                </m:ctrlPr>
              </m:accPr>
              <m:e>
                <m:r>
                  <w:rPr>
                    <w:rFonts w:ascii="Cambria Math" w:hAnsi="Cambria Math"/>
                  </w:rPr>
                  <m:t>ϵ</m:t>
                </m:r>
              </m:e>
            </m:acc>
          </m:e>
        </m:d>
        <m:r>
          <m:rPr>
            <m:sty m:val="p"/>
          </m:rPr>
          <w:rPr>
            <w:rFonts w:ascii="Cambria Math" w:hAnsi="Cambria Math"/>
          </w:rPr>
          <m:t>/</m:t>
        </m:r>
        <m:r>
          <w:rPr>
            <w:rFonts w:ascii="Cambria Math" w:hAnsi="Cambria Math"/>
          </w:rPr>
          <m:t>D</m:t>
        </m:r>
      </m:oMath>
      <w:r>
        <w:t xml:space="preserve">, the centered residual variance is instead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Since </w:t>
      </w:r>
      <m:oMath>
        <m:r>
          <w:rPr>
            <w:rFonts w:ascii="Cambria Math" w:hAnsi="Cambria Math"/>
          </w:rPr>
          <m:t>s</m:t>
        </m:r>
        <m:r>
          <m:rPr>
            <m:sty m:val="p"/>
          </m:rPr>
          <w:rPr>
            <w:rFonts w:ascii="Cambria Math" w:hAnsi="Cambria Math"/>
          </w:rPr>
          <m:t>=</m:t>
        </m:r>
        <m:r>
          <w:rPr>
            <w:rFonts w:ascii="Cambria Math" w:hAnsi="Cambria Math"/>
          </w:rPr>
          <m:t>v</m:t>
        </m:r>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oMath>
      <w:r>
        <w:t xml:space="preserve">, the two expressions agree only when the mean residual is zero. The actual next-state covariance additionally contains </w:t>
      </w:r>
      <m:oMath>
        <m:r>
          <w:rPr>
            <w:rFonts w:ascii="Cambria Math" w:hAnsi="Cambria Math"/>
          </w:rPr>
          <m:t>b</m:t>
        </m:r>
        <m:r>
          <m:rPr>
            <m:sty m:val="p"/>
          </m:rPr>
          <w:rPr>
            <w:rFonts w:ascii="Cambria Math" w:hAnsi="Cambria Math"/>
          </w:rPr>
          <m:t>Cov</m:t>
        </m:r>
        <m:d>
          <m:dPr>
            <m:ctrlPr>
              <w:rPr>
                <w:rFonts w:ascii="Cambria Math" w:hAnsi="Cambria Math"/>
              </w:rPr>
            </m:ctrlPr>
          </m:dPr>
          <m:e>
            <m:r>
              <w:rPr>
                <w:rFonts w:ascii="Cambria Math" w:hAnsi="Cambria Math"/>
              </w:rPr>
              <m:t>m</m:t>
            </m:r>
          </m:e>
        </m:d>
      </m:oMath>
      <w:r>
        <w:t xml:space="preserve"> and the cross-covariance terms between </w:t>
      </w:r>
      <m:oMath>
        <m:r>
          <w:rPr>
            <w:rFonts w:ascii="Cambria Math" w:hAnsi="Cambria Math"/>
          </w:rPr>
          <m:t>m</m:t>
        </m:r>
      </m:oMath>
      <w:r>
        <w:t xml:space="preserve"> and </w:t>
      </w:r>
      <m:oMath>
        <m:acc>
          <m:accPr>
            <m:ctrlPr>
              <w:rPr>
                <w:rFonts w:ascii="Cambria Math" w:hAnsi="Cambria Math"/>
              </w:rPr>
            </m:ctrlPr>
          </m:accPr>
          <m:e>
            <m:r>
              <w:rPr>
                <w:rFonts w:ascii="Cambria Math" w:hAnsi="Cambria Math"/>
              </w:rPr>
              <m:t>ϵ</m:t>
            </m:r>
          </m:e>
        </m:acc>
      </m:oMath>
      <w:r>
        <w:t>.</w:t>
      </w:r>
    </w:p>
    <w:p w14:paraId="1FC650CE" w14:textId="77777777" w:rsidR="006D39C8" w:rsidRDefault="00000000">
      <w:pPr>
        <w:pStyle w:val="BodyText"/>
        <w:rPr>
          <w:rFonts w:hint="eastAsia"/>
        </w:rPr>
      </w:pPr>
      <w:r>
        <w:lastRenderedPageBreak/>
        <w:t xml:space="preserve">Holding the distribution of the residual fixed, the slope of (6) with respect to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w:t>
      </w:r>
      <m:oMath>
        <m:r>
          <w:rPr>
            <w:rFonts w:ascii="Cambria Math" w:hAnsi="Cambria Math"/>
          </w:rPr>
          <m:t>1</m:t>
        </m:r>
        <m:r>
          <m:rPr>
            <m:sty m:val="p"/>
          </m:rPr>
          <w:rPr>
            <w:rFonts w:ascii="Cambria Math" w:hAnsi="Cambria Math"/>
          </w:rPr>
          <m:t>-</m:t>
        </m:r>
        <m:r>
          <w:rPr>
            <w:rFonts w:ascii="Cambria Math" w:hAnsi="Cambria Math"/>
          </w:rPr>
          <m:t>s</m:t>
        </m:r>
      </m:oMath>
      <w:r>
        <w:t xml:space="preserve">. Across independently rerun adaptive optimizers, however, </w:t>
      </w:r>
      <m:oMath>
        <m:r>
          <w:rPr>
            <w:rFonts w:ascii="Cambria Math" w:hAnsi="Cambria Math"/>
          </w:rPr>
          <m:t>s</m:t>
        </m:r>
      </m:oMath>
      <w:r>
        <w:t xml:space="preserve"> generally changes with the noise policy and archive. Equation (6) alone therefore does not predict monotonic final-token spread. For history-dependent noise, the correct identity is </w:t>
      </w:r>
      <m:oMath>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cr m:val="double-struck"/>
            <m:sty m:val="p"/>
          </m:rPr>
          <w:rPr>
            <w:rFonts w:ascii="Cambria Math" w:hAnsi="Cambria Math"/>
          </w:rPr>
          <m:t>=E[</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cr m:val="double-struck"/>
            <m:sty m:val="p"/>
          </m:rPr>
          <w:rPr>
            <w:rFonts w:ascii="Cambria Math" w:hAnsi="Cambria Math"/>
          </w:rPr>
          <m:t>]+E[</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a product of separate averages is generally invalid.</w:t>
      </w:r>
    </w:p>
    <w:p w14:paraId="1616AC94" w14:textId="77777777" w:rsidR="006D39C8" w:rsidRDefault="00000000">
      <w:pPr>
        <w:pStyle w:val="BodyText"/>
        <w:rPr>
          <w:rFonts w:hint="eastAsia"/>
        </w:rPr>
      </w:pPr>
      <w:r>
        <w:t xml:space="preserve">The source experiments also used </w:t>
      </w:r>
      <m:oMath>
        <m:r>
          <w:rPr>
            <w:rFonts w:ascii="Cambria Math" w:hAnsi="Cambria Math"/>
          </w:rPr>
          <m:t>η</m:t>
        </m:r>
        <m:r>
          <m:rPr>
            <m:sty m:val="p"/>
          </m:rPr>
          <w:rPr>
            <w:rFonts w:ascii="Cambria Math" w:hAnsi="Cambria Math"/>
          </w:rPr>
          <m:t>=</m:t>
        </m:r>
        <m:r>
          <w:rPr>
            <w:rFonts w:ascii="Cambria Math" w:hAnsi="Cambria Math"/>
          </w:rPr>
          <m:t>1.4</m:t>
        </m:r>
      </m:oMath>
      <w:r>
        <w:t xml:space="preserve"> with the cap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=min{</m:t>
        </m:r>
        <m:sSup>
          <m:sSupPr>
            <m:ctrlPr>
              <w:rPr>
                <w:rFonts w:ascii="Cambria Math" w:hAnsi="Cambria Math"/>
              </w:rPr>
            </m:ctrlPr>
          </m:sSupPr>
          <m:e>
            <m:r>
              <w:rPr>
                <w:rFonts w:ascii="Cambria Math" w:hAnsi="Cambria Math"/>
              </w:rPr>
              <m:t>η</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0.999</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oMath>
      <w:r>
        <w:t>. That is a valid capped Gaussian proposal where its variance is positive, but it is an extension of the standard schedule, and its response saturates when capped. No fixed-variance or stationary-sampling claim follows from the name DDPM noise level.</w:t>
      </w:r>
    </w:p>
    <w:p w14:paraId="7EE77703" w14:textId="77777777" w:rsidR="006D39C8" w:rsidRDefault="00000000">
      <w:pPr>
        <w:pStyle w:val="BodyText"/>
        <w:rPr>
          <w:rFonts w:hint="eastAsia"/>
        </w:rPr>
      </w:pPr>
      <w:r>
        <w:t xml:space="preserve">At </w:t>
      </w:r>
      <m:oMath>
        <m:r>
          <w:rPr>
            <w:rFonts w:ascii="Cambria Math" w:hAnsi="Cambria Math"/>
          </w:rPr>
          <m:t>η</m:t>
        </m:r>
        <m:r>
          <m:rPr>
            <m:sty m:val="p"/>
          </m:rPr>
          <w:rPr>
            <w:rFonts w:ascii="Cambria Math" w:hAnsi="Cambria Math"/>
          </w:rPr>
          <m:t>=</m:t>
        </m:r>
        <m:r>
          <w:rPr>
            <w:rFonts w:ascii="Cambria Math" w:hAnsi="Cambria Math"/>
          </w:rPr>
          <m:t>0</m:t>
        </m:r>
      </m:oMath>
      <w:r>
        <w:t xml:space="preserve">, a stage is deterministic given its inputs. Deterministic iteration need not collapse: even a fixed nonlinear map can have changing iterates. ADE also changes its start state, archive and possibly </w:t>
      </w:r>
      <m:oMath>
        <m:r>
          <w:rPr>
            <w:rFonts w:ascii="Cambria Math" w:hAnsi="Cambria Math"/>
          </w:rPr>
          <m:t>β</m:t>
        </m:r>
      </m:oMath>
      <w:r>
        <w:t xml:space="preserve"> over candidates. Collapse is consequently a benchmark observation, not an invariant of every zero-noise implementation. A deterministic stage, including </w:t>
      </w:r>
      <m:oMath>
        <m:r>
          <w:rPr>
            <w:rFonts w:ascii="Cambria Math" w:hAnsi="Cambria Math"/>
          </w:rPr>
          <m:t>b</m:t>
        </m:r>
        <m:r>
          <m:rPr>
            <m:sty m:val="p"/>
          </m:rPr>
          <w:rPr>
            <w:rFonts w:ascii="Cambria Math" w:hAnsi="Cambria Math"/>
          </w:rPr>
          <m:t>=</m:t>
        </m:r>
        <m:r>
          <w:rPr>
            <w:rFonts w:ascii="Cambria Math" w:hAnsi="Cambria Math"/>
          </w:rPr>
          <m:t>1</m:t>
        </m:r>
      </m:oMath>
      <w:r>
        <w:t xml:space="preserve"> where (4) gives </w:t>
      </w:r>
      <m:oMath>
        <m:r>
          <w:rPr>
            <w:rFonts w:ascii="Cambria Math" w:hAnsi="Cambria Math"/>
          </w:rPr>
          <m:t>σ</m:t>
        </m:r>
        <m:r>
          <m:rPr>
            <m:sty m:val="p"/>
          </m:rPr>
          <w:rPr>
            <w:rFonts w:ascii="Cambria Math" w:hAnsi="Cambria Math"/>
          </w:rPr>
          <m:t>=</m:t>
        </m:r>
        <m:r>
          <w:rPr>
            <w:rFonts w:ascii="Cambria Math" w:hAnsi="Cambria Math"/>
          </w:rPr>
          <m:t>0</m:t>
        </m:r>
      </m:oMath>
      <w:r>
        <w:t>, has no ordinary Gaussian density. Probability mode must use positive-variance eligible proposals or a separately specified measure for point masses.</w:t>
      </w:r>
    </w:p>
    <w:p w14:paraId="10CDB8B6" w14:textId="77777777" w:rsidR="006D39C8" w:rsidRDefault="00000000">
      <w:pPr>
        <w:pStyle w:val="Heading1"/>
        <w:rPr>
          <w:rFonts w:hint="eastAsia"/>
        </w:rPr>
      </w:pPr>
      <w:bookmarkStart w:id="6" w:name="exact-occupancy-caches"/>
      <w:bookmarkEnd w:id="3"/>
      <w:bookmarkEnd w:id="5"/>
      <w:r>
        <w:t>4 Exact occupancy caches</w:t>
      </w:r>
    </w:p>
    <w:p w14:paraId="3F33D318" w14:textId="77777777" w:rsidR="006D39C8" w:rsidRDefault="00000000">
      <w:pPr>
        <w:pStyle w:val="Heading2"/>
        <w:rPr>
          <w:rFonts w:hint="eastAsia"/>
        </w:rPr>
      </w:pPr>
      <w:bookmarkStart w:id="7" w:name="incremental-updates-at-fixed-queries"/>
      <w:r>
        <w:t>4.1 Incremental updates at fixed queries</w:t>
      </w:r>
    </w:p>
    <w:p w14:paraId="4236034E" w14:textId="77777777" w:rsidR="006D39C8" w:rsidRDefault="00000000">
      <w:pPr>
        <w:pStyle w:val="FirstParagraph"/>
        <w:rPr>
          <w:rFonts w:hint="eastAsia"/>
        </w:rPr>
      </w:pPr>
      <w:r>
        <w:t xml:space="preserve">For a fixed kernel and archive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define </w:t>
      </w:r>
      <m:oMath>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The first argument is always the query.</w:t>
      </w:r>
    </w:p>
    <w:p w14:paraId="2D299B08" w14:textId="77777777" w:rsidR="006D39C8" w:rsidRDefault="00000000">
      <w:pPr>
        <w:pStyle w:val="BodyText"/>
        <w:keepNext/>
        <w:keepLines/>
        <w:rPr>
          <w:rFonts w:hint="eastAsia"/>
        </w:rPr>
      </w:pPr>
      <w:r>
        <w:t xml:space="preserve">Theorem 1 — Exact append recurrence. After appending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oMath>
      <w:r>
        <w:t>, update</w:t>
      </w:r>
    </w:p>
    <w:p w14:paraId="302D57A0" w14:textId="77777777" w:rsidR="006D39C8"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nor/>
            </m: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n</m:t>
              </m:r>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H</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(7)</m:t>
          </m:r>
        </m:oMath>
      </m:oMathPara>
    </w:p>
    <w:p w14:paraId="5687672C" w14:textId="77777777" w:rsidR="006D39C8" w:rsidRDefault="00000000">
      <w:pPr>
        <w:pStyle w:val="FirstParagraph"/>
        <w:rPr>
          <w:rFonts w:hint="eastAsia"/>
        </w:rPr>
      </w:pPr>
      <w:r>
        <w:t>These values equal their batch definitions after any number of appends, whether or not the kernel is symmetric.</w:t>
      </w:r>
    </w:p>
    <w:p w14:paraId="238DD8DB" w14:textId="77777777" w:rsidR="006D39C8" w:rsidRDefault="00000000">
      <w:pPr>
        <w:pStyle w:val="BodyText"/>
        <w:rPr>
          <w:rFonts w:hint="eastAsia"/>
        </w:rPr>
      </w:pPr>
      <w:r>
        <w:t>Proof. Every old query acquires precisely its summand for the new key. The new query is computed against the entire new archive. Induction from the initialized batch sums proves the statement. ∎</w:t>
      </w:r>
    </w:p>
    <w:p w14:paraId="13C5032E" w14:textId="77777777" w:rsidR="006D39C8" w:rsidRDefault="00000000">
      <w:pPr>
        <w:pStyle w:val="BodyText"/>
        <w:rPr>
          <w:rFonts w:hint="eastAsia"/>
        </w:rPr>
      </w:pPr>
      <w:r>
        <w:t xml:space="preserve">The same recurrence holds for fixed positive key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after replacing the summands with their fixed weighted versions. It does not let one reuse old weighted sums unchanged after all weights are altered. In particular, changing </w:t>
      </w:r>
      <m:oMath>
        <m:r>
          <w:rPr>
            <w:rFonts w:ascii="Cambria Math" w:hAnsi="Cambria Math"/>
          </w:rPr>
          <m:t>β</m:t>
        </m:r>
      </m:oMath>
      <w:r>
        <w:t xml:space="preserve"> changes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sup>
        </m:sSup>
      </m:oMath>
      <w:r>
        <w:t>. One unweighted occupancy sum per point cannot reconstruct every retempered weighted retrieval denominator.</w:t>
      </w:r>
    </w:p>
    <w:p w14:paraId="0817C957" w14:textId="77777777" w:rsidR="006D39C8" w:rsidRDefault="00000000">
      <w:pPr>
        <w:pStyle w:val="BodyText"/>
        <w:rPr>
          <w:rFonts w:hint="eastAsia"/>
        </w:rPr>
      </w:pPr>
      <w:r>
        <w:t>The recurrence presumes fixed sampled coordinates, query coordinates, chart and kernel parameters. A changed bandwidth, signal level, representation or membership policy requires rebuilding or a separately proved transformation of the affected sums. A newly proposed query still needs its own kernel sum. Its distances are generally different from those used to retrieve before the proposal was drawn, so the novelty test is not automatically free.</w:t>
      </w:r>
    </w:p>
    <w:p w14:paraId="1393C8FA" w14:textId="77777777" w:rsidR="006D39C8" w:rsidRDefault="00000000">
      <w:pPr>
        <w:pStyle w:val="Heading2"/>
        <w:rPr>
          <w:rFonts w:hint="eastAsia"/>
        </w:rPr>
      </w:pPr>
      <w:bookmarkStart w:id="8" w:name="asymmetry-and-detailed-balance"/>
      <w:bookmarkEnd w:id="7"/>
      <w:r>
        <w:t>4.2 Asymmetry and detailed balance</w:t>
      </w:r>
    </w:p>
    <w:p w14:paraId="2791E568" w14:textId="77777777" w:rsidR="006D39C8" w:rsidRDefault="00000000">
      <w:pPr>
        <w:pStyle w:val="FirstParagraph"/>
        <w:rPr>
          <w:rFonts w:hint="eastAsia"/>
        </w:rPr>
      </w:pPr>
      <w:r>
        <w:t xml:space="preserve">The Gaussian observation kernel is generally asymmetric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Nevertheless, its asymmetry has a precise form.</w:t>
      </w:r>
    </w:p>
    <w:p w14:paraId="231A7E4E" w14:textId="77777777" w:rsidR="006D39C8" w:rsidRDefault="00000000">
      <w:pPr>
        <w:pStyle w:val="BodyText"/>
        <w:keepNext/>
        <w:keepLines/>
        <w:rPr>
          <w:rFonts w:hint="eastAsia"/>
        </w:rPr>
      </w:pPr>
      <w:r>
        <w:lastRenderedPageBreak/>
        <w:t xml:space="preserve">Proposition 2 — Reversibility of the Gaussian observation kernel. Let </w:t>
      </w:r>
      <m:oMath>
        <m:r>
          <w:rPr>
            <w:rFonts w:ascii="Cambria Math" w:hAnsi="Cambria Math"/>
          </w:rPr>
          <m:t>φ</m:t>
        </m:r>
      </m:oMath>
      <w:r>
        <w:t xml:space="preserve"> be the standard normal density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Then</w:t>
      </w:r>
    </w:p>
    <w:p w14:paraId="4A6C40AA" w14:textId="77777777" w:rsidR="006D39C8"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den>
          </m:f>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φ</m:t>
              </m:r>
              <m:d>
                <m:dPr>
                  <m:ctrlPr>
                    <w:rPr>
                      <w:rFonts w:ascii="Cambria Math" w:hAnsi="Cambria Math"/>
                    </w:rPr>
                  </m:ctrlPr>
                </m:dPr>
                <m:e>
                  <m:r>
                    <w:rPr>
                      <w:rFonts w:ascii="Cambria Math" w:hAnsi="Cambria Math"/>
                    </w:rPr>
                    <m:t>x</m:t>
                  </m:r>
                </m:e>
              </m:d>
            </m:num>
            <m:den>
              <m:r>
                <w:rPr>
                  <w:rFonts w:ascii="Cambria Math" w:hAnsi="Cambria Math"/>
                </w:rPr>
                <m:t>φ</m:t>
              </m:r>
              <m:d>
                <m:dPr>
                  <m:ctrlPr>
                    <w:rPr>
                      <w:rFonts w:ascii="Cambria Math" w:hAnsi="Cambria Math"/>
                    </w:rPr>
                  </m:ctrlPr>
                </m:dPr>
                <m:e>
                  <m:r>
                    <w:rPr>
                      <w:rFonts w:ascii="Cambria Math" w:hAnsi="Cambria Math"/>
                    </w:rPr>
                    <m:t>y</m:t>
                  </m:r>
                </m:e>
              </m:d>
            </m:den>
          </m:f>
          <m:r>
            <m:rPr>
              <m:sty m:val="p"/>
            </m:rPr>
            <w:rPr>
              <w:rFonts w:ascii="Cambria Math" w:hAnsi="Cambria Math"/>
            </w:rPr>
            <m:t>,</m:t>
          </m:r>
          <m:r>
            <m:rPr>
              <m:nor/>
            </m:rPr>
            <m:t>    </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m:rPr>
              <m:nor/>
            </m:rPr>
            <m:t>    (8)</m:t>
          </m:r>
        </m:oMath>
      </m:oMathPara>
    </w:p>
    <w:p w14:paraId="35F99ACA" w14:textId="77777777" w:rsidR="006D39C8" w:rsidRDefault="00000000">
      <w:pPr>
        <w:pStyle w:val="FirstParagraph"/>
        <w:rPr>
          <w:rFonts w:hint="eastAsia"/>
        </w:rPr>
      </w:pPr>
      <w:r>
        <w:t xml:space="preserve">Proof. The difference of the squared distances in the two kernel exponents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
          <m:dPr>
            <m:ctrlPr>
              <w:rPr>
                <w:rFonts w:ascii="Cambria Math" w:hAnsi="Cambria Math"/>
              </w:rPr>
            </m:ctrlPr>
          </m:dPr>
          <m:e>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Dividing by </w:t>
      </w:r>
      <m:oMath>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gives the ratio. Multiplication by the Gaussian densities yields the balance identity. ∎</w:t>
      </w:r>
    </w:p>
    <w:p w14:paraId="43B419D7" w14:textId="77777777" w:rsidR="006D39C8" w:rsidRDefault="00000000">
      <w:pPr>
        <w:pStyle w:val="BodyText"/>
        <w:rPr>
          <w:rFonts w:hint="eastAsia"/>
        </w:rPr>
      </w:pPr>
      <w:r>
        <w:t xml:space="preserve">Thus equal-norm points are an important symmetry exception. The statement that symmetry occurs only at </w:t>
      </w:r>
      <m:oMath>
        <m:r>
          <w:rPr>
            <w:rFonts w:ascii="Cambria Math" w:hAnsi="Cambria Math"/>
          </w:rPr>
          <m:t>a</m:t>
        </m:r>
        <m:r>
          <m:rPr>
            <m:sty m:val="p"/>
          </m:rPr>
          <w:rPr>
            <w:rFonts w:ascii="Cambria Math" w:hAnsi="Cambria Math"/>
          </w:rPr>
          <m:t>=</m:t>
        </m:r>
        <m:r>
          <w:rPr>
            <w:rFonts w:ascii="Cambria Math" w:hAnsi="Cambria Math"/>
          </w:rPr>
          <m:t>1</m:t>
        </m:r>
      </m:oMath>
      <w:r>
        <w:t xml:space="preserve"> would be incorrect: the density formula is singular there, while equal-norm pairs are symmetric throughout the valid range. On a finite archive, the matrix with entries </w:t>
      </w: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ad>
          <m:radPr>
            <m:degHide m:val="1"/>
            <m:ctrlPr>
              <w:rPr>
                <w:rFonts w:ascii="Cambria Math" w:hAnsi="Cambria Math"/>
              </w:rPr>
            </m:ctrlPr>
          </m:radPr>
          <m:deg/>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rad>
      </m:oMath>
      <w:r>
        <w:t xml:space="preserve"> is symmetric. This relation can reduce repeated geometric work, but direct ratio multiplication can be numerically unstable for distant points. It does not justify transposing arguments without compensation in (7).</w:t>
      </w:r>
    </w:p>
    <w:p w14:paraId="6F501A81" w14:textId="77777777" w:rsidR="006D39C8" w:rsidRDefault="00000000">
      <w:pPr>
        <w:pStyle w:val="BodyText"/>
        <w:keepNext/>
        <w:rPr>
          <w:rFonts w:hint="eastAsia"/>
        </w:rPr>
      </w:pPr>
      <w:r>
        <w:t>The diagonal is also not generally one:</w:t>
      </w:r>
    </w:p>
    <w:p w14:paraId="6F15B90D"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den>
          </m:f>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(9)</m:t>
          </m:r>
        </m:oMath>
      </m:oMathPara>
    </w:p>
    <w:p w14:paraId="2F692108" w14:textId="77777777" w:rsidR="006D39C8" w:rsidRDefault="00000000">
      <w:pPr>
        <w:pStyle w:val="FirstParagraph"/>
        <w:rPr>
          <w:rFonts w:hint="eastAsia"/>
        </w:rPr>
      </w:pPr>
      <w:r>
        <w:t>Include this self contribution when computing the new row. Excluding it instead defines a leave-one-out occupancy and requires a different initialization and recurrence.</w:t>
      </w:r>
    </w:p>
    <w:p w14:paraId="6F250CBD" w14:textId="77777777" w:rsidR="006D39C8" w:rsidRDefault="00000000">
      <w:pPr>
        <w:pStyle w:val="Heading2"/>
        <w:rPr>
          <w:rFonts w:hint="eastAsia"/>
        </w:rPr>
      </w:pPr>
      <w:bookmarkStart w:id="9" w:name="X529c5090c96e62af07b9572284c69972039caef"/>
      <w:bookmarkEnd w:id="8"/>
      <w:r>
        <w:t>4.3 Occupancy is not adaptive proposal density</w:t>
      </w:r>
    </w:p>
    <w:p w14:paraId="7B66B0E2" w14:textId="77777777" w:rsidR="006D39C8" w:rsidRDefault="00000000">
      <w:pPr>
        <w:pStyle w:val="FirstParagraph"/>
        <w:rPr>
          <w:rFonts w:hint="eastAsia"/>
        </w:rPr>
      </w:pPr>
      <w:r>
        <w:t xml:space="preserve">The normalized mixture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integrates to one as a function of </w:t>
      </w:r>
      <m:oMath>
        <m:r>
          <w:rPr>
            <w:rFonts w:ascii="Cambria Math" w:hAnsi="Cambria Math"/>
          </w:rPr>
          <m:t>x</m:t>
        </m:r>
      </m:oMath>
      <w:r>
        <w:t xml:space="preserve">. It is an archive-smoothed density, with no automatic claim to estimate a fixed underlying distribution from adaptively selected points. The unnormalized score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oMath>
      <w:r>
        <w:t xml:space="preserve"> omits the Gaussian prefactor and is useful for novelty thresholds only under a declared scale convention.</w:t>
      </w:r>
    </w:p>
    <w:p w14:paraId="2D9CC29E" w14:textId="77777777" w:rsidR="006D39C8" w:rsidRDefault="00000000">
      <w:pPr>
        <w:pStyle w:val="BodyText"/>
        <w:rPr>
          <w:rFonts w:hint="eastAsia"/>
        </w:rPr>
      </w:pPr>
      <w:r>
        <w:t xml:space="preserve">Neither quantity equals the historical conditional density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1</m:t>
                </m:r>
              </m:sub>
            </m:sSub>
          </m:e>
        </m:d>
      </m:oMath>
      <w:r>
        <w:t xml:space="preserve"> that generated record </w:t>
      </w:r>
      <m:oMath>
        <m:r>
          <w:rPr>
            <w:rFonts w:ascii="Cambria Math" w:hAnsi="Cambria Math"/>
          </w:rPr>
          <m:t>j</m:t>
        </m:r>
      </m:oMath>
      <w:r>
        <w:t xml:space="preserve">. The latter was fixed before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existed; occupancy computed later can include the point itself and future points. Replacing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by occupancy in an importance weight changes the estimator. An occupancy penalty in (3) is instead a legitimate diversity heuristic whose effects on optimization must be measured.</w:t>
      </w:r>
    </w:p>
    <w:p w14:paraId="71E2EC41" w14:textId="77777777" w:rsidR="006D39C8" w:rsidRDefault="00000000">
      <w:pPr>
        <w:pStyle w:val="Heading1"/>
        <w:rPr>
          <w:rFonts w:hint="eastAsia"/>
        </w:rPr>
      </w:pPr>
      <w:bookmarkStart w:id="10" w:name="reuse-and-compression-contracts"/>
      <w:bookmarkEnd w:id="6"/>
      <w:bookmarkEnd w:id="9"/>
      <w:r>
        <w:t>5 Reuse and compression contracts</w:t>
      </w:r>
    </w:p>
    <w:p w14:paraId="298E770C" w14:textId="77777777" w:rsidR="006D39C8" w:rsidRDefault="00000000">
      <w:pPr>
        <w:pStyle w:val="Heading2"/>
        <w:rPr>
          <w:rFonts w:hint="eastAsia"/>
        </w:rPr>
      </w:pPr>
      <w:bookmarkStart w:id="11" w:name="X3246ac1c8f5544525ca75052a0fe2bcbf56b5f2"/>
      <w:r>
        <w:t>5.1 Exact memoization and selective observation</w:t>
      </w:r>
    </w:p>
    <w:p w14:paraId="5979BD88" w14:textId="77777777" w:rsidR="006D39C8" w:rsidRDefault="00000000">
      <w:pPr>
        <w:pStyle w:val="FirstParagraph"/>
        <w:rPr>
          <w:rFonts w:hint="eastAsia"/>
        </w:rPr>
      </w:pPr>
      <w:r>
        <w:t>Exact memoization requires the same deterministic physical evaluation problem: decoded geometry, material data, load cases, solver and model versions, tolerances and response definition. Equality of a coarse retrieval key is insufficient. Different sampled coordinates can decode to the same physical design and share a solver response while retaining separate sampling records and proposal densities.</w:t>
      </w:r>
    </w:p>
    <w:p w14:paraId="2E68F0C2" w14:textId="77777777" w:rsidR="006D39C8" w:rsidRDefault="00000000">
      <w:pPr>
        <w:pStyle w:val="BodyText"/>
        <w:rPr>
          <w:rFonts w:hint="eastAsia"/>
        </w:rPr>
      </w:pPr>
      <w:r>
        <w:t xml:space="preserve">A repeated draw is a new attempt even when no solver is called. If its exact response is already available from a valid cache, the response-observation indicator is one and its availability probability is one. A decision to avoid a new call is therefore not the same event as failing to observe the target response. This distinction prevents assigning a zero inclusion probability to an exactly known value. </w:t>
      </w:r>
      <w:r>
        <w:lastRenderedPageBreak/>
        <w:t>For stochastic solvers or noisy observations, reusing one realization does not reproduce a new independent observation; the target and replication policy require a separate model.</w:t>
      </w:r>
    </w:p>
    <w:p w14:paraId="0AE920F7" w14:textId="77777777" w:rsidR="006D39C8" w:rsidRDefault="00000000">
      <w:pPr>
        <w:pStyle w:val="Heading2"/>
        <w:rPr>
          <w:rFonts w:hint="eastAsia"/>
        </w:rPr>
      </w:pPr>
      <w:bookmarkStart w:id="12" w:name="X58387ac1d27506235023e81a47d8f3088cd735c"/>
      <w:bookmarkEnd w:id="11"/>
      <w:r>
        <w:t>5.2 Interval screening and surrogate steering</w:t>
      </w:r>
    </w:p>
    <w:p w14:paraId="2CA25915" w14:textId="77777777" w:rsidR="006D39C8" w:rsidRDefault="00000000">
      <w:pPr>
        <w:pStyle w:val="FirstParagraph"/>
        <w:keepNext/>
        <w:keepLines/>
        <w:rPr>
          <w:rFonts w:hint="eastAsia"/>
        </w:rPr>
      </w:pPr>
      <w:r>
        <w:t xml:space="preserve">Proposition 3 — Certified local reuse. If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-Lipschitz on a declared region with metric </w:t>
      </w:r>
      <m:oMath>
        <m:r>
          <w:rPr>
            <w:rFonts w:ascii="Cambria Math" w:hAnsi="Cambria Math"/>
          </w:rPr>
          <m:t>d</m:t>
        </m:r>
      </m:oMath>
      <w:r>
        <w:t xml:space="preserve">, then a known exact </w:t>
      </w:r>
      <m:oMath>
        <m:r>
          <w:rPr>
            <w:rFonts w:ascii="Cambria Math" w:hAnsi="Cambria Math"/>
          </w:rPr>
          <m:t>J</m:t>
        </m:r>
        <m:d>
          <m:dPr>
            <m:ctrlPr>
              <w:rPr>
                <w:rFonts w:ascii="Cambria Math" w:hAnsi="Cambria Math"/>
              </w:rPr>
            </m:ctrlPr>
          </m:dPr>
          <m:e>
            <m:r>
              <w:rPr>
                <w:rFonts w:ascii="Cambria Math" w:hAnsi="Cambria Math"/>
              </w:rPr>
              <m:t>y</m:t>
            </m:r>
          </m:e>
        </m:d>
      </m:oMath>
      <w:r>
        <w:t xml:space="preserve"> gives</w:t>
      </w:r>
    </w:p>
    <w:p w14:paraId="6B403AB1" w14:textId="77777777" w:rsidR="006D39C8" w:rsidRDefault="00000000">
      <w:pPr>
        <w:pStyle w:val="BodyText"/>
        <w:keepLines/>
        <w:spacing w:before="6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    </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    (10)</m:t>
          </m:r>
        </m:oMath>
      </m:oMathPara>
    </w:p>
    <w:p w14:paraId="1A187DC2" w14:textId="77777777" w:rsidR="006D39C8" w:rsidRDefault="00000000">
      <w:pPr>
        <w:pStyle w:val="FirstParagraph"/>
        <w:rPr>
          <w:rFonts w:hint="eastAsia"/>
        </w:rPr>
      </w:pPr>
      <w:r>
        <w:t xml:space="preserve">If an admissibility margin is written </w:t>
      </w:r>
      <m:oMath>
        <m:r>
          <w:rPr>
            <w:rFonts w:ascii="Cambria Math" w:hAnsi="Cambria Math"/>
          </w:rPr>
          <m:t>g</m:t>
        </m:r>
        <m:r>
          <m:rPr>
            <m:sty m:val="p"/>
          </m:rPr>
          <w:rPr>
            <w:rFonts w:ascii="Cambria Math" w:hAnsi="Cambria Math"/>
          </w:rPr>
          <m:t>≥</m:t>
        </m:r>
        <m:r>
          <w:rPr>
            <w:rFonts w:ascii="Cambria Math" w:hAnsi="Cambria Math"/>
          </w:rPr>
          <m:t>0</m:t>
        </m:r>
      </m:oMath>
      <w:r>
        <w:t xml:space="preserve">,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0</m:t>
        </m:r>
      </m:oMath>
      <w:r>
        <w:t xml:space="preserve"> and </w:t>
      </w:r>
      <m:oMath>
        <m:r>
          <w:rPr>
            <w:rFonts w:ascii="Cambria Math" w:hAnsi="Cambria Math"/>
          </w:rPr>
          <m:t>g</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-Lipschitz with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then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whenever </w:t>
      </w: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oMath>
      <w:r>
        <w:t>. Both points and the displacement region must lie within the domain of the certified bound.</w:t>
      </w:r>
    </w:p>
    <w:p w14:paraId="389D2CDB" w14:textId="77777777" w:rsidR="006D39C8" w:rsidRDefault="00000000">
      <w:pPr>
        <w:pStyle w:val="BodyText"/>
        <w:rPr>
          <w:rFonts w:hint="eastAsia"/>
        </w:rPr>
      </w:pPr>
      <w:r>
        <w:t xml:space="preserve">Proof. Apply the Lipschitz inequality to </w:t>
      </w:r>
      <m:oMath>
        <m:r>
          <w:rPr>
            <w:rFonts w:ascii="Cambria Math" w:hAnsi="Cambria Math"/>
          </w:rPr>
          <m:t>J</m:t>
        </m:r>
      </m:oMath>
      <w:r>
        <w:t xml:space="preserve"> and to </w:t>
      </w:r>
      <m:oMath>
        <m:r>
          <w:rPr>
            <w:rFonts w:ascii="Cambria Math" w:hAnsi="Cambria Math"/>
          </w:rPr>
          <m:t>g</m:t>
        </m:r>
      </m:oMath>
      <w:r>
        <w:t xml:space="preserve">. For the margin,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&gt;</m:t>
        </m:r>
        <m:r>
          <w:rPr>
            <w:rFonts w:ascii="Cambria Math" w:hAnsi="Cambria Math"/>
          </w:rPr>
          <m:t>0</m:t>
        </m:r>
      </m:oMath>
      <w:r>
        <w:t>. ∎</w:t>
      </w:r>
    </w:p>
    <w:p w14:paraId="00CE9BF0" w14:textId="77777777" w:rsidR="006D39C8" w:rsidRDefault="00000000">
      <w:pPr>
        <w:pStyle w:val="BodyText"/>
        <w:rPr>
          <w:rFonts w:hint="eastAsia"/>
        </w:rPr>
      </w:pPr>
      <w:r>
        <w:t xml:space="preserve">An empirical maximum of observed slopes is not automatically a valid global Lipschitz constant. Discrete changes, buckling transitions or solver discontinuities may invalidate a proposed region. With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0</m:t>
        </m:r>
      </m:oMath>
      <w:r>
        <w:t xml:space="preserve"> and positive margin, the constraint is constant on the specified domain and no finite radius restriction is needed.</w:t>
      </w:r>
    </w:p>
    <w:p w14:paraId="1140F984" w14:textId="77777777" w:rsidR="006D39C8" w:rsidRDefault="00000000">
      <w:pPr>
        <w:pStyle w:val="BodyText"/>
        <w:rPr>
          <w:rFonts w:hint="eastAsia"/>
        </w:rPr>
      </w:pPr>
      <w:r>
        <w:t xml:space="preserve">An interval can support screening but is not an exact point response. If </w:t>
      </w:r>
      <m:oMath>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δ</m:t>
        </m:r>
      </m:oMath>
      <w:r>
        <w:t xml:space="preserve">, replacing a true exponential weight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x</m:t>
                </m:r>
              </m:e>
            </m:d>
          </m:sup>
        </m:sSup>
      </m:oMath>
      <w:r>
        <w:t xml:space="preserve"> changes it by a factor between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t xml:space="preserve"> and </w:t>
      </w:r>
      <m:oMath>
        <m:sSup>
          <m:sSupPr>
            <m:ctrlPr>
              <w:rPr>
                <w:rFonts w:ascii="Cambria Math" w:hAnsi="Cambria Math"/>
              </w:rPr>
            </m:ctrlPr>
          </m:sSupPr>
          <m:e>
            <m:r>
              <w:rPr>
                <w:rFonts w:ascii="Cambria Math" w:hAnsi="Cambria Math"/>
              </w:rPr>
              <m:t>e</m:t>
            </m:r>
          </m:e>
          <m:sup>
            <m:r>
              <w:rPr>
                <w:rFonts w:ascii="Cambria Math" w:hAnsi="Cambria Math"/>
              </w:rPr>
              <m:t>βδ</m:t>
            </m:r>
          </m:sup>
        </m:sSup>
      </m:oMath>
      <w:r>
        <w:t>. This quantifies why a small response error can matter at high inverse temperature. Certified feasibility of one margin also does not certify every other constraint.</w:t>
      </w:r>
    </w:p>
    <w:p w14:paraId="04B100B2" w14:textId="77777777" w:rsidR="006D39C8" w:rsidRDefault="00000000">
      <w:pPr>
        <w:pStyle w:val="BodyText"/>
        <w:rPr>
          <w:rFonts w:hint="eastAsia"/>
        </w:rPr>
      </w:pPr>
      <w:r>
        <w:t>A Nadaraya–Watson regression, Gaussian process or ensemble may steer the next proposal using past information [8,9]. The measured-only training set used in the source is a conservative baseline. Training on synthetic predictions is not itself a mathematical violation of the importance identity if it only changes a valid recorded proposal; it does introduce separate calibration and error-propagation questions. In all cases, a surrogate value must not silently replace the target response inside an exact estimator or artifact-verification gate.</w:t>
      </w:r>
    </w:p>
    <w:p w14:paraId="15744D13" w14:textId="77777777" w:rsidR="006D39C8" w:rsidRDefault="00000000">
      <w:pPr>
        <w:pStyle w:val="Heading2"/>
        <w:rPr>
          <w:rFonts w:hint="eastAsia"/>
        </w:rPr>
      </w:pPr>
      <w:bookmarkStart w:id="13" w:name="exact-grouped-retrieval"/>
      <w:bookmarkEnd w:id="12"/>
      <w:r>
        <w:t>5.3 Exact grouped retrieval</w:t>
      </w:r>
    </w:p>
    <w:p w14:paraId="29BD87AA" w14:textId="77777777" w:rsidR="006D39C8" w:rsidRDefault="00000000">
      <w:pPr>
        <w:pStyle w:val="FirstParagraph"/>
        <w:keepNext/>
        <w:keepLines/>
        <w:rPr>
          <w:rFonts w:hint="eastAsia"/>
        </w:rPr>
      </w:pPr>
      <w:r>
        <w:t xml:space="preserve">Theorem 2 — Grouped attention requires weight and value preservation. Suppose entries in group </w:t>
      </w:r>
      <m:oMath>
        <m:r>
          <w:rPr>
            <w:rFonts w:ascii="Cambria Math" w:hAnsi="Cambria Math"/>
          </w:rPr>
          <m:t>G</m:t>
        </m:r>
      </m:oMath>
      <w:r>
        <w:t xml:space="preserve"> have identical query-kernel functions,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oMath>
      <w:r>
        <w:t xml:space="preserve"> for every relevant query.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their fixed unnormalized weights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their values. Replacing the group by</w:t>
      </w:r>
    </w:p>
    <w:p w14:paraId="670A57F7"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G</m:t>
                  </m:r>
                </m:sub>
              </m:sSub>
            </m:den>
          </m:f>
          <m:r>
            <m:rPr>
              <m:nor/>
            </m:rPr>
            <m:t>    (11)</m:t>
          </m:r>
        </m:oMath>
      </m:oMathPara>
    </w:p>
    <w:p w14:paraId="12DD80B4" w14:textId="77777777" w:rsidR="006D39C8" w:rsidRDefault="00000000">
      <w:pPr>
        <w:pStyle w:val="FirstParagraph"/>
        <w:rPr>
          <w:rFonts w:hint="eastAsia"/>
        </w:rPr>
      </w:pPr>
      <w:r>
        <w:t>preserves both the retrieval numerator and denominator exactly.</w:t>
      </w:r>
    </w:p>
    <w:p w14:paraId="569F2CA4" w14:textId="77777777" w:rsidR="006D39C8" w:rsidRDefault="00000000">
      <w:pPr>
        <w:pStyle w:val="BodyText"/>
        <w:rPr>
          <w:rFonts w:hint="eastAsia"/>
        </w:rPr>
      </w:pPr>
      <w:r>
        <w:t xml:space="preserve">Proof. Factor the common kernel from the group’s contribution. Its denominator is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sSub>
          <m:sSubPr>
            <m:ctrlPr>
              <w:rPr>
                <w:rFonts w:ascii="Cambria Math" w:hAnsi="Cambria Math"/>
              </w:rPr>
            </m:ctrlPr>
          </m:sSubPr>
          <m:e>
            <m:r>
              <w:rPr>
                <w:rFonts w:ascii="Cambria Math" w:hAnsi="Cambria Math"/>
              </w:rPr>
              <m:t>w</m:t>
            </m:r>
          </m:e>
          <m:sub>
            <m:r>
              <w:rPr>
                <w:rFonts w:ascii="Cambria Math" w:hAnsi="Cambria Math"/>
              </w:rPr>
              <m:t>G</m:t>
            </m:r>
          </m:sub>
        </m:sSub>
      </m:oMath>
      <w:r>
        <w:t xml:space="preserve"> and its numerator is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sSub>
          <m:sSubPr>
            <m:ctrlPr>
              <w:rPr>
                <w:rFonts w:ascii="Cambria Math" w:hAnsi="Cambria Math"/>
              </w:rPr>
            </m:ctrlPr>
          </m:sSubPr>
          <m:e>
            <m:r>
              <w:rPr>
                <w:rFonts w:ascii="Cambria Math" w:hAnsi="Cambria Math"/>
              </w:rPr>
              <m:t>w</m:t>
            </m:r>
          </m:e>
          <m:sub>
            <m:r>
              <w:rPr>
                <w:rFonts w:ascii="Cambria Math" w:hAnsi="Cambria Math"/>
              </w:rPr>
              <m:t>G</m:t>
            </m:r>
          </m:sub>
        </m:sSub>
        <m:sSub>
          <m:sSubPr>
            <m:ctrlPr>
              <w:rPr>
                <w:rFonts w:ascii="Cambria Math" w:hAnsi="Cambria Math"/>
              </w:rPr>
            </m:ctrlPr>
          </m:sSubPr>
          <m:e>
            <m:r>
              <w:rPr>
                <w:rFonts w:ascii="Cambria Math" w:hAnsi="Cambria Math"/>
              </w:rPr>
              <m:t>v</m:t>
            </m:r>
          </m:e>
          <m:sub>
            <m:r>
              <w:rPr>
                <w:rFonts w:ascii="Cambria Math" w:hAnsi="Cambria Math"/>
              </w:rPr>
              <m:t>G</m:t>
            </m:r>
          </m:sub>
        </m:sSub>
      </m:oMath>
      <w:r>
        <w:t>. ∎</w:t>
      </w:r>
    </w:p>
    <w:p w14:paraId="338072B6" w14:textId="77777777" w:rsidR="006D39C8" w:rsidRDefault="00000000">
      <w:pPr>
        <w:pStyle w:val="BodyText"/>
        <w:rPr>
          <w:rFonts w:hint="eastAsia"/>
        </w:rPr>
      </w:pPr>
      <w:r>
        <w:t xml:space="preserve">Keeping one original value is valid when it equals </w:t>
      </w:r>
      <m:oMath>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identical values throughout the group are a sufficient condition. A latent key can represent different full designs, so identical keys alone do not justify retaining just one full design. If weights depend on </w:t>
      </w:r>
      <m:oMath>
        <m:r>
          <w:rPr>
            <w:rFonts w:ascii="Cambria Math" w:hAnsi="Cambria Math"/>
          </w:rPr>
          <m:t>β</m:t>
        </m:r>
      </m:oMath>
      <w:r>
        <w:t>, the group statistics must be recomputed or stored in a form supporting that dependence. Importance-estimator contributions also depend on each attempt’s proposal and observation probabilities; retrieval grouping must not destroy those audit records.</w:t>
      </w:r>
    </w:p>
    <w:p w14:paraId="61BD6F81" w14:textId="77777777" w:rsidR="006D39C8" w:rsidRDefault="00000000">
      <w:pPr>
        <w:pStyle w:val="BodyText"/>
        <w:keepNext/>
        <w:rPr>
          <w:rFonts w:hint="eastAsia"/>
        </w:rPr>
      </w:pPr>
      <w:r>
        <w:lastRenderedPageBreak/>
        <w:t xml:space="preserve">For approximate sums, let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and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If </w:t>
      </w:r>
      <m:oMath>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N</m:t>
            </m:r>
          </m:sub>
        </m:sSub>
      </m:oMath>
      <w:r>
        <w:t xml:space="preserve"> and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r</m:t>
            </m:r>
          </m:sub>
        </m:sSub>
      </m:oMath>
      <w:r>
        <w:t>, then</w:t>
      </w:r>
    </w:p>
    <w:p w14:paraId="3B6B9B54" w14:textId="77777777" w:rsidR="006D39C8"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num>
            <m:den>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den>
          </m:f>
          <m:r>
            <m:rPr>
              <m:sty m:val="p"/>
            </m:rPr>
            <w:rPr>
              <w:rFonts w:ascii="Cambria Math" w:hAnsi="Cambria Math"/>
            </w:rPr>
            <m:t>.</m:t>
          </m:r>
          <m:r>
            <m:rPr>
              <m:nor/>
            </m:rPr>
            <m:t>    (12)</m:t>
          </m:r>
        </m:oMath>
      </m:oMathPara>
    </w:p>
    <w:p w14:paraId="2A32BBD6" w14:textId="77777777" w:rsidR="006D39C8" w:rsidRDefault="00000000">
      <w:pPr>
        <w:pStyle w:val="FirstParagraph"/>
        <w:rPr>
          <w:rFonts w:hint="eastAsia"/>
        </w:rPr>
      </w:pPr>
      <w:r>
        <w:t xml:space="preserve">This follows by subtracting the ratios and lower-bounding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t>. Bounding only a kernel denominator, or only a compressed state dimension, does not establish retrieval accuracy or a byte saving for the complete evidence log.</w:t>
      </w:r>
    </w:p>
    <w:p w14:paraId="775CBDCE" w14:textId="77777777" w:rsidR="006D39C8" w:rsidRDefault="00000000">
      <w:pPr>
        <w:pStyle w:val="Heading1"/>
        <w:rPr>
          <w:rFonts w:hint="eastAsia"/>
        </w:rPr>
      </w:pPr>
      <w:bookmarkStart w:id="14" w:name="X44823617209afb5f1c2a172f10c0ee4a00d81d8"/>
      <w:bookmarkEnd w:id="10"/>
      <w:bookmarkEnd w:id="13"/>
      <w:r>
        <w:t>6 Selective evaluation and valid estimation</w:t>
      </w:r>
    </w:p>
    <w:p w14:paraId="3BEA8976" w14:textId="77777777" w:rsidR="006D39C8" w:rsidRDefault="00000000">
      <w:pPr>
        <w:pStyle w:val="Heading2"/>
        <w:rPr>
          <w:rFonts w:hint="eastAsia"/>
        </w:rPr>
      </w:pPr>
      <w:bookmarkStart w:id="15" w:name="the-observation-experiment"/>
      <w:r>
        <w:t>6.1 The observation experiment</w:t>
      </w:r>
    </w:p>
    <w:p w14:paraId="2FA85700" w14:textId="77777777" w:rsidR="006D39C8" w:rsidRDefault="00000000">
      <w:pPr>
        <w:pStyle w:val="FirstParagraph"/>
        <w:rPr>
          <w:rFonts w:hint="eastAsia"/>
        </w:rPr>
      </w:pPr>
      <w:r>
        <w:t xml:space="preserve">After drawing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use cheap available information to select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Before any new high-fidelity evaluation, draw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oMath>
      <w:r>
        <w:t xml:space="preserve"> using fresh randomness. Here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means the exact target response is available. A valid exact cache hit has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A deliberately unobserved proposal has no exact loss value in its record.</w:t>
      </w:r>
    </w:p>
    <w:p w14:paraId="681E5A63" w14:textId="77777777" w:rsidR="006D39C8" w:rsidRDefault="00000000">
      <w:pPr>
        <w:pStyle w:val="BodyText"/>
        <w:keepNext/>
        <w:rPr>
          <w:rFonts w:hint="eastAsia"/>
        </w:rPr>
      </w:pPr>
      <w:r>
        <w:t xml:space="preserve">For a fixed integrable function </w:t>
      </w:r>
      <m:oMath>
        <m:r>
          <w:rPr>
            <w:rFonts w:ascii="Cambria Math" w:hAnsi="Cambria Math"/>
          </w:rPr>
          <m:t>h</m:t>
        </m:r>
      </m:oMath>
      <w:r>
        <w:t xml:space="preserve"> and target (1), write</w:t>
      </w:r>
    </w:p>
    <w:p w14:paraId="6F7E7B6D"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den>
          </m:f>
          <m:r>
            <m:rPr>
              <m:sty m:val="p"/>
            </m:rPr>
            <w:rPr>
              <w:rFonts w:ascii="Cambria Math" w:hAnsi="Cambria Math"/>
            </w:rPr>
            <m:t>.</m:t>
          </m:r>
          <m:r>
            <m:rPr>
              <m:nor/>
            </m:rPr>
            <m:t>    (13)</m:t>
          </m:r>
        </m:oMath>
      </m:oMathPara>
    </w:p>
    <w:p w14:paraId="62520147" w14:textId="77777777" w:rsidR="006D39C8" w:rsidRDefault="00000000">
      <w:pPr>
        <w:pStyle w:val="FirstParagraph"/>
        <w:rPr>
          <w:rFonts w:hint="eastAsia"/>
        </w:rPr>
      </w:pPr>
      <w:r>
        <w:t>Only observed records are needed to calculate the nonzero terms. In implementation, sum over those records rather than multiplying missing values by zero. This avoids undefined operations on a surrogate or an absent measurement.</w:t>
      </w:r>
    </w:p>
    <w:p w14:paraId="7F07E438" w14:textId="77777777" w:rsidR="006D39C8" w:rsidRDefault="00000000">
      <w:pPr>
        <w:pStyle w:val="BodyText"/>
        <w:keepNext/>
        <w:keepLines/>
        <w:rPr>
          <w:rFonts w:hint="eastAsia"/>
        </w:rPr>
      </w:pPr>
      <w:r>
        <w:t xml:space="preserve">Proposition 4 — Conditional inclusion identity. If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on the relevant target support and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then</w:t>
      </w:r>
    </w:p>
    <w:p w14:paraId="6CCB39F8" w14:textId="77777777" w:rsidR="006D39C8"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
            <m:sSubPr>
              <m:ctrlPr>
                <w:rPr>
                  <w:rFonts w:ascii="Cambria Math" w:hAnsi="Cambria Math"/>
                </w:rPr>
              </m:ctrlPr>
            </m:sSubPr>
            <m:e>
              <m:r>
                <w:rPr>
                  <w:rFonts w:ascii="Cambria Math" w:hAnsi="Cambria Math"/>
                </w:rPr>
                <m:t>X</m:t>
              </m:r>
            </m:e>
            <m:sub>
              <m:r>
                <w:rPr>
                  <w:rFonts w:ascii="Cambria Math" w:hAnsi="Cambria Math"/>
                </w:rPr>
                <m:t>i</m:t>
              </m:r>
            </m:sub>
          </m:sSub>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nor/>
            </m:rPr>
            <m:t>    (14)</m:t>
          </m:r>
        </m:oMath>
      </m:oMathPara>
    </w:p>
    <w:p w14:paraId="4B7BC239" w14:textId="77777777" w:rsidR="006D39C8" w:rsidRDefault="00000000">
      <w:pPr>
        <w:pStyle w:val="FirstParagraph"/>
        <w:rPr>
          <w:rFonts w:hint="eastAsia"/>
        </w:rPr>
      </w:pPr>
      <w:r>
        <w:t xml:space="preserve">for any integrable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determined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past. Taking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assuming proposal support gives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r>
          <w:rPr>
            <w:rFonts w:ascii="Cambria Math" w:hAnsi="Cambria Math"/>
          </w:rPr>
          <m:t>h</m:t>
        </m:r>
      </m:oMath>
      <w:r>
        <w:t xml:space="preserve">. The same holds for the denominator with </w:t>
      </w:r>
      <m:oMath>
        <m:r>
          <w:rPr>
            <w:rFonts w:ascii="Cambria Math" w:hAnsi="Cambria Math"/>
          </w:rPr>
          <m:t>h</m:t>
        </m:r>
        <m:r>
          <m:rPr>
            <m:sty m:val="p"/>
          </m:rPr>
          <w:rPr>
            <w:rFonts w:ascii="Cambria Math" w:hAnsi="Cambria Math"/>
          </w:rPr>
          <m:t>=</m:t>
        </m:r>
        <m:r>
          <w:rPr>
            <w:rFonts w:ascii="Cambria Math" w:hAnsi="Cambria Math"/>
          </w:rPr>
          <m:t>1</m:t>
        </m:r>
      </m:oMath>
      <w:r>
        <w:t>.</w:t>
      </w:r>
    </w:p>
    <w:p w14:paraId="65D6EA88" w14:textId="77777777" w:rsidR="006D39C8" w:rsidRDefault="00000000">
      <w:pPr>
        <w:pStyle w:val="BodyText"/>
        <w:rPr>
          <w:rFonts w:hint="eastAsia"/>
        </w:rPr>
      </w:pPr>
      <w:r>
        <w:t xml:space="preserve">Proof. Conditional on the design and past,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are fixed and the indicator has mean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Integrate the resulting importance expression with respect to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w:t>
      </w:r>
    </w:p>
    <w:p w14:paraId="00F05DD8" w14:textId="77777777" w:rsidR="006D39C8" w:rsidRDefault="00000000">
      <w:pPr>
        <w:pStyle w:val="BodyText"/>
        <w:rPr>
          <w:rFonts w:hint="eastAsia"/>
        </w:rPr>
      </w:pPr>
      <w:r>
        <w:t>This is the inverse-probability principle associated with Horvitz–Thompson estimation [4]. The unnormalized sums have the stated expectation identities. The ratio in (13) is generally biased at finite sample size; taking the expectation of its numerator and denominator does not give its expectation. Adaptive inclusion also changes future archives and future proposals. The identity is sequential and conditional on the current past, not a claim that all inclusion indicators remain independent after conditioning on the entire realized future trajectory.</w:t>
      </w:r>
    </w:p>
    <w:p w14:paraId="204CD34E" w14:textId="77777777" w:rsidR="006D39C8" w:rsidRDefault="00000000">
      <w:pPr>
        <w:pStyle w:val="Heading2"/>
        <w:rPr>
          <w:rFonts w:hint="eastAsia"/>
        </w:rPr>
      </w:pPr>
      <w:bookmarkStart w:id="16" w:name="variance-cost-and-its-correct-bound"/>
      <w:bookmarkEnd w:id="15"/>
      <w:r>
        <w:t>6.2 Variance cost and its correct bound</w:t>
      </w:r>
    </w:p>
    <w:p w14:paraId="3E5314C7" w14:textId="77777777" w:rsidR="006D39C8" w:rsidRDefault="00000000">
      <w:pPr>
        <w:pStyle w:val="FirstParagraph"/>
        <w:keepNext/>
        <w:keepLines/>
        <w:rPr>
          <w:rFonts w:hint="eastAsia"/>
        </w:rPr>
      </w:pPr>
      <w:r>
        <w:t xml:space="preserve">Proposition 5 — Exact conditional variance decomposition. If second moments exist and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then</w:t>
      </w:r>
    </w:p>
    <w:p w14:paraId="1450F98A" w14:textId="77777777" w:rsidR="006D39C8"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nor/>
            </m:rPr>
            <m:t>    </m:t>
          </m:r>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    (15)</m:t>
          </m:r>
        </m:oMath>
      </m:oMathPara>
    </w:p>
    <w:p w14:paraId="0181D9D6" w14:textId="77777777" w:rsidR="006D39C8" w:rsidRDefault="00000000">
      <w:pPr>
        <w:pStyle w:val="FirstParagraph"/>
        <w:rPr>
          <w:rFonts w:hint="eastAsia"/>
        </w:rPr>
      </w:pPr>
      <w:r>
        <w:lastRenderedPageBreak/>
        <w:t xml:space="preserve">Proof. Given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past, the conditional variance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its mean is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Apply the law of total variance. ∎</w:t>
      </w:r>
    </w:p>
    <w:p w14:paraId="6D8E8AC8" w14:textId="77777777" w:rsidR="006D39C8" w:rsidRDefault="00000000">
      <w:pPr>
        <w:pStyle w:val="BodyText"/>
        <w:rPr>
          <w:rFonts w:hint="eastAsia"/>
        </w:rPr>
      </w:pPr>
      <w:r>
        <w:t xml:space="preserve">If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the second moment obeys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m:t>
            </m:r>
            <m:r>
              <w:rPr>
                <w:rFonts w:ascii="Cambria Math" w:hAnsi="Cambria Math"/>
              </w:rPr>
              <m:t>1</m:t>
            </m:r>
          </m:sup>
        </m:sSubSup>
        <m:r>
          <m:rPr>
            <m:scr m:val="double-struck"/>
            <m:sty m:val="p"/>
          </m:rP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There is no corresponding universal multiplicative bound on variance. For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the complete-data variance is zero while the inclusion-weighted variance is three. No finite multiplier of zero bounds three. Nor does (15) alone establish the variance of the self-normalized ratio or the error of a stopped adaptive run.</w:t>
      </w:r>
    </w:p>
    <w:p w14:paraId="106F02A9" w14:textId="77777777" w:rsidR="006D39C8" w:rsidRDefault="00000000">
      <w:pPr>
        <w:pStyle w:val="BodyText"/>
        <w:rPr>
          <w:rFonts w:hint="eastAsia"/>
        </w:rPr>
      </w:pPr>
      <w:r>
        <w:t xml:space="preserve">For a fixed proposal, an idealized evaluation-allocation calculation makes this tradeoff explicit. Set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y</m:t>
            </m:r>
          </m:e>
        </m:d>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e>
        </m:d>
      </m:oMath>
      <w:r>
        <w:t xml:space="preserve">, where </w:t>
      </w:r>
      <m:oMath>
        <m:r>
          <w:rPr>
            <w:rFonts w:ascii="Cambria Math" w:hAnsi="Cambria Math"/>
          </w:rPr>
          <m:t>μ</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Assume </w:t>
      </w:r>
      <m:oMath>
        <m:r>
          <m:rPr>
            <m:sty m:val="p"/>
          </m:rPr>
          <w:rPr>
            <w:rFonts w:ascii="Cambria Math" w:hAnsi="Cambria Math"/>
          </w:rPr>
          <m:t>|</m:t>
        </m:r>
        <m:r>
          <w:rPr>
            <w:rFonts w:ascii="Cambria Math" w:hAnsi="Cambria Math"/>
          </w:rPr>
          <m:t>G</m:t>
        </m:r>
        <m:r>
          <m:rPr>
            <m:sty m:val="p"/>
          </m:rPr>
          <w:rPr>
            <w:rFonts w:ascii="Cambria Math" w:hAnsi="Cambria Math"/>
          </w:rPr>
          <m:t>|&gt;</m:t>
        </m:r>
        <m:r>
          <w:rPr>
            <w:rFonts w:ascii="Cambria Math" w:hAnsi="Cambria Math"/>
          </w:rPr>
          <m:t>0</m:t>
        </m:r>
      </m:oMath>
      <w:r>
        <w:t xml:space="preserve"> almost everywhere under </w:t>
      </w:r>
      <m:oMath>
        <m:r>
          <w:rPr>
            <w:rFonts w:ascii="Cambria Math" w:hAnsi="Cambria Math"/>
          </w:rPr>
          <m:t>p</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&lt;</m:t>
        </m:r>
        <m:r>
          <w:rPr>
            <w:rFonts w:ascii="Cambria Math" w:hAnsi="Cambria Math"/>
          </w:rPr>
          <m:t>ρ</m:t>
        </m:r>
        <m:r>
          <m:rPr>
            <m:sty m:val="p"/>
          </m:rPr>
          <w:rPr>
            <w:rFonts w:ascii="Cambria Math" w:hAnsi="Cambria Math"/>
          </w:rPr>
          <m:t>&lt;</m:t>
        </m:r>
        <m:r>
          <w:rPr>
            <w:rFonts w:ascii="Cambria Math" w:hAnsi="Cambria Math"/>
          </w:rPr>
          <m:t>1</m:t>
        </m:r>
      </m:oMath>
      <w:r>
        <w:t xml:space="preserve">. Among inclusion rules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e</m:t>
        </m:r>
        <m:r>
          <m:rPr>
            <m:sty m:val="p"/>
          </m:rPr>
          <w:rPr>
            <w:rFonts w:ascii="Cambria Math" w:hAnsi="Cambria Math"/>
          </w:rPr>
          <m:t>=</m:t>
        </m:r>
        <m:r>
          <w:rPr>
            <w:rFonts w:ascii="Cambria Math" w:hAnsi="Cambria Math"/>
          </w:rPr>
          <m:t>ρ</m:t>
        </m:r>
      </m:oMath>
      <w:r>
        <w:t xml:space="preserve">, minimizing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oMath>
      <w:r>
        <w:t xml:space="preserve"> gives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rPr>
            </m:ctrlPr>
          </m:dPr>
          <m:e>
            <m:r>
              <w:rPr>
                <w:rFonts w:ascii="Cambria Math" w:hAnsi="Cambria Math"/>
              </w:rPr>
              <m:t>y</m:t>
            </m:r>
          </m:e>
        </m:d>
        <m:r>
          <m:rPr>
            <m:sty m:val="p"/>
          </m:rPr>
          <w:rPr>
            <w:rFonts w:ascii="Cambria Math" w:hAnsi="Cambria Math"/>
          </w:rPr>
          <m:t>=min{</m:t>
        </m:r>
        <m:r>
          <w:rPr>
            <w:rFonts w:ascii="Cambria Math" w:hAnsi="Cambria Math"/>
          </w:rPr>
          <m:t>1</m:t>
        </m:r>
        <m:r>
          <m:rPr>
            <m:sty m:val="p"/>
          </m:rPr>
          <w:rPr>
            <w:rFonts w:ascii="Cambria Math" w:hAnsi="Cambria Math"/>
          </w:rPr>
          <m:t>,max{</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oMath>
      <w:r>
        <w:t xml:space="preserve">, with </w:t>
      </w:r>
      <m:oMath>
        <m:r>
          <w:rPr>
            <w:rFonts w:ascii="Cambria Math" w:hAnsi="Cambria Math"/>
          </w:rPr>
          <m:t>γ</m:t>
        </m:r>
      </m:oMath>
      <w:r>
        <w:t xml:space="preserve"> chosen to meet the budget. The result follows by minimizing </w:t>
      </w:r>
      <m:oMath>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ζe</m:t>
        </m:r>
      </m:oMath>
      <w:r>
        <w:t xml:space="preserve"> pointwise and clipping to the allowed interval. At a boundary budget use the corresponding limiting rule. If </w:t>
      </w:r>
      <m:oMath>
        <m:r>
          <w:rPr>
            <w:rFonts w:ascii="Cambria Math" w:hAnsi="Cambria Math"/>
          </w:rPr>
          <m:t>G</m:t>
        </m:r>
      </m:oMath>
      <w:r>
        <w:t xml:space="preserve"> vanishes on a region, any remaining required budget can be allocated there after all nonzero contributions have inclusion probability one; this can make the optimum nonunique. This is an oracle design criterion, not a deployable rule when the expensive response and target mean are unknown. A surrogate proxy can approximate it while retaining a positive floor.</w:t>
      </w:r>
    </w:p>
    <w:p w14:paraId="0DC5D0E9" w14:textId="77777777" w:rsidR="006D39C8" w:rsidRDefault="00000000">
      <w:pPr>
        <w:pStyle w:val="Heading2"/>
        <w:rPr>
          <w:rFonts w:hint="eastAsia"/>
        </w:rPr>
      </w:pPr>
      <w:bookmarkStart w:id="17" w:name="X0d192dcd0b8ebad6b672f3010509540f2cb4156"/>
      <w:bookmarkEnd w:id="16"/>
      <w:r>
        <w:t>6.3 Sufficient conditions for adaptive consistency</w:t>
      </w:r>
    </w:p>
    <w:p w14:paraId="78EC2101" w14:textId="77777777" w:rsidR="006D39C8" w:rsidRDefault="00000000">
      <w:pPr>
        <w:pStyle w:val="FirstParagraph"/>
        <w:keepNext/>
        <w:keepLines/>
        <w:rPr>
          <w:rFonts w:hint="eastAsia"/>
        </w:rPr>
      </w:pPr>
      <w:r>
        <w:t xml:space="preserve">Theorem 3 — Consistency under two floors. Fix </w:t>
      </w:r>
      <m:oMath>
        <m:r>
          <w:rPr>
            <w:rFonts w:ascii="Cambria Math" w:hAnsi="Cambria Math"/>
          </w:rPr>
          <m:t>β</m:t>
        </m:r>
        <m:r>
          <m:rPr>
            <m:sty m:val="p"/>
          </m:rPr>
          <w:rPr>
            <w:rFonts w:ascii="Cambria Math" w:hAnsi="Cambria Math"/>
          </w:rPr>
          <m:t>&gt;</m:t>
        </m:r>
        <m:r>
          <w:rPr>
            <w:rFonts w:ascii="Cambria Math" w:hAnsi="Cambria Math"/>
          </w:rPr>
          <m:t>0</m:t>
        </m:r>
      </m:oMath>
      <w:r>
        <w:t>. Assume a known reference density, finite nonnegative target loss and predictable proposal laws</w:t>
      </w:r>
    </w:p>
    <w:p w14:paraId="15BB2392"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ν</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(16)</m:t>
          </m:r>
        </m:oMath>
      </m:oMathPara>
    </w:p>
    <w:p w14:paraId="4750436C" w14:textId="77777777" w:rsidR="006D39C8" w:rsidRDefault="00000000">
      <w:pPr>
        <w:pStyle w:val="FirstParagraph"/>
        <w:rPr>
          <w:rFonts w:hint="eastAsia"/>
        </w:rPr>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valid density, its parameters are fixed before the draw, and the complete mixture density is recorded. Under the observation experiment above, (13) converges almost surely to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for bounded measurable </w:t>
      </w:r>
      <m:oMath>
        <m:r>
          <w:rPr>
            <w:rFonts w:ascii="Cambria Math" w:hAnsi="Cambria Math"/>
          </w:rPr>
          <m:t>h</m:t>
        </m:r>
      </m:oMath>
      <w: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t>.</w:t>
      </w:r>
    </w:p>
    <w:p w14:paraId="6D376697" w14:textId="77777777" w:rsidR="006D39C8" w:rsidRDefault="00000000">
      <w:pPr>
        <w:pStyle w:val="BodyText"/>
        <w:keepNext/>
        <w:rPr>
          <w:rFonts w:hint="eastAsia"/>
        </w:rPr>
      </w:pPr>
      <w:r>
        <w:t xml:space="preserve">Proof. Since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ν</m:t>
        </m:r>
      </m:oMath>
      <w:r>
        <w:t>, the observed contributions satisfy</w:t>
      </w:r>
    </w:p>
    <w:p w14:paraId="01679F54" w14:textId="77777777" w:rsidR="006D39C8" w:rsidRDefault="00000000">
      <w:pPr>
        <w:pStyle w:val="BodyText"/>
        <w:keepLines/>
        <w:spacing w:before="60" w:after="120"/>
        <w:jc w:val="center"/>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r>
                <m:rPr>
                  <m:nor/>
                </m:rPr>
                <m:t>    </m:t>
              </m:r>
              <m:r>
                <m:rPr>
                  <m:sty m:val="p"/>
                </m:rPr>
                <w:rPr>
                  <w:rFonts w:ascii="Cambria Math" w:hAnsi="Cambria Math"/>
                </w:rPr>
                <m:t>e</m:t>
              </m:r>
              <m:r>
                <m:rPr>
                  <m:nor/>
                </m:rPr>
                <m:t>    </m:t>
              </m:r>
              <m:r>
                <w:rPr>
                  <w:rFonts w:ascii="Cambria Math" w:hAnsi="Cambria Math"/>
                </w:rPr>
                <m:t>β</m:t>
              </m:r>
            </m:den>
          </m:f>
          <m:r>
            <m:rPr>
              <m:sty m:val="p"/>
            </m:rPr>
            <w:rPr>
              <w:rFonts w:ascii="Cambria Math" w:hAnsi="Cambria Math"/>
            </w:rPr>
            <m:t>.</m:t>
          </m:r>
          <m:r>
            <m:rPr>
              <m:nor/>
            </m:rPr>
            <m:t>    (17)</m:t>
          </m:r>
        </m:oMath>
      </m:oMathPara>
    </w:p>
    <w:p w14:paraId="7F57FF5A" w14:textId="77777777" w:rsidR="006D39C8" w:rsidRDefault="00000000">
      <w:pPr>
        <w:pStyle w:val="FirstParagraph"/>
        <w:rPr>
          <w:rFonts w:hint="eastAsia"/>
        </w:rPr>
      </w:pPr>
      <w:r>
        <w:t xml:space="preserve">The second inequality uses </w:t>
      </w:r>
      <m:oMath>
        <m:r>
          <w:rPr>
            <w:rFonts w:ascii="Cambria Math" w:hAnsi="Cambria Math"/>
          </w:rPr>
          <m:t>u</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e</m:t>
            </m:r>
            <m:r>
              <w:rPr>
                <w:rFonts w:ascii="Cambria Math" w:hAnsi="Cambria Math"/>
              </w:rPr>
              <m:t>β</m:t>
            </m:r>
          </m:e>
        </m:d>
      </m:oMath>
      <w:r>
        <w:t xml:space="preserve"> for </w:t>
      </w:r>
      <m:oMath>
        <m:r>
          <w:rPr>
            <w:rFonts w:ascii="Cambria Math" w:hAnsi="Cambria Math"/>
          </w:rPr>
          <m:t>u</m:t>
        </m:r>
        <m:r>
          <m:rPr>
            <m:sty m:val="p"/>
          </m:rPr>
          <w:rPr>
            <w:rFonts w:ascii="Cambria Math" w:hAnsi="Cambria Math"/>
          </w:rPr>
          <m:t>≥</m:t>
        </m:r>
        <m:r>
          <w:rPr>
            <w:rFonts w:ascii="Cambria Math" w:hAnsi="Cambria Math"/>
          </w:rPr>
          <m:t>0</m:t>
        </m:r>
      </m:oMath>
      <w:r>
        <w:t xml:space="preserve">, where </w:t>
      </w:r>
      <m:oMath>
        <m:r>
          <m:rPr>
            <m:sty m:val="p"/>
          </m:rPr>
          <w:rPr>
            <w:rFonts w:ascii="Cambria Math" w:hAnsi="Cambria Math"/>
          </w:rPr>
          <m:t>e</m:t>
        </m:r>
      </m:oMath>
      <w:r>
        <w:t xml:space="preserve"> is Euler’s number. By Proposition 4, subtracting the fixed target integrals gives bounded martingale differences. A conditional bounded-difference exponential bound makes each fixed positive sample-average error probability summable over </w:t>
      </w:r>
      <m:oMath>
        <m:r>
          <w:rPr>
            <w:rFonts w:ascii="Cambria Math" w:hAnsi="Cambria Math"/>
          </w:rPr>
          <m:t>n</m:t>
        </m:r>
      </m:oMath>
      <w:r>
        <w:t xml:space="preserve">. The Borel–Cantelli argument therefore gives almost-sure convergence of numerator and denominator averages to their target integrals. Bounded </w:t>
      </w:r>
      <m:oMath>
        <m:r>
          <w:rPr>
            <w:rFonts w:ascii="Cambria Math" w:hAnsi="Cambria Math"/>
          </w:rPr>
          <m:t>h</m:t>
        </m:r>
      </m:oMath>
      <w:r>
        <w:t xml:space="preserve"> gives the same argument, and the denominator limit is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Dividing proves the result. ∎</w:t>
      </w:r>
    </w:p>
    <w:p w14:paraId="6DEC157B" w14:textId="77777777" w:rsidR="006D39C8" w:rsidRDefault="00000000">
      <w:pPr>
        <w:pStyle w:val="BodyText"/>
        <w:rPr>
          <w:rFonts w:hint="eastAsia"/>
        </w:rPr>
      </w:pPr>
      <w:r>
        <w:t xml:space="preserve">The defensive proposal idea has established importance-sampling antecedents [5,6]. Here the proposal floor protects support and weights; the observation floor protects access to true responses. Neither ensures a specified finite-run ESS, and neither makes a poorly calibrated surrogate a good optimizer. A changing or data-selected </w:t>
      </w:r>
      <m:oMath>
        <m:r>
          <w:rPr>
            <w:rFonts w:ascii="Cambria Math" w:hAnsi="Cambria Math"/>
          </w:rPr>
          <m:t>β</m:t>
        </m:r>
      </m:oMath>
      <w:r>
        <w:t xml:space="preserve"> needs another argument. Deterministic transitions cannot be assigned the continuous density in (16) unless the eligible estimation stream is separately defined.</w:t>
      </w:r>
    </w:p>
    <w:p w14:paraId="150109BF" w14:textId="77777777" w:rsidR="006D39C8" w:rsidRDefault="00000000">
      <w:pPr>
        <w:pStyle w:val="BodyText"/>
        <w:rPr>
          <w:rFonts w:hint="eastAsia"/>
        </w:rPr>
      </w:pPr>
      <w:r>
        <w:t xml:space="preserve">If a deterministic novelty gate has </w:t>
      </w:r>
      <m:oMath>
        <m:r>
          <w:rPr>
            <w:rFonts w:ascii="Cambria Math" w:hAnsi="Cambria Math"/>
          </w:rPr>
          <m:t>e</m:t>
        </m:r>
        <m:r>
          <m:rPr>
            <m:sty m:val="p"/>
          </m:rPr>
          <w:rPr>
            <w:rFonts w:ascii="Cambria Math" w:hAnsi="Cambria Math"/>
          </w:rPr>
          <m:t>=</m:t>
        </m:r>
        <m:r>
          <w:rPr>
            <w:rFonts w:ascii="Cambria Math" w:hAnsi="Cambria Math"/>
          </w:rPr>
          <m:t>0</m:t>
        </m:r>
      </m:oMath>
      <w:r>
        <w:t xml:space="preserve"> in a region of positive target mass, no all-attempt estimator based only on its observed records can recover arbitrary unknown responses in that region. This is a failure of that observation design, not a ban on every estimator from the run. For example, an output-only stream with guaranteed observations and valid full-support output proposal densities can </w:t>
      </w:r>
      <w:r>
        <w:lastRenderedPageBreak/>
        <w:t>estimate the same target when the consistency assumptions hold on that eligible subsequence. Its sample size is the number of eligible outputs, and its law must be recorded accordingly.</w:t>
      </w:r>
    </w:p>
    <w:p w14:paraId="63DF93D1" w14:textId="77777777" w:rsidR="006D39C8" w:rsidRDefault="00000000">
      <w:pPr>
        <w:pStyle w:val="Heading2"/>
        <w:rPr>
          <w:rFonts w:hint="eastAsia"/>
        </w:rPr>
      </w:pPr>
      <w:bookmarkStart w:id="18" w:name="fidelity-and-stopping"/>
      <w:bookmarkEnd w:id="17"/>
      <w:r>
        <w:t>6.4 Fidelity and stopping</w:t>
      </w:r>
    </w:p>
    <w:p w14:paraId="133691F2" w14:textId="77777777" w:rsidR="006D39C8" w:rsidRDefault="00000000">
      <w:pPr>
        <w:pStyle w:val="FirstParagraph"/>
        <w:rPr>
          <w:rFonts w:hint="eastAsia"/>
        </w:rPr>
      </w:pPr>
      <w:r>
        <w:t xml:space="preserve">Low-fidelity responses are different quantities from </w:t>
      </w:r>
      <m:oMath>
        <m:r>
          <w:rPr>
            <w:rFonts w:ascii="Cambria Math" w:hAnsi="Cambria Math"/>
          </w:rPr>
          <m:t>J</m:t>
        </m:r>
      </m:oMath>
      <w:r>
        <w:t xml:space="preserve">. They can choose where to evaluate the high-fidelity solver, or enter a separately specified estimator with an appropriate discrepancy correction [10,11]. Inserting a coarse response directly into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does not produce an exact high-fidelity estimator. Retain fidelity, mesh, tolerances and calibration provenance.</w:t>
      </w:r>
    </w:p>
    <w:p w14:paraId="2F899C4D" w14:textId="77777777" w:rsidR="006D39C8" w:rsidRDefault="00000000">
      <w:pPr>
        <w:pStyle w:val="BodyText"/>
        <w:rPr>
          <w:rFonts w:hint="eastAsia"/>
        </w:rPr>
      </w:pPr>
      <w:r>
        <w:t>Consistency is indexed by attempted eligible draws, not by the smaller random count of observed responses. Almost-sure convergence also holds along random indices tending to infinity, but finite-budget unbiasedness or confidence claims do not follow merely by replacing the attempt count with the call budget. Optional stopping and repeated validation require their own uncertainty analysis. A deployment should also cap attempts or elapsed time when cache hits or cheap unobserved states can prolong a run.</w:t>
      </w:r>
    </w:p>
    <w:p w14:paraId="4D3DEFF7" w14:textId="77777777" w:rsidR="006D39C8" w:rsidRDefault="00000000">
      <w:pPr>
        <w:pStyle w:val="Heading1"/>
        <w:rPr>
          <w:rFonts w:hint="eastAsia"/>
        </w:rPr>
      </w:pPr>
      <w:bookmarkStart w:id="19" w:name="X1f38c8dadfda9d6b4ae36c53580c4b77743d4b0"/>
      <w:bookmarkEnd w:id="14"/>
      <w:bookmarkEnd w:id="18"/>
      <w:r>
        <w:t>7 Runtime algorithm and resource accounting</w:t>
      </w:r>
    </w:p>
    <w:p w14:paraId="5C2BC732" w14:textId="77777777" w:rsidR="006D39C8" w:rsidRDefault="00000000">
      <w:pPr>
        <w:pStyle w:val="FirstParagraph"/>
        <w:rPr>
          <w:rFonts w:hint="eastAsia"/>
        </w:rPr>
      </w:pPr>
      <w:r>
        <w:t>Algorithm 1. ADE with versioned caches and selective evaluation.</w:t>
      </w:r>
    </w:p>
    <w:p w14:paraId="1685BBA8" w14:textId="77777777" w:rsidR="006D39C8" w:rsidRDefault="00000000">
      <w:pPr>
        <w:ind w:left="230" w:hanging="230"/>
        <w:rPr>
          <w:rFonts w:hint="eastAsia"/>
        </w:rPr>
      </w:pPr>
      <w:r>
        <w:t>1. Initialize exact prompt responses, their proposal laws and compatible geometric caches. Keep raw observations separate from predictions.</w:t>
      </w:r>
    </w:p>
    <w:p w14:paraId="237CE47D" w14:textId="77777777" w:rsidR="006D39C8" w:rsidRDefault="00000000">
      <w:pPr>
        <w:ind w:left="230" w:hanging="230"/>
        <w:rPr>
          <w:rFonts w:hint="eastAsia"/>
        </w:rPr>
      </w:pPr>
      <w:r>
        <w:t>2. Before each attempted inner stage, check remaining resources. Freeze the current compatible archive, choose the score and noise policy, and fix a valid proposal law.</w:t>
      </w:r>
    </w:p>
    <w:p w14:paraId="09565BB1" w14:textId="77777777" w:rsidR="006D39C8" w:rsidRDefault="00000000">
      <w:pPr>
        <w:ind w:left="230" w:hanging="230"/>
        <w:rPr>
          <w:rFonts w:hint="eastAsia"/>
        </w:rPr>
      </w:pPr>
      <w:r>
        <w:t>3. Draw a state and record its conditional law. Compute any new-query novelty or surrogate information needed by the observation policy.</w:t>
      </w:r>
    </w:p>
    <w:p w14:paraId="51084554" w14:textId="77777777" w:rsidR="006D39C8" w:rsidRDefault="00000000">
      <w:pPr>
        <w:ind w:left="230" w:hanging="230"/>
        <w:rPr>
          <w:rFonts w:hint="eastAsia"/>
        </w:rPr>
      </w:pPr>
      <w:r>
        <w:t xml:space="preserve">4. On a valid exact cache hit, mark the target response available with probability one. Otherwise choose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before a new high-fidelity call, draw the inclusion indicator, and evaluate only if included.</w:t>
      </w:r>
    </w:p>
    <w:p w14:paraId="455891EA" w14:textId="77777777" w:rsidR="006D39C8" w:rsidRDefault="00000000">
      <w:pPr>
        <w:ind w:left="230" w:hanging="230"/>
        <w:rPr>
          <w:rFonts w:hint="eastAsia"/>
        </w:rPr>
      </w:pPr>
      <w:r>
        <w:t>5. Commit the attempted state, availability status, probability, observed response if present, prediction if used, versions and counters. Update fixed-kernel occupancy using (7).</w:t>
      </w:r>
    </w:p>
    <w:p w14:paraId="71E29526" w14:textId="77777777" w:rsidR="006D39C8" w:rsidRDefault="00000000">
      <w:pPr>
        <w:ind w:left="230" w:hanging="230"/>
        <w:rPr>
          <w:rFonts w:hint="eastAsia"/>
        </w:rPr>
      </w:pPr>
      <w:r>
        <w:t>6. Emit only completed candidates. An artifact becomes verified only after its declared checks are satisfied. Statistical estimates use only eligible exact observations with (13).</w:t>
      </w:r>
    </w:p>
    <w:p w14:paraId="1C80B629" w14:textId="77777777" w:rsidR="006D39C8" w:rsidRDefault="00000000">
      <w:pPr>
        <w:pStyle w:val="FirstParagraph"/>
        <w:rPr>
          <w:rFonts w:hint="eastAsia"/>
        </w:rPr>
      </w:pPr>
      <w:r>
        <w:t xml:space="preserve">If all </w:t>
      </w:r>
      <m:oMath>
        <m:r>
          <w:rPr>
            <w:rFonts w:ascii="Cambria Math" w:hAnsi="Cambria Math"/>
          </w:rPr>
          <m:t>K</m:t>
        </m:r>
      </m:oMath>
      <w:r>
        <w:t xml:space="preserve"> candidates complete and each has </w:t>
      </w:r>
      <m:oMath>
        <m:r>
          <w:rPr>
            <w:rFonts w:ascii="Cambria Math" w:hAnsi="Cambria Math"/>
          </w:rPr>
          <m:t>T</m:t>
        </m:r>
      </m:oMath>
      <w:r>
        <w:t xml:space="preserve"> new states, attempts total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t xml:space="preserve">. With a terminal partial candidate of </w:t>
      </w:r>
      <m:oMath>
        <m:r>
          <w:rPr>
            <w:rFonts w:ascii="Cambria Math" w:hAnsi="Cambria Math"/>
          </w:rPr>
          <m:t>s</m:t>
        </m:r>
        <m:r>
          <m:rPr>
            <m:sty m:val="p"/>
          </m:rPr>
          <w:rPr>
            <w:rFonts w:ascii="Cambria Math" w:hAnsi="Cambria Math"/>
          </w:rPr>
          <m:t>&lt;</m:t>
        </m:r>
        <m:r>
          <w:rPr>
            <w:rFonts w:ascii="Cambria Math" w:hAnsi="Cambria Math"/>
          </w:rPr>
          <m:t>T</m:t>
        </m:r>
      </m:oMath>
      <w:r>
        <w:t xml:space="preserve"> completed stages, the count is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s</m:t>
        </m:r>
      </m:oMath>
      <w:r>
        <w:t>. Exact-response availability, fresh solver calls and memoized responses have separate totals. Output observation can be mandatory without requiring intermediate responses on every attempt.</w:t>
      </w:r>
    </w:p>
    <w:p w14:paraId="10D91758" w14:textId="77777777" w:rsidR="006D39C8" w:rsidRDefault="00000000">
      <w:pPr>
        <w:pStyle w:val="BodyText"/>
        <w:rPr>
          <w:rFonts w:hint="eastAsia"/>
        </w:rPr>
      </w:pPr>
      <w:r>
        <w:t xml:space="preserve">A strict call budget must be checked before calls. The supplied Python excerpt used a no-op statement after detecting an exhausted budget inside a candidate, then continued the remaining stages. That does not enforce a strict budget and can overshoot by as many as </w:t>
      </w:r>
      <m:oMath>
        <m:r>
          <w:rPr>
            <w:rFonts w:ascii="Cambria Math" w:hAnsi="Cambria Math"/>
          </w:rPr>
          <m:t>T</m:t>
        </m:r>
        <m:r>
          <m:rPr>
            <m:sty m:val="p"/>
          </m:rPr>
          <w:rPr>
            <w:rFonts w:ascii="Cambria Math" w:hAnsi="Cambria Math"/>
          </w:rPr>
          <m:t>-</m:t>
        </m:r>
        <m:r>
          <w:rPr>
            <w:rFonts w:ascii="Cambria Math" w:hAnsi="Cambria Math"/>
          </w:rPr>
          <m:t>1</m:t>
        </m:r>
      </m:oMath>
      <w:r>
        <w:t xml:space="preserve"> further calls. Stop before the next attempt or reserve resources under a declared complete-candidate policy; record a partial candidate rather than retrospectively changing a promised inclusion event.</w:t>
      </w:r>
    </w:p>
    <w:p w14:paraId="73613347" w14:textId="77777777" w:rsidR="006D39C8" w:rsidRDefault="00000000">
      <w:pPr>
        <w:pStyle w:val="BodyText"/>
        <w:rPr>
          <w:rFonts w:hint="eastAsia"/>
        </w:rPr>
      </w:pPr>
      <w:r>
        <w:t xml:space="preserve">For </w:t>
      </w:r>
      <m:oMath>
        <m:r>
          <w:rPr>
            <w:rFonts w:ascii="Cambria Math" w:hAnsi="Cambria Math"/>
          </w:rPr>
          <m:t>R</m:t>
        </m:r>
      </m:oMath>
      <w:r>
        <w:t xml:space="preserve"> new attempts after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points, shared retrieval makes </w:t>
      </w:r>
      <m:oMath>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key visits. A direct implementation of an occupancy cache at each of </w:t>
      </w:r>
      <m:oMath>
        <m:r>
          <w:rPr>
            <w:rFonts w:ascii="Cambria Math" w:hAnsi="Cambria Math"/>
          </w:rPr>
          <m:t>T</m:t>
        </m:r>
      </m:oMath>
      <w:r>
        <w:t xml:space="preserve"> fixed levels makes </w:t>
      </w:r>
      <m:oMath>
        <m:r>
          <w:rPr>
            <w:rFonts w:ascii="Cambria Math" w:hAnsi="Cambria Math"/>
          </w:rPr>
          <m:t>2n</m:t>
        </m:r>
        <m:r>
          <m:rPr>
            <m:sty m:val="p"/>
          </m:rPr>
          <w:rPr>
            <w:rFonts w:ascii="Cambria Math" w:hAnsi="Cambria Math"/>
          </w:rPr>
          <m:t>+</m:t>
        </m:r>
        <m:r>
          <w:rPr>
            <w:rFonts w:ascii="Cambria Math" w:hAnsi="Cambria Math"/>
          </w:rPr>
          <m:t>1</m:t>
        </m:r>
      </m:oMath>
      <w:r>
        <w:t xml:space="preserve"> kernel evaluations on an append to </w:t>
      </w:r>
      <m:oMath>
        <m:r>
          <w:rPr>
            <w:rFonts w:ascii="Cambria Math" w:hAnsi="Cambria Math"/>
          </w:rPr>
          <m:t>n</m:t>
        </m:r>
      </m:oMath>
      <w:r>
        <w:t xml:space="preserve"> old points. Including batch initialization, the total is </w:t>
      </w:r>
      <m:oMath>
        <m:r>
          <w:rPr>
            <w:rFonts w:ascii="Cambria Math" w:hAnsi="Cambria Math"/>
          </w:rPr>
          <m:t>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e>
            </m:d>
          </m:e>
          <m:sup>
            <m:r>
              <w:rPr>
                <w:rFonts w:ascii="Cambria Math" w:hAnsi="Cambria Math"/>
              </w:rPr>
              <m:t>2</m:t>
            </m:r>
          </m:sup>
        </m:sSup>
      </m:oMath>
      <w:r>
        <w:t xml:space="preserve"> kernel evaluations. This is approximately twice </w:t>
      </w:r>
      <m:oMath>
        <m:r>
          <w:rPr>
            <w:rFonts w:ascii="Cambria Math" w:hAnsi="Cambria Math"/>
          </w:rPr>
          <m:t>T</m:t>
        </m:r>
      </m:oMath>
      <w:r>
        <w:t xml:space="preserve"> times the retrieval work in long runs, rather than a </w:t>
      </w:r>
      <w:r>
        <w:lastRenderedPageBreak/>
        <w:t xml:space="preserve">universal factor of </w:t>
      </w:r>
      <m:oMath>
        <m:r>
          <w:rPr>
            <w:rFonts w:ascii="Cambria Math" w:hAnsi="Cambria Math"/>
          </w:rPr>
          <m:t>T</m:t>
        </m:r>
      </m:oMath>
      <w:r>
        <w:t>. Symmetry compensation, feature approximations or block methods may alter the constants and require separate accuracy analysis.</w:t>
      </w:r>
    </w:p>
    <w:p w14:paraId="72F9205A" w14:textId="77777777" w:rsidR="006D39C8" w:rsidRDefault="00000000">
      <w:pPr>
        <w:pStyle w:val="BodyText"/>
        <w:rPr>
          <w:rFonts w:hint="eastAsia"/>
        </w:rPr>
      </w:pPr>
      <w:r>
        <w:t xml:space="preserve">An illustrative dense payload stores </w:t>
      </w:r>
      <m:oMath>
        <m:r>
          <w:rPr>
            <w:rFonts w:ascii="Cambria Math" w:hAnsi="Cambria Math"/>
          </w:rPr>
          <m:t>D</m:t>
        </m:r>
      </m:oMath>
      <w:r>
        <w:t xml:space="preserve"> coordinates, separate measured and predicted scalar columns,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plus one byte of status. With </w:t>
      </w:r>
      <m:oMath>
        <m:r>
          <w:rPr>
            <w:rFonts w:ascii="Cambria Math" w:hAnsi="Cambria Math"/>
          </w:rPr>
          <m:t>b</m:t>
        </m:r>
      </m:oMath>
      <w:r>
        <w:t xml:space="preserve"> bytes per scalar, its size is </w:t>
      </w:r>
      <m:oMath>
        <m:r>
          <w:rPr>
            <w:rFonts w:ascii="Cambria Math" w:hAnsi="Cambria Math"/>
          </w:rPr>
          <m:t>bn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n</m:t>
        </m:r>
      </m:oMath>
      <w:r>
        <w:t xml:space="preserve">. If all </w:t>
      </w:r>
      <m:oMath>
        <m:r>
          <w:rPr>
            <w:rFonts w:ascii="Cambria Math" w:hAnsi="Cambria Math"/>
          </w:rPr>
          <m:t>T</m:t>
        </m:r>
      </m:oMath>
      <w:r>
        <w:t xml:space="preserve"> occupancies are retained, add </w:t>
      </w:r>
      <m:oMath>
        <m:r>
          <w:rPr>
            <w:rFonts w:ascii="Cambria Math" w:hAnsi="Cambria Math"/>
          </w:rPr>
          <m:t>bnT</m:t>
        </m:r>
      </m:oMath>
      <w:r>
        <w:t xml:space="preserve">. For </w:t>
      </w:r>
      <m:oMath>
        <m:r>
          <w:rPr>
            <w:rFonts w:ascii="Cambria Math" w:hAnsi="Cambria Math"/>
          </w:rPr>
          <m:t>n</m:t>
        </m:r>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8</m:t>
        </m:r>
      </m:oMath>
      <w:r>
        <w:t>, these are 78,400 bytes and an additional 204,800 bytes. This excludes proposal parameters, identifiers, decoded designs, RNG snapshots, versions, tool artifacts and software object overhead. Using sparse optional fields changes the calculation; layer index memberships do not automatically duplicate full design records.</w:t>
      </w:r>
    </w:p>
    <w:p w14:paraId="5A5B1CBF" w14:textId="77777777" w:rsidR="006D39C8" w:rsidRDefault="00000000">
      <w:pPr>
        <w:pStyle w:val="Heading1"/>
        <w:rPr>
          <w:rFonts w:hint="eastAsia"/>
        </w:rPr>
      </w:pPr>
      <w:bookmarkStart w:id="20" w:name="numerical-evidence-and-reproducibility"/>
      <w:bookmarkEnd w:id="19"/>
      <w:r>
        <w:t>8 Numerical evidence and reproducibility</w:t>
      </w:r>
    </w:p>
    <w:p w14:paraId="746AB58F" w14:textId="77777777" w:rsidR="006D39C8" w:rsidRDefault="00000000">
      <w:pPr>
        <w:pStyle w:val="Heading2"/>
        <w:rPr>
          <w:rFonts w:hint="eastAsia"/>
        </w:rPr>
      </w:pPr>
      <w:bookmarkStart w:id="21" w:name="supplied-engineering-measurements"/>
      <w:r>
        <w:t>8.1 Supplied engineering measurements</w:t>
      </w:r>
    </w:p>
    <w:p w14:paraId="3CC4178D" w14:textId="77777777" w:rsidR="006D39C8" w:rsidRDefault="00000000">
      <w:pPr>
        <w:pStyle w:val="FirstParagraph"/>
        <w:rPr>
          <w:rFonts w:hint="eastAsia"/>
        </w:rPr>
      </w:pPr>
      <w:r>
        <w:t xml:space="preserve">The source [3] reports scaled Himmelblau experiments with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and </w:t>
      </w: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ADE used 64 prompt states, 16 inner stages and a shared archive. Fixed-candidate experiments generated 96 candidates, giving 1,600 attempts. Except in the estimation comparison, </w:t>
      </w:r>
      <m:oMath>
        <m:r>
          <w:rPr>
            <w:rFonts w:ascii="Cambria Math" w:hAnsi="Cambria Math"/>
          </w:rPr>
          <m:t>β</m:t>
        </m:r>
      </m:oMath>
      <w:r>
        <w:t xml:space="preserve"> rose from 0.05 to 0.4. Ten seeds were reported. Near means within 0.05 of an optimum in scaled coordinates, and spread is the root mean squared distance of the last 64 candidates from their mean.</w:t>
      </w:r>
    </w:p>
    <w:p w14:paraId="49C84594" w14:textId="77777777" w:rsidR="006D39C8" w:rsidRDefault="00000000">
      <w:pPr>
        <w:pStyle w:val="BodyText"/>
        <w:rPr>
          <w:rFonts w:hint="eastAsia"/>
        </w:rPr>
      </w:pPr>
      <w:r>
        <w:t>Tables 2 and 3 retain the principal measurements without claiming a new replication. The source did not supply the full drivers, exact checkpoints or per-seed traces, and the budget and density issues described above prevent treating the embedded excerpt as a complete validation. In particular, a zero-noise row is an optimization result, not evidence for a continuous-density estimator.</w:t>
      </w:r>
    </w:p>
    <w:p w14:paraId="232211F0" w14:textId="77777777" w:rsidR="006D39C8" w:rsidRDefault="00000000">
      <w:pPr>
        <w:pStyle w:val="Caption"/>
        <w:keepNext/>
        <w:rPr>
          <w:rFonts w:hint="eastAsia"/>
        </w:rPr>
      </w:pPr>
      <w:r>
        <w:t>Table 2. Previously reported noise comparison at 96 candidates; means or mean plus or minus standard error over ten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1800"/>
        <w:gridCol w:w="2160"/>
        <w:gridCol w:w="2304"/>
        <w:gridCol w:w="2016"/>
      </w:tblGrid>
      <w:tr w:rsidR="006D39C8" w14:paraId="507591A3" w14:textId="77777777">
        <w:trPr>
          <w:cantSplit/>
          <w:tblHeader/>
          <w:jc w:val="center"/>
        </w:trPr>
        <w:tc>
          <w:tcPr>
            <w:tcW w:w="1656" w:type="dxa"/>
            <w:shd w:val="clear" w:color="auto" w:fill="EAEAEA"/>
            <w:tcMar>
              <w:top w:w="80" w:type="dxa"/>
              <w:left w:w="85" w:type="dxa"/>
              <w:bottom w:w="80" w:type="dxa"/>
              <w:right w:w="85" w:type="dxa"/>
            </w:tcMar>
            <w:vAlign w:val="center"/>
          </w:tcPr>
          <w:p w14:paraId="6D16EF7D" w14:textId="77777777" w:rsidR="006D39C8" w:rsidRDefault="00000000">
            <w:pPr>
              <w:keepNext/>
              <w:keepLines/>
              <w:spacing w:after="0" w:line="247" w:lineRule="auto"/>
              <w:jc w:val="left"/>
              <w:rPr>
                <w:rFonts w:hint="eastAsia"/>
              </w:rPr>
            </w:pPr>
            <w:r>
              <w:rPr>
                <w:b/>
                <w:sz w:val="21"/>
              </w:rPr>
              <w:t>Noise multiplier</w:t>
            </w:r>
          </w:p>
        </w:tc>
        <w:tc>
          <w:tcPr>
            <w:tcW w:w="1800" w:type="dxa"/>
            <w:shd w:val="clear" w:color="auto" w:fill="EAEAEA"/>
            <w:tcMar>
              <w:top w:w="80" w:type="dxa"/>
              <w:left w:w="85" w:type="dxa"/>
              <w:bottom w:w="80" w:type="dxa"/>
              <w:right w:w="85" w:type="dxa"/>
            </w:tcMar>
            <w:vAlign w:val="center"/>
          </w:tcPr>
          <w:p w14:paraId="23EE7D4E" w14:textId="77777777" w:rsidR="006D39C8" w:rsidRDefault="00000000">
            <w:pPr>
              <w:keepNext/>
              <w:keepLines/>
              <w:spacing w:after="0" w:line="247" w:lineRule="auto"/>
              <w:jc w:val="right"/>
              <w:rPr>
                <w:rFonts w:hint="eastAsia"/>
              </w:rPr>
            </w:pPr>
            <w:r>
              <w:rPr>
                <w:b/>
                <w:sz w:val="21"/>
              </w:rPr>
              <w:t>Best measured loss</w:t>
            </w:r>
          </w:p>
        </w:tc>
        <w:tc>
          <w:tcPr>
            <w:tcW w:w="2160" w:type="dxa"/>
            <w:shd w:val="clear" w:color="auto" w:fill="EAEAEA"/>
            <w:tcMar>
              <w:top w:w="80" w:type="dxa"/>
              <w:left w:w="85" w:type="dxa"/>
              <w:bottom w:w="80" w:type="dxa"/>
              <w:right w:w="85" w:type="dxa"/>
            </w:tcMar>
            <w:vAlign w:val="center"/>
          </w:tcPr>
          <w:p w14:paraId="0F49EC96" w14:textId="77777777" w:rsidR="006D39C8" w:rsidRDefault="00000000">
            <w:pPr>
              <w:keepNext/>
              <w:keepLines/>
              <w:spacing w:after="0" w:line="247" w:lineRule="auto"/>
              <w:jc w:val="right"/>
              <w:rPr>
                <w:rFonts w:hint="eastAsia"/>
              </w:rPr>
            </w:pPr>
            <w:r>
              <w:rPr>
                <w:b/>
                <w:sz w:val="21"/>
              </w:rPr>
              <w:t>Near an optimum</w:t>
            </w:r>
          </w:p>
        </w:tc>
        <w:tc>
          <w:tcPr>
            <w:tcW w:w="2304" w:type="dxa"/>
            <w:shd w:val="clear" w:color="auto" w:fill="EAEAEA"/>
            <w:tcMar>
              <w:top w:w="80" w:type="dxa"/>
              <w:left w:w="85" w:type="dxa"/>
              <w:bottom w:w="80" w:type="dxa"/>
              <w:right w:w="85" w:type="dxa"/>
            </w:tcMar>
            <w:vAlign w:val="center"/>
          </w:tcPr>
          <w:p w14:paraId="2205E267" w14:textId="77777777" w:rsidR="006D39C8" w:rsidRDefault="00000000">
            <w:pPr>
              <w:keepNext/>
              <w:keepLines/>
              <w:spacing w:after="0" w:line="247" w:lineRule="auto"/>
              <w:jc w:val="right"/>
              <w:rPr>
                <w:rFonts w:hint="eastAsia"/>
              </w:rPr>
            </w:pPr>
            <w:r>
              <w:rPr>
                <w:b/>
                <w:sz w:val="21"/>
              </w:rPr>
              <w:t>Spread</w:t>
            </w:r>
          </w:p>
        </w:tc>
        <w:tc>
          <w:tcPr>
            <w:tcW w:w="2016" w:type="dxa"/>
            <w:shd w:val="clear" w:color="auto" w:fill="EAEAEA"/>
            <w:tcMar>
              <w:top w:w="80" w:type="dxa"/>
              <w:left w:w="85" w:type="dxa"/>
              <w:bottom w:w="80" w:type="dxa"/>
              <w:right w:w="85" w:type="dxa"/>
            </w:tcMar>
            <w:vAlign w:val="center"/>
          </w:tcPr>
          <w:p w14:paraId="56CB4DD4" w14:textId="77777777" w:rsidR="006D39C8" w:rsidRDefault="00000000">
            <w:pPr>
              <w:keepNext/>
              <w:keepLines/>
              <w:spacing w:after="0" w:line="247" w:lineRule="auto"/>
              <w:jc w:val="right"/>
              <w:rPr>
                <w:rFonts w:hint="eastAsia"/>
              </w:rPr>
            </w:pPr>
            <w:r>
              <w:rPr>
                <w:b/>
                <w:sz w:val="21"/>
              </w:rPr>
              <w:t>Optima covered</w:t>
            </w:r>
          </w:p>
        </w:tc>
      </w:tr>
      <w:tr w:rsidR="006D39C8" w14:paraId="13BD7FE4" w14:textId="77777777">
        <w:trPr>
          <w:cantSplit/>
          <w:jc w:val="center"/>
        </w:trPr>
        <w:tc>
          <w:tcPr>
            <w:tcW w:w="1656" w:type="dxa"/>
            <w:shd w:val="clear" w:color="auto" w:fill="FFFFFF"/>
            <w:tcMar>
              <w:top w:w="80" w:type="dxa"/>
              <w:left w:w="85" w:type="dxa"/>
              <w:bottom w:w="80" w:type="dxa"/>
              <w:right w:w="85" w:type="dxa"/>
            </w:tcMar>
            <w:vAlign w:val="center"/>
          </w:tcPr>
          <w:p w14:paraId="4960E8F7" w14:textId="77777777" w:rsidR="006D39C8" w:rsidRDefault="00000000">
            <w:pPr>
              <w:keepNext/>
              <w:keepLines/>
              <w:spacing w:after="0" w:line="247" w:lineRule="auto"/>
              <w:jc w:val="left"/>
              <w:rPr>
                <w:rFonts w:hint="eastAsia"/>
              </w:rPr>
            </w:pPr>
            <w:r>
              <w:rPr>
                <w:sz w:val="21"/>
              </w:rPr>
              <w:t>0.0</w:t>
            </w:r>
          </w:p>
        </w:tc>
        <w:tc>
          <w:tcPr>
            <w:tcW w:w="1800" w:type="dxa"/>
            <w:shd w:val="clear" w:color="auto" w:fill="FFFFFF"/>
            <w:tcMar>
              <w:top w:w="80" w:type="dxa"/>
              <w:left w:w="85" w:type="dxa"/>
              <w:bottom w:w="80" w:type="dxa"/>
              <w:right w:w="85" w:type="dxa"/>
            </w:tcMar>
            <w:vAlign w:val="center"/>
          </w:tcPr>
          <w:p w14:paraId="25D621E6" w14:textId="77777777" w:rsidR="006D39C8" w:rsidRDefault="00000000">
            <w:pPr>
              <w:keepNext/>
              <w:keepLines/>
              <w:spacing w:after="0" w:line="247" w:lineRule="auto"/>
              <w:jc w:val="right"/>
              <w:rPr>
                <w:rFonts w:hint="eastAsia"/>
              </w:rPr>
            </w:pPr>
            <w:r>
              <w:rPr>
                <w:sz w:val="21"/>
              </w:rPr>
              <w:t>7.572</w:t>
            </w:r>
          </w:p>
        </w:tc>
        <w:tc>
          <w:tcPr>
            <w:tcW w:w="2160" w:type="dxa"/>
            <w:shd w:val="clear" w:color="auto" w:fill="FFFFFF"/>
            <w:tcMar>
              <w:top w:w="80" w:type="dxa"/>
              <w:left w:w="85" w:type="dxa"/>
              <w:bottom w:w="80" w:type="dxa"/>
              <w:right w:w="85" w:type="dxa"/>
            </w:tcMar>
            <w:vAlign w:val="center"/>
          </w:tcPr>
          <w:p w14:paraId="22DF4A0D" w14:textId="77777777" w:rsidR="006D39C8" w:rsidRDefault="00000000">
            <w:pPr>
              <w:keepNext/>
              <w:keepLines/>
              <w:spacing w:after="0" w:line="247" w:lineRule="auto"/>
              <w:jc w:val="right"/>
              <w:rPr>
                <w:rFonts w:hint="eastAsia"/>
              </w:rPr>
            </w:pPr>
            <w:r>
              <w:rPr>
                <w:sz w:val="21"/>
              </w:rPr>
              <w:t>0% ± 0%</w:t>
            </w:r>
          </w:p>
        </w:tc>
        <w:tc>
          <w:tcPr>
            <w:tcW w:w="2304" w:type="dxa"/>
            <w:shd w:val="clear" w:color="auto" w:fill="FFFFFF"/>
            <w:tcMar>
              <w:top w:w="80" w:type="dxa"/>
              <w:left w:w="85" w:type="dxa"/>
              <w:bottom w:w="80" w:type="dxa"/>
              <w:right w:w="85" w:type="dxa"/>
            </w:tcMar>
            <w:vAlign w:val="center"/>
          </w:tcPr>
          <w:p w14:paraId="6B2891DD" w14:textId="77777777" w:rsidR="006D39C8" w:rsidRDefault="00000000">
            <w:pPr>
              <w:keepNext/>
              <w:keepLines/>
              <w:spacing w:after="0" w:line="247" w:lineRule="auto"/>
              <w:jc w:val="right"/>
              <w:rPr>
                <w:rFonts w:hint="eastAsia"/>
              </w:rPr>
            </w:pPr>
            <w:r>
              <w:rPr>
                <w:sz w:val="21"/>
              </w:rPr>
              <w:t>0.011 ± 0.003</w:t>
            </w:r>
          </w:p>
        </w:tc>
        <w:tc>
          <w:tcPr>
            <w:tcW w:w="2016" w:type="dxa"/>
            <w:shd w:val="clear" w:color="auto" w:fill="FFFFFF"/>
            <w:tcMar>
              <w:top w:w="80" w:type="dxa"/>
              <w:left w:w="85" w:type="dxa"/>
              <w:bottom w:w="80" w:type="dxa"/>
              <w:right w:w="85" w:type="dxa"/>
            </w:tcMar>
            <w:vAlign w:val="center"/>
          </w:tcPr>
          <w:p w14:paraId="0E70AD85" w14:textId="77777777" w:rsidR="006D39C8" w:rsidRDefault="00000000">
            <w:pPr>
              <w:keepNext/>
              <w:keepLines/>
              <w:spacing w:after="0" w:line="247" w:lineRule="auto"/>
              <w:jc w:val="right"/>
              <w:rPr>
                <w:rFonts w:hint="eastAsia"/>
              </w:rPr>
            </w:pPr>
            <w:r>
              <w:rPr>
                <w:sz w:val="21"/>
              </w:rPr>
              <w:t>0.0</w:t>
            </w:r>
          </w:p>
        </w:tc>
      </w:tr>
      <w:tr w:rsidR="006D39C8" w14:paraId="4E130093" w14:textId="77777777">
        <w:trPr>
          <w:cantSplit/>
          <w:jc w:val="center"/>
        </w:trPr>
        <w:tc>
          <w:tcPr>
            <w:tcW w:w="1656" w:type="dxa"/>
            <w:shd w:val="clear" w:color="auto" w:fill="FFFFFF"/>
            <w:tcMar>
              <w:top w:w="80" w:type="dxa"/>
              <w:left w:w="85" w:type="dxa"/>
              <w:bottom w:w="80" w:type="dxa"/>
              <w:right w:w="85" w:type="dxa"/>
            </w:tcMar>
            <w:vAlign w:val="center"/>
          </w:tcPr>
          <w:p w14:paraId="67E0069F" w14:textId="77777777" w:rsidR="006D39C8" w:rsidRDefault="00000000">
            <w:pPr>
              <w:keepNext/>
              <w:keepLines/>
              <w:spacing w:after="0" w:line="247" w:lineRule="auto"/>
              <w:jc w:val="left"/>
              <w:rPr>
                <w:rFonts w:hint="eastAsia"/>
              </w:rPr>
            </w:pPr>
            <w:r>
              <w:rPr>
                <w:sz w:val="21"/>
              </w:rPr>
              <w:t>0.5</w:t>
            </w:r>
          </w:p>
        </w:tc>
        <w:tc>
          <w:tcPr>
            <w:tcW w:w="1800" w:type="dxa"/>
            <w:shd w:val="clear" w:color="auto" w:fill="FFFFFF"/>
            <w:tcMar>
              <w:top w:w="80" w:type="dxa"/>
              <w:left w:w="85" w:type="dxa"/>
              <w:bottom w:w="80" w:type="dxa"/>
              <w:right w:w="85" w:type="dxa"/>
            </w:tcMar>
            <w:vAlign w:val="center"/>
          </w:tcPr>
          <w:p w14:paraId="186AF5D4" w14:textId="77777777" w:rsidR="006D39C8" w:rsidRDefault="00000000">
            <w:pPr>
              <w:keepNext/>
              <w:keepLines/>
              <w:spacing w:after="0" w:line="247" w:lineRule="auto"/>
              <w:jc w:val="right"/>
              <w:rPr>
                <w:rFonts w:hint="eastAsia"/>
              </w:rPr>
            </w:pPr>
            <w:r>
              <w:rPr>
                <w:sz w:val="21"/>
              </w:rPr>
              <w:t>0.016</w:t>
            </w:r>
          </w:p>
        </w:tc>
        <w:tc>
          <w:tcPr>
            <w:tcW w:w="2160" w:type="dxa"/>
            <w:shd w:val="clear" w:color="auto" w:fill="FFFFFF"/>
            <w:tcMar>
              <w:top w:w="80" w:type="dxa"/>
              <w:left w:w="85" w:type="dxa"/>
              <w:bottom w:w="80" w:type="dxa"/>
              <w:right w:w="85" w:type="dxa"/>
            </w:tcMar>
            <w:vAlign w:val="center"/>
          </w:tcPr>
          <w:p w14:paraId="5A65875A" w14:textId="77777777" w:rsidR="006D39C8" w:rsidRDefault="00000000">
            <w:pPr>
              <w:keepNext/>
              <w:keepLines/>
              <w:spacing w:after="0" w:line="247" w:lineRule="auto"/>
              <w:jc w:val="right"/>
              <w:rPr>
                <w:rFonts w:hint="eastAsia"/>
              </w:rPr>
            </w:pPr>
            <w:r>
              <w:rPr>
                <w:sz w:val="21"/>
              </w:rPr>
              <w:t>62% ± 5%</w:t>
            </w:r>
          </w:p>
        </w:tc>
        <w:tc>
          <w:tcPr>
            <w:tcW w:w="2304" w:type="dxa"/>
            <w:shd w:val="clear" w:color="auto" w:fill="FFFFFF"/>
            <w:tcMar>
              <w:top w:w="80" w:type="dxa"/>
              <w:left w:w="85" w:type="dxa"/>
              <w:bottom w:w="80" w:type="dxa"/>
              <w:right w:w="85" w:type="dxa"/>
            </w:tcMar>
            <w:vAlign w:val="center"/>
          </w:tcPr>
          <w:p w14:paraId="04067086" w14:textId="77777777" w:rsidR="006D39C8" w:rsidRDefault="00000000">
            <w:pPr>
              <w:keepNext/>
              <w:keepLines/>
              <w:spacing w:after="0" w:line="247" w:lineRule="auto"/>
              <w:jc w:val="right"/>
              <w:rPr>
                <w:rFonts w:hint="eastAsia"/>
              </w:rPr>
            </w:pPr>
            <w:r>
              <w:rPr>
                <w:sz w:val="21"/>
              </w:rPr>
              <w:t>0.126 ± 0.026</w:t>
            </w:r>
          </w:p>
        </w:tc>
        <w:tc>
          <w:tcPr>
            <w:tcW w:w="2016" w:type="dxa"/>
            <w:shd w:val="clear" w:color="auto" w:fill="FFFFFF"/>
            <w:tcMar>
              <w:top w:w="80" w:type="dxa"/>
              <w:left w:w="85" w:type="dxa"/>
              <w:bottom w:w="80" w:type="dxa"/>
              <w:right w:w="85" w:type="dxa"/>
            </w:tcMar>
            <w:vAlign w:val="center"/>
          </w:tcPr>
          <w:p w14:paraId="06177C94" w14:textId="77777777" w:rsidR="006D39C8" w:rsidRDefault="00000000">
            <w:pPr>
              <w:keepNext/>
              <w:keepLines/>
              <w:spacing w:after="0" w:line="247" w:lineRule="auto"/>
              <w:jc w:val="right"/>
              <w:rPr>
                <w:rFonts w:hint="eastAsia"/>
              </w:rPr>
            </w:pPr>
            <w:r>
              <w:rPr>
                <w:sz w:val="21"/>
              </w:rPr>
              <w:t>1.2</w:t>
            </w:r>
          </w:p>
        </w:tc>
      </w:tr>
      <w:tr w:rsidR="006D39C8" w14:paraId="3D1DEECD" w14:textId="77777777">
        <w:trPr>
          <w:cantSplit/>
          <w:jc w:val="center"/>
        </w:trPr>
        <w:tc>
          <w:tcPr>
            <w:tcW w:w="1656" w:type="dxa"/>
            <w:shd w:val="clear" w:color="auto" w:fill="FFFFFF"/>
            <w:tcMar>
              <w:top w:w="80" w:type="dxa"/>
              <w:left w:w="85" w:type="dxa"/>
              <w:bottom w:w="80" w:type="dxa"/>
              <w:right w:w="85" w:type="dxa"/>
            </w:tcMar>
            <w:vAlign w:val="center"/>
          </w:tcPr>
          <w:p w14:paraId="4A09D3D4" w14:textId="77777777" w:rsidR="006D39C8" w:rsidRDefault="00000000">
            <w:pPr>
              <w:keepNext/>
              <w:keepLines/>
              <w:spacing w:after="0" w:line="247" w:lineRule="auto"/>
              <w:jc w:val="left"/>
              <w:rPr>
                <w:rFonts w:hint="eastAsia"/>
              </w:rPr>
            </w:pPr>
            <w:r>
              <w:rPr>
                <w:sz w:val="21"/>
              </w:rPr>
              <w:t>1.0</w:t>
            </w:r>
          </w:p>
        </w:tc>
        <w:tc>
          <w:tcPr>
            <w:tcW w:w="1800" w:type="dxa"/>
            <w:shd w:val="clear" w:color="auto" w:fill="FFFFFF"/>
            <w:tcMar>
              <w:top w:w="80" w:type="dxa"/>
              <w:left w:w="85" w:type="dxa"/>
              <w:bottom w:w="80" w:type="dxa"/>
              <w:right w:w="85" w:type="dxa"/>
            </w:tcMar>
            <w:vAlign w:val="center"/>
          </w:tcPr>
          <w:p w14:paraId="76105057" w14:textId="77777777" w:rsidR="006D39C8" w:rsidRDefault="00000000">
            <w:pPr>
              <w:keepNext/>
              <w:keepLines/>
              <w:spacing w:after="0" w:line="247" w:lineRule="auto"/>
              <w:jc w:val="right"/>
              <w:rPr>
                <w:rFonts w:hint="eastAsia"/>
              </w:rPr>
            </w:pPr>
            <w:r>
              <w:rPr>
                <w:sz w:val="21"/>
              </w:rPr>
              <w:t>0.015</w:t>
            </w:r>
          </w:p>
        </w:tc>
        <w:tc>
          <w:tcPr>
            <w:tcW w:w="2160" w:type="dxa"/>
            <w:shd w:val="clear" w:color="auto" w:fill="FFFFFF"/>
            <w:tcMar>
              <w:top w:w="80" w:type="dxa"/>
              <w:left w:w="85" w:type="dxa"/>
              <w:bottom w:w="80" w:type="dxa"/>
              <w:right w:w="85" w:type="dxa"/>
            </w:tcMar>
            <w:vAlign w:val="center"/>
          </w:tcPr>
          <w:p w14:paraId="6AE7221F" w14:textId="77777777" w:rsidR="006D39C8" w:rsidRDefault="00000000">
            <w:pPr>
              <w:keepNext/>
              <w:keepLines/>
              <w:spacing w:after="0" w:line="247" w:lineRule="auto"/>
              <w:jc w:val="right"/>
              <w:rPr>
                <w:rFonts w:hint="eastAsia"/>
              </w:rPr>
            </w:pPr>
            <w:r>
              <w:rPr>
                <w:sz w:val="21"/>
              </w:rPr>
              <w:t>62% ± 5%</w:t>
            </w:r>
          </w:p>
        </w:tc>
        <w:tc>
          <w:tcPr>
            <w:tcW w:w="2304" w:type="dxa"/>
            <w:shd w:val="clear" w:color="auto" w:fill="FFFFFF"/>
            <w:tcMar>
              <w:top w:w="80" w:type="dxa"/>
              <w:left w:w="85" w:type="dxa"/>
              <w:bottom w:w="80" w:type="dxa"/>
              <w:right w:w="85" w:type="dxa"/>
            </w:tcMar>
            <w:vAlign w:val="center"/>
          </w:tcPr>
          <w:p w14:paraId="4014FDAB" w14:textId="77777777" w:rsidR="006D39C8" w:rsidRDefault="00000000">
            <w:pPr>
              <w:keepNext/>
              <w:keepLines/>
              <w:spacing w:after="0" w:line="247" w:lineRule="auto"/>
              <w:jc w:val="right"/>
              <w:rPr>
                <w:rFonts w:hint="eastAsia"/>
              </w:rPr>
            </w:pPr>
            <w:r>
              <w:rPr>
                <w:sz w:val="21"/>
              </w:rPr>
              <w:t>0.464 ± 0.075</w:t>
            </w:r>
          </w:p>
        </w:tc>
        <w:tc>
          <w:tcPr>
            <w:tcW w:w="2016" w:type="dxa"/>
            <w:shd w:val="clear" w:color="auto" w:fill="FFFFFF"/>
            <w:tcMar>
              <w:top w:w="80" w:type="dxa"/>
              <w:left w:w="85" w:type="dxa"/>
              <w:bottom w:w="80" w:type="dxa"/>
              <w:right w:w="85" w:type="dxa"/>
            </w:tcMar>
            <w:vAlign w:val="center"/>
          </w:tcPr>
          <w:p w14:paraId="00544D16" w14:textId="77777777" w:rsidR="006D39C8" w:rsidRDefault="00000000">
            <w:pPr>
              <w:keepNext/>
              <w:keepLines/>
              <w:spacing w:after="0" w:line="247" w:lineRule="auto"/>
              <w:jc w:val="right"/>
              <w:rPr>
                <w:rFonts w:hint="eastAsia"/>
              </w:rPr>
            </w:pPr>
            <w:r>
              <w:rPr>
                <w:sz w:val="21"/>
              </w:rPr>
              <w:t>2.1</w:t>
            </w:r>
          </w:p>
        </w:tc>
      </w:tr>
      <w:tr w:rsidR="006D39C8" w14:paraId="27267EF7" w14:textId="77777777">
        <w:trPr>
          <w:cantSplit/>
          <w:jc w:val="center"/>
        </w:trPr>
        <w:tc>
          <w:tcPr>
            <w:tcW w:w="1656" w:type="dxa"/>
            <w:shd w:val="clear" w:color="auto" w:fill="FFFFFF"/>
            <w:tcMar>
              <w:top w:w="80" w:type="dxa"/>
              <w:left w:w="85" w:type="dxa"/>
              <w:bottom w:w="80" w:type="dxa"/>
              <w:right w:w="85" w:type="dxa"/>
            </w:tcMar>
            <w:vAlign w:val="center"/>
          </w:tcPr>
          <w:p w14:paraId="405F15F3" w14:textId="77777777" w:rsidR="006D39C8" w:rsidRDefault="00000000">
            <w:pPr>
              <w:keepLines/>
              <w:spacing w:after="0" w:line="247" w:lineRule="auto"/>
              <w:jc w:val="left"/>
              <w:rPr>
                <w:rFonts w:hint="eastAsia"/>
              </w:rPr>
            </w:pPr>
            <w:r>
              <w:rPr>
                <w:sz w:val="21"/>
              </w:rPr>
              <w:t>1.4 with cap</w:t>
            </w:r>
          </w:p>
        </w:tc>
        <w:tc>
          <w:tcPr>
            <w:tcW w:w="1800" w:type="dxa"/>
            <w:shd w:val="clear" w:color="auto" w:fill="FFFFFF"/>
            <w:tcMar>
              <w:top w:w="80" w:type="dxa"/>
              <w:left w:w="85" w:type="dxa"/>
              <w:bottom w:w="80" w:type="dxa"/>
              <w:right w:w="85" w:type="dxa"/>
            </w:tcMar>
            <w:vAlign w:val="center"/>
          </w:tcPr>
          <w:p w14:paraId="1AD9ED96" w14:textId="77777777" w:rsidR="006D39C8" w:rsidRDefault="00000000">
            <w:pPr>
              <w:keepLines/>
              <w:spacing w:after="0" w:line="247" w:lineRule="auto"/>
              <w:jc w:val="right"/>
              <w:rPr>
                <w:rFonts w:hint="eastAsia"/>
              </w:rPr>
            </w:pPr>
            <w:r>
              <w:rPr>
                <w:sz w:val="21"/>
              </w:rPr>
              <w:t>0.018</w:t>
            </w:r>
          </w:p>
        </w:tc>
        <w:tc>
          <w:tcPr>
            <w:tcW w:w="2160" w:type="dxa"/>
            <w:shd w:val="clear" w:color="auto" w:fill="FFFFFF"/>
            <w:tcMar>
              <w:top w:w="80" w:type="dxa"/>
              <w:left w:w="85" w:type="dxa"/>
              <w:bottom w:w="80" w:type="dxa"/>
              <w:right w:w="85" w:type="dxa"/>
            </w:tcMar>
            <w:vAlign w:val="center"/>
          </w:tcPr>
          <w:p w14:paraId="357C52F5" w14:textId="77777777" w:rsidR="006D39C8" w:rsidRDefault="00000000">
            <w:pPr>
              <w:keepLines/>
              <w:spacing w:after="0" w:line="247" w:lineRule="auto"/>
              <w:jc w:val="right"/>
              <w:rPr>
                <w:rFonts w:hint="eastAsia"/>
              </w:rPr>
            </w:pPr>
            <w:r>
              <w:rPr>
                <w:sz w:val="21"/>
              </w:rPr>
              <w:t>66% ± 7%</w:t>
            </w:r>
          </w:p>
        </w:tc>
        <w:tc>
          <w:tcPr>
            <w:tcW w:w="2304" w:type="dxa"/>
            <w:shd w:val="clear" w:color="auto" w:fill="FFFFFF"/>
            <w:tcMar>
              <w:top w:w="80" w:type="dxa"/>
              <w:left w:w="85" w:type="dxa"/>
              <w:bottom w:w="80" w:type="dxa"/>
              <w:right w:w="85" w:type="dxa"/>
            </w:tcMar>
            <w:vAlign w:val="center"/>
          </w:tcPr>
          <w:p w14:paraId="7D875512" w14:textId="77777777" w:rsidR="006D39C8" w:rsidRDefault="00000000">
            <w:pPr>
              <w:keepLines/>
              <w:spacing w:after="0" w:line="247" w:lineRule="auto"/>
              <w:jc w:val="right"/>
              <w:rPr>
                <w:rFonts w:hint="eastAsia"/>
              </w:rPr>
            </w:pPr>
            <w:r>
              <w:rPr>
                <w:sz w:val="21"/>
              </w:rPr>
              <w:t>0.530 ± 0.095</w:t>
            </w:r>
          </w:p>
        </w:tc>
        <w:tc>
          <w:tcPr>
            <w:tcW w:w="2016" w:type="dxa"/>
            <w:shd w:val="clear" w:color="auto" w:fill="FFFFFF"/>
            <w:tcMar>
              <w:top w:w="80" w:type="dxa"/>
              <w:left w:w="85" w:type="dxa"/>
              <w:bottom w:w="80" w:type="dxa"/>
              <w:right w:w="85" w:type="dxa"/>
            </w:tcMar>
            <w:vAlign w:val="center"/>
          </w:tcPr>
          <w:p w14:paraId="4BD78C19" w14:textId="77777777" w:rsidR="006D39C8" w:rsidRDefault="00000000">
            <w:pPr>
              <w:keepLines/>
              <w:spacing w:after="0" w:line="247" w:lineRule="auto"/>
              <w:jc w:val="right"/>
              <w:rPr>
                <w:rFonts w:hint="eastAsia"/>
              </w:rPr>
            </w:pPr>
            <w:r>
              <w:rPr>
                <w:sz w:val="21"/>
              </w:rPr>
              <w:t>1.9</w:t>
            </w:r>
          </w:p>
        </w:tc>
      </w:tr>
    </w:tbl>
    <w:p w14:paraId="0AE18215" w14:textId="77777777" w:rsidR="006D39C8" w:rsidRDefault="00000000">
      <w:pPr>
        <w:pStyle w:val="BodyText"/>
        <w:spacing w:before="140"/>
        <w:rPr>
          <w:rFonts w:hint="eastAsia"/>
        </w:rPr>
      </w:pPr>
      <w:r>
        <w:t xml:space="preserve">The reported residual variances ranged from 0.32 to 1.01 per coordinate for noisy policies. Such measurements motivate the general second-moment identity, but a variance near </w:t>
      </w:r>
      <m:oMath>
        <m:r>
          <w:rPr>
            <w:rFonts w:ascii="Cambria Math" w:hAnsi="Cambria Math"/>
          </w:rPr>
          <m:t>s</m:t>
        </m:r>
      </m:oMath>
      <w:r>
        <w:t xml:space="preserve"> is not equality when the residual mean is nonzero. The observed increase in final spread is specific to these runs.</w:t>
      </w:r>
    </w:p>
    <w:p w14:paraId="08480386" w14:textId="77777777" w:rsidR="006D39C8" w:rsidRDefault="00000000">
      <w:pPr>
        <w:pStyle w:val="Caption"/>
        <w:keepNext/>
        <w:rPr>
          <w:rFonts w:hint="eastAsia"/>
        </w:rPr>
      </w:pPr>
      <w:r>
        <w:t>Table 3. Previously reported evaluation policies at the same 96 candidates.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512"/>
        <w:gridCol w:w="1800"/>
        <w:gridCol w:w="1800"/>
        <w:gridCol w:w="1440"/>
      </w:tblGrid>
      <w:tr w:rsidR="006D39C8" w14:paraId="7A8DB5E7" w14:textId="77777777">
        <w:trPr>
          <w:cantSplit/>
          <w:tblHeader/>
          <w:jc w:val="center"/>
        </w:trPr>
        <w:tc>
          <w:tcPr>
            <w:tcW w:w="3384" w:type="dxa"/>
            <w:shd w:val="clear" w:color="auto" w:fill="EAEAEA"/>
            <w:tcMar>
              <w:top w:w="80" w:type="dxa"/>
              <w:left w:w="85" w:type="dxa"/>
              <w:bottom w:w="80" w:type="dxa"/>
              <w:right w:w="85" w:type="dxa"/>
            </w:tcMar>
            <w:vAlign w:val="center"/>
          </w:tcPr>
          <w:p w14:paraId="4DBBDF61" w14:textId="77777777" w:rsidR="006D39C8" w:rsidRDefault="00000000">
            <w:pPr>
              <w:keepNext/>
              <w:keepLines/>
              <w:spacing w:after="0" w:line="247" w:lineRule="auto"/>
              <w:jc w:val="left"/>
              <w:rPr>
                <w:rFonts w:hint="eastAsia"/>
              </w:rPr>
            </w:pPr>
            <w:r>
              <w:rPr>
                <w:b/>
                <w:sz w:val="21"/>
              </w:rPr>
              <w:t>Policy</w:t>
            </w:r>
          </w:p>
        </w:tc>
        <w:tc>
          <w:tcPr>
            <w:tcW w:w="1512" w:type="dxa"/>
            <w:shd w:val="clear" w:color="auto" w:fill="EAEAEA"/>
            <w:tcMar>
              <w:top w:w="80" w:type="dxa"/>
              <w:left w:w="85" w:type="dxa"/>
              <w:bottom w:w="80" w:type="dxa"/>
              <w:right w:w="85" w:type="dxa"/>
            </w:tcMar>
            <w:vAlign w:val="center"/>
          </w:tcPr>
          <w:p w14:paraId="3B7572D1" w14:textId="77777777" w:rsidR="006D39C8" w:rsidRDefault="00000000">
            <w:pPr>
              <w:keepNext/>
              <w:keepLines/>
              <w:spacing w:after="0" w:line="247" w:lineRule="auto"/>
              <w:jc w:val="right"/>
              <w:rPr>
                <w:rFonts w:hint="eastAsia"/>
              </w:rPr>
            </w:pPr>
            <w:r>
              <w:rPr>
                <w:b/>
                <w:sz w:val="21"/>
              </w:rPr>
              <w:t>Observed responses</w:t>
            </w:r>
          </w:p>
        </w:tc>
        <w:tc>
          <w:tcPr>
            <w:tcW w:w="1800" w:type="dxa"/>
            <w:shd w:val="clear" w:color="auto" w:fill="EAEAEA"/>
            <w:tcMar>
              <w:top w:w="80" w:type="dxa"/>
              <w:left w:w="85" w:type="dxa"/>
              <w:bottom w:w="80" w:type="dxa"/>
              <w:right w:w="85" w:type="dxa"/>
            </w:tcMar>
            <w:vAlign w:val="center"/>
          </w:tcPr>
          <w:p w14:paraId="23C288F4" w14:textId="77777777" w:rsidR="006D39C8" w:rsidRDefault="00000000">
            <w:pPr>
              <w:keepNext/>
              <w:keepLines/>
              <w:spacing w:after="0" w:line="247" w:lineRule="auto"/>
              <w:jc w:val="right"/>
              <w:rPr>
                <w:rFonts w:hint="eastAsia"/>
              </w:rPr>
            </w:pPr>
            <w:r>
              <w:rPr>
                <w:b/>
                <w:sz w:val="21"/>
              </w:rPr>
              <w:t>Best measured loss</w:t>
            </w:r>
          </w:p>
        </w:tc>
        <w:tc>
          <w:tcPr>
            <w:tcW w:w="1800" w:type="dxa"/>
            <w:shd w:val="clear" w:color="auto" w:fill="EAEAEA"/>
            <w:tcMar>
              <w:top w:w="80" w:type="dxa"/>
              <w:left w:w="85" w:type="dxa"/>
              <w:bottom w:w="80" w:type="dxa"/>
              <w:right w:w="85" w:type="dxa"/>
            </w:tcMar>
            <w:vAlign w:val="center"/>
          </w:tcPr>
          <w:p w14:paraId="790CC7FD" w14:textId="77777777" w:rsidR="006D39C8" w:rsidRDefault="00000000">
            <w:pPr>
              <w:keepNext/>
              <w:keepLines/>
              <w:spacing w:after="0" w:line="247" w:lineRule="auto"/>
              <w:jc w:val="right"/>
              <w:rPr>
                <w:rFonts w:hint="eastAsia"/>
              </w:rPr>
            </w:pPr>
            <w:r>
              <w:rPr>
                <w:b/>
                <w:sz w:val="21"/>
              </w:rPr>
              <w:t>Near an optimum</w:t>
            </w:r>
          </w:p>
        </w:tc>
        <w:tc>
          <w:tcPr>
            <w:tcW w:w="1440" w:type="dxa"/>
            <w:shd w:val="clear" w:color="auto" w:fill="EAEAEA"/>
            <w:tcMar>
              <w:top w:w="80" w:type="dxa"/>
              <w:left w:w="85" w:type="dxa"/>
              <w:bottom w:w="80" w:type="dxa"/>
              <w:right w:w="85" w:type="dxa"/>
            </w:tcMar>
            <w:vAlign w:val="center"/>
          </w:tcPr>
          <w:p w14:paraId="7A611C75" w14:textId="77777777" w:rsidR="006D39C8" w:rsidRDefault="00000000">
            <w:pPr>
              <w:keepNext/>
              <w:keepLines/>
              <w:spacing w:after="0" w:line="247" w:lineRule="auto"/>
              <w:jc w:val="right"/>
              <w:rPr>
                <w:rFonts w:hint="eastAsia"/>
              </w:rPr>
            </w:pPr>
            <w:r>
              <w:rPr>
                <w:b/>
                <w:sz w:val="21"/>
              </w:rPr>
              <w:t>Optima covered</w:t>
            </w:r>
          </w:p>
        </w:tc>
      </w:tr>
      <w:tr w:rsidR="006D39C8" w14:paraId="4165BCD6" w14:textId="77777777">
        <w:trPr>
          <w:cantSplit/>
          <w:jc w:val="center"/>
        </w:trPr>
        <w:tc>
          <w:tcPr>
            <w:tcW w:w="3384" w:type="dxa"/>
            <w:shd w:val="clear" w:color="auto" w:fill="FFFFFF"/>
            <w:tcMar>
              <w:top w:w="80" w:type="dxa"/>
              <w:left w:w="85" w:type="dxa"/>
              <w:bottom w:w="80" w:type="dxa"/>
              <w:right w:w="85" w:type="dxa"/>
            </w:tcMar>
            <w:vAlign w:val="center"/>
          </w:tcPr>
          <w:p w14:paraId="2988536F" w14:textId="77777777" w:rsidR="006D39C8" w:rsidRDefault="00000000">
            <w:pPr>
              <w:keepNext/>
              <w:keepLines/>
              <w:spacing w:after="0" w:line="247" w:lineRule="auto"/>
              <w:jc w:val="left"/>
              <w:rPr>
                <w:rFonts w:hint="eastAsia"/>
              </w:rPr>
            </w:pPr>
            <w:r>
              <w:rPr>
                <w:sz w:val="21"/>
              </w:rPr>
              <w:t>Every state</w:t>
            </w:r>
          </w:p>
        </w:tc>
        <w:tc>
          <w:tcPr>
            <w:tcW w:w="1512" w:type="dxa"/>
            <w:shd w:val="clear" w:color="auto" w:fill="FFFFFF"/>
            <w:tcMar>
              <w:top w:w="80" w:type="dxa"/>
              <w:left w:w="85" w:type="dxa"/>
              <w:bottom w:w="80" w:type="dxa"/>
              <w:right w:w="85" w:type="dxa"/>
            </w:tcMar>
            <w:vAlign w:val="center"/>
          </w:tcPr>
          <w:p w14:paraId="6DF58E2E" w14:textId="77777777" w:rsidR="006D39C8" w:rsidRDefault="00000000">
            <w:pPr>
              <w:keepNext/>
              <w:keepLines/>
              <w:spacing w:after="0" w:line="247" w:lineRule="auto"/>
              <w:jc w:val="right"/>
              <w:rPr>
                <w:rFonts w:hint="eastAsia"/>
              </w:rPr>
            </w:pPr>
            <w:r>
              <w:rPr>
                <w:sz w:val="21"/>
              </w:rPr>
              <w:t>1600</w:t>
            </w:r>
          </w:p>
        </w:tc>
        <w:tc>
          <w:tcPr>
            <w:tcW w:w="1800" w:type="dxa"/>
            <w:shd w:val="clear" w:color="auto" w:fill="FFFFFF"/>
            <w:tcMar>
              <w:top w:w="80" w:type="dxa"/>
              <w:left w:w="85" w:type="dxa"/>
              <w:bottom w:w="80" w:type="dxa"/>
              <w:right w:w="85" w:type="dxa"/>
            </w:tcMar>
            <w:vAlign w:val="center"/>
          </w:tcPr>
          <w:p w14:paraId="005C7825" w14:textId="77777777" w:rsidR="006D39C8" w:rsidRDefault="00000000">
            <w:pPr>
              <w:keepNext/>
              <w:keepLines/>
              <w:spacing w:after="0" w:line="247" w:lineRule="auto"/>
              <w:jc w:val="right"/>
              <w:rPr>
                <w:rFonts w:hint="eastAsia"/>
              </w:rPr>
            </w:pPr>
            <w:r>
              <w:rPr>
                <w:sz w:val="21"/>
              </w:rPr>
              <w:t>0.015 ± 0.004</w:t>
            </w:r>
          </w:p>
        </w:tc>
        <w:tc>
          <w:tcPr>
            <w:tcW w:w="1800" w:type="dxa"/>
            <w:shd w:val="clear" w:color="auto" w:fill="FFFFFF"/>
            <w:tcMar>
              <w:top w:w="80" w:type="dxa"/>
              <w:left w:w="85" w:type="dxa"/>
              <w:bottom w:w="80" w:type="dxa"/>
              <w:right w:w="85" w:type="dxa"/>
            </w:tcMar>
            <w:vAlign w:val="center"/>
          </w:tcPr>
          <w:p w14:paraId="7679D99D" w14:textId="77777777" w:rsidR="006D39C8" w:rsidRDefault="00000000">
            <w:pPr>
              <w:keepNext/>
              <w:keepLines/>
              <w:spacing w:after="0" w:line="247" w:lineRule="auto"/>
              <w:jc w:val="right"/>
              <w:rPr>
                <w:rFonts w:hint="eastAsia"/>
              </w:rPr>
            </w:pPr>
            <w:r>
              <w:rPr>
                <w:sz w:val="21"/>
              </w:rPr>
              <w:t>62% ± 5%</w:t>
            </w:r>
          </w:p>
        </w:tc>
        <w:tc>
          <w:tcPr>
            <w:tcW w:w="1440" w:type="dxa"/>
            <w:shd w:val="clear" w:color="auto" w:fill="FFFFFF"/>
            <w:tcMar>
              <w:top w:w="80" w:type="dxa"/>
              <w:left w:w="85" w:type="dxa"/>
              <w:bottom w:w="80" w:type="dxa"/>
              <w:right w:w="85" w:type="dxa"/>
            </w:tcMar>
            <w:vAlign w:val="center"/>
          </w:tcPr>
          <w:p w14:paraId="3B9E4264" w14:textId="77777777" w:rsidR="006D39C8" w:rsidRDefault="00000000">
            <w:pPr>
              <w:keepNext/>
              <w:keepLines/>
              <w:spacing w:after="0" w:line="247" w:lineRule="auto"/>
              <w:jc w:val="right"/>
              <w:rPr>
                <w:rFonts w:hint="eastAsia"/>
              </w:rPr>
            </w:pPr>
            <w:r>
              <w:rPr>
                <w:sz w:val="21"/>
              </w:rPr>
              <w:t>2.1</w:t>
            </w:r>
          </w:p>
        </w:tc>
      </w:tr>
      <w:tr w:rsidR="006D39C8" w14:paraId="2AA6B49E" w14:textId="77777777">
        <w:trPr>
          <w:cantSplit/>
          <w:jc w:val="center"/>
        </w:trPr>
        <w:tc>
          <w:tcPr>
            <w:tcW w:w="3384" w:type="dxa"/>
            <w:shd w:val="clear" w:color="auto" w:fill="FFFFFF"/>
            <w:tcMar>
              <w:top w:w="80" w:type="dxa"/>
              <w:left w:w="85" w:type="dxa"/>
              <w:bottom w:w="80" w:type="dxa"/>
              <w:right w:w="85" w:type="dxa"/>
            </w:tcMar>
            <w:vAlign w:val="center"/>
          </w:tcPr>
          <w:p w14:paraId="770A34A8" w14:textId="77777777" w:rsidR="006D39C8" w:rsidRDefault="00000000">
            <w:pPr>
              <w:keepNext/>
              <w:keepLines/>
              <w:spacing w:after="0" w:line="247" w:lineRule="auto"/>
              <w:jc w:val="left"/>
              <w:rPr>
                <w:rFonts w:hint="eastAsia"/>
              </w:rPr>
            </w:pPr>
            <w:r>
              <w:rPr>
                <w:sz w:val="21"/>
              </w:rPr>
              <w:t>Deterministic novelty gate</w:t>
            </w:r>
          </w:p>
        </w:tc>
        <w:tc>
          <w:tcPr>
            <w:tcW w:w="1512" w:type="dxa"/>
            <w:shd w:val="clear" w:color="auto" w:fill="FFFFFF"/>
            <w:tcMar>
              <w:top w:w="80" w:type="dxa"/>
              <w:left w:w="85" w:type="dxa"/>
              <w:bottom w:w="80" w:type="dxa"/>
              <w:right w:w="85" w:type="dxa"/>
            </w:tcMar>
            <w:vAlign w:val="center"/>
          </w:tcPr>
          <w:p w14:paraId="5D9305D8" w14:textId="77777777" w:rsidR="006D39C8" w:rsidRDefault="00000000">
            <w:pPr>
              <w:keepNext/>
              <w:keepLines/>
              <w:spacing w:after="0" w:line="247" w:lineRule="auto"/>
              <w:jc w:val="right"/>
              <w:rPr>
                <w:rFonts w:hint="eastAsia"/>
              </w:rPr>
            </w:pPr>
            <w:r>
              <w:rPr>
                <w:sz w:val="21"/>
              </w:rPr>
              <w:t>712</w:t>
            </w:r>
          </w:p>
        </w:tc>
        <w:tc>
          <w:tcPr>
            <w:tcW w:w="1800" w:type="dxa"/>
            <w:shd w:val="clear" w:color="auto" w:fill="FFFFFF"/>
            <w:tcMar>
              <w:top w:w="80" w:type="dxa"/>
              <w:left w:w="85" w:type="dxa"/>
              <w:bottom w:w="80" w:type="dxa"/>
              <w:right w:w="85" w:type="dxa"/>
            </w:tcMar>
            <w:vAlign w:val="center"/>
          </w:tcPr>
          <w:p w14:paraId="6C541033" w14:textId="77777777" w:rsidR="006D39C8" w:rsidRDefault="00000000">
            <w:pPr>
              <w:keepNext/>
              <w:keepLines/>
              <w:spacing w:after="0" w:line="247" w:lineRule="auto"/>
              <w:jc w:val="right"/>
              <w:rPr>
                <w:rFonts w:hint="eastAsia"/>
              </w:rPr>
            </w:pPr>
            <w:r>
              <w:rPr>
                <w:sz w:val="21"/>
              </w:rPr>
              <w:t>0.036 ± 0.020</w:t>
            </w:r>
          </w:p>
        </w:tc>
        <w:tc>
          <w:tcPr>
            <w:tcW w:w="1800" w:type="dxa"/>
            <w:shd w:val="clear" w:color="auto" w:fill="FFFFFF"/>
            <w:tcMar>
              <w:top w:w="80" w:type="dxa"/>
              <w:left w:w="85" w:type="dxa"/>
              <w:bottom w:w="80" w:type="dxa"/>
              <w:right w:w="85" w:type="dxa"/>
            </w:tcMar>
            <w:vAlign w:val="center"/>
          </w:tcPr>
          <w:p w14:paraId="6FFE6178" w14:textId="77777777" w:rsidR="006D39C8" w:rsidRDefault="00000000">
            <w:pPr>
              <w:keepNext/>
              <w:keepLines/>
              <w:spacing w:after="0" w:line="247" w:lineRule="auto"/>
              <w:jc w:val="right"/>
              <w:rPr>
                <w:rFonts w:hint="eastAsia"/>
              </w:rPr>
            </w:pPr>
            <w:r>
              <w:rPr>
                <w:sz w:val="21"/>
              </w:rPr>
              <w:t>58% ± 8%</w:t>
            </w:r>
          </w:p>
        </w:tc>
        <w:tc>
          <w:tcPr>
            <w:tcW w:w="1440" w:type="dxa"/>
            <w:shd w:val="clear" w:color="auto" w:fill="FFFFFF"/>
            <w:tcMar>
              <w:top w:w="80" w:type="dxa"/>
              <w:left w:w="85" w:type="dxa"/>
              <w:bottom w:w="80" w:type="dxa"/>
              <w:right w:w="85" w:type="dxa"/>
            </w:tcMar>
            <w:vAlign w:val="center"/>
          </w:tcPr>
          <w:p w14:paraId="0CEE3CFF" w14:textId="77777777" w:rsidR="006D39C8" w:rsidRDefault="00000000">
            <w:pPr>
              <w:keepNext/>
              <w:keepLines/>
              <w:spacing w:after="0" w:line="247" w:lineRule="auto"/>
              <w:jc w:val="right"/>
              <w:rPr>
                <w:rFonts w:hint="eastAsia"/>
              </w:rPr>
            </w:pPr>
            <w:r>
              <w:rPr>
                <w:sz w:val="21"/>
              </w:rPr>
              <w:t>1.6</w:t>
            </w:r>
          </w:p>
        </w:tc>
      </w:tr>
      <w:tr w:rsidR="006D39C8" w14:paraId="65845DFD" w14:textId="77777777">
        <w:trPr>
          <w:cantSplit/>
          <w:jc w:val="center"/>
        </w:trPr>
        <w:tc>
          <w:tcPr>
            <w:tcW w:w="3384" w:type="dxa"/>
            <w:shd w:val="clear" w:color="auto" w:fill="FFFFFF"/>
            <w:tcMar>
              <w:top w:w="80" w:type="dxa"/>
              <w:left w:w="85" w:type="dxa"/>
              <w:bottom w:w="80" w:type="dxa"/>
              <w:right w:w="85" w:type="dxa"/>
            </w:tcMar>
            <w:vAlign w:val="center"/>
          </w:tcPr>
          <w:p w14:paraId="586BCACB" w14:textId="77777777" w:rsidR="006D39C8" w:rsidRDefault="00000000">
            <w:pPr>
              <w:keepNext/>
              <w:keepLines/>
              <w:spacing w:after="0" w:line="247" w:lineRule="auto"/>
              <w:jc w:val="left"/>
              <w:rPr>
                <w:rFonts w:hint="eastAsia"/>
              </w:rPr>
            </w:pPr>
            <w:r>
              <w:rPr>
                <w:sz w:val="21"/>
              </w:rPr>
              <w:t>Random inclusion with floor 0.2</w:t>
            </w:r>
          </w:p>
        </w:tc>
        <w:tc>
          <w:tcPr>
            <w:tcW w:w="1512" w:type="dxa"/>
            <w:shd w:val="clear" w:color="auto" w:fill="FFFFFF"/>
            <w:tcMar>
              <w:top w:w="80" w:type="dxa"/>
              <w:left w:w="85" w:type="dxa"/>
              <w:bottom w:w="80" w:type="dxa"/>
              <w:right w:w="85" w:type="dxa"/>
            </w:tcMar>
            <w:vAlign w:val="center"/>
          </w:tcPr>
          <w:p w14:paraId="3A4FACD5" w14:textId="77777777" w:rsidR="006D39C8" w:rsidRDefault="00000000">
            <w:pPr>
              <w:keepNext/>
              <w:keepLines/>
              <w:spacing w:after="0" w:line="247" w:lineRule="auto"/>
              <w:jc w:val="right"/>
              <w:rPr>
                <w:rFonts w:hint="eastAsia"/>
              </w:rPr>
            </w:pPr>
            <w:r>
              <w:rPr>
                <w:sz w:val="21"/>
              </w:rPr>
              <w:t>871</w:t>
            </w:r>
          </w:p>
        </w:tc>
        <w:tc>
          <w:tcPr>
            <w:tcW w:w="1800" w:type="dxa"/>
            <w:shd w:val="clear" w:color="auto" w:fill="FFFFFF"/>
            <w:tcMar>
              <w:top w:w="80" w:type="dxa"/>
              <w:left w:w="85" w:type="dxa"/>
              <w:bottom w:w="80" w:type="dxa"/>
              <w:right w:w="85" w:type="dxa"/>
            </w:tcMar>
            <w:vAlign w:val="center"/>
          </w:tcPr>
          <w:p w14:paraId="1DA62E1D" w14:textId="77777777" w:rsidR="006D39C8" w:rsidRDefault="00000000">
            <w:pPr>
              <w:keepNext/>
              <w:keepLines/>
              <w:spacing w:after="0" w:line="247" w:lineRule="auto"/>
              <w:jc w:val="right"/>
              <w:rPr>
                <w:rFonts w:hint="eastAsia"/>
              </w:rPr>
            </w:pPr>
            <w:r>
              <w:rPr>
                <w:sz w:val="21"/>
              </w:rPr>
              <w:t>0.028 ± 0.008</w:t>
            </w:r>
          </w:p>
        </w:tc>
        <w:tc>
          <w:tcPr>
            <w:tcW w:w="1800" w:type="dxa"/>
            <w:shd w:val="clear" w:color="auto" w:fill="FFFFFF"/>
            <w:tcMar>
              <w:top w:w="80" w:type="dxa"/>
              <w:left w:w="85" w:type="dxa"/>
              <w:bottom w:w="80" w:type="dxa"/>
              <w:right w:w="85" w:type="dxa"/>
            </w:tcMar>
            <w:vAlign w:val="center"/>
          </w:tcPr>
          <w:p w14:paraId="0B43D3FF" w14:textId="77777777" w:rsidR="006D39C8" w:rsidRDefault="00000000">
            <w:pPr>
              <w:keepNext/>
              <w:keepLines/>
              <w:spacing w:after="0" w:line="247" w:lineRule="auto"/>
              <w:jc w:val="right"/>
              <w:rPr>
                <w:rFonts w:hint="eastAsia"/>
              </w:rPr>
            </w:pPr>
            <w:r>
              <w:rPr>
                <w:sz w:val="21"/>
              </w:rPr>
              <w:t>55% ± 10%</w:t>
            </w:r>
          </w:p>
        </w:tc>
        <w:tc>
          <w:tcPr>
            <w:tcW w:w="1440" w:type="dxa"/>
            <w:shd w:val="clear" w:color="auto" w:fill="FFFFFF"/>
            <w:tcMar>
              <w:top w:w="80" w:type="dxa"/>
              <w:left w:w="85" w:type="dxa"/>
              <w:bottom w:w="80" w:type="dxa"/>
              <w:right w:w="85" w:type="dxa"/>
            </w:tcMar>
            <w:vAlign w:val="center"/>
          </w:tcPr>
          <w:p w14:paraId="44289FB9" w14:textId="77777777" w:rsidR="006D39C8" w:rsidRDefault="00000000">
            <w:pPr>
              <w:keepNext/>
              <w:keepLines/>
              <w:spacing w:after="0" w:line="247" w:lineRule="auto"/>
              <w:jc w:val="right"/>
              <w:rPr>
                <w:rFonts w:hint="eastAsia"/>
              </w:rPr>
            </w:pPr>
            <w:r>
              <w:rPr>
                <w:sz w:val="21"/>
              </w:rPr>
              <w:t>1.5</w:t>
            </w:r>
          </w:p>
        </w:tc>
      </w:tr>
      <w:tr w:rsidR="006D39C8" w14:paraId="567CBFCA" w14:textId="77777777">
        <w:trPr>
          <w:cantSplit/>
          <w:jc w:val="center"/>
        </w:trPr>
        <w:tc>
          <w:tcPr>
            <w:tcW w:w="3384" w:type="dxa"/>
            <w:shd w:val="clear" w:color="auto" w:fill="FFFFFF"/>
            <w:tcMar>
              <w:top w:w="80" w:type="dxa"/>
              <w:left w:w="85" w:type="dxa"/>
              <w:bottom w:w="80" w:type="dxa"/>
              <w:right w:w="85" w:type="dxa"/>
            </w:tcMar>
            <w:vAlign w:val="center"/>
          </w:tcPr>
          <w:p w14:paraId="22168E53" w14:textId="77777777" w:rsidR="006D39C8" w:rsidRDefault="00000000">
            <w:pPr>
              <w:keepLines/>
              <w:spacing w:after="0" w:line="247" w:lineRule="auto"/>
              <w:jc w:val="left"/>
              <w:rPr>
                <w:rFonts w:hint="eastAsia"/>
              </w:rPr>
            </w:pPr>
            <w:r>
              <w:rPr>
                <w:sz w:val="21"/>
              </w:rPr>
              <w:t>Intermediate surrogates only</w:t>
            </w:r>
          </w:p>
        </w:tc>
        <w:tc>
          <w:tcPr>
            <w:tcW w:w="1512" w:type="dxa"/>
            <w:shd w:val="clear" w:color="auto" w:fill="FFFFFF"/>
            <w:tcMar>
              <w:top w:w="80" w:type="dxa"/>
              <w:left w:w="85" w:type="dxa"/>
              <w:bottom w:w="80" w:type="dxa"/>
              <w:right w:w="85" w:type="dxa"/>
            </w:tcMar>
            <w:vAlign w:val="center"/>
          </w:tcPr>
          <w:p w14:paraId="565ED0B4" w14:textId="77777777" w:rsidR="006D39C8" w:rsidRDefault="00000000">
            <w:pPr>
              <w:keepLines/>
              <w:spacing w:after="0" w:line="247" w:lineRule="auto"/>
              <w:jc w:val="right"/>
              <w:rPr>
                <w:rFonts w:hint="eastAsia"/>
              </w:rPr>
            </w:pPr>
            <w:r>
              <w:rPr>
                <w:sz w:val="21"/>
              </w:rPr>
              <w:t>160</w:t>
            </w:r>
          </w:p>
        </w:tc>
        <w:tc>
          <w:tcPr>
            <w:tcW w:w="1800" w:type="dxa"/>
            <w:shd w:val="clear" w:color="auto" w:fill="FFFFFF"/>
            <w:tcMar>
              <w:top w:w="80" w:type="dxa"/>
              <w:left w:w="85" w:type="dxa"/>
              <w:bottom w:w="80" w:type="dxa"/>
              <w:right w:w="85" w:type="dxa"/>
            </w:tcMar>
            <w:vAlign w:val="center"/>
          </w:tcPr>
          <w:p w14:paraId="0E797F55" w14:textId="77777777" w:rsidR="006D39C8" w:rsidRDefault="00000000">
            <w:pPr>
              <w:keepLines/>
              <w:spacing w:after="0" w:line="247" w:lineRule="auto"/>
              <w:jc w:val="right"/>
              <w:rPr>
                <w:rFonts w:hint="eastAsia"/>
              </w:rPr>
            </w:pPr>
            <w:r>
              <w:rPr>
                <w:sz w:val="21"/>
              </w:rPr>
              <w:t>0.081 ± 0.058</w:t>
            </w:r>
          </w:p>
        </w:tc>
        <w:tc>
          <w:tcPr>
            <w:tcW w:w="1800" w:type="dxa"/>
            <w:shd w:val="clear" w:color="auto" w:fill="FFFFFF"/>
            <w:tcMar>
              <w:top w:w="80" w:type="dxa"/>
              <w:left w:w="85" w:type="dxa"/>
              <w:bottom w:w="80" w:type="dxa"/>
              <w:right w:w="85" w:type="dxa"/>
            </w:tcMar>
            <w:vAlign w:val="center"/>
          </w:tcPr>
          <w:p w14:paraId="66168F9B" w14:textId="77777777" w:rsidR="006D39C8" w:rsidRDefault="00000000">
            <w:pPr>
              <w:keepLines/>
              <w:spacing w:after="0" w:line="247" w:lineRule="auto"/>
              <w:jc w:val="right"/>
              <w:rPr>
                <w:rFonts w:hint="eastAsia"/>
              </w:rPr>
            </w:pPr>
            <w:r>
              <w:rPr>
                <w:sz w:val="21"/>
              </w:rPr>
              <w:t>37% ± 6%</w:t>
            </w:r>
          </w:p>
        </w:tc>
        <w:tc>
          <w:tcPr>
            <w:tcW w:w="1440" w:type="dxa"/>
            <w:shd w:val="clear" w:color="auto" w:fill="FFFFFF"/>
            <w:tcMar>
              <w:top w:w="80" w:type="dxa"/>
              <w:left w:w="85" w:type="dxa"/>
              <w:bottom w:w="80" w:type="dxa"/>
              <w:right w:w="85" w:type="dxa"/>
            </w:tcMar>
            <w:vAlign w:val="center"/>
          </w:tcPr>
          <w:p w14:paraId="0A902233" w14:textId="77777777" w:rsidR="006D39C8" w:rsidRDefault="00000000">
            <w:pPr>
              <w:keepLines/>
              <w:spacing w:after="0" w:line="247" w:lineRule="auto"/>
              <w:jc w:val="right"/>
              <w:rPr>
                <w:rFonts w:hint="eastAsia"/>
              </w:rPr>
            </w:pPr>
            <w:r>
              <w:rPr>
                <w:sz w:val="21"/>
              </w:rPr>
              <w:t>1.3</w:t>
            </w:r>
          </w:p>
        </w:tc>
      </w:tr>
    </w:tbl>
    <w:p w14:paraId="0AD68A3E" w14:textId="77777777" w:rsidR="006D39C8" w:rsidRDefault="00000000">
      <w:pPr>
        <w:pStyle w:val="BodyText"/>
        <w:spacing w:before="140"/>
        <w:rPr>
          <w:rFonts w:hint="eastAsia"/>
        </w:rPr>
      </w:pPr>
      <w:r>
        <w:lastRenderedPageBreak/>
        <w:t>Overlapping standard errors do not demonstrate equivalence or noninferiority. The source additionally reports that an occupancy penalty doubled spread from about 0.464 to 0.913 and increased optima covered from 2.1 to 3.3 while leaving the near fraction around 62%. This supports testing occupancy as a diversity control, with no general performance guarantee.</w:t>
      </w:r>
    </w:p>
    <w:p w14:paraId="6382288A" w14:textId="77777777" w:rsidR="006D39C8" w:rsidRDefault="00000000">
      <w:pPr>
        <w:pStyle w:val="BodyText"/>
        <w:rPr>
          <w:rFonts w:hint="eastAsia"/>
        </w:rPr>
      </w:pPr>
      <w:r>
        <w:t xml:space="preserve">At </w:t>
      </w:r>
      <m:oMath>
        <m:r>
          <w:rPr>
            <w:rFonts w:ascii="Cambria Math" w:hAnsi="Cambria Math"/>
          </w:rPr>
          <m:t>β</m:t>
        </m:r>
        <m:r>
          <m:rPr>
            <m:sty m:val="p"/>
          </m:rPr>
          <w:rPr>
            <w:rFonts w:ascii="Cambria Math" w:hAnsi="Cambria Math"/>
          </w:rPr>
          <m:t>=</m:t>
        </m:r>
        <m:r>
          <w:rPr>
            <w:rFonts w:ascii="Cambria Math" w:hAnsi="Cambria Math"/>
          </w:rPr>
          <m:t>0.1</m:t>
        </m:r>
      </m:oMath>
      <w:r>
        <w:t>, the source reports a quadrature target mean of 10.34, compared with mean estimates of 10.87 for every-state evaluation, 12.11 for an uncorrected deterministic gate and 10.77 for randomized inclusion. Reported mean ESS values were 34.1, 15.0 and 13.2. These original estimates were not independently rerun here, although Section 8.4 certifies the quadrature reference; the conditional identities and Theorem 3 state the conditions needed for new claims. The source’s equal-call comparison also reports median best loss 0.0038 versus 0.366 at a nominal budget of 400 for surrogate and every-state policies. The budget-control discrepancy requires resolving before certifying that comparison as strictly equal-budget evidence.</w:t>
      </w:r>
    </w:p>
    <w:p w14:paraId="135A22EF" w14:textId="77777777" w:rsidR="006D39C8" w:rsidRDefault="00000000">
      <w:pPr>
        <w:pStyle w:val="Heading2"/>
        <w:rPr>
          <w:rFonts w:hint="eastAsia"/>
        </w:rPr>
      </w:pPr>
      <w:bookmarkStart w:id="22" w:name="fresh-cache-and-moment-checks"/>
      <w:bookmarkEnd w:id="21"/>
      <w:r>
        <w:t>8.2 Fresh cache and moment checks</w:t>
      </w:r>
    </w:p>
    <w:p w14:paraId="03FAD46A" w14:textId="77777777" w:rsidR="006D39C8" w:rsidRDefault="00000000">
      <w:pPr>
        <w:pStyle w:val="FirstParagraph"/>
        <w:rPr>
          <w:rFonts w:hint="eastAsia"/>
        </w:rPr>
      </w:pPr>
      <w:r>
        <w:t>We executed new checks with Python 3.12.14, NumPy 2.3.5 and SciPy 1.17.0. For occupancy, seed 20261017 generated 205 three-dimensional normal points. Five initialized the cache and 200 were appended. Table 4 compares the recurrence with fresh batch sums and a deliberately transposed update.</w:t>
      </w:r>
    </w:p>
    <w:p w14:paraId="48B392B7" w14:textId="77777777" w:rsidR="006D39C8" w:rsidRDefault="00000000">
      <w:pPr>
        <w:pStyle w:val="Caption"/>
        <w:keepNext/>
        <w:rPr>
          <w:rFonts w:hint="eastAsia"/>
        </w:rPr>
      </w:pPr>
      <w:r>
        <w:t>Table 4. Fresh maximum relative occupancy errors over the final archive.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816"/>
        <w:gridCol w:w="3816"/>
      </w:tblGrid>
      <w:tr w:rsidR="006D39C8" w14:paraId="1877CEA4" w14:textId="77777777">
        <w:trPr>
          <w:cantSplit/>
          <w:tblHeader/>
          <w:jc w:val="center"/>
        </w:trPr>
        <w:tc>
          <w:tcPr>
            <w:tcW w:w="2304" w:type="dxa"/>
            <w:shd w:val="clear" w:color="auto" w:fill="EAEAEA"/>
            <w:tcMar>
              <w:top w:w="80" w:type="dxa"/>
              <w:left w:w="85" w:type="dxa"/>
              <w:bottom w:w="80" w:type="dxa"/>
              <w:right w:w="85" w:type="dxa"/>
            </w:tcMar>
            <w:vAlign w:val="center"/>
          </w:tcPr>
          <w:p w14:paraId="2C1056C4" w14:textId="77777777" w:rsidR="006D39C8" w:rsidRDefault="00000000">
            <w:pPr>
              <w:keepNext/>
              <w:keepLines/>
              <w:spacing w:after="0" w:line="247" w:lineRule="auto"/>
              <w:jc w:val="right"/>
              <w:rPr>
                <w:rFonts w:hint="eastAsia"/>
              </w:rPr>
            </w:pPr>
            <w:r>
              <w:rPr>
                <w:b/>
                <w:sz w:val="21"/>
              </w:rPr>
              <w:t>Signal level</w:t>
            </w:r>
          </w:p>
        </w:tc>
        <w:tc>
          <w:tcPr>
            <w:tcW w:w="3816" w:type="dxa"/>
            <w:shd w:val="clear" w:color="auto" w:fill="EAEAEA"/>
            <w:tcMar>
              <w:top w:w="80" w:type="dxa"/>
              <w:left w:w="85" w:type="dxa"/>
              <w:bottom w:w="80" w:type="dxa"/>
              <w:right w:w="85" w:type="dxa"/>
            </w:tcMar>
            <w:vAlign w:val="center"/>
          </w:tcPr>
          <w:p w14:paraId="09DD6058" w14:textId="77777777" w:rsidR="006D39C8" w:rsidRDefault="00000000">
            <w:pPr>
              <w:keepNext/>
              <w:keepLines/>
              <w:spacing w:after="0" w:line="247" w:lineRule="auto"/>
              <w:jc w:val="right"/>
              <w:rPr>
                <w:rFonts w:hint="eastAsia"/>
              </w:rPr>
            </w:pPr>
            <w:r>
              <w:rPr>
                <w:b/>
                <w:sz w:val="21"/>
              </w:rPr>
              <w:t>Correct update</w:t>
            </w:r>
          </w:p>
        </w:tc>
        <w:tc>
          <w:tcPr>
            <w:tcW w:w="3816" w:type="dxa"/>
            <w:shd w:val="clear" w:color="auto" w:fill="EAEAEA"/>
            <w:tcMar>
              <w:top w:w="80" w:type="dxa"/>
              <w:left w:w="85" w:type="dxa"/>
              <w:bottom w:w="80" w:type="dxa"/>
              <w:right w:w="85" w:type="dxa"/>
            </w:tcMar>
            <w:vAlign w:val="center"/>
          </w:tcPr>
          <w:p w14:paraId="0CC5B9DB" w14:textId="77777777" w:rsidR="006D39C8" w:rsidRDefault="00000000">
            <w:pPr>
              <w:keepNext/>
              <w:keepLines/>
              <w:spacing w:after="0" w:line="247" w:lineRule="auto"/>
              <w:jc w:val="right"/>
              <w:rPr>
                <w:rFonts w:hint="eastAsia"/>
              </w:rPr>
            </w:pPr>
            <w:r>
              <w:rPr>
                <w:b/>
                <w:sz w:val="21"/>
              </w:rPr>
              <w:t>Transposed update</w:t>
            </w:r>
          </w:p>
        </w:tc>
      </w:tr>
      <w:tr w:rsidR="006D39C8" w14:paraId="02542986" w14:textId="77777777">
        <w:trPr>
          <w:cantSplit/>
          <w:jc w:val="center"/>
        </w:trPr>
        <w:tc>
          <w:tcPr>
            <w:tcW w:w="2304" w:type="dxa"/>
            <w:shd w:val="clear" w:color="auto" w:fill="FFFFFF"/>
            <w:tcMar>
              <w:top w:w="80" w:type="dxa"/>
              <w:left w:w="85" w:type="dxa"/>
              <w:bottom w:w="80" w:type="dxa"/>
              <w:right w:w="85" w:type="dxa"/>
            </w:tcMar>
            <w:vAlign w:val="center"/>
          </w:tcPr>
          <w:p w14:paraId="473F3960" w14:textId="77777777" w:rsidR="006D39C8" w:rsidRDefault="00000000">
            <w:pPr>
              <w:keepNext/>
              <w:keepLines/>
              <w:spacing w:after="0" w:line="247" w:lineRule="auto"/>
              <w:jc w:val="right"/>
              <w:rPr>
                <w:rFonts w:hint="eastAsia"/>
              </w:rPr>
            </w:pPr>
            <w:r>
              <w:rPr>
                <w:sz w:val="21"/>
              </w:rPr>
              <w:t>0.146</w:t>
            </w:r>
          </w:p>
        </w:tc>
        <w:tc>
          <w:tcPr>
            <w:tcW w:w="3816" w:type="dxa"/>
            <w:shd w:val="clear" w:color="auto" w:fill="FFFFFF"/>
            <w:tcMar>
              <w:top w:w="80" w:type="dxa"/>
              <w:left w:w="85" w:type="dxa"/>
              <w:bottom w:w="80" w:type="dxa"/>
              <w:right w:w="85" w:type="dxa"/>
            </w:tcMar>
            <w:vAlign w:val="center"/>
          </w:tcPr>
          <w:p w14:paraId="5F8902DF" w14:textId="77777777" w:rsidR="006D39C8" w:rsidRDefault="00000000">
            <w:pPr>
              <w:keepNext/>
              <w:keepLines/>
              <w:spacing w:after="0" w:line="247" w:lineRule="auto"/>
              <w:jc w:val="right"/>
              <w:rPr>
                <w:rFonts w:hint="eastAsia"/>
              </w:rPr>
            </w:pPr>
            <m:oMathPara>
              <m:oMath>
                <m:r>
                  <w:rPr>
                    <w:rFonts w:ascii="Cambria Math" w:hAnsi="Cambria Math"/>
                  </w:rPr>
                  <m:t>1.21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26400D8A" w14:textId="77777777" w:rsidR="006D39C8" w:rsidRDefault="00000000">
            <w:pPr>
              <w:keepNext/>
              <w:keepLines/>
              <w:spacing w:after="0" w:line="247" w:lineRule="auto"/>
              <w:jc w:val="right"/>
              <w:rPr>
                <w:rFonts w:hint="eastAsia"/>
              </w:rPr>
            </w:pPr>
            <w:r>
              <w:rPr>
                <w:sz w:val="21"/>
              </w:rPr>
              <w:t>228.222</w:t>
            </w:r>
          </w:p>
        </w:tc>
      </w:tr>
      <w:tr w:rsidR="006D39C8" w14:paraId="49AF8EA8" w14:textId="77777777">
        <w:trPr>
          <w:cantSplit/>
          <w:jc w:val="center"/>
        </w:trPr>
        <w:tc>
          <w:tcPr>
            <w:tcW w:w="2304" w:type="dxa"/>
            <w:shd w:val="clear" w:color="auto" w:fill="FFFFFF"/>
            <w:tcMar>
              <w:top w:w="80" w:type="dxa"/>
              <w:left w:w="85" w:type="dxa"/>
              <w:bottom w:w="80" w:type="dxa"/>
              <w:right w:w="85" w:type="dxa"/>
            </w:tcMar>
            <w:vAlign w:val="center"/>
          </w:tcPr>
          <w:p w14:paraId="71C9AA9B" w14:textId="77777777" w:rsidR="006D39C8" w:rsidRDefault="00000000">
            <w:pPr>
              <w:keepNext/>
              <w:keepLines/>
              <w:spacing w:after="0" w:line="247" w:lineRule="auto"/>
              <w:jc w:val="right"/>
              <w:rPr>
                <w:rFonts w:hint="eastAsia"/>
              </w:rPr>
            </w:pPr>
            <w:r>
              <w:rPr>
                <w:sz w:val="21"/>
              </w:rPr>
              <w:t>0.500</w:t>
            </w:r>
          </w:p>
        </w:tc>
        <w:tc>
          <w:tcPr>
            <w:tcW w:w="3816" w:type="dxa"/>
            <w:shd w:val="clear" w:color="auto" w:fill="FFFFFF"/>
            <w:tcMar>
              <w:top w:w="80" w:type="dxa"/>
              <w:left w:w="85" w:type="dxa"/>
              <w:bottom w:w="80" w:type="dxa"/>
              <w:right w:w="85" w:type="dxa"/>
            </w:tcMar>
            <w:vAlign w:val="center"/>
          </w:tcPr>
          <w:p w14:paraId="60A2ED9A" w14:textId="77777777" w:rsidR="006D39C8" w:rsidRDefault="00000000">
            <w:pPr>
              <w:keepNext/>
              <w:keepLines/>
              <w:spacing w:after="0" w:line="247" w:lineRule="auto"/>
              <w:jc w:val="right"/>
              <w:rPr>
                <w:rFonts w:hint="eastAsia"/>
              </w:rPr>
            </w:pPr>
            <m:oMathPara>
              <m:oMath>
                <m:r>
                  <w:rPr>
                    <w:rFonts w:ascii="Cambria Math" w:hAnsi="Cambria Math"/>
                  </w:rPr>
                  <m:t>1.47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65821013" w14:textId="77777777" w:rsidR="006D39C8" w:rsidRDefault="00000000">
            <w:pPr>
              <w:keepNext/>
              <w:keepLines/>
              <w:spacing w:after="0" w:line="247" w:lineRule="auto"/>
              <w:jc w:val="right"/>
              <w:rPr>
                <w:rFonts w:hint="eastAsia"/>
              </w:rPr>
            </w:pPr>
            <w:r>
              <w:rPr>
                <w:sz w:val="21"/>
              </w:rPr>
              <w:t>12.686</w:t>
            </w:r>
          </w:p>
        </w:tc>
      </w:tr>
      <w:tr w:rsidR="006D39C8" w14:paraId="0ADE417D" w14:textId="77777777">
        <w:trPr>
          <w:cantSplit/>
          <w:jc w:val="center"/>
        </w:trPr>
        <w:tc>
          <w:tcPr>
            <w:tcW w:w="2304" w:type="dxa"/>
            <w:shd w:val="clear" w:color="auto" w:fill="FFFFFF"/>
            <w:tcMar>
              <w:top w:w="80" w:type="dxa"/>
              <w:left w:w="85" w:type="dxa"/>
              <w:bottom w:w="80" w:type="dxa"/>
              <w:right w:w="85" w:type="dxa"/>
            </w:tcMar>
            <w:vAlign w:val="center"/>
          </w:tcPr>
          <w:p w14:paraId="6F009021" w14:textId="77777777" w:rsidR="006D39C8" w:rsidRDefault="00000000">
            <w:pPr>
              <w:keepLines/>
              <w:spacing w:after="0" w:line="247" w:lineRule="auto"/>
              <w:jc w:val="right"/>
              <w:rPr>
                <w:rFonts w:hint="eastAsia"/>
              </w:rPr>
            </w:pPr>
            <w:r>
              <w:rPr>
                <w:sz w:val="21"/>
              </w:rPr>
              <w:t>0.916</w:t>
            </w:r>
          </w:p>
        </w:tc>
        <w:tc>
          <w:tcPr>
            <w:tcW w:w="3816" w:type="dxa"/>
            <w:shd w:val="clear" w:color="auto" w:fill="FFFFFF"/>
            <w:tcMar>
              <w:top w:w="80" w:type="dxa"/>
              <w:left w:w="85" w:type="dxa"/>
              <w:bottom w:w="80" w:type="dxa"/>
              <w:right w:w="85" w:type="dxa"/>
            </w:tcMar>
            <w:vAlign w:val="center"/>
          </w:tcPr>
          <w:p w14:paraId="03A63EAC" w14:textId="77777777" w:rsidR="006D39C8" w:rsidRDefault="00000000">
            <w:pPr>
              <w:keepLines/>
              <w:spacing w:after="0" w:line="247" w:lineRule="auto"/>
              <w:jc w:val="right"/>
              <w:rPr>
                <w:rFonts w:hint="eastAsia"/>
              </w:rPr>
            </w:pPr>
            <m:oMathPara>
              <m:oMath>
                <m:r>
                  <w:rPr>
                    <w:rFonts w:ascii="Cambria Math" w:hAnsi="Cambria Math"/>
                  </w:rPr>
                  <m:t>1.17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1BBF098E" w14:textId="77777777" w:rsidR="006D39C8" w:rsidRDefault="00000000">
            <w:pPr>
              <w:keepLines/>
              <w:spacing w:after="0" w:line="247" w:lineRule="auto"/>
              <w:jc w:val="right"/>
              <w:rPr>
                <w:rFonts w:hint="eastAsia"/>
              </w:rPr>
            </w:pPr>
            <w:r>
              <w:rPr>
                <w:sz w:val="21"/>
              </w:rPr>
              <w:t>0.263</w:t>
            </w:r>
          </w:p>
        </w:tc>
      </w:tr>
    </w:tbl>
    <w:p w14:paraId="0B831508" w14:textId="77777777" w:rsidR="006D39C8" w:rsidRDefault="00000000">
      <w:pPr>
        <w:pStyle w:val="BodyText"/>
        <w:spacing w:before="140"/>
        <w:rPr>
          <w:rFonts w:hint="eastAsia"/>
        </w:rPr>
      </w:pPr>
      <w:r>
        <w:t xml:space="preserve">The detailed-balance log identity had maximum absolute error </w:t>
      </w:r>
      <m:oMath>
        <m:r>
          <w:rPr>
            <w:rFonts w:ascii="Cambria Math" w:hAnsi="Cambria Math"/>
          </w:rPr>
          <m:t>2.67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on 400 pairs. The diagonal formula (9) and exact weighted-value grouping (11) also passed; the grouping test gave zero observed difference. These are finite-range arithmetic checks, not a universal floating-point error bound.</w:t>
      </w:r>
    </w:p>
    <w:p w14:paraId="3ECA855C" w14:textId="77777777" w:rsidR="006D39C8" w:rsidRDefault="00000000">
      <w:pPr>
        <w:pStyle w:val="BodyText"/>
        <w:rPr>
          <w:rFonts w:hint="eastAsia"/>
        </w:rPr>
      </w:pPr>
      <w:r>
        <w:t xml:space="preserve">For the noise identity, 200,000 independent residual and noise draws were used in three dimensions, with residual mean 0.4 per coordinate and variance 0.4, so </w:t>
      </w:r>
      <m:oMath>
        <m:r>
          <w:rPr>
            <w:rFonts w:ascii="Cambria Math" w:hAnsi="Cambria Math"/>
          </w:rPr>
          <m:t>s</m:t>
        </m:r>
        <m:r>
          <m:rPr>
            <m:sty m:val="p"/>
          </m:rPr>
          <w:rPr>
            <w:rFonts w:ascii="Cambria Math" w:hAnsi="Cambria Math"/>
          </w:rPr>
          <m:t>=</m:t>
        </m:r>
        <m:r>
          <w:rPr>
            <w:rFonts w:ascii="Cambria Math" w:hAnsi="Cambria Math"/>
          </w:rPr>
          <m:t>0.56</m:t>
        </m:r>
      </m:oMath>
      <w:r>
        <w:t xml:space="preserve">. For </w:t>
      </w:r>
      <m:oMath>
        <m:r>
          <w:rPr>
            <w:rFonts w:ascii="Cambria Math" w:hAnsi="Cambria Math"/>
          </w:rPr>
          <m:t>a</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the exact residual second moment per coordinate is 0.349714 and the measured value was 0.350892. The corresponding centered variance is 0.331429 and was measured as 0.332475. Checks at noise multipliers 0, 0.5 and capped 1.4 also agreed within 0.004. Their difference illustrates why the two quantities require separate reporting.</w:t>
      </w:r>
    </w:p>
    <w:p w14:paraId="7A6AEFC3" w14:textId="77777777" w:rsidR="006D39C8" w:rsidRDefault="00000000">
      <w:pPr>
        <w:pStyle w:val="Heading2"/>
        <w:rPr>
          <w:rFonts w:hint="eastAsia"/>
        </w:rPr>
      </w:pPr>
      <w:bookmarkStart w:id="23" w:name="fresh-selective-evaluation-audit"/>
      <w:bookmarkEnd w:id="22"/>
      <w:r>
        <w:t>8.3 Fresh selective evaluation audit</w:t>
      </w:r>
    </w:p>
    <w:p w14:paraId="737D07C5" w14:textId="77777777" w:rsidR="006D39C8" w:rsidRDefault="00000000">
      <w:pPr>
        <w:pStyle w:val="FirstParagraph"/>
        <w:rPr>
          <w:rFonts w:hint="eastAsia"/>
        </w:rPr>
      </w:pPr>
      <w:r>
        <w:t xml:space="preserve">Let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r>
          <w:rPr>
            <w:rFonts w:ascii="Cambria Math" w:hAnsi="Cambria Math"/>
          </w:rPr>
          <m:t>β</m:t>
        </m:r>
        <m:r>
          <m:rPr>
            <m:sty m:val="p"/>
          </m:rPr>
          <w:rPr>
            <w:rFonts w:ascii="Cambria Math" w:hAnsi="Cambria Math"/>
          </w:rPr>
          <m:t>=</m:t>
        </m:r>
        <m:r>
          <w:rPr>
            <w:rFonts w:ascii="Cambria Math" w:hAnsi="Cambria Math"/>
          </w:rPr>
          <m:t>0.5</m:t>
        </m:r>
      </m:oMath>
      <w:r>
        <w:t xml:space="preserve">. The target has covariance </w:t>
      </w:r>
      <m:oMath>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2</m:t>
        </m:r>
      </m:oMath>
      <w:r>
        <w:t xml:space="preserve"> and exact mean loss one. Generate 100,000 attempts with seed 20261017 from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0.75</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0.35</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2</m:t>
                </m:r>
              </m:sub>
            </m:sSub>
          </m:e>
        </m:d>
        <m:r>
          <m:rPr>
            <m:sty m:val="p"/>
          </m:rPr>
          <w:rPr>
            <w:rFonts w:ascii="Cambria Math" w:hAnsi="Cambria Math"/>
          </w:rPr>
          <m:t>+</m:t>
        </m:r>
        <m:r>
          <w:rPr>
            <w:rFonts w:ascii="Cambria Math" w:hAnsi="Cambria Math"/>
          </w:rPr>
          <m:t>0.25ν</m:t>
        </m:r>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0.02</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Set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w:t>
      </w:r>
      <m:oMath>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b>
            <m:r>
              <w:rPr>
                <w:rFonts w:ascii="Cambria Math" w:hAnsi="Cambria Math"/>
              </w:rPr>
              <m:t>1</m:t>
            </m:r>
          </m:sub>
        </m:sSub>
        <m:r>
          <m:rPr>
            <m:sty m:val="p"/>
          </m:rPr>
          <w:rPr>
            <w:rFonts w:ascii="Cambria Math" w:hAnsi="Cambria Math"/>
          </w:rPr>
          <m:t>|&gt;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0.25</m:t>
        </m:r>
      </m:oMath>
      <w:r>
        <w:t xml:space="preserve"> otherwise. Draw the inclusion indicator independently conditional on the state. The full mixture density is recorded.</w:t>
      </w:r>
    </w:p>
    <w:p w14:paraId="1E9FFB31" w14:textId="77777777" w:rsidR="006D39C8" w:rsidRDefault="00000000">
      <w:pPr>
        <w:pStyle w:val="BodyText"/>
        <w:rPr>
          <w:rFonts w:hint="eastAsia"/>
        </w:rPr>
      </w:pPr>
      <w:r>
        <w:t xml:space="preserve">The audit observed 31,078 target responses. It gave 0.995836 with proposal and inclusion corrections, compared with 1.412178 when inclusion correction was omitted. A complete-response counterfactual on the same attempted states gave 0.996920. Corrected ESS was 17,264.6 of the </w:t>
      </w:r>
      <w:r>
        <w:lastRenderedPageBreak/>
        <w:t>100,000 attempts. The complete-response diagnostic computes hidden truth only for this analytic test; the proposal policy never receives it. This is an estimator audit, not an engineering optimizer benchmark or a proof of finite-sample accuracy from one seed.</w:t>
      </w:r>
    </w:p>
    <w:p w14:paraId="7A744C8E" w14:textId="77777777" w:rsidR="006D39C8" w:rsidRDefault="00000000">
      <w:pPr>
        <w:pStyle w:val="BodyText"/>
        <w:keepNext/>
        <w:jc w:val="center"/>
        <w:rPr>
          <w:rFonts w:hint="eastAsia"/>
        </w:rPr>
      </w:pPr>
      <w:r>
        <w:rPr>
          <w:noProof/>
        </w:rPr>
        <w:drawing>
          <wp:inline distT="0" distB="0" distL="0" distR="0" wp14:anchorId="668F3DE3" wp14:editId="20460DAD">
            <wp:extent cx="6126480" cy="2297430"/>
            <wp:effectExtent l="0" t="0" r="0" b="0"/>
            <wp:docPr id="43" name="Picture" descr="Noise moments and selective evaluation"/>
            <wp:cNvGraphicFramePr/>
            <a:graphic xmlns:a="http://schemas.openxmlformats.org/drawingml/2006/main">
              <a:graphicData uri="http://schemas.openxmlformats.org/drawingml/2006/picture">
                <pic:pic xmlns:pic="http://schemas.openxmlformats.org/drawingml/2006/picture">
                  <pic:nvPicPr>
                    <pic:cNvPr id="44" name="Picture" descr="figures/noise_and_inclusion.png"/>
                    <pic:cNvPicPr>
                      <a:picLocks noChangeAspect="1" noChangeArrowheads="1"/>
                    </pic:cNvPicPr>
                  </pic:nvPicPr>
                  <pic:blipFill>
                    <a:blip r:embed="rId7"/>
                    <a:stretch>
                      <a:fillRect/>
                    </a:stretch>
                  </pic:blipFill>
                  <pic:spPr bwMode="auto">
                    <a:xfrm>
                      <a:off x="0" y="0"/>
                      <a:ext cx="6126480" cy="2297430"/>
                    </a:xfrm>
                    <a:prstGeom prst="rect">
                      <a:avLst/>
                    </a:prstGeom>
                    <a:noFill/>
                    <a:ln w="9525">
                      <a:noFill/>
                      <a:headEnd/>
                      <a:tailEnd/>
                    </a:ln>
                  </pic:spPr>
                </pic:pic>
              </a:graphicData>
            </a:graphic>
          </wp:inline>
        </w:drawing>
      </w:r>
    </w:p>
    <w:p w14:paraId="5AA9E7E8" w14:textId="77777777" w:rsidR="006D39C8" w:rsidRDefault="00000000">
      <w:pPr>
        <w:pStyle w:val="Caption"/>
        <w:keepLines/>
        <w:rPr>
          <w:rFonts w:hint="eastAsia"/>
        </w:rPr>
      </w:pPr>
      <w:r>
        <w:t xml:space="preserve">Figure 1. Left: equation (6) for fixed residual distributions with different second moments </w:t>
      </w:r>
      <m:oMath>
        <m:r>
          <w:rPr>
            <w:rFonts w:ascii="Cambria Math" w:hAnsi="Cambria Math"/>
          </w:rPr>
          <m:t>s</m:t>
        </m:r>
      </m:oMath>
      <w:r>
        <w:t xml:space="preserve">, at </w:t>
      </w:r>
      <m:oMath>
        <m:r>
          <w:rPr>
            <w:rFonts w:ascii="Cambria Math" w:hAnsi="Cambria Math"/>
          </w:rPr>
          <m:t>b</m:t>
        </m:r>
        <m:r>
          <m:rPr>
            <m:sty m:val="p"/>
          </m:rPr>
          <w:rPr>
            <w:rFonts w:ascii="Cambria Math" w:hAnsi="Cambria Math"/>
          </w:rPr>
          <m:t>=</m:t>
        </m:r>
        <m:r>
          <w:rPr>
            <w:rFonts w:ascii="Cambria Math" w:hAnsi="Cambria Math"/>
          </w:rPr>
          <m:t>0.6</m:t>
        </m:r>
      </m:oMath>
      <w:r>
        <w:t>. Right: the fresh analytic audit, with exact target mean dashed. Omitting inclusion correction changes the estimated mean even when the conditional proposal correction is retained.</w:t>
      </w:r>
    </w:p>
    <w:p w14:paraId="4332A717" w14:textId="77777777" w:rsidR="006D39C8" w:rsidRDefault="00000000">
      <w:pPr>
        <w:pStyle w:val="BodyText"/>
        <w:rPr>
          <w:rFonts w:hint="eastAsia"/>
        </w:rPr>
      </w:pPr>
      <w:r>
        <w:t>A separate strict-budget check used eight prompt calls, four stages per candidate and a total call budget of 19. It stopped with two complete candidates and three stages of a partial candidate, exactly 19 calls and no overshoot. This isolates budget logic; it does not rerun the source’s equal-budget comparisons. Appendix B contains the executed occupancy and estimator reference. The original C# console output is not represented as newly compiled evidence. Sections 8.4–8.7 instead report a newly compiled, validated C# implementation.</w:t>
      </w:r>
    </w:p>
    <w:p>
      <w:pPr>
        <w:pStyle w:val="Heading2"/>
      </w:pPr>
      <w:r>
        <w:t xml:space="preserve">8.4 Validated interval computation in C#</w:t>
      </w:r>
    </w:p>
    <w:p>
      <w:pPr>
        <w:pStyle w:val="FirstParagraph"/>
      </w:pPr>
      <w:r>
        <w:t xml:space="preserve">This revision adds a newly compiled C# implementation with validated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Under that assumption, each interval below contains the exact real value it encloses. Floating-point values that are not enclosed are diagnostics. Symbolic identities were checked with SymPy 1.14.0.</w:t>
      </w:r>
    </w:p>
    <w:p>
      <w:pPr>
        <w:pStyle w:val="BodyText"/>
      </w:pPr>
      <w:r>
        <w:t xml:space="preserve">The occupancy test repeats Section 8.2 with 205 three-dimensional standard-normal points from the C# generator, seed 20261029. Five points initialize the cache and 200 are appended. At each signal level, the program carries three versions of the cache: an interval recurrence (7), a floating-point recurrence and a deliberately transposed interval update that uses</w:t>
      </w:r>
      <w:r>
        <w:t xml:space="preserve"> </w:t>
      </w:r>
      <m:oMath>
        <m:sSub>
          <m:e>
            <m:r>
              <w:rPr>
                <w:rFonts w:ascii="Cambria Math" w:hAnsi="Cambria Math"/>
              </w:rPr>
              <m:t>H</m:t>
            </m:r>
          </m:e>
          <m:sub>
            <m:r>
              <w:rPr>
                <w:rFonts w:ascii="Cambria Math" w:hAnsi="Cambria Math"/>
              </w:rPr>
              <m:t>a</m:t>
            </m:r>
          </m:sub>
        </m:sSub>
        <m:d>
          <m:dPr>
            <m:begChr m:val="("/>
            <m:sepChr m:val=""/>
            <m:endChr m:val=")"/>
            <m:grow/>
          </m:dPr>
          <m:e>
            <m:sSub>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e>
                <m:r>
                  <w:rPr>
                    <w:rFonts w:ascii="Cambria Math" w:hAnsi="Cambria Math"/>
                  </w:rPr>
                  <m:t>y</m:t>
                </m:r>
              </m:e>
              <m:sub>
                <m:r>
                  <w:rPr>
                    <w:rFonts w:ascii="Cambria Math" w:hAnsi="Cambria Math"/>
                  </w:rPr>
                  <m:t>j</m:t>
                </m:r>
              </m:sub>
            </m:sSub>
          </m:e>
        </m:d>
      </m:oMath>
      <w:r>
        <w:t xml:space="preserve"> </w:t>
      </w:r>
      <w:r>
        <w:t xml:space="preserve">for old queries. It then compares each with interval batch sums over the final archive. A relative error is certified when it is computed from the enclosure endpoints in the unfavourable direction.</w:t>
      </w:r>
    </w:p>
    <w:p>
      <w:pPr>
        <w:pStyle w:val="Caption"/>
        <w:keepNext/>
      </w:pPr>
      <w:r>
        <w:t xml:space="preserve">Table 5. Validated occupancy caches after 200 appends. Errors are maximum relative errors against exact batch sums; the equal-norm control uses points on a sphere.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4"/>
        <w:gridCol w:w="1391"/>
        <w:gridCol w:w="1292"/>
        <w:gridCol w:w="1093"/>
        <w:gridCol w:w="2186"/>
        <w:gridCol w:w="1093"/>
        <w:gridCol w:w="1987"/>
      </w:tblGrid>
      <w:tr>
        <w:trPr>
          <w:cantSplit/>
          <w:tblHeader/>
          <w:jc w:val="center"/>
        </w:trPr>
        <w:tc>
          <w:tcPr>
            <w:tcW w:w="894"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Signal level</w:t>
            </w:r>
          </w:p>
        </w:tc>
        <w:tc>
          <w:tcPr>
            <w:tcW w:w="1391"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Float recurrence, certified bound</w:t>
            </w:r>
          </w:p>
        </w:tc>
        <w:tc>
          <w:tcPr>
            <w:tcW w:w="129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Recurrence enclosure width</w:t>
            </w:r>
          </w:p>
        </w:tc>
        <w:tc>
          <w:tcPr>
            <w:tcW w:w="109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Overlap with batch</w:t>
            </w:r>
          </w:p>
        </w:tc>
        <w:tc>
          <w:tcPr>
            <w:tcW w:w="218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Transposed update, certified error</w:t>
            </w:r>
          </w:p>
        </w:tc>
        <w:tc>
          <w:tcPr>
            <w:tcW w:w="109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wrong</w:t>
            </w:r>
          </w:p>
        </w:tc>
        <w:tc>
          <w:tcPr>
            <w:tcW w:w="1987"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Equal-norm control</w:t>
            </w:r>
          </w:p>
        </w:tc>
      </w:tr>
      <w:tr>
        <w:trPr>
          <w:cantSplit/>
          <w:jc w:val="center"/>
        </w:trPr>
        <w:tc>
          <w:tcPr>
            <w:tcW w:w="8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0.146</w:t>
            </w:r>
          </w:p>
        </w:tc>
        <w:tc>
          <w:tcPr>
            <w:tcW w:w="139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2.5 × 10⁻¹⁴</w:t>
            </w:r>
          </w:p>
        </w:tc>
        <w:tc>
          <w:tcPr>
            <w:tcW w:w="129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5.0 × 10⁻¹⁴</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205 of 205</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[118.589217, 118.589217]</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205 of 205</w:t>
            </w:r>
          </w:p>
        </w:tc>
        <w:tc>
          <w:tcPr>
            <w:tcW w:w="198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 of 205, ≤ 4.1 × 10⁻¹⁴</w:t>
            </w:r>
          </w:p>
        </w:tc>
      </w:tr>
      <w:tr>
        <w:trPr>
          <w:cantSplit/>
          <w:jc w:val="center"/>
        </w:trPr>
        <w:tc>
          <w:tcPr>
            <w:tcW w:w="8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w:t>
            </w:r>
          </w:p>
        </w:tc>
        <w:tc>
          <w:tcPr>
            <w:tcW w:w="139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3.3 × 10⁻¹⁴</w:t>
            </w:r>
          </w:p>
        </w:tc>
        <w:tc>
          <w:tcPr>
            <w:tcW w:w="129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6.4 × 10⁻¹⁴</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205 of 205</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[13.096882, 13.096882]</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205 of 205</w:t>
            </w:r>
          </w:p>
        </w:tc>
        <w:tc>
          <w:tcPr>
            <w:tcW w:w="198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 of 205, ≤ 4.5 × 10⁻¹⁴</w:t>
            </w:r>
          </w:p>
        </w:tc>
      </w:tr>
      <w:tr>
        <w:trPr>
          <w:cantSplit/>
          <w:jc w:val="center"/>
        </w:trPr>
        <w:tc>
          <w:tcPr>
            <w:tcW w:w="8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0.916</w:t>
            </w:r>
          </w:p>
        </w:tc>
        <w:tc>
          <w:tcPr>
            <w:tcW w:w="139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3.6 × 10⁻¹⁴</w:t>
            </w:r>
          </w:p>
        </w:tc>
        <w:tc>
          <w:tcPr>
            <w:tcW w:w="129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7.2 × 10⁻¹⁴</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205 of 205</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[0.310958, 0.310958]</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205 of 205</w:t>
            </w:r>
          </w:p>
        </w:tc>
        <w:tc>
          <w:tcPr>
            <w:tcW w:w="198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 of 205, ≤ 5.0 × 10⁻¹⁴</w:t>
            </w:r>
          </w:p>
        </w:tc>
      </w:tr>
    </w:tbl>
    <w:p>
      <w:pPr>
        <w:pStyle w:val="BodyText"/>
        <w:spacing w:before="140"/>
      </w:pPr>
    </w:p>
    <w:p>
      <w:pPr>
        <w:pStyle w:val="BodyText"/>
      </w:pPr>
      <w:r>
        <w:t xml:space="preserve">The floating-point recurrence and batch sums agree bit for bit here. Both add the same terms in the same order, so this equality says nothing about accuracy. The informative quantity is the certified bound: the floating-point recurrence is within</w:t>
      </w:r>
      <w:r>
        <w:t xml:space="preserve"> </w:t>
      </w:r>
      <m:oMath>
        <m:r>
          <w:rPr>
            <w:rFonts w:ascii="Cambria Math" w:hAnsi="Cambria Math"/>
          </w:rPr>
          <m:t>3.7</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14</m:t>
            </m:r>
          </m:sup>
        </m:sSup>
      </m:oMath>
      <w:r>
        <w:t xml:space="preserve"> </w:t>
      </w:r>
      <w:r>
        <w:t xml:space="preserve">of the exact sums, relative to their size, at every point and signal level. The transposed update is wrong at all 205 points at every level, and the size of its error is certified to 12 digits. The control uses 205 points on a sphere of radius 1.3. With equal norms, Proposition 2 makes the transposed update exact, and its enclosures overlap the batch sums everywhere. This confirms the regression-test advice in Section 11: only points with different norms reveal the error.</w:t>
      </w:r>
    </w:p>
    <w:p>
      <w:pPr>
        <w:pStyle w:val="BodyText"/>
      </w:pPr>
      <w:r>
        <w:t xml:space="preserve">For detailed balance, 400 random pairs at each signal level were enclosed in the residual</w:t>
      </w:r>
      <w:r>
        <w:t xml:space="preserve"> </w:t>
      </w:r>
      <m:oMath>
        <m:r>
          <m:rPr>
            <m:sty m:val="p"/>
          </m:rPr>
          <w:rPr>
            <w:rFonts w:ascii="Cambria Math" w:hAnsi="Cambria Math"/>
          </w:rPr>
          <m:t>log</m:t>
        </m:r>
        <m:sSub>
          <m:e>
            <m:r>
              <w:rPr>
                <w:rFonts w:ascii="Cambria Math" w:hAnsi="Cambria Math"/>
              </w:rPr>
              <m:t>H</m:t>
            </m:r>
          </m:e>
          <m:sub>
            <m:r>
              <w:rPr>
                <w:rFonts w:ascii="Cambria Math" w:hAnsi="Cambria Math"/>
              </w:rPr>
              <m:t>a</m:t>
            </m:r>
          </m:sub>
        </m:sSub>
        <m:d>
          <m:dPr>
            <m:begChr m:val="("/>
            <m:sepChr m:val=""/>
            <m:endChr m:val=")"/>
            <m:grow/>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ty m:val="p"/>
          </m:rPr>
          <w:rPr>
            <w:rFonts w:ascii="Cambria Math" w:hAnsi="Cambria Math"/>
          </w:rPr>
          <m:t>log</m:t>
        </m:r>
        <m:sSub>
          <m:e>
            <m:r>
              <w:rPr>
                <w:rFonts w:ascii="Cambria Math" w:hAnsi="Cambria Math"/>
              </w:rPr>
              <m:t>H</m:t>
            </m:r>
          </m:e>
          <m:sub>
            <m:r>
              <w:rPr>
                <w:rFonts w:ascii="Cambria Math" w:hAnsi="Cambria Math"/>
              </w:rPr>
              <m:t>a</m:t>
            </m:r>
          </m:sub>
        </m:sSub>
        <m:d>
          <m:dPr>
            <m:begChr m:val="("/>
            <m:sepChr m:val=""/>
            <m:endChr m:val=")"/>
            <m:grow/>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d>
          <m:dPr>
            <m:begChr m:val="("/>
            <m:sepChr m:val=""/>
            <m:endChr m:val=")"/>
            <m:grow/>
          </m:dPr>
          <m:e>
            <m:r>
              <m:rPr>
                <m:sty m:val="p"/>
              </m:rPr>
              <w:rPr>
                <w:rFonts w:ascii="Cambria Math" w:hAnsi="Cambria Math"/>
              </w:rPr>
              <m:t>∥</m:t>
            </m:r>
            <m:r>
              <w:rPr>
                <w:rFonts w:ascii="Cambria Math" w:hAnsi="Cambria Math"/>
              </w:rPr>
              <m:t>y</m:t>
            </m:r>
            <m:sSup>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p"/>
              </m:rPr>
              <w:rPr>
                <w:rFonts w:ascii="Cambria Math" w:hAnsi="Cambria Math"/>
              </w:rPr>
              <m:t>∥</m:t>
            </m:r>
            <m:r>
              <w:rPr>
                <w:rFonts w:ascii="Cambria Math" w:hAnsi="Cambria Math"/>
              </w:rPr>
              <m:t>x</m:t>
            </m:r>
            <m:sSup>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2</m:t>
        </m:r>
      </m:oMath>
      <w:r>
        <w:t xml:space="preserve">. Every enclosure contains zero, with width at most</w:t>
      </w:r>
      <w:r>
        <w:t xml:space="preserve"> </w:t>
      </w:r>
      <m:oMath>
        <m:r>
          <w:rPr>
            <w:rFonts w:ascii="Cambria Math" w:hAnsi="Cambria Math"/>
          </w:rPr>
          <m:t>1.2</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the width grows with</w:t>
      </w:r>
      <w:r>
        <w:t xml:space="preserve"> </w:t>
      </w:r>
      <m:oMath>
        <m:r>
          <w:rPr>
            <w:rFonts w:ascii="Cambria Math" w:hAnsi="Cambria Math"/>
          </w:rPr>
          <m:t>1</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
              <w:rPr>
                <w:rFonts w:ascii="Cambria Math" w:hAnsi="Cambria Math"/>
              </w:rPr>
              <m:t>a</m:t>
            </m:r>
          </m:e>
        </m:d>
      </m:oMath>
      <w:r>
        <w:t xml:space="preserve">. The residual of the diagonal formula (9) also contains zero, with width at most</w:t>
      </w:r>
      <w:r>
        <w:t xml:space="preserve"> </w:t>
      </w:r>
      <m:oMath>
        <m:r>
          <w:rPr>
            <w:rFonts w:ascii="Cambria Math" w:hAnsi="Cambria Math"/>
          </w:rPr>
          <m:t>1.8</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14</m:t>
            </m:r>
          </m:sup>
        </m:sSup>
      </m:oMath>
      <w:r>
        <w:t xml:space="preserve">. SymPy proves (8), (9) and the grouping identity (11) symbolically, so the enclosures are consistency checks of the implementation, not proofs.</w:t>
      </w:r>
    </w:p>
    <w:p>
      <w:pPr>
        <w:pStyle w:val="BodyText"/>
      </w:pPr>
      <w:r>
        <w:t xml:space="preserve">The supplied quadrature reference of Section 8.1 can now be certified. A validated quadrature (Appendix C) encloses</w:t>
      </w:r>
      <w:r>
        <w:t xml:space="preserve"> </w:t>
      </w:r>
      <m:oMath>
        <m:sSub>
          <m:e>
            <m:r>
              <w:rPr>
                <w:rFonts w:ascii="Cambria Math" w:hAnsi="Cambria Math"/>
              </w:rPr>
              <m:t>Z</m:t>
            </m:r>
          </m:e>
          <m:sub>
            <m:r>
              <w:rPr>
                <w:rFonts w:ascii="Cambria Math" w:hAnsi="Cambria Math"/>
              </w:rPr>
              <m:t>β</m:t>
            </m:r>
          </m:sub>
        </m:sSub>
      </m:oMath>
      <w:r>
        <w:t xml:space="preserve"> </w:t>
      </w:r>
      <w:r>
        <w:t xml:space="preserve">and</w:t>
      </w:r>
      <w:r>
        <w:t xml:space="preserve"> </w:t>
      </w:r>
      <m:oMath>
        <m:r>
          <m:rPr>
            <m:sty m:val="p"/>
          </m:rPr>
          <w:rPr>
            <w:rFonts w:ascii="Cambria Math" w:hAnsi="Cambria Math"/>
          </w:rPr>
          <m:t>∫</m:t>
        </m:r>
        <m:r>
          <w:rPr>
            <w:rFonts w:ascii="Cambria Math" w:hAnsi="Cambria Math"/>
          </w:rPr>
          <m:t>J</m:t>
        </m:r>
        <m:sSub>
          <m:e>
            <m:r>
              <w:rPr>
                <w:rFonts w:ascii="Cambria Math" w:hAnsi="Cambria Math"/>
              </w:rPr>
              <m:t>f</m:t>
            </m:r>
          </m:e>
          <m:sub>
            <m:r>
              <w:rPr>
                <w:rFonts w:ascii="Cambria Math" w:hAnsi="Cambria Math"/>
              </w:rPr>
              <m:t>β</m:t>
            </m:r>
          </m:sub>
        </m:sSub>
      </m:oMath>
      <w:r>
        <w:t xml:space="preserve"> </w:t>
      </w:r>
      <w:r>
        <w:t xml:space="preserve">on an adaptive quadtree over</w:t>
      </w:r>
      <w:r>
        <w:t xml:space="preserve"> </w:t>
      </w:r>
      <m:oMath>
        <m:sSup>
          <m:e>
            <m:d>
              <m:dPr>
                <m:begChr m:val="["/>
                <m:sepChr m:val=""/>
                <m:endChr m:val="]"/>
                <m:grow/>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On each square it uses the midpoint value plus an interval enclosure of the second-order remainder; the linear term vanishes by symmetry. The quadtree is refined to four million squares, and a Mills-ratio bound covers the reference mass outside the square. The certified values are</w:t>
      </w:r>
      <w:r>
        <w:t xml:space="preserve"> </w:t>
      </w:r>
      <m:oMath>
        <m:sSub>
          <m:e>
            <m:r>
              <m:rPr>
                <m:scr m:val="double-struck"/>
                <m:sty m:val="p"/>
              </m:rPr>
              <w:rPr>
                <w:rFonts w:ascii="Cambria Math" w:hAnsi="Cambria Math"/>
              </w:rPr>
              <m:t>E</m:t>
            </m:r>
          </m:e>
          <m:sub>
            <m:sSub>
              <m:e>
                <m:r>
                  <w:rPr>
                    <w:rFonts w:ascii="Cambria Math" w:hAnsi="Cambria Math"/>
                  </w:rPr>
                  <m:t>π</m:t>
                </m:r>
              </m:e>
              <m:sub>
                <m:r>
                  <w:rPr>
                    <w:rFonts w:ascii="Cambria Math" w:hAnsi="Cambria Math"/>
                  </w:rPr>
                  <m:t>0.05</m:t>
                </m:r>
              </m:sub>
            </m:sSub>
          </m:sub>
        </m:sSub>
        <m:r>
          <w:rPr>
            <w:rFonts w:ascii="Cambria Math" w:hAnsi="Cambria Math"/>
          </w:rPr>
          <m:t>J</m:t>
        </m:r>
        <m:r>
          <m:rPr>
            <m:sty m:val="p"/>
          </m:rPr>
          <w:rPr>
            <w:rFonts w:ascii="Cambria Math" w:hAnsi="Cambria Math"/>
          </w:rPr>
          <m:t>∈</m:t>
        </m:r>
        <m:d>
          <m:dPr>
            <m:begChr m:val="["/>
            <m:sepChr m:val=""/>
            <m:endChr m:val="]"/>
            <m:grow/>
          </m:dPr>
          <m:e>
            <m:r>
              <w:rPr>
                <w:rFonts w:ascii="Cambria Math" w:hAnsi="Cambria Math"/>
              </w:rPr>
              <m:t>20.285748</m:t>
            </m:r>
            <m:r>
              <m:rPr>
                <m:sty m:val="p"/>
              </m:rPr>
              <w:rPr>
                <w:rFonts w:ascii="Cambria Math" w:hAnsi="Cambria Math"/>
              </w:rPr>
              <m:t>,</m:t>
            </m:r>
            <m:r>
              <w:rPr>
                <w:rFonts w:ascii="Cambria Math" w:hAnsi="Cambria Math"/>
              </w:rPr>
              <m:t> </m:t>
            </m:r>
            <m:r>
              <w:rPr>
                <w:rFonts w:ascii="Cambria Math" w:hAnsi="Cambria Math"/>
              </w:rPr>
              <m:t>20.285905</m:t>
            </m:r>
          </m:e>
        </m:d>
      </m:oMath>
      <w:r>
        <w:t xml:space="preserve">,</w:t>
      </w:r>
      <w:r>
        <w:t xml:space="preserve"> </w:t>
      </w:r>
      <m:oMath>
        <m:sSub>
          <m:e>
            <m:r>
              <m:rPr>
                <m:scr m:val="double-struck"/>
                <m:sty m:val="p"/>
              </m:rPr>
              <w:rPr>
                <w:rFonts w:ascii="Cambria Math" w:hAnsi="Cambria Math"/>
              </w:rPr>
              <m:t>E</m:t>
            </m:r>
          </m:e>
          <m:sub>
            <m:sSub>
              <m:e>
                <m:r>
                  <w:rPr>
                    <w:rFonts w:ascii="Cambria Math" w:hAnsi="Cambria Math"/>
                  </w:rPr>
                  <m:t>π</m:t>
                </m:r>
              </m:e>
              <m:sub>
                <m:r>
                  <w:rPr>
                    <w:rFonts w:ascii="Cambria Math" w:hAnsi="Cambria Math"/>
                  </w:rPr>
                  <m:t>0.1</m:t>
                </m:r>
              </m:sub>
            </m:sSub>
          </m:sub>
        </m:sSub>
        <m:r>
          <w:rPr>
            <w:rFonts w:ascii="Cambria Math" w:hAnsi="Cambria Math"/>
          </w:rPr>
          <m:t>J</m:t>
        </m:r>
        <m:r>
          <m:rPr>
            <m:sty m:val="p"/>
          </m:rPr>
          <w:rPr>
            <w:rFonts w:ascii="Cambria Math" w:hAnsi="Cambria Math"/>
          </w:rPr>
          <m:t>∈</m:t>
        </m:r>
        <m:d>
          <m:dPr>
            <m:begChr m:val="["/>
            <m:sepChr m:val=""/>
            <m:endChr m:val="]"/>
            <m:grow/>
          </m:dPr>
          <m:e>
            <m:r>
              <w:rPr>
                <w:rFonts w:ascii="Cambria Math" w:hAnsi="Cambria Math"/>
              </w:rPr>
              <m:t>10.344527</m:t>
            </m:r>
            <m:r>
              <m:rPr>
                <m:sty m:val="p"/>
              </m:rPr>
              <w:rPr>
                <w:rFonts w:ascii="Cambria Math" w:hAnsi="Cambria Math"/>
              </w:rPr>
              <m:t>,</m:t>
            </m:r>
            <m:r>
              <w:rPr>
                <w:rFonts w:ascii="Cambria Math" w:hAnsi="Cambria Math"/>
              </w:rPr>
              <m:t> </m:t>
            </m:r>
            <m:r>
              <w:rPr>
                <w:rFonts w:ascii="Cambria Math" w:hAnsi="Cambria Math"/>
              </w:rPr>
              <m:t>10.344628</m:t>
            </m:r>
          </m:e>
        </m:d>
      </m:oMath>
      <w:r>
        <w:t xml:space="preserve"> </w:t>
      </w:r>
      <w:r>
        <w:t xml:space="preserve">and</w:t>
      </w:r>
      <w:r>
        <w:t xml:space="preserve"> </w:t>
      </w:r>
      <m:oMath>
        <m:sSub>
          <m:e>
            <m:r>
              <m:rPr>
                <m:scr m:val="double-struck"/>
                <m:sty m:val="p"/>
              </m:rPr>
              <w:rPr>
                <w:rFonts w:ascii="Cambria Math" w:hAnsi="Cambria Math"/>
              </w:rPr>
              <m:t>E</m:t>
            </m:r>
          </m:e>
          <m:sub>
            <m:sSub>
              <m:e>
                <m:r>
                  <w:rPr>
                    <w:rFonts w:ascii="Cambria Math" w:hAnsi="Cambria Math"/>
                  </w:rPr>
                  <m:t>π</m:t>
                </m:r>
              </m:e>
              <m:sub>
                <m:r>
                  <w:rPr>
                    <w:rFonts w:ascii="Cambria Math" w:hAnsi="Cambria Math"/>
                  </w:rPr>
                  <m:t>0.4</m:t>
                </m:r>
              </m:sub>
            </m:sSub>
          </m:sub>
        </m:sSub>
        <m:r>
          <w:rPr>
            <w:rFonts w:ascii="Cambria Math" w:hAnsi="Cambria Math"/>
          </w:rPr>
          <m:t>J</m:t>
        </m:r>
        <m:r>
          <m:rPr>
            <m:sty m:val="p"/>
          </m:rPr>
          <w:rPr>
            <w:rFonts w:ascii="Cambria Math" w:hAnsi="Cambria Math"/>
          </w:rPr>
          <m:t>∈</m:t>
        </m:r>
        <m:d>
          <m:dPr>
            <m:begChr m:val="["/>
            <m:sepChr m:val=""/>
            <m:endChr m:val="]"/>
            <m:grow/>
          </m:dPr>
          <m:e>
            <m:r>
              <w:rPr>
                <w:rFonts w:ascii="Cambria Math" w:hAnsi="Cambria Math"/>
              </w:rPr>
              <m:t>2.635057</m:t>
            </m:r>
            <m:r>
              <m:rPr>
                <m:sty m:val="p"/>
              </m:rPr>
              <w:rPr>
                <w:rFonts w:ascii="Cambria Math" w:hAnsi="Cambria Math"/>
              </w:rPr>
              <m:t>,</m:t>
            </m:r>
            <m:r>
              <w:rPr>
                <w:rFonts w:ascii="Cambria Math" w:hAnsi="Cambria Math"/>
              </w:rPr>
              <m:t> </m:t>
            </m:r>
            <m:r>
              <w:rPr>
                <w:rFonts w:ascii="Cambria Math" w:hAnsi="Cambria Math"/>
              </w:rPr>
              <m:t>2.635090</m:t>
            </m:r>
          </m:e>
        </m:d>
      </m:oMath>
      <w:r>
        <w:t xml:space="preserve">. The source’s 10.34 is confirmed. Against the certified value, the reported every-state estimate of 10.87 is 5.1% high, the uncorrected deterministic gate of 12.11 is 17.1% high and randomized inclusion at 10.77 is 4.1% high. Only the reference is certified; the three estimates remain reported measurements with low reported ESS.</w:t>
      </w:r>
    </w:p>
    <w:p>
      <w:pPr>
        <w:pStyle w:val="Heading2"/>
      </w:pPr>
      <w:r>
        <w:t xml:space="preserve">8.5 Symbolic checks of moments, ratio bounds and budgets</w:t>
      </w:r>
    </w:p>
    <w:p>
      <w:pPr>
        <w:pStyle w:val="FirstParagraph"/>
      </w:pPr>
      <w:r>
        <w:t xml:space="preserve">The moment values of Section 8.2 have exact rational forms. With</w:t>
      </w:r>
      <w:r>
        <w:t xml:space="preserve">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oMath>
      <w:r>
        <w:t xml:space="preserve">,</w:t>
      </w:r>
      <w:r>
        <w:t xml:space="preserve"> </w:t>
      </w:r>
      <m:oMath>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 xml:space="preserve">, residual mean 0.4 and variance 0.4 per coordinate,</w:t>
      </w:r>
      <w:r>
        <w:t xml:space="preserve"> </w:t>
      </w:r>
      <m:oMath>
        <m:r>
          <w:rPr>
            <w:rFonts w:ascii="Cambria Math" w:hAnsi="Cambria Math"/>
          </w:rPr>
          <m:t>s</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25</m:t>
        </m:r>
      </m:oMath>
      <w:r>
        <w:t xml:space="preserve">.</w:t>
      </w:r>
    </w:p>
    <w:p>
      <w:pPr>
        <w:pStyle w:val="Caption"/>
        <w:keepNext/>
      </w:pPr>
      <w:r>
        <w:t xml:space="preserve">Table 6. Exact noise moments per coordinate for a = 3/10, b = 3/5 and s = 14/25, from SymPy.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2"/>
        <w:gridCol w:w="2186"/>
        <w:gridCol w:w="3279"/>
        <w:gridCol w:w="3279"/>
      </w:tblGrid>
      <w:tr>
        <w:trPr>
          <w:cantSplit/>
          <w:tblHeader/>
          <w:jc w:val="center"/>
        </w:trPr>
        <w:tc>
          <w:tcPr>
            <w:tcW w:w="1192"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η</w:t>
            </w:r>
          </w:p>
        </w:tc>
        <w:tc>
          <w:tcPr>
            <w:tcW w:w="218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σ²</w:t>
            </w:r>
          </w:p>
        </w:tc>
        <w:tc>
          <w:tcPr>
            <w:tcW w:w="327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Residual second moment (6)</w:t>
            </w:r>
          </w:p>
        </w:tc>
        <w:tc>
          <w:tcPr>
            <w:tcW w:w="327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Centered variance c²v + σ²</w:t>
            </w:r>
          </w:p>
        </w:tc>
      </w:tr>
      <w:tr>
        <w:trPr>
          <w:cantSplit/>
          <w:jc w:val="center"/>
        </w:trPr>
        <w:tc>
          <w:tcPr>
            <w:tcW w:w="119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28 / 125 = 0.224000</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 / 25 = 0.160000</w:t>
            </w:r>
          </w:p>
        </w:tc>
      </w:tr>
      <w:tr>
        <w:trPr>
          <w:cantSplit/>
          <w:jc w:val="center"/>
        </w:trPr>
        <w:tc>
          <w:tcPr>
            <w:tcW w:w="119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 14</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447 / 1750 = 0.255429</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71 / 350 = 0.202857</w:t>
            </w:r>
          </w:p>
        </w:tc>
      </w:tr>
      <w:tr>
        <w:trPr>
          <w:cantSplit/>
          <w:jc w:val="center"/>
        </w:trPr>
        <w:tc>
          <w:tcPr>
            <w:tcW w:w="119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 / 7</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306 / 875 = 0.349714</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58 / 175 = 0.331429</w:t>
            </w:r>
          </w:p>
        </w:tc>
      </w:tr>
      <w:tr>
        <w:trPr>
          <w:cantSplit/>
          <w:jc w:val="center"/>
        </w:trPr>
        <w:tc>
          <w:tcPr>
            <w:tcW w:w="119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1.4 with cap</w:t>
            </w:r>
          </w:p>
        </w:tc>
        <w:tc>
          <w:tcPr>
            <w:tcW w:w="21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998001 / 2500000</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24978011 / 62500000 = 0.399648</w:t>
            </w:r>
          </w:p>
        </w:tc>
        <w:tc>
          <w:tcPr>
            <w:tcW w:w="327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4994003 / 12500000 = 0.399520</w:t>
            </w:r>
          </w:p>
        </w:tc>
      </w:tr>
    </w:tbl>
    <w:p>
      <w:pPr>
        <w:pStyle w:val="BodyText"/>
        <w:spacing w:before="140"/>
      </w:pPr>
    </w:p>
    <w:p>
      <w:pPr>
        <w:pStyle w:val="BodyText"/>
      </w:pPr>
      <w:r>
        <w:t xml:space="preserve">The executed Python values at</w:t>
      </w:r>
      <w:r>
        <w:t xml:space="preserve"> </w:t>
      </w:r>
      <m:oMath>
        <m:r>
          <w:rPr>
            <w:rFonts w:ascii="Cambria Math" w:hAnsi="Cambria Math"/>
          </w:rPr>
          <m:t>η</m:t>
        </m:r>
        <m:r>
          <m:rPr>
            <m:sty m:val="p"/>
          </m:rPr>
          <w:rPr>
            <w:rFonts w:ascii="Cambria Math" w:hAnsi="Cambria Math"/>
          </w:rPr>
          <m:t>=</m:t>
        </m:r>
        <m:r>
          <w:rPr>
            <w:rFonts w:ascii="Cambria Math" w:hAnsi="Cambria Math"/>
          </w:rPr>
          <m:t>1</m:t>
        </m:r>
      </m:oMath>
      <w:r>
        <w:t xml:space="preserve">, 0.350892 and 0.332475, lie within 0.0012 of the exact values. SymPy also confirms that the two columns differ by exactly</w:t>
      </w:r>
      <w:r>
        <w:t xml:space="preserve"> </w:t>
      </w:r>
      <m:oMath>
        <m:sSup>
          <m:e>
            <m:r>
              <w:rPr>
                <w:rFonts w:ascii="Cambria Math" w:hAnsi="Cambria Math"/>
              </w:rPr>
              <m:t>c</m:t>
            </m:r>
          </m:e>
          <m:sup>
            <m:r>
              <w:rPr>
                <w:rFonts w:ascii="Cambria Math" w:hAnsi="Cambria Math"/>
              </w:rPr>
              <m:t>2</m:t>
            </m:r>
          </m:sup>
        </m:sSup>
        <m:r>
          <m:rPr>
            <m:sty m:val="p"/>
          </m:rPr>
          <w:rPr>
            <w:rFonts w:ascii="Cambria Math" w:hAnsi="Cambria Math"/>
          </w:rPr>
          <m:t>∥</m:t>
        </m:r>
        <m:r>
          <m:rPr>
            <m:scr m:val="double-struck"/>
            <m:sty m:val="p"/>
          </m:rPr>
          <w:rPr>
            <w:rFonts w:ascii="Cambria Math" w:hAnsi="Cambria Math"/>
          </w:rPr>
          <m:t>E</m:t>
        </m:r>
        <m:acc>
          <m:accPr>
            <m:chr m:val="̂"/>
          </m:accPr>
          <m:e>
            <m:r>
              <w:rPr>
                <w:rFonts w:ascii="Cambria Math" w:hAnsi="Cambria Math"/>
              </w:rPr>
              <m:t>ϵ</m:t>
            </m:r>
          </m:e>
        </m:acc>
        <m:sSup>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0.16</m:t>
        </m:r>
        <m:sSup>
          <m:e>
            <m:r>
              <w:rPr>
                <w:rFonts w:ascii="Cambria Math" w:hAnsi="Cambria Math"/>
              </w:rPr>
              <m:t>c</m:t>
            </m:r>
          </m:e>
          <m:sup>
            <m:r>
              <w:rPr>
                <w:rFonts w:ascii="Cambria Math" w:hAnsi="Cambria Math"/>
              </w:rPr>
              <m:t>2</m:t>
            </m:r>
          </m:sup>
        </m:sSup>
      </m:oMath>
      <w:r>
        <w:t xml:space="preserve">. They coincide only when the mean residual vanishes or when</w:t>
      </w:r>
      <w:r>
        <w:t xml:space="preserve"> </w:t>
      </w:r>
      <m:oMath>
        <m:r>
          <w:rPr>
            <w:rFonts w:ascii="Cambria Math" w:hAnsi="Cambria Math"/>
          </w:rPr>
          <m:t>c</m:t>
        </m:r>
        <m:r>
          <m:rPr>
            <m:sty m:val="p"/>
          </m:rPr>
          <w:rPr>
            <w:rFonts w:ascii="Cambria Math" w:hAnsi="Cambria Math"/>
          </w:rPr>
          <m:t>=</m:t>
        </m:r>
        <m:r>
          <w:rPr>
            <w:rFonts w:ascii="Cambria Math" w:hAnsi="Cambria Math"/>
          </w:rPr>
          <m:t>0</m:t>
        </m:r>
      </m:oMath>
      <w:r>
        <w:t xml:space="preserve">, as at the cap.</w:t>
      </w:r>
    </w:p>
    <w:p>
      <w:pPr>
        <w:pStyle w:val="BodyText"/>
      </w:pPr>
      <w:r>
        <w:t xml:space="preserve">Proposition 6 — Sharpness of the ratio bound. Bound (12) cannot be improved without further information. If</w:t>
      </w:r>
      <w:r>
        <w:t xml:space="preserve"> </w:t>
      </w:r>
      <m:oMath>
        <m:r>
          <w:rPr>
            <w:rFonts w:ascii="Cambria Math" w:hAnsi="Cambria Math"/>
          </w:rPr>
          <m:t>m</m:t>
        </m:r>
        <m:r>
          <m:rPr>
            <m:sty m:val="p"/>
          </m:rPr>
          <w:rPr>
            <w:rFonts w:ascii="Cambria Math" w:hAnsi="Cambria Math"/>
          </w:rPr>
          <m:t>≠</m:t>
        </m:r>
        <m:r>
          <w:rPr>
            <w:rFonts w:ascii="Cambria Math" w:hAnsi="Cambria Math"/>
          </w:rPr>
          <m:t>0</m:t>
        </m:r>
      </m:oMath>
      <w:r>
        <w:t xml:space="preserve">, let</w:t>
      </w:r>
      <w:r>
        <w:t xml:space="preserve"> </w:t>
      </w:r>
      <m:oMath>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otherwise let</w:t>
      </w:r>
      <w:r>
        <w:t xml:space="preserve"> </w:t>
      </w:r>
      <m:oMath>
        <m:r>
          <w:rPr>
            <w:rFonts w:ascii="Cambria Math" w:hAnsi="Cambria Math"/>
          </w:rPr>
          <m:t>u</m:t>
        </m:r>
      </m:oMath>
      <w:r>
        <w:t xml:space="preserve"> </w:t>
      </w:r>
      <w:r>
        <w:t xml:space="preserve">be any unit vector. Then</w:t>
      </w:r>
      <w:r>
        <w:t xml:space="preserve"> </w:t>
      </w:r>
      <m:oMath>
        <m:acc>
          <m:accPr>
            <m:chr m:val="̃"/>
          </m:accPr>
          <m:e>
            <m:r>
              <w:rPr>
                <w:rFonts w:ascii="Cambria Math" w:hAnsi="Cambria Math"/>
              </w:rPr>
              <m:t>N</m:t>
            </m:r>
          </m:e>
        </m:acc>
        <m:r>
          <m:rPr>
            <m:sty m:val="p"/>
          </m:rPr>
          <w:rPr>
            <w:rFonts w:ascii="Cambria Math" w:hAnsi="Cambria Math"/>
          </w:rPr>
          <m:t>=</m:t>
        </m:r>
        <m:r>
          <w:rPr>
            <w:rFonts w:ascii="Cambria Math" w:hAnsi="Cambria Math"/>
          </w:rPr>
          <m:t>N</m:t>
        </m:r>
        <m:r>
          <m:rPr>
            <m:sty m:val="p"/>
          </m:rPr>
          <w:rPr>
            <w:rFonts w:ascii="Cambria Math" w:hAnsi="Cambria Math"/>
          </w:rPr>
          <m:t>+</m:t>
        </m:r>
        <m:sSub>
          <m:e>
            <m:r>
              <w:rPr>
                <w:rFonts w:ascii="Cambria Math" w:hAnsi="Cambria Math"/>
              </w:rPr>
              <m:t>ϵ</m:t>
            </m:r>
          </m:e>
          <m:sub>
            <m:r>
              <w:rPr>
                <w:rFonts w:ascii="Cambria Math" w:hAnsi="Cambria Math"/>
              </w:rPr>
              <m:t>N</m:t>
            </m:r>
          </m:sub>
        </m:sSub>
        <m:r>
          <w:rPr>
            <w:rFonts w:ascii="Cambria Math" w:hAnsi="Cambria Math"/>
          </w:rPr>
          <m:t>u</m:t>
        </m:r>
      </m:oMath>
      <w:r>
        <w:t xml:space="preserve"> </w:t>
      </w:r>
      <w:r>
        <w:t xml:space="preserve">and</w:t>
      </w:r>
      <w:r>
        <w:t xml:space="preserve"> </w:t>
      </w:r>
      <m:oMath>
        <m:sSub>
          <m:e>
            <m:acc>
              <m:accPr>
                <m:chr m:val="̃"/>
              </m:accPr>
              <m:e>
                <m:r>
                  <w:rPr>
                    <w:rFonts w:ascii="Cambria Math" w:hAnsi="Cambria Math"/>
                  </w:rPr>
                  <m:t>Z</m:t>
                </m:r>
              </m:e>
            </m:acc>
          </m:e>
          <m:sub>
            <m:r>
              <w:rPr>
                <w:rFonts w:ascii="Cambria Math" w:hAnsi="Cambria Math"/>
              </w:rPr>
              <m:t>r</m:t>
            </m:r>
          </m:sub>
        </m:sSub>
        <m:r>
          <m:rPr>
            <m:sty m:val="p"/>
          </m:rPr>
          <w:rPr>
            <w:rFonts w:ascii="Cambria Math" w:hAnsi="Cambria Math"/>
          </w:rPr>
          <m:t>=</m:t>
        </m:r>
        <m:sSub>
          <m:e>
            <m:r>
              <w:rPr>
                <w:rFonts w:ascii="Cambria Math" w:hAnsi="Cambria Math"/>
              </w:rPr>
              <m:t>Z</m:t>
            </m:r>
          </m:e>
          <m:sub>
            <m:r>
              <w:rPr>
                <w:rFonts w:ascii="Cambria Math" w:hAnsi="Cambria Math"/>
              </w:rPr>
              <m:t>r</m:t>
            </m:r>
          </m:sub>
        </m:sSub>
        <m:r>
          <m:rPr>
            <m:sty m:val="p"/>
          </m:rPr>
          <w:rPr>
            <w:rFonts w:ascii="Cambria Math" w:hAnsi="Cambria Math"/>
          </w:rPr>
          <m:t>−</m:t>
        </m:r>
        <m:sSub>
          <m:e>
            <m:r>
              <w:rPr>
                <w:rFonts w:ascii="Cambria Math" w:hAnsi="Cambria Math"/>
              </w:rPr>
              <m:t>ϵ</m:t>
            </m:r>
          </m:e>
          <m:sub>
            <m:r>
              <w:rPr>
                <w:rFonts w:ascii="Cambria Math" w:hAnsi="Cambria Math"/>
              </w:rPr>
              <m:t>Z</m:t>
            </m:r>
          </m:sub>
        </m:sSub>
      </m:oMath>
      <w:r>
        <w:t xml:space="preserve"> </w:t>
      </w:r>
      <w:r>
        <w:t xml:space="preserve">satisfy both error constraints and attain equality in (12).</w:t>
      </w:r>
    </w:p>
    <w:p>
      <w:pPr>
        <w:pStyle w:val="BodyText"/>
      </w:pPr>
      <w:r>
        <w:t xml:space="preserve">Proof. Direct subtraction gives</w:t>
      </w:r>
      <w:r>
        <w:t xml:space="preserve"> </w:t>
      </w:r>
      <m:oMath>
        <m:acc>
          <m:accPr>
            <m:chr m:val="̃"/>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d>
          <m:dPr>
            <m:begChr m:val="("/>
            <m:sepChr m:val=""/>
            <m:endChr m:val=")"/>
            <m:grow/>
          </m:dPr>
          <m:e>
            <m:sSub>
              <m:e>
                <m:r>
                  <w:rPr>
                    <w:rFonts w:ascii="Cambria Math" w:hAnsi="Cambria Math"/>
                  </w:rPr>
                  <m:t>ϵ</m:t>
                </m:r>
              </m:e>
              <m:sub>
                <m:r>
                  <w:rPr>
                    <w:rFonts w:ascii="Cambria Math" w:hAnsi="Cambria Math"/>
                  </w:rPr>
                  <m:t>N</m:t>
                </m:r>
              </m:sub>
            </m:sSub>
            <m:r>
              <w:rPr>
                <w:rFonts w:ascii="Cambria Math" w:hAnsi="Cambria Math"/>
              </w:rPr>
              <m:t>u</m:t>
            </m:r>
            <m:r>
              <m:rPr>
                <m:sty m:val="p"/>
              </m:rPr>
              <w:rPr>
                <w:rFonts w:ascii="Cambria Math" w:hAnsi="Cambria Math"/>
              </w:rPr>
              <m:t>+</m:t>
            </m:r>
            <m:r>
              <w:rPr>
                <w:rFonts w:ascii="Cambria Math" w:hAnsi="Cambria Math"/>
              </w:rPr>
              <m:t>m</m:t>
            </m:r>
            <m:sSub>
              <m:e>
                <m:r>
                  <w:rPr>
                    <w:rFonts w:ascii="Cambria Math" w:hAnsi="Cambria Math"/>
                  </w:rPr>
                  <m:t>ϵ</m:t>
                </m:r>
              </m:e>
              <m:sub>
                <m:r>
                  <w:rPr>
                    <w:rFonts w:ascii="Cambria Math" w:hAnsi="Cambria Math"/>
                  </w:rPr>
                  <m:t>Z</m:t>
                </m:r>
              </m:sub>
            </m:sSub>
          </m:e>
        </m:d>
        <m:r>
          <m:rPr>
            <m:sty m:val="p"/>
          </m:rPr>
          <w:rPr>
            <w:rFonts w:ascii="Cambria Math" w:hAnsi="Cambria Math"/>
          </w:rPr>
          <m:t>/</m:t>
        </m:r>
        <m:d>
          <m:dPr>
            <m:begChr m:val="("/>
            <m:sepChr m:val=""/>
            <m:endChr m:val=")"/>
            <m:grow/>
          </m:dPr>
          <m:e>
            <m:sSub>
              <m:e>
                <m:r>
                  <w:rPr>
                    <w:rFonts w:ascii="Cambria Math" w:hAnsi="Cambria Math"/>
                  </w:rPr>
                  <m:t>Z</m:t>
                </m:r>
              </m:e>
              <m:sub>
                <m:r>
                  <w:rPr>
                    <w:rFonts w:ascii="Cambria Math" w:hAnsi="Cambria Math"/>
                  </w:rPr>
                  <m:t>r</m:t>
                </m:r>
              </m:sub>
            </m:sSub>
            <m:r>
              <m:rPr>
                <m:sty m:val="p"/>
              </m:rPr>
              <w:rPr>
                <w:rFonts w:ascii="Cambria Math" w:hAnsi="Cambria Math"/>
              </w:rPr>
              <m:t>−</m:t>
            </m:r>
            <m:sSub>
              <m:e>
                <m:r>
                  <w:rPr>
                    <w:rFonts w:ascii="Cambria Math" w:hAnsi="Cambria Math"/>
                  </w:rPr>
                  <m:t>ϵ</m:t>
                </m:r>
              </m:e>
              <m:sub>
                <m:r>
                  <w:rPr>
                    <w:rFonts w:ascii="Cambria Math" w:hAnsi="Cambria Math"/>
                  </w:rPr>
                  <m:t>Z</m:t>
                </m:r>
              </m:sub>
            </m:sSub>
          </m:e>
        </m:d>
      </m:oMath>
      <w:r>
        <w:t xml:space="preserve">. SymPy verifies this identity. Since</w:t>
      </w:r>
      <w:r>
        <w:t xml:space="preserve"> </w:t>
      </w:r>
      <m:oMath>
        <m:r>
          <w:rPr>
            <w:rFonts w:ascii="Cambria Math" w:hAnsi="Cambria Math"/>
          </w:rPr>
          <m:t>u</m:t>
        </m:r>
      </m:oMath>
      <w:r>
        <w:t xml:space="preserve"> </w:t>
      </w:r>
      <w:r>
        <w:t xml:space="preserve">is parallel to</w:t>
      </w:r>
      <w:r>
        <w:t xml:space="preserve"> </w:t>
      </w:r>
      <m:oMath>
        <m:r>
          <w:rPr>
            <w:rFonts w:ascii="Cambria Math" w:hAnsi="Cambria Math"/>
          </w:rPr>
          <m:t>m</m:t>
        </m:r>
      </m:oMath>
      <w:r>
        <w:t xml:space="preserve">, the norm of the numerator is</w:t>
      </w:r>
      <w:r>
        <w:t xml:space="preserve"> </w:t>
      </w:r>
      <m:oMath>
        <m:sSub>
          <m:e>
            <m:r>
              <w:rPr>
                <w:rFonts w:ascii="Cambria Math" w:hAnsi="Cambria Math"/>
              </w:rPr>
              <m:t>ϵ</m:t>
            </m:r>
          </m:e>
          <m:sub>
            <m:r>
              <w:rPr>
                <w:rFonts w:ascii="Cambria Math" w:hAnsi="Cambria Math"/>
              </w:rPr>
              <m:t>N</m:t>
            </m:r>
          </m:sub>
        </m:sSub>
        <m:r>
          <m:rPr>
            <m:sty m:val="p"/>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sSub>
          <m:e>
            <m:r>
              <w:rPr>
                <w:rFonts w:ascii="Cambria Math" w:hAnsi="Cambria Math"/>
              </w:rPr>
              <m:t>ϵ</m:t>
            </m:r>
          </m:e>
          <m:sub>
            <m:r>
              <w:rPr>
                <w:rFonts w:ascii="Cambria Math" w:hAnsi="Cambria Math"/>
              </w:rPr>
              <m:t>Z</m:t>
            </m:r>
          </m:sub>
        </m:sSub>
      </m:oMath>
      <w:r>
        <w:t xml:space="preserve">. ∎</w:t>
      </w:r>
    </w:p>
    <w:p>
      <w:pPr>
        <w:pStyle w:val="BodyText"/>
      </w:pPr>
      <w:r>
        <w:t xml:space="preserve">For budget enforcement, the source’s no-op rule lets a candidate that starts below budget</w:t>
      </w:r>
      <w:r>
        <w:t xml:space="preserve"> </w:t>
      </w:r>
      <m:oMath>
        <m:r>
          <w:rPr>
            <w:rFonts w:ascii="Cambria Math" w:hAnsi="Cambria Math"/>
          </w:rPr>
          <m:t>B</m:t>
        </m:r>
      </m:oMath>
      <w:r>
        <w:t xml:space="preserve"> </w:t>
      </w:r>
      <w:r>
        <w:t xml:space="preserve">run all</w:t>
      </w:r>
      <w:r>
        <w:t xml:space="preserve"> </w:t>
      </w:r>
      <m:oMath>
        <m:r>
          <w:rPr>
            <w:rFonts w:ascii="Cambria Math" w:hAnsi="Cambria Math"/>
          </w:rPr>
          <m:t>T</m:t>
        </m:r>
      </m:oMath>
      <w:r>
        <w:t xml:space="preserve"> </w:t>
      </w:r>
      <w:r>
        <w:t xml:space="preserve">stages. After</w:t>
      </w:r>
      <w:r>
        <w:t xml:space="preserve"> </w:t>
      </w:r>
      <m:oMath>
        <m:sSub>
          <m:e>
            <m:r>
              <w:rPr>
                <w:rFonts w:ascii="Cambria Math" w:hAnsi="Cambria Math"/>
              </w:rPr>
              <m:t>n</m:t>
            </m:r>
          </m:e>
          <m:sub>
            <m:r>
              <w:rPr>
                <w:rFonts w:ascii="Cambria Math" w:hAnsi="Cambria Math"/>
              </w:rPr>
              <m:t>0</m:t>
            </m:r>
          </m:sub>
        </m:sSub>
      </m:oMath>
      <w:r>
        <w:t xml:space="preserve"> </w:t>
      </w:r>
      <w:r>
        <w:t xml:space="preserve">prompt calls it therefore makes</w:t>
      </w:r>
      <w:r>
        <w:t xml:space="preserve"> </w:t>
      </w:r>
      <m:oMath>
        <m:sSub>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sepChr m:val=""/>
            <m:endChr m:val=")"/>
            <m:grow/>
          </m:dPr>
          <m:e>
            <m:r>
              <w:rPr>
                <w:rFonts w:ascii="Cambria Math" w:hAnsi="Cambria Math"/>
              </w:rPr>
              <m:t>B</m:t>
            </m:r>
            <m:r>
              <m:rPr>
                <m:sty m:val="p"/>
              </m:rPr>
              <w:rPr>
                <w:rFonts w:ascii="Cambria Math" w:hAnsi="Cambria Math"/>
              </w:rPr>
              <m:t>−</m:t>
            </m:r>
            <m:sSub>
              <m:e>
                <m:r>
                  <w:rPr>
                    <w:rFonts w:ascii="Cambria Math" w:hAnsi="Cambria Math"/>
                  </w:rPr>
                  <m:t>n</m:t>
                </m:r>
              </m:e>
              <m:sub>
                <m:r>
                  <w:rPr>
                    <w:rFonts w:ascii="Cambria Math" w:hAnsi="Cambria Math"/>
                  </w:rPr>
                  <m:t>0</m:t>
                </m:r>
              </m:sub>
            </m:sSub>
          </m:e>
        </m:d>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t xml:space="preserve">calls. The overshoot is</w:t>
      </w:r>
      <w:r>
        <w:t xml:space="preserve"> </w:t>
      </w:r>
      <m:oMath>
        <m:d>
          <m:dPr>
            <m:begChr m:val="("/>
            <m:sepChr m:val=""/>
            <m:endChr m:val=")"/>
            <m:grow/>
          </m:dPr>
          <m:e>
            <m:r>
              <w:rPr>
                <w:rFonts w:ascii="Cambria Math" w:hAnsi="Cambria Math"/>
              </w:rPr>
              <m:t>T</m:t>
            </m:r>
            <m:r>
              <m:rPr>
                <m:sty m:val="p"/>
              </m:rPr>
              <w:rPr>
                <w:rFonts w:ascii="Cambria Math" w:hAnsi="Cambria Math"/>
              </w:rPr>
              <m:t>−</m:t>
            </m:r>
            <m:d>
              <m:dPr>
                <m:begChr m:val="("/>
                <m:sepChr m:val=""/>
                <m:endChr m:val=")"/>
                <m:grow/>
              </m:dPr>
              <m:e>
                <m:r>
                  <w:rPr>
                    <w:rFonts w:ascii="Cambria Math" w:hAnsi="Cambria Math"/>
                  </w:rPr>
                  <m:t>B</m:t>
                </m:r>
                <m:r>
                  <m:rPr>
                    <m:sty m:val="p"/>
                  </m:rPr>
                  <w:rPr>
                    <w:rFonts w:ascii="Cambria Math" w:hAnsi="Cambria Math"/>
                  </w:rPr>
                  <m:t>−</m:t>
                </m:r>
                <m:sSub>
                  <m:e>
                    <m:r>
                      <w:rPr>
                        <w:rFonts w:ascii="Cambria Math" w:hAnsi="Cambria Math"/>
                      </w:rPr>
                      <m:t>n</m:t>
                    </m:r>
                  </m:e>
                  <m:sub>
                    <m:r>
                      <w:rPr>
                        <w:rFonts w:ascii="Cambria Math" w:hAnsi="Cambria Math"/>
                      </w:rPr>
                      <m:t>0</m:t>
                    </m:r>
                  </m:sub>
                </m:sSub>
              </m:e>
            </m:d>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T</m:t>
            </m:r>
          </m:e>
        </m:d>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T</m:t>
        </m:r>
      </m:oMath>
      <w:r>
        <w:t xml:space="preserve">. Its maximum,</w:t>
      </w:r>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occurs when</w:t>
      </w:r>
      <w:r>
        <w:t xml:space="preserve"> </w:t>
      </w:r>
      <m:oMath>
        <m:r>
          <w:rPr>
            <w:rFonts w:ascii="Cambria Math" w:hAnsi="Cambria Math"/>
          </w:rPr>
          <m:t>B</m:t>
        </m:r>
        <m:r>
          <m:rPr>
            <m:sty m:val="p"/>
          </m:rPr>
          <w:rPr>
            <w:rFonts w:ascii="Cambria Math" w:hAnsi="Cambria Math"/>
          </w:rPr>
          <m:t>−</m:t>
        </m:r>
        <m:sSub>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w:rPr>
            <w:rFonts w:ascii="Cambria Math" w:hAnsi="Cambria Math"/>
          </w:rPr>
          <m:t> </m:t>
        </m:r>
        <m:r>
          <m:rPr>
            <m:sty m:val="p"/>
          </m:rPr>
          <w:rPr>
            <w:rFonts w:ascii="Cambria Math" w:hAnsi="Cambria Math"/>
          </w:rPr>
          <m:t>(</m:t>
        </m:r>
        <m:r>
          <m:rPr>
            <m:sty m:val="p"/>
          </m:rPr>
          <w:rPr>
            <w:rFonts w:ascii="Cambria Math" w:hAnsi="Cambria Math"/>
          </w:rPr>
          <m:t>mod</m:t>
        </m:r>
        <m:r>
          <w:rPr>
            <w:rFonts w:ascii="Cambria Math" w:hAnsi="Cambria Math"/>
          </w:rPr>
          <m:t> </m:t>
        </m:r>
        <m:r>
          <w:rPr>
            <w:rFonts w:ascii="Cambria Math" w:hAnsi="Cambria Math"/>
          </w:rPr>
          <m:t>T</m:t>
        </m:r>
        <m:r>
          <m:rPr>
            <m:sty m:val="p"/>
          </m:rPr>
          <w:rPr>
            <w:rFonts w:ascii="Cambria Math" w:hAnsi="Cambria Math"/>
          </w:rPr>
          <m:t>)</m:t>
        </m:r>
      </m:oMath>
      <w:r>
        <w:t xml:space="preserve">. Exhaustive enumeration for</w:t>
      </w:r>
      <w:r>
        <w:t xml:space="preserve"> </w:t>
      </w:r>
      <m:oMath>
        <m:r>
          <w:rPr>
            <w:rFonts w:ascii="Cambria Math" w:hAnsi="Cambria Math"/>
          </w:rPr>
          <m:t>T</m:t>
        </m:r>
        <m:r>
          <m:rPr>
            <m:sty m:val="p"/>
          </m:rPr>
          <w:rPr>
            <w:rFonts w:ascii="Cambria Math" w:hAnsi="Cambria Math"/>
          </w:rPr>
          <m:t>≤</m:t>
        </m:r>
        <m:r>
          <w:rPr>
            <w:rFonts w:ascii="Cambria Math" w:hAnsi="Cambria Math"/>
          </w:rPr>
          <m:t>32</m:t>
        </m:r>
      </m:oMath>
      <w:r>
        <w:t xml:space="preserve">,</w:t>
      </w:r>
      <w:r>
        <w:t xml:space="preserve"> </w:t>
      </w:r>
      <m:oMath>
        <m:sSub>
          <m:e>
            <m:r>
              <w:rPr>
                <w:rFonts w:ascii="Cambria Math" w:hAnsi="Cambria Math"/>
              </w:rPr>
              <m:t>n</m:t>
            </m:r>
          </m:e>
          <m:sub>
            <m:r>
              <w:rPr>
                <w:rFonts w:ascii="Cambria Math" w:hAnsi="Cambria Math"/>
              </w:rPr>
              <m:t>0</m:t>
            </m:r>
          </m:sub>
        </m:sSub>
        <m:r>
          <m:rPr>
            <m:sty m:val="p"/>
          </m:rPr>
          <w:rPr>
            <w:rFonts w:ascii="Cambria Math" w:hAnsi="Cambria Math"/>
          </w:rPr>
          <m:t>&lt;</m:t>
        </m:r>
        <m:r>
          <w:rPr>
            <w:rFonts w:ascii="Cambria Math" w:hAnsi="Cambria Math"/>
          </w:rPr>
          <m:t>20</m:t>
        </m:r>
      </m:oMath>
      <w:r>
        <w:t xml:space="preserve"> </w:t>
      </w:r>
      <w:r>
        <w:t xml:space="preserve">and five candidate lengths of budget confirms the formula. For the strict-budget example of Section 8.3, with</w:t>
      </w:r>
      <w:r>
        <w:t xml:space="preserve"> </w:t>
      </w:r>
      <m:oMath>
        <m:sSub>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8</m:t>
        </m:r>
      </m:oMath>
      <w:r>
        <w:t xml:space="preserve">,</w:t>
      </w:r>
      <w:r>
        <w:t xml:space="preserve"> </w:t>
      </w:r>
      <m:oMath>
        <m:r>
          <w:rPr>
            <w:rFonts w:ascii="Cambria Math" w:hAnsi="Cambria Math"/>
          </w:rPr>
          <m:t>T</m:t>
        </m:r>
        <m:r>
          <m:rPr>
            <m:sty m:val="p"/>
          </m:rPr>
          <w:rPr>
            <w:rFonts w:ascii="Cambria Math" w:hAnsi="Cambria Math"/>
          </w:rPr>
          <m:t>=</m:t>
        </m:r>
        <m:r>
          <w:rPr>
            <w:rFonts w:ascii="Cambria Math" w:hAnsi="Cambria Math"/>
          </w:rPr>
          <m:t>4</m:t>
        </m:r>
      </m:oMath>
      <w:r>
        <w:t xml:space="preserve"> </w:t>
      </w:r>
      <w:r>
        <w:t xml:space="preserve">and</w:t>
      </w:r>
      <w:r>
        <w:t xml:space="preserve"> </w:t>
      </w:r>
      <m:oMath>
        <m:r>
          <w:rPr>
            <w:rFonts w:ascii="Cambria Math" w:hAnsi="Cambria Math"/>
          </w:rPr>
          <m:t>B</m:t>
        </m:r>
        <m:r>
          <m:rPr>
            <m:sty m:val="p"/>
          </m:rPr>
          <w:rPr>
            <w:rFonts w:ascii="Cambria Math" w:hAnsi="Cambria Math"/>
          </w:rPr>
          <m:t>=</m:t>
        </m:r>
        <m:r>
          <w:rPr>
            <w:rFonts w:ascii="Cambria Math" w:hAnsi="Cambria Math"/>
          </w:rPr>
          <m:t>19</m:t>
        </m:r>
      </m:oMath>
      <w:r>
        <w:t xml:space="preserve">, the no-op rule makes 20 calls, one over budget. The accounting formulas of Section 7 also check exactly:</w:t>
      </w:r>
      <w:r>
        <w:t xml:space="preserve"> </w:t>
      </w:r>
      <m:oMath>
        <m:r>
          <w:rPr>
            <w:rFonts w:ascii="Cambria Math" w:hAnsi="Cambria Math"/>
          </w:rPr>
          <m:t>T</m:t>
        </m:r>
        <m:sSup>
          <m:e>
            <m:d>
              <m:dPr>
                <m:begChr m:val="("/>
                <m:sepChr m:val=""/>
                <m:endChr m:val=")"/>
                <m:grow/>
              </m:dPr>
              <m:e>
                <m:sSub>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e>
            </m:d>
          </m:e>
          <m:sup>
            <m:r>
              <w:rPr>
                <w:rFonts w:ascii="Cambria Math" w:hAnsi="Cambria Math"/>
              </w:rPr>
              <m:t>2</m:t>
            </m:r>
          </m:sup>
        </m:sSup>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w:t>
      </w:r>
      <w:r>
        <w:t xml:space="preserve">occupancy kernel evaluations against 1,277,184 retrieval visits. The ratio is 32.07, close to</w:t>
      </w:r>
      <w:r>
        <w:t xml:space="preserve"> </w:t>
      </w:r>
      <m:oMath>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32</m:t>
        </m:r>
      </m:oMath>
      <w:r>
        <w:t xml:space="preserve">. The payload is 78,400 bytes, and the retained occupancies add 204,800 bytes.</w:t>
      </w:r>
    </w:p>
    <w:p>
      <w:pPr>
        <w:pStyle w:val="Heading2"/>
      </w:pPr>
      <w:r>
        <w:t xml:space="preserve">8.6 Exact limit of an uncorrected inclusion estimator</w:t>
      </w:r>
    </w:p>
    <w:p>
      <w:pPr>
        <w:pStyle w:val="FirstParagraph"/>
      </w:pPr>
      <w:r>
        <w:t xml:space="preserve">Section 8.3 shows that omitting inclusion correction moves the estimate. The size of the move follows from Theorem 3.</w:t>
      </w:r>
    </w:p>
    <w:p>
      <w:pPr>
        <w:pStyle w:val="BodyText"/>
      </w:pPr>
      <w:r>
        <w:t xml:space="preserve">Proposition 7 — Limit when inclusion correction is omitted. Under the assumptions of Theorem 3, suppose</w:t>
      </w:r>
      <w:r>
        <w:t xml:space="preserve"> </w:t>
      </w:r>
      <m:oMath>
        <m:sSub>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e</m:t>
        </m:r>
        <m:d>
          <m:dPr>
            <m:begChr m:val="("/>
            <m:sepChr m:val=""/>
            <m:endChr m:val=")"/>
            <m:grow/>
          </m:dPr>
          <m:e>
            <m:sSub>
              <m:e>
                <m:r>
                  <w:rPr>
                    <w:rFonts w:ascii="Cambria Math" w:hAnsi="Cambria Math"/>
                  </w:rPr>
                  <m:t>Y</m:t>
                </m:r>
              </m:e>
              <m:sub>
                <m:r>
                  <w:rPr>
                    <w:rFonts w:ascii="Cambria Math" w:hAnsi="Cambria Math"/>
                  </w:rPr>
                  <m:t>i</m:t>
                </m:r>
              </m:sub>
            </m:sSub>
          </m:e>
        </m:d>
      </m:oMath>
      <w:r>
        <w:t xml:space="preserve"> </w:t>
      </w:r>
      <w:r>
        <w:t xml:space="preserve">for a fixed measurable function</w:t>
      </w:r>
      <w:r>
        <w:t xml:space="preserve"> </w:t>
      </w:r>
      <m:oMath>
        <m:r>
          <w:rPr>
            <w:rFonts w:ascii="Cambria Math" w:hAnsi="Cambria Math"/>
          </w:rPr>
          <m:t>e</m:t>
        </m:r>
      </m:oMath>
      <w:r>
        <w:t xml:space="preserve"> </w:t>
      </w:r>
      <w:r>
        <w:t xml:space="preserve">with</w:t>
      </w:r>
      <w:r>
        <w:t xml:space="preserve"> </w:t>
      </w:r>
      <m:oMath>
        <m:r>
          <w:rPr>
            <w:rFonts w:ascii="Cambria Math" w:hAnsi="Cambria Math"/>
          </w:rPr>
          <m:t>e</m:t>
        </m:r>
        <m:r>
          <m:rPr>
            <m:sty m:val="p"/>
          </m:rPr>
          <w:rPr>
            <w:rFonts w:ascii="Cambria Math" w:hAnsi="Cambria Math"/>
          </w:rPr>
          <m:t>≥</m:t>
        </m:r>
        <m:sSub>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Replace</w:t>
      </w:r>
      <w:r>
        <w:t xml:space="preserve"> </w:t>
      </w:r>
      <m:oMath>
        <m:sSub>
          <m:e>
            <m:r>
              <w:rPr>
                <w:rFonts w:ascii="Cambria Math" w:hAnsi="Cambria Math"/>
              </w:rPr>
              <m:t>V</m:t>
            </m:r>
          </m:e>
          <m:sub>
            <m:r>
              <w:rPr>
                <w:rFonts w:ascii="Cambria Math" w:hAnsi="Cambria Math"/>
              </w:rPr>
              <m:t>i</m:t>
            </m:r>
          </m:sub>
        </m:sSub>
      </m:oMath>
      <w:r>
        <w:t xml:space="preserve"> </w:t>
      </w:r>
      <w:r>
        <w:t xml:space="preserve">in (13) by</w:t>
      </w:r>
      <w:r>
        <w:t xml:space="preserve"> </w:t>
      </w:r>
      <m:oMath>
        <m:sSub>
          <m:e>
            <m:r>
              <w:rPr>
                <w:rFonts w:ascii="Cambria Math" w:hAnsi="Cambria Math"/>
              </w:rPr>
              <m:t>δ</m:t>
            </m:r>
          </m:e>
          <m:sub>
            <m:r>
              <w:rPr>
                <w:rFonts w:ascii="Cambria Math" w:hAnsi="Cambria Math"/>
              </w:rPr>
              <m:t>i</m:t>
            </m:r>
          </m:sub>
        </m:sSub>
        <m:sSub>
          <m:e>
            <m:r>
              <w:rPr>
                <w:rFonts w:ascii="Cambria Math" w:hAnsi="Cambria Math"/>
              </w:rPr>
              <m:t>W</m:t>
            </m:r>
          </m:e>
          <m:sub>
            <m:r>
              <w:rPr>
                <w:rFonts w:ascii="Cambria Math" w:hAnsi="Cambria Math"/>
              </w:rPr>
              <m:t>i</m:t>
            </m:r>
          </m:sub>
        </m:sSub>
      </m:oMath>
      <w:r>
        <w:t xml:space="preserve">. Then the ratio converges almost surely to</w:t>
      </w:r>
    </w:p>
    <w:p>
      <w:pPr>
        <w:pStyle w:val="BodyText"/>
        <w:keepLines/>
        <w:spacing w:before="60" w:after="120"/>
        <w:jc w:val="center"/>
      </w:pPr>
      <m:oMathPara>
        <m:oMathParaPr>
          <m:jc m:val="center"/>
        </m:oMathParaPr>
        <m:oMath>
          <m:f>
            <m:fPr>
              <m:type m:val="bar"/>
            </m:fPr>
            <m:num>
              <m:sSub>
                <m:e>
                  <m:r>
                    <m:rPr>
                      <m:scr m:val="double-struck"/>
                      <m:sty m:val="p"/>
                    </m:rPr>
                    <w:rPr>
                      <w:rFonts w:ascii="Cambria Math" w:hAnsi="Cambria Math"/>
                    </w:rPr>
                    <m:t>E</m:t>
                  </m:r>
                </m:e>
                <m:sub>
                  <m:sSub>
                    <m:e>
                      <m:r>
                        <w:rPr>
                          <w:rFonts w:ascii="Cambria Math" w:hAnsi="Cambria Math"/>
                        </w:rPr>
                        <m:t>π</m:t>
                      </m:r>
                    </m:e>
                    <m:sub>
                      <m:r>
                        <w:rPr>
                          <w:rFonts w:ascii="Cambria Math" w:hAnsi="Cambria Math"/>
                        </w:rPr>
                        <m:t>β</m:t>
                      </m:r>
                    </m:sub>
                  </m:sSub>
                </m:sub>
              </m:sSub>
              <m:d>
                <m:dPr>
                  <m:begChr m:val="["/>
                  <m:sepChr m:val=""/>
                  <m:endChr m:val="]"/>
                  <m:grow/>
                </m:dPr>
                <m:e>
                  <m:r>
                    <w:rPr>
                      <w:rFonts w:ascii="Cambria Math" w:hAnsi="Cambria Math"/>
                    </w:rPr>
                    <m:t>e</m:t>
                  </m:r>
                  <m:d>
                    <m:dPr>
                      <m:begChr m:val="("/>
                      <m:sepChr m:val=""/>
                      <m:endChr m:val=")"/>
                      <m:grow/>
                    </m:dPr>
                    <m:e>
                      <m:r>
                        <w:rPr>
                          <w:rFonts w:ascii="Cambria Math" w:hAnsi="Cambria Math"/>
                        </w:rPr>
                        <m:t>Y</m:t>
                      </m:r>
                    </m:e>
                  </m:d>
                  <m:r>
                    <w:rPr>
                      <w:rFonts w:ascii="Cambria Math" w:hAnsi="Cambria Math"/>
                    </w:rPr>
                    <m:t>h</m:t>
                  </m:r>
                  <m:d>
                    <m:dPr>
                      <m:begChr m:val="("/>
                      <m:sepChr m:val=""/>
                      <m:endChr m:val=")"/>
                      <m:grow/>
                    </m:dPr>
                    <m:e>
                      <m:r>
                        <w:rPr>
                          <w:rFonts w:ascii="Cambria Math" w:hAnsi="Cambria Math"/>
                        </w:rPr>
                        <m:t>Y</m:t>
                      </m:r>
                    </m:e>
                  </m:d>
                </m:e>
              </m:d>
            </m:num>
            <m:den>
              <m:sSub>
                <m:e>
                  <m:r>
                    <m:rPr>
                      <m:scr m:val="double-struck"/>
                      <m:sty m:val="p"/>
                    </m:rPr>
                    <w:rPr>
                      <w:rFonts w:ascii="Cambria Math" w:hAnsi="Cambria Math"/>
                    </w:rPr>
                    <m:t>E</m:t>
                  </m:r>
                </m:e>
                <m:sub>
                  <m:sSub>
                    <m:e>
                      <m:r>
                        <w:rPr>
                          <w:rFonts w:ascii="Cambria Math" w:hAnsi="Cambria Math"/>
                        </w:rPr>
                        <m:t>π</m:t>
                      </m:r>
                    </m:e>
                    <m:sub>
                      <m:r>
                        <w:rPr>
                          <w:rFonts w:ascii="Cambria Math" w:hAnsi="Cambria Math"/>
                        </w:rPr>
                        <m:t>β</m:t>
                      </m:r>
                    </m:sub>
                  </m:sSub>
                </m:sub>
              </m:sSub>
              <m:d>
                <m:dPr>
                  <m:begChr m:val="["/>
                  <m:sepChr m:val=""/>
                  <m:endChr m:val="]"/>
                  <m:grow/>
                </m:dPr>
                <m:e>
                  <m:r>
                    <w:rPr>
                      <w:rFonts w:ascii="Cambria Math" w:hAnsi="Cambria Math"/>
                    </w:rPr>
                    <m:t>e</m:t>
                  </m:r>
                  <m:d>
                    <m:dPr>
                      <m:begChr m:val="("/>
                      <m:sepChr m:val=""/>
                      <m:endChr m:val=")"/>
                      <m:grow/>
                    </m:dPr>
                    <m:e>
                      <m:r>
                        <w:rPr>
                          <w:rFonts w:ascii="Cambria Math" w:hAnsi="Cambria Math"/>
                        </w:rPr>
                        <m:t>Y</m:t>
                      </m:r>
                    </m:e>
                  </m:d>
                </m:e>
              </m:d>
            </m:den>
          </m:f>
          <m:r>
            <m:rPr>
              <m:sty m:val="p"/>
            </m:rPr>
            <w:rPr>
              <w:rFonts w:ascii="Cambria Math" w:hAnsi="Cambria Math"/>
            </w:rPr>
            <m:t>.</m:t>
          </m:r>
        </m:oMath>
      </m:oMathPara>
    </w:p>
    <w:p>
      <w:pPr>
        <w:pStyle w:val="FirstParagraph"/>
      </w:pPr>
      <w:r>
        <w:t xml:space="preserve">Proof. By Proposition 4 with</w:t>
      </w:r>
      <w:r>
        <w:t xml:space="preserve"> </w:t>
      </w:r>
      <m:oMath>
        <m:sSub>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d>
          <m:dPr>
            <m:begChr m:val="("/>
            <m:sepChr m:val=""/>
            <m:endChr m:val=")"/>
            <m:grow/>
          </m:dPr>
          <m:e>
            <m:sSub>
              <m:e>
                <m:r>
                  <w:rPr>
                    <w:rFonts w:ascii="Cambria Math" w:hAnsi="Cambria Math"/>
                  </w:rPr>
                  <m:t>Y</m:t>
                </m:r>
              </m:e>
              <m:sub>
                <m:r>
                  <w:rPr>
                    <w:rFonts w:ascii="Cambria Math" w:hAnsi="Cambria Math"/>
                  </w:rPr>
                  <m:t>i</m:t>
                </m:r>
              </m:sub>
            </m:sSub>
          </m:e>
        </m:d>
        <m:sSub>
          <m:e>
            <m:r>
              <w:rPr>
                <w:rFonts w:ascii="Cambria Math" w:hAnsi="Cambria Math"/>
              </w:rPr>
              <m:t>W</m:t>
            </m:r>
          </m:e>
          <m:sub>
            <m:r>
              <w:rPr>
                <w:rFonts w:ascii="Cambria Math" w:hAnsi="Cambria Math"/>
              </w:rPr>
              <m:t>i</m:t>
            </m:r>
          </m:sub>
        </m:sSub>
        <m:r>
          <w:rPr>
            <w:rFonts w:ascii="Cambria Math" w:hAnsi="Cambria Math"/>
          </w:rPr>
          <m:t>h</m:t>
        </m:r>
        <m:d>
          <m:dPr>
            <m:begChr m:val="("/>
            <m:sepChr m:val=""/>
            <m:endChr m:val=")"/>
            <m:grow/>
          </m:dPr>
          <m:e>
            <m:sSub>
              <m:e>
                <m:r>
                  <w:rPr>
                    <w:rFonts w:ascii="Cambria Math" w:hAnsi="Cambria Math"/>
                  </w:rPr>
                  <m:t>Y</m:t>
                </m:r>
              </m:e>
              <m:sub>
                <m:r>
                  <w:rPr>
                    <w:rFonts w:ascii="Cambria Math" w:hAnsi="Cambria Math"/>
                  </w:rPr>
                  <m:t>i</m:t>
                </m:r>
              </m:sub>
            </m:sSub>
          </m:e>
        </m:d>
      </m:oMath>
      <w:r>
        <w:t xml:space="preserve"> </w:t>
      </w:r>
      <w:r>
        <w:t xml:space="preserve">and</w:t>
      </w:r>
      <w:r>
        <w:t xml:space="preserve"> </w:t>
      </w:r>
      <m:oMath>
        <m:sSub>
          <m:e>
            <m:r>
              <w:rPr>
                <w:rFonts w:ascii="Cambria Math" w:hAnsi="Cambria Math"/>
              </w:rPr>
              <m:t>δ</m:t>
            </m:r>
          </m:e>
          <m:sub>
            <m:r>
              <w:rPr>
                <w:rFonts w:ascii="Cambria Math" w:hAnsi="Cambria Math"/>
              </w:rPr>
              <m:t>i</m:t>
            </m:r>
          </m:sub>
        </m:sSub>
      </m:oMath>
      <w:r>
        <w:t xml:space="preserve"> </w:t>
      </w:r>
      <w:r>
        <w:t xml:space="preserve">in place of</w:t>
      </w:r>
      <w:r>
        <w:t xml:space="preserve"> </w:t>
      </w:r>
      <m:oMath>
        <m:sSub>
          <m:e>
            <m:r>
              <w:rPr>
                <w:rFonts w:ascii="Cambria Math" w:hAnsi="Cambria Math"/>
              </w:rPr>
              <m:t>δ</m:t>
            </m:r>
          </m:e>
          <m:sub>
            <m:r>
              <w:rPr>
                <w:rFonts w:ascii="Cambria Math" w:hAnsi="Cambria Math"/>
              </w:rPr>
              <m:t>i</m:t>
            </m:r>
          </m:sub>
        </m:sSub>
        <m:r>
          <m:rPr>
            <m:sty m:val="p"/>
          </m:rPr>
          <w:rPr>
            <w:rFonts w:ascii="Cambria Math" w:hAnsi="Cambria Math"/>
          </w:rPr>
          <m:t>/</m:t>
        </m:r>
        <m:sSub>
          <m:e>
            <m:r>
              <w:rPr>
                <w:rFonts w:ascii="Cambria Math" w:hAnsi="Cambria Math"/>
              </w:rPr>
              <m:t>e</m:t>
            </m:r>
          </m:e>
          <m:sub>
            <m:r>
              <w:rPr>
                <w:rFonts w:ascii="Cambria Math" w:hAnsi="Cambria Math"/>
              </w:rPr>
              <m:t>i</m:t>
            </m:r>
          </m:sub>
        </m:sSub>
      </m:oMath>
      <w:r>
        <w:t xml:space="preserve">, the conditional mean of</w:t>
      </w:r>
      <w:r>
        <w:t xml:space="preserve"> </w:t>
      </w:r>
      <m:oMath>
        <m:sSub>
          <m:e>
            <m:r>
              <w:rPr>
                <w:rFonts w:ascii="Cambria Math" w:hAnsi="Cambria Math"/>
              </w:rPr>
              <m:t>δ</m:t>
            </m:r>
          </m:e>
          <m:sub>
            <m:r>
              <w:rPr>
                <w:rFonts w:ascii="Cambria Math" w:hAnsi="Cambria Math"/>
              </w:rPr>
              <m:t>i</m:t>
            </m:r>
          </m:sub>
        </m:sSub>
        <m:sSub>
          <m:e>
            <m:r>
              <w:rPr>
                <w:rFonts w:ascii="Cambria Math" w:hAnsi="Cambria Math"/>
              </w:rPr>
              <m:t>W</m:t>
            </m:r>
          </m:e>
          <m:sub>
            <m:r>
              <w:rPr>
                <w:rFonts w:ascii="Cambria Math" w:hAnsi="Cambria Math"/>
              </w:rPr>
              <m:t>i</m:t>
            </m:r>
          </m:sub>
        </m:sSub>
        <m:r>
          <w:rPr>
            <w:rFonts w:ascii="Cambria Math" w:hAnsi="Cambria Math"/>
          </w:rPr>
          <m:t>h</m:t>
        </m:r>
        <m:d>
          <m:dPr>
            <m:begChr m:val="("/>
            <m:sepChr m:val=""/>
            <m:endChr m:val=")"/>
            <m:grow/>
          </m:dPr>
          <m:e>
            <m:sSub>
              <m:e>
                <m:r>
                  <w:rPr>
                    <w:rFonts w:ascii="Cambria Math" w:hAnsi="Cambria Math"/>
                  </w:rPr>
                  <m:t>Y</m:t>
                </m:r>
              </m:e>
              <m:sub>
                <m:r>
                  <w:rPr>
                    <w:rFonts w:ascii="Cambria Math" w:hAnsi="Cambria Math"/>
                  </w:rPr>
                  <m:t>i</m:t>
                </m:r>
              </m:sub>
            </m:sSub>
          </m:e>
        </m:d>
      </m:oMath>
      <w:r>
        <w:t xml:space="preserve"> </w:t>
      </w:r>
      <w:r>
        <w:t xml:space="preserve">is</w:t>
      </w:r>
      <w:r>
        <w:t xml:space="preserve"> </w:t>
      </w:r>
      <m:oMath>
        <m:r>
          <m:rPr>
            <m:sty m:val="p"/>
          </m:rPr>
          <w:rPr>
            <w:rFonts w:ascii="Cambria Math" w:hAnsi="Cambria Math"/>
          </w:rPr>
          <m:t>∫</m:t>
        </m:r>
        <m:r>
          <w:rPr>
            <w:rFonts w:ascii="Cambria Math" w:hAnsi="Cambria Math"/>
          </w:rPr>
          <m:t>e</m:t>
        </m:r>
        <m:sSub>
          <m:e>
            <m:r>
              <w:rPr>
                <w:rFonts w:ascii="Cambria Math" w:hAnsi="Cambria Math"/>
              </w:rPr>
              <m:t>f</m:t>
            </m:r>
          </m:e>
          <m:sub>
            <m:r>
              <w:rPr>
                <w:rFonts w:ascii="Cambria Math" w:hAnsi="Cambria Math"/>
              </w:rPr>
              <m:t>β</m:t>
            </m:r>
          </m:sub>
        </m:sSub>
        <m:r>
          <w:rPr>
            <w:rFonts w:ascii="Cambria Math" w:hAnsi="Cambria Math"/>
          </w:rPr>
          <m:t>h</m:t>
        </m:r>
      </m:oMath>
      <w:r>
        <w:t xml:space="preserve">. The contributions are bounded as in (17) without the factor</w:t>
      </w:r>
      <w:r>
        <w:t xml:space="preserve"> </w:t>
      </w:r>
      <m:oMath>
        <m:sSubSup>
          <m:e>
            <m:r>
              <w:rPr>
                <w:rFonts w:ascii="Cambria Math" w:hAnsi="Cambria Math"/>
              </w:rPr>
              <m:t>e</m:t>
            </m:r>
          </m:e>
          <m:sub>
            <m:r>
              <w:rPr>
                <w:rFonts w:ascii="Cambria Math" w:hAnsi="Cambria Math"/>
              </w:rPr>
              <m:t>0</m:t>
            </m:r>
          </m:sub>
          <m:sup>
            <m:r>
              <m:rPr>
                <m:sty m:val="p"/>
              </m:rPr>
              <w:rPr>
                <w:rFonts w:ascii="Cambria Math" w:hAnsi="Cambria Math"/>
              </w:rPr>
              <m:t>−</m:t>
            </m:r>
            <m:r>
              <w:rPr>
                <w:rFonts w:ascii="Cambria Math" w:hAnsi="Cambria Math"/>
              </w:rPr>
              <m:t>1</m:t>
            </m:r>
          </m:sup>
        </m:sSubSup>
      </m:oMath>
      <w:r>
        <w:t xml:space="preserve">. The argument of Theorem 3 then applies to numerator and denominator, and the denominator limit</w:t>
      </w:r>
      <w:r>
        <w:t xml:space="preserve"> </w:t>
      </w:r>
      <m:oMath>
        <m:r>
          <m:rPr>
            <m:sty m:val="p"/>
          </m:rPr>
          <w:rPr>
            <w:rFonts w:ascii="Cambria Math" w:hAnsi="Cambria Math"/>
          </w:rPr>
          <m:t>∫</m:t>
        </m:r>
        <m:r>
          <w:rPr>
            <w:rFonts w:ascii="Cambria Math" w:hAnsi="Cambria Math"/>
          </w:rPr>
          <m:t>e</m:t>
        </m:r>
        <m:sSub>
          <m:e>
            <m:r>
              <w:rPr>
                <w:rFonts w:ascii="Cambria Math" w:hAnsi="Cambria Math"/>
              </w:rPr>
              <m:t>f</m:t>
            </m:r>
          </m:e>
          <m:sub>
            <m:r>
              <w:rPr>
                <w:rFonts w:ascii="Cambria Math" w:hAnsi="Cambria Math"/>
              </w:rPr>
              <m:t>β</m:t>
            </m:r>
          </m:sub>
        </m:sSub>
      </m:oMath>
      <w:r>
        <w:t xml:space="preserve"> </w:t>
      </w:r>
      <w:r>
        <w:t xml:space="preserve">is positive. ∎</w:t>
      </w:r>
    </w:p>
    <w:p>
      <w:pPr>
        <w:pStyle w:val="BodyText"/>
      </w:pPr>
      <w:r>
        <w:t xml:space="preserve">The omitted-correction estimator is therefore consistent for a different target: the Gibbs target tilted by the observation rule. In the audit,</w:t>
      </w:r>
      <w:r>
        <w:t xml:space="preserve"> </w:t>
      </w:r>
      <m:oMath>
        <m:sSub>
          <m:e>
            <m:r>
              <w:rPr>
                <w:rFonts w:ascii="Cambria Math" w:hAnsi="Cambria Math"/>
              </w:rPr>
              <m:t>π</m:t>
            </m:r>
          </m:e>
          <m:sub>
            <m:r>
              <w:rPr>
                <w:rFonts w:ascii="Cambria Math" w:hAnsi="Cambria Math"/>
              </w:rPr>
              <m:t>0.5</m:t>
            </m:r>
          </m:sub>
        </m:sSub>
        <m:r>
          <m:rPr>
            <m:sty m:val="p"/>
          </m:rPr>
          <w:rPr>
            <w:rFonts w:ascii="Cambria Math" w:hAnsi="Cambria Math"/>
          </w:rPr>
          <m:t>=</m:t>
        </m:r>
        <m:r>
          <m:rPr>
            <m:scr m:val="script"/>
            <m:sty m:val="p"/>
          </m:rPr>
          <w:rPr>
            <w:rFonts w:ascii="Cambria Math" w:hAnsi="Cambria Math"/>
          </w:rPr>
          <m:t>N</m:t>
        </m:r>
        <m:d>
          <m:dPr>
            <m:begChr m:val="("/>
            <m:sepChr m:val=""/>
            <m:endChr m:val=")"/>
            <m:grow/>
          </m:dPr>
          <m:e>
            <m:r>
              <w:rPr>
                <w:rFonts w:ascii="Cambria Math" w:hAnsi="Cambria Math"/>
              </w:rPr>
              <m:t>0</m:t>
            </m:r>
            <m:r>
              <m:rPr>
                <m:sty m:val="p"/>
              </m:rPr>
              <w:rPr>
                <w:rFonts w:ascii="Cambria Math" w:hAnsi="Cambria Math"/>
              </w:rPr>
              <m:t>,</m:t>
            </m:r>
            <m:sSub>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2</m:t>
            </m:r>
          </m:e>
        </m:d>
      </m:oMath>
      <w:r>
        <w:t xml:space="preserve"> </w:t>
      </w:r>
      <w:r>
        <w:t xml:space="preserve">and</w:t>
      </w:r>
      <w:r>
        <w:t xml:space="preserve"> </w:t>
      </w:r>
      <m:oMath>
        <m:r>
          <w:rPr>
            <w:rFonts w:ascii="Cambria Math" w:hAnsi="Cambria Math"/>
          </w:rPr>
          <m:t>e</m:t>
        </m:r>
        <m:r>
          <m:rPr>
            <m:sty m:val="p"/>
          </m:rPr>
          <w:rPr>
            <w:rFonts w:ascii="Cambria Math" w:hAnsi="Cambria Math"/>
          </w:rPr>
          <m:t>=</m:t>
        </m:r>
        <m:r>
          <w:rPr>
            <w:rFonts w:ascii="Cambria Math" w:hAnsi="Cambria Math"/>
          </w:rPr>
          <m:t>1</m:t>
        </m:r>
      </m:oMath>
      <w:r>
        <w:t xml:space="preserve"> </w:t>
      </w:r>
      <w:r>
        <w:t xml:space="preserve">for</w:t>
      </w:r>
      <w:r>
        <w:t xml:space="preserve"> </w:t>
      </w:r>
      <m:oMath>
        <m:d>
          <m:dPr>
            <m:begChr m:val="|"/>
            <m:sepChr m:val=""/>
            <m:endChr m:val="|"/>
            <m:grow/>
          </m:dPr>
          <m:e>
            <m:sSub>
              <m:e>
                <m:r>
                  <w:rPr>
                    <w:rFonts w:ascii="Cambria Math" w:hAnsi="Cambria Math"/>
                  </w:rPr>
                  <m:t>y</m:t>
                </m:r>
              </m:e>
              <m:sub>
                <m:r>
                  <w:rPr>
                    <w:rFonts w:ascii="Cambria Math" w:hAnsi="Cambria Math"/>
                  </w:rPr>
                  <m:t>1</m:t>
                </m:r>
              </m:sub>
            </m:sSub>
          </m:e>
        </m:d>
        <m:r>
          <m:rPr>
            <m:sty m:val="p"/>
          </m:rPr>
          <w:rPr>
            <w:rFonts w:ascii="Cambria Math" w:hAnsi="Cambria Math"/>
          </w:rPr>
          <m:t>&gt;</m:t>
        </m:r>
        <m:r>
          <w:rPr>
            <w:rFonts w:ascii="Cambria Math" w:hAnsi="Cambria Math"/>
          </w:rPr>
          <m:t>1</m:t>
        </m:r>
      </m:oMath>
      <w:r>
        <w:t xml:space="preserve">,</w:t>
      </w:r>
      <w:r>
        <w:t xml:space="preserve"> </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w:t>
      </w:r>
      <w:r>
        <w:t xml:space="preserve">otherwise. SymPy evaluates the limit in closed form:</w:t>
      </w:r>
    </w:p>
    <w:p>
      <w:pPr>
        <w:pStyle w:val="BodyText"/>
        <w:keepLines/>
        <w:spacing w:before="60" w:after="120"/>
        <w:jc w:val="center"/>
      </w:pPr>
      <m:oMathPara>
        <m:oMathParaPr>
          <m:jc m:val="center"/>
        </m:oMathParaPr>
        <m:oMath>
          <m:f>
            <m:fPr>
              <m:type m:val="bar"/>
            </m:fPr>
            <m:num>
              <m:sSub>
                <m:e>
                  <m:r>
                    <m:rPr>
                      <m:scr m:val="double-struck"/>
                      <m:sty m:val="p"/>
                    </m:rPr>
                    <w:rPr>
                      <w:rFonts w:ascii="Cambria Math" w:hAnsi="Cambria Math"/>
                    </w:rPr>
                    <m:t>E</m:t>
                  </m:r>
                </m:e>
                <m:sub>
                  <m:sSub>
                    <m:e>
                      <m:r>
                        <w:rPr>
                          <w:rFonts w:ascii="Cambria Math" w:hAnsi="Cambria Math"/>
                        </w:rPr>
                        <m:t>π</m:t>
                      </m:r>
                    </m:e>
                    <m:sub>
                      <m:r>
                        <w:rPr>
                          <w:rFonts w:ascii="Cambria Math" w:hAnsi="Cambria Math"/>
                        </w:rPr>
                        <m:t>0.5</m:t>
                      </m:r>
                    </m:sub>
                  </m:sSub>
                </m:sub>
              </m:sSub>
              <m:r>
                <m:rPr>
                  <m:sty m:val="p"/>
                </m:rPr>
                <w:rPr>
                  <w:rFonts w:ascii="Cambria Math" w:hAnsi="Cambria Math"/>
                </w:rPr>
                <m:t>[</m:t>
              </m:r>
              <m:r>
                <w:rPr>
                  <w:rFonts w:ascii="Cambria Math" w:hAnsi="Cambria Math"/>
                </w:rPr>
                <m:t>e</m:t>
              </m:r>
              <m:r>
                <w:rPr>
                  <w:rFonts w:ascii="Cambria Math" w:hAnsi="Cambria Math"/>
                </w:rPr>
                <m:t>J</m:t>
              </m:r>
              <m:r>
                <m:rPr>
                  <m:sty m:val="p"/>
                </m:rPr>
                <w:rPr>
                  <w:rFonts w:ascii="Cambria Math" w:hAnsi="Cambria Math"/>
                </w:rPr>
                <m:t>]</m:t>
              </m:r>
            </m:num>
            <m:den>
              <m:sSub>
                <m:e>
                  <m:r>
                    <m:rPr>
                      <m:scr m:val="double-struck"/>
                      <m:sty m:val="p"/>
                    </m:rPr>
                    <w:rPr>
                      <w:rFonts w:ascii="Cambria Math" w:hAnsi="Cambria Math"/>
                    </w:rPr>
                    <m:t>E</m:t>
                  </m:r>
                </m:e>
                <m:sub>
                  <m:sSub>
                    <m:e>
                      <m:r>
                        <w:rPr>
                          <w:rFonts w:ascii="Cambria Math" w:hAnsi="Cambria Math"/>
                        </w:rPr>
                        <m:t>π</m:t>
                      </m:r>
                    </m:e>
                    <m:sub>
                      <m:r>
                        <w:rPr>
                          <w:rFonts w:ascii="Cambria Math" w:hAnsi="Cambria Math"/>
                        </w:rPr>
                        <m:t>0.5</m:t>
                      </m:r>
                    </m:sub>
                  </m:sSub>
                </m:sub>
              </m:sSub>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r>
            <w:rPr>
              <w:rFonts w:ascii="Cambria Math" w:hAnsi="Cambria Math"/>
            </w:rPr>
            <m:t>1</m:t>
          </m:r>
          <m:r>
            <m:rPr>
              <m:sty m:val="p"/>
            </m:rPr>
            <w:rPr>
              <w:rFonts w:ascii="Cambria Math" w:hAnsi="Cambria Math"/>
            </w:rPr>
            <m:t>+</m:t>
          </m:r>
          <m:f>
            <m:fPr>
              <m:type m:val="bar"/>
            </m:fPr>
            <m:num>
              <m:r>
                <w:rPr>
                  <w:rFonts w:ascii="Cambria Math" w:hAnsi="Cambria Math"/>
                </w:rPr>
                <m:t>3</m:t>
              </m:r>
            </m:num>
            <m:den>
              <m:r>
                <w:rPr>
                  <w:rFonts w:ascii="Cambria Math" w:hAnsi="Cambria Math"/>
                </w:rPr>
                <m:t>e</m:t>
              </m:r>
              <m:rad>
                <m:radPr>
                  <m:degHide m:val="on"/>
                </m:radPr>
                <m:deg/>
                <m:e>
                  <m:r>
                    <w:rPr>
                      <w:rFonts w:ascii="Cambria Math" w:hAnsi="Cambria Math"/>
                    </w:rPr>
                    <m:t>π</m:t>
                  </m:r>
                </m:e>
              </m:rad>
              <m:d>
                <m:dPr>
                  <m:begChr m:val="("/>
                  <m:sepChr m:val=""/>
                  <m:endChr m:val=")"/>
                  <m:grow/>
                </m:dPr>
                <m:e>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erf</m:t>
                  </m:r>
                  <m:r>
                    <w:rPr>
                      <w:rFonts w:ascii="Cambria Math" w:hAnsi="Cambria Math"/>
                    </w:rPr>
                    <m:t>1</m:t>
                  </m:r>
                </m:e>
              </m:d>
            </m:den>
          </m:f>
          <m:r>
            <m:rPr>
              <m:sty m:val="p"/>
            </m:rPr>
            <w:rPr>
              <w:rFonts w:ascii="Cambria Math" w:hAnsi="Cambria Math"/>
            </w:rPr>
            <m:t>=</m:t>
          </m:r>
          <m:r>
            <w:rPr>
              <w:rFonts w:ascii="Cambria Math" w:hAnsi="Cambria Math"/>
            </w:rPr>
            <m:t>1.4230330</m:t>
          </m:r>
          <m:r>
            <m:rPr>
              <m:sty m:val="p"/>
            </m:rPr>
            <w:rPr>
              <w:rFonts w:ascii="Cambria Math" w:hAnsi="Cambria Math"/>
            </w:rPr>
            <m:t>.</m:t>
          </m:r>
        </m:oMath>
      </m:oMathPara>
    </w:p>
    <w:p>
      <w:pPr>
        <w:pStyle w:val="FirstParagraph"/>
      </w:pPr>
      <w:r>
        <w:t xml:space="preserve">Here</w:t>
      </w:r>
      <w:r>
        <w:t xml:space="preserve"> </w:t>
      </w:r>
      <m:oMath>
        <m:r>
          <w:rPr>
            <w:rFonts w:ascii="Cambria Math" w:hAnsi="Cambria Math"/>
          </w:rPr>
          <m:t>e</m:t>
        </m:r>
      </m:oMath>
      <w:r>
        <w:t xml:space="preserve"> </w:t>
      </w:r>
      <w:r>
        <w:t xml:space="preserve">in the denominator is Euler’s number. The single Python run of Section 8.3 gave 1.412178, 0.011 below the limit. The audit was rerun in C# with the same laws, once with seed 20261029 and for seeds 1 to 200. For each attempt, the program encloses the exponentials of the recorded log weights and checks the upper endpoints against</w:t>
      </w:r>
      <w:r>
        <w:t xml:space="preserve"> </w:t>
      </w:r>
      <m:oMath>
        <m:sSub>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4</m:t>
        </m:r>
      </m:oMath>
      <w:r>
        <w:t xml:space="preserve"> </w:t>
      </w:r>
      <w:r>
        <w:t xml:space="preserve">and both bounds in (17).</w:t>
      </w:r>
    </w:p>
    <w:p>
      <w:pPr>
        <w:pStyle w:val="Caption"/>
        <w:keepNext/>
      </w:pPr>
      <w:r>
        <w:t xml:space="preserve">Table 7. Cross-language selective-evaluation audit. Python is the single run of Section 8.3; C# uses its own generator, with seed 20261029 and with seeds 1 to 200 (mean ± standard deviation).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5"/>
        <w:gridCol w:w="1788"/>
        <w:gridCol w:w="1490"/>
        <w:gridCol w:w="1490"/>
        <w:gridCol w:w="2783"/>
      </w:tblGrid>
      <w:tr>
        <w:trPr>
          <w:cantSplit/>
          <w:tblHeader/>
          <w:jc w:val="center"/>
        </w:trPr>
        <w:tc>
          <w:tcPr>
            <w:tcW w:w="2385"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Quantity</w:t>
            </w:r>
          </w:p>
        </w:tc>
        <w:tc>
          <w:tcPr>
            <w:tcW w:w="178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Exact or bound</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Python, Sec. 8.3</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one seed</w:t>
            </w:r>
          </w:p>
        </w:tc>
        <w:tc>
          <w:tcPr>
            <w:tcW w:w="278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200 seeds</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Observed responses</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31,078</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31,333</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31,195 ± 149</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Inclusion corrected</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0.995836</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0.996532</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0.999796 ± 0.005351</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Inclusion omitted</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1.423033 (Prop. 7)</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1.412178</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1.424440</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1.423011 ± 0.006457</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Complete responses</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0.996920</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1.003372</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0.999988 ± 0.003648</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Corrected ESS of 100,000</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Diagnostic</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17,264.6</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17,394.6</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17,034 to 17,505</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Largest certified Wᵢ</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At most 4</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1.8519</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3.8111 (all seeds)</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Largest certified Vᵢ</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At most 16</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7.4076</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15.2444 (all seeds)</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Largest certified Vᵢ Jᵢ</w:t>
            </w:r>
          </w:p>
        </w:tc>
        <w:tc>
          <w:tcPr>
            <w:tcW w:w="17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At most 11.772142</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11.6701</w:t>
            </w:r>
          </w:p>
        </w:tc>
        <w:tc>
          <w:tcPr>
            <w:tcW w:w="27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11.7595 (all seeds)</w:t>
            </w:r>
          </w:p>
        </w:tc>
      </w:tr>
    </w:tbl>
    <w:p>
      <w:pPr>
        <w:pStyle w:val="BodyText"/>
        <w:spacing w:before="140"/>
      </w:pPr>
    </w:p>
    <w:p>
      <w:pPr>
        <w:pStyle w:val="BodyText"/>
      </w:pPr>
      <w:r>
        <w:t xml:space="preserve">Across seeds, the corrected estimate averages 0.999796. Its standard error is 0.00038, so it is 0.5 standard errors from the exact value 1. 190 of 200 seeds fall within two standard deviations. The omitted-correction estimate averages 1.423011, 0.000022 from the exact limit, with standard deviation 0.006457. The single Python value lies 1.7 standard deviations below that limit. All 20 million attempts satisfy the certified bounds. The largest</w:t>
      </w:r>
      <w:r>
        <w:t xml:space="preserve"> </w:t>
      </w:r>
      <m:oMath>
        <m:sSub>
          <m:e>
            <m:r>
              <w:rPr>
                <w:rFonts w:ascii="Cambria Math" w:hAnsi="Cambria Math"/>
              </w:rPr>
              <m:t>V</m:t>
            </m:r>
          </m:e>
          <m:sub>
            <m:r>
              <w:rPr>
                <w:rFonts w:ascii="Cambria Math" w:hAnsi="Cambria Math"/>
              </w:rPr>
              <m:t>i</m:t>
            </m:r>
          </m:sub>
        </m:sSub>
        <m:sSub>
          <m:e>
            <m:r>
              <w:rPr>
                <w:rFonts w:ascii="Cambria Math" w:hAnsi="Cambria Math"/>
              </w:rPr>
              <m:t>J</m:t>
            </m:r>
          </m:e>
          <m:sub>
            <m:r>
              <w:rPr>
                <w:rFonts w:ascii="Cambria Math" w:hAnsi="Cambria Math"/>
              </w:rPr>
              <m:t>i</m:t>
            </m:r>
          </m:sub>
        </m:sSub>
      </m:oMath>
      <w:r>
        <w:t xml:space="preserve">, 11.7595, comes within 0.11% of</w:t>
      </w:r>
      <w:r>
        <w:t xml:space="preserve"> </w:t>
      </w:r>
      <m:oMath>
        <m:r>
          <w:rPr>
            <w:rFonts w:ascii="Cambria Math" w:hAnsi="Cambria Math"/>
          </w:rPr>
          <m:t>1</m:t>
        </m:r>
        <m:r>
          <m:rPr>
            <m:sty m:val="p"/>
          </m:rPr>
          <w:rPr>
            <w:rFonts w:ascii="Cambria Math" w:hAnsi="Cambria Math"/>
          </w:rPr>
          <m:t>/</m:t>
        </m:r>
        <m:d>
          <m:dPr>
            <m:begChr m:val="("/>
            <m:sepChr m:val=""/>
            <m:endChr m:val=")"/>
            <m:grow/>
          </m:dPr>
          <m:e>
            <m:sSub>
              <m:e>
                <m:r>
                  <w:rPr>
                    <w:rFonts w:ascii="Cambria Math" w:hAnsi="Cambria Math"/>
                  </w:rPr>
                  <m:t>α</m:t>
                </m:r>
              </m:e>
              <m:sub>
                <m:r>
                  <w:rPr>
                    <w:rFonts w:ascii="Cambria Math" w:hAnsi="Cambria Math"/>
                  </w:rPr>
                  <m:t>0</m:t>
                </m:r>
              </m:sub>
            </m:sSub>
            <m:sSub>
              <m:e>
                <m:r>
                  <w:rPr>
                    <w:rFonts w:ascii="Cambria Math" w:hAnsi="Cambria Math"/>
                  </w:rPr>
                  <m:t>e</m:t>
                </m:r>
              </m:e>
              <m:sub>
                <m:r>
                  <w:rPr>
                    <w:rFonts w:ascii="Cambria Math" w:hAnsi="Cambria Math"/>
                  </w:rPr>
                  <m:t>0</m:t>
                </m:r>
              </m:sub>
            </m:sSub>
            <m:r>
              <w:rPr>
                <w:rFonts w:ascii="Cambria Math" w:hAnsi="Cambria Math"/>
              </w:rPr>
              <m:t>e</m:t>
            </m:r>
            <m:r>
              <w:rPr>
                <w:rFonts w:ascii="Cambria Math" w:hAnsi="Cambria Math"/>
              </w:rPr>
              <m:t>β</m:t>
            </m:r>
          </m:e>
        </m:d>
        <m:r>
          <m:rPr>
            <m:sty m:val="p"/>
          </m:rPr>
          <w:rPr>
            <w:rFonts w:ascii="Cambria Math" w:hAnsi="Cambria Math"/>
          </w:rPr>
          <m:t>=</m:t>
        </m:r>
        <m:r>
          <w:rPr>
            <w:rFonts w:ascii="Cambria Math" w:hAnsi="Cambria Math"/>
          </w:rPr>
          <m:t>11.772142</m:t>
        </m:r>
      </m:oMath>
      <w:r>
        <w:t xml:space="preserve">, so the second bound of (17) is nearly attained in this design.</w:t>
      </w:r>
    </w:p>
    <w:p>
      <w:pPr>
        <w:pStyle w:val="BodyText"/>
        <w:keepNext/>
        <w:spacing w:before="120"/>
        <w:jc w:val="center"/>
      </w:pPr>
      <w:r>
        <w:rPr>
          <w:noProof/>
        </w:rPr>
        <w:drawing>
          <wp:inline distT="0" distB="0" distL="0" distR="0">
            <wp:extent cx="6126480" cy="2468880"/>
            <wp:effectExtent l="0" t="0" r="0" b="0"/>
            <wp:docPr id="901" name="Picture 901" descr="Occupancy certificates and selective audit replication"/>
            <wp:cNvGraphicFramePr/>
            <a:graphic xmlns:a="http://schemas.openxmlformats.org/drawingml/2006/main">
              <a:graphicData uri="http://schemas.openxmlformats.org/drawingml/2006/picture">
                <pic:pic xmlns:pic="http://schemas.openxmlformats.org/drawingml/2006/picture">
                  <pic:nvPicPr>
                    <pic:cNvPr id="901" name="Picture 901" descr="Occupancy certificates and selective audit replication"/>
                    <pic:cNvPicPr>
                      <a:picLocks noChangeAspect="1" noChangeArrowheads="1"/>
                    </pic:cNvPicPr>
                  </pic:nvPicPr>
                  <pic:blipFill>
                    <a:blip r:embed="rId30"/>
                    <a:stretch>
                      <a:fillRect/>
                    </a:stretch>
                  </pic:blipFill>
                  <pic:spPr bwMode="auto">
                    <a:xfrm>
                      <a:off x="0" y="0"/>
                      <a:ext cx="6126480" cy="2468880"/>
                    </a:xfrm>
                    <a:prstGeom prst="rect">
                      <a:avLst/>
                    </a:prstGeom>
                    <a:noFill/>
                  </pic:spPr>
                </pic:pic>
              </a:graphicData>
            </a:graphic>
          </wp:inline>
        </w:drawing>
      </w:r>
    </w:p>
    <w:p>
      <w:pPr>
        <w:pStyle w:val="Caption"/>
        <w:keepLines/>
      </w:pPr>
      <w:r>
        <w:t xml:space="preserve">Figure 2. Left: certified maximum relative errors of the occupancy recurrence (7), of a transposed update and of the transposed update on equal-norm points. Right: 200 C# seeds of the selective-evaluation audit. The corrected and complete estimators centre on the exact value 1; the estimator that omits inclusion correction centres on the limit of Proposition 7.</w:t>
      </w:r>
    </w:p>
    <w:p>
      <w:pPr>
        <w:pStyle w:val="Heading2"/>
      </w:pPr>
      <w:r>
        <w:t xml:space="preserve">8.7 Inclusion design under a fixed proposal</w:t>
      </w:r>
    </w:p>
    <w:p>
      <w:pPr>
        <w:pStyle w:val="FirstParagraph"/>
      </w:pPr>
      <w:r>
        <w:t xml:space="preserve">Section 6.2 gives an oracle inclusion rule but no numerical comparison. In the audit the adaptive mean decays toward zero, so the late-run proposal is close to the fixed law</w:t>
      </w:r>
      <w:r>
        <w:t xml:space="preserve"> </w:t>
      </w:r>
      <m:oMath>
        <m:r>
          <w:rPr>
            <w:rFonts w:ascii="Cambria Math" w:hAnsi="Cambria Math"/>
          </w:rPr>
          <m:t>p</m:t>
        </m:r>
        <m:r>
          <m:rPr>
            <m:sty m:val="p"/>
          </m:rPr>
          <w:rPr>
            <w:rFonts w:ascii="Cambria Math" w:hAnsi="Cambria Math"/>
          </w:rPr>
          <m:t>=</m:t>
        </m:r>
        <m:r>
          <w:rPr>
            <w:rFonts w:ascii="Cambria Math" w:hAnsi="Cambria Math"/>
          </w:rPr>
          <m:t>0.75</m:t>
        </m:r>
        <m:r>
          <m:rPr>
            <m:scr m:val="script"/>
            <m:sty m:val="p"/>
          </m:rPr>
          <w:rPr>
            <w:rFonts w:ascii="Cambria Math" w:hAnsi="Cambria Math"/>
          </w:rPr>
          <m:t>N</m:t>
        </m:r>
        <m:d>
          <m:dPr>
            <m:begChr m:val="("/>
            <m:sepChr m:val=""/>
            <m:endChr m:val=")"/>
            <m:grow/>
          </m:dPr>
          <m:e>
            <m:r>
              <w:rPr>
                <w:rFonts w:ascii="Cambria Math" w:hAnsi="Cambria Math"/>
              </w:rPr>
              <m:t>0</m:t>
            </m:r>
            <m:r>
              <m:rPr>
                <m:sty m:val="p"/>
              </m:rPr>
              <w:rPr>
                <w:rFonts w:ascii="Cambria Math" w:hAnsi="Cambria Math"/>
              </w:rPr>
              <m:t>,</m:t>
            </m:r>
            <m:sSup>
              <m:e>
                <m:r>
                  <w:rPr>
                    <w:rFonts w:ascii="Cambria Math" w:hAnsi="Cambria Math"/>
                  </w:rPr>
                  <m:t>0.35</m:t>
                </m:r>
              </m:e>
              <m:sup>
                <m:r>
                  <w:rPr>
                    <w:rFonts w:ascii="Cambria Math" w:hAnsi="Cambria Math"/>
                  </w:rPr>
                  <m:t>2</m:t>
                </m:r>
              </m:sup>
            </m:sSup>
            <m:sSub>
              <m:e>
                <m:r>
                  <w:rPr>
                    <w:rFonts w:ascii="Cambria Math" w:hAnsi="Cambria Math"/>
                  </w:rPr>
                  <m:t>I</m:t>
                </m:r>
              </m:e>
              <m:sub>
                <m:r>
                  <w:rPr>
                    <w:rFonts w:ascii="Cambria Math" w:hAnsi="Cambria Math"/>
                  </w:rPr>
                  <m:t>2</m:t>
                </m:r>
              </m:sub>
            </m:sSub>
          </m:e>
        </m:d>
        <m:r>
          <m:rPr>
            <m:sty m:val="p"/>
          </m:rPr>
          <w:rPr>
            <w:rFonts w:ascii="Cambria Math" w:hAnsi="Cambria Math"/>
          </w:rPr>
          <m:t>+</m:t>
        </m:r>
        <m:r>
          <w:rPr>
            <w:rFonts w:ascii="Cambria Math" w:hAnsi="Cambria Math"/>
          </w:rPr>
          <m:t>0.25</m:t>
        </m:r>
        <m:r>
          <w:rPr>
            <w:rFonts w:ascii="Cambria Math" w:hAnsi="Cambria Math"/>
          </w:rPr>
          <m:t>ν</m:t>
        </m:r>
      </m:oMath>
      <w:r>
        <w:t xml:space="preserve">. For independent draws from</w:t>
      </w:r>
      <w:r>
        <w:t xml:space="preserve"> </w:t>
      </w:r>
      <m:oMath>
        <m:r>
          <w:rPr>
            <w:rFonts w:ascii="Cambria Math" w:hAnsi="Cambria Math"/>
          </w:rPr>
          <m:t>p</m:t>
        </m:r>
      </m:oMath>
      <w:r>
        <w:t xml:space="preserve">, the delta method gives the asymptotic variance</w:t>
      </w:r>
      <w:r>
        <w:t xml:space="preserve"> </w:t>
      </w:r>
      <m:oMath>
        <m:r>
          <w:rPr>
            <w:rFonts w:ascii="Cambria Math" w:hAnsi="Cambria Math"/>
          </w:rPr>
          <m:t>n</m:t>
        </m:r>
        <m:r>
          <w:rPr>
            <w:rFonts w:ascii="Cambria Math" w:hAnsi="Cambria Math"/>
          </w:rPr>
          <m:t> </m:t>
        </m:r>
        <m:r>
          <m:rPr>
            <m:sty m:val="p"/>
          </m:rPr>
          <w:rPr>
            <w:rFonts w:ascii="Cambria Math" w:hAnsi="Cambria Math"/>
          </w:rPr>
          <m:t>V</m:t>
        </m:r>
        <m:r>
          <m:rPr>
            <m:sty m:val="p"/>
          </m:rPr>
          <w:rPr>
            <w:rFonts w:ascii="Cambria Math" w:hAnsi="Cambria Math"/>
          </w:rPr>
          <m:t>a</m:t>
        </m:r>
        <m:r>
          <m:rPr>
            <m:sty m:val="p"/>
          </m:rPr>
          <w:rPr>
            <w:rFonts w:ascii="Cambria Math" w:hAnsi="Cambria Math"/>
          </w:rPr>
          <m:t>r</m:t>
        </m:r>
        <m:d>
          <m:dPr>
            <m:begChr m:val="("/>
            <m:sepChr m:val=""/>
            <m:endChr m:val=")"/>
            <m:grow/>
          </m:dPr>
          <m:e>
            <m:sSub>
              <m:e>
                <m:acc>
                  <m:accPr>
                    <m:chr m:val="̂"/>
                  </m:accPr>
                  <m:e>
                    <m:r>
                      <w:rPr>
                        <w:rFonts w:ascii="Cambria Math" w:hAnsi="Cambria Math"/>
                      </w:rPr>
                      <m:t>μ</m:t>
                    </m:r>
                  </m:e>
                </m:acc>
              </m:e>
              <m:sub>
                <m:r>
                  <w:rPr>
                    <w:rFonts w:ascii="Cambria Math" w:hAnsi="Cambria Math"/>
                  </w:rPr>
                  <m:t>n</m:t>
                </m:r>
              </m:sub>
            </m:sSub>
          </m:e>
        </m:d>
        <m:r>
          <m:rPr>
            <m:sty m:val="p"/>
          </m:rPr>
          <w:rPr>
            <w:rFonts w:ascii="Cambria Math" w:hAnsi="Cambria Math"/>
          </w:rPr>
          <m:t>→</m:t>
        </m:r>
        <m:sSub>
          <m:e>
            <m:r>
              <m:rPr>
                <m:scr m:val="double-struck"/>
                <m:sty m:val="p"/>
              </m:rPr>
              <w:rPr>
                <w:rFonts w:ascii="Cambria Math" w:hAnsi="Cambria Math"/>
              </w:rPr>
              <m:t>E</m:t>
            </m:r>
          </m:e>
          <m:sub>
            <m:r>
              <w:rPr>
                <w:rFonts w:ascii="Cambria Math" w:hAnsi="Cambria Math"/>
              </w:rPr>
              <m:t>p</m:t>
            </m:r>
          </m:sub>
        </m:sSub>
        <m:d>
          <m:dPr>
            <m:begChr m:val="["/>
            <m:sepChr m:val=""/>
            <m:endChr m:val="]"/>
            <m:grow/>
          </m:dPr>
          <m:e>
            <m:sSup>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e>
        </m:d>
        <m:r>
          <m:rPr>
            <m:sty m:val="p"/>
          </m:rPr>
          <w:rPr>
            <w:rFonts w:ascii="Cambria Math" w:hAnsi="Cambria Math"/>
          </w:rPr>
          <m:t>/</m:t>
        </m:r>
        <m:sSubSup>
          <m:e>
            <m:r>
              <w:rPr>
                <w:rFonts w:ascii="Cambria Math" w:hAnsi="Cambria Math"/>
              </w:rPr>
              <m:t>Z</m:t>
            </m:r>
          </m:e>
          <m:sub>
            <m:r>
              <w:rPr>
                <w:rFonts w:ascii="Cambria Math" w:hAnsi="Cambria Math"/>
              </w:rPr>
              <m:t>β</m:t>
            </m:r>
          </m:sub>
          <m:sup>
            <m:r>
              <w:rPr>
                <w:rFonts w:ascii="Cambria Math" w:hAnsi="Cambria Math"/>
              </w:rPr>
              <m:t>2</m:t>
            </m:r>
          </m:sup>
        </m:sSubSup>
      </m:oMath>
      <w:r>
        <w:t xml:space="preserve"> </w:t>
      </w:r>
      <w:r>
        <w:t xml:space="preserve">for (13) with</w:t>
      </w:r>
      <w:r>
        <w:t xml:space="preserve"> </w:t>
      </w:r>
      <m:oMath>
        <m:r>
          <w:rPr>
            <w:rFonts w:ascii="Cambria Math" w:hAnsi="Cambria Math"/>
          </w:rPr>
          <m:t>h</m:t>
        </m:r>
        <m:r>
          <m:rPr>
            <m:sty m:val="p"/>
          </m:rPr>
          <w:rPr>
            <w:rFonts w:ascii="Cambria Math" w:hAnsi="Cambria Math"/>
          </w:rPr>
          <m:t>=</m:t>
        </m:r>
        <m:r>
          <w:rPr>
            <w:rFonts w:ascii="Cambria Math" w:hAnsi="Cambria Math"/>
          </w:rPr>
          <m:t>J</m:t>
        </m:r>
      </m:oMath>
      <w:r>
        <w:t xml:space="preserve">. Here</w:t>
      </w:r>
      <w:r>
        <w:t xml:space="preserve"> </w:t>
      </w:r>
      <m:oMath>
        <m:r>
          <w:rPr>
            <w:rFonts w:ascii="Cambria Math" w:hAnsi="Cambria Math"/>
          </w:rPr>
          <m:t>G</m:t>
        </m:r>
        <m:r>
          <m:rPr>
            <m:sty m:val="p"/>
          </m:rPr>
          <w:rPr>
            <w:rFonts w:ascii="Cambria Math" w:hAnsi="Cambria Math"/>
          </w:rPr>
          <m:t>=</m:t>
        </m:r>
        <m:r>
          <w:rPr>
            <w:rFonts w:ascii="Cambria Math" w:hAnsi="Cambria Math"/>
          </w:rPr>
          <m:t>W</m:t>
        </m:r>
        <m:d>
          <m:dPr>
            <m:begChr m:val="("/>
            <m:sepChr m:val=""/>
            <m:endChr m:val=")"/>
            <m:grow/>
          </m:dPr>
          <m:e>
            <m:r>
              <w:rPr>
                <w:rFonts w:ascii="Cambria Math" w:hAnsi="Cambria Math"/>
              </w:rPr>
              <m:t>J</m:t>
            </m:r>
            <m:r>
              <m:rPr>
                <m:sty m:val="p"/>
              </m:rPr>
              <w:rPr>
                <w:rFonts w:ascii="Cambria Math" w:hAnsi="Cambria Math"/>
              </w:rPr>
              <m:t>−</m:t>
            </m:r>
            <m:r>
              <w:rPr>
                <w:rFonts w:ascii="Cambria Math" w:hAnsi="Cambria Math"/>
              </w:rPr>
              <m:t>1</m:t>
            </m:r>
          </m:e>
        </m:d>
      </m:oMath>
      <w:r>
        <w:t xml:space="preserve"> </w:t>
      </w:r>
      <w:r>
        <w:t xml:space="preserve">and</w:t>
      </w:r>
      <w:r>
        <w:t xml:space="preserve"> </w:t>
      </w:r>
      <m:oMath>
        <m:sSub>
          <m:e>
            <m:r>
              <w:rPr>
                <w:rFonts w:ascii="Cambria Math" w:hAnsi="Cambria Math"/>
              </w:rPr>
              <m:t>Z</m:t>
            </m:r>
          </m:e>
          <m:sub>
            <m:r>
              <w:rPr>
                <w:rFonts w:ascii="Cambria Math" w:hAnsi="Cambria Math"/>
              </w:rPr>
              <m:t>0.5</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Under</w:t>
      </w:r>
      <w:r>
        <w:t xml:space="preserve"> </w:t>
      </w:r>
      <m:oMath>
        <m:r>
          <w:rPr>
            <w:rFonts w:ascii="Cambria Math" w:hAnsi="Cambria Math"/>
          </w:rPr>
          <m:t>p</m:t>
        </m:r>
      </m:oMath>
      <w:r>
        <w:t xml:space="preserve">, the gate rule of Section 8.3 observes a fraction 0.31190 of attempts; the adaptive runs averaged 0.31195. Four other rules were compared at that budget. The variance integrals use a midpoint grid of spacing 0.004 on</w:t>
      </w:r>
      <w:r>
        <w:t xml:space="preserve"> </w:t>
      </w:r>
      <m:oMath>
        <m:sSup>
          <m:e>
            <m:d>
              <m:dPr>
                <m:begChr m:val="["/>
                <m:sepChr m:val=""/>
                <m:endChr m:val="]"/>
                <m:grow/>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a deterministic diagnostic rather than a certificate. Each rule was then simulated in C# for 200 seeds of</w:t>
      </w:r>
      <w:r>
        <w:t xml:space="preserve"> </w:t>
      </w:r>
      <m:oMath>
        <m:sSup>
          <m:e>
            <m:r>
              <w:rPr>
                <w:rFonts w:ascii="Cambria Math" w:hAnsi="Cambria Math"/>
              </w:rPr>
              <m:t>10</m:t>
            </m:r>
          </m:e>
          <m:sup>
            <m:r>
              <w:rPr>
                <w:rFonts w:ascii="Cambria Math" w:hAnsi="Cambria Math"/>
              </w:rPr>
              <m:t>5</m:t>
            </m:r>
          </m:sup>
        </m:sSup>
      </m:oMath>
      <w:r>
        <w:t xml:space="preserve"> </w:t>
      </w:r>
      <w:r>
        <w:t xml:space="preserve">attempts.</w:t>
      </w:r>
    </w:p>
    <w:p>
      <w:pPr>
        <w:pStyle w:val="Caption"/>
        <w:keepNext/>
      </w:pPr>
      <w:r>
        <w:t xml:space="preserve">Table 8. Inclusion rules under the fixed proposal 0.75 N(0, 0.35² I) + 0.25 ν with h = J. The variance integral is a grid diagnostic; measured values use 200 C# seeds of 100,000 attempts.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4"/>
        <w:gridCol w:w="1332"/>
        <w:gridCol w:w="1332"/>
        <w:gridCol w:w="1229"/>
        <w:gridCol w:w="1229"/>
        <w:gridCol w:w="1229"/>
        <w:gridCol w:w="1331"/>
      </w:tblGrid>
      <w:tr>
        <w:trPr>
          <w:cantSplit/>
          <w:tblHeader/>
          <w:jc w:val="center"/>
        </w:trPr>
        <w:tc>
          <w:tcPr>
            <w:tcW w:w="2254"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Rule</w:t>
            </w:r>
          </w:p>
        </w:tc>
        <w:tc>
          <w:tcPr>
            <w:tcW w:w="133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Observation fraction</w:t>
            </w:r>
          </w:p>
        </w:tc>
        <w:tc>
          <w:tcPr>
            <w:tcW w:w="133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Asymptotic variance</w:t>
            </w:r>
          </w:p>
        </w:tc>
        <w:tc>
          <w:tcPr>
            <w:tcW w:w="122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Predicted SD</w:t>
            </w:r>
          </w:p>
        </w:tc>
        <w:tc>
          <w:tcPr>
            <w:tcW w:w="122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Measured SD</w:t>
            </w:r>
          </w:p>
        </w:tc>
        <w:tc>
          <w:tcPr>
            <w:tcW w:w="122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Measured mean</w:t>
            </w:r>
          </w:p>
        </w:tc>
        <w:tc>
          <w:tcPr>
            <w:tcW w:w="1331"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Measured fraction</w:t>
            </w:r>
          </w:p>
        </w:tc>
      </w:tr>
      <w:tr>
        <w:trPr>
          <w:cantSplit/>
          <w:jc w:val="center"/>
        </w:trPr>
        <w:tc>
          <w:tcPr>
            <w:tcW w:w="225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Every attempt</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1.00000</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1.2124</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0.00348</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0.00367</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0.99988</w:t>
            </w:r>
          </w:p>
        </w:tc>
        <w:tc>
          <w:tcPr>
            <w:tcW w:w="133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1.00000</w:t>
            </w:r>
          </w:p>
        </w:tc>
      </w:tr>
      <w:tr>
        <w:trPr>
          <w:cantSplit/>
          <w:jc w:val="center"/>
        </w:trPr>
        <w:tc>
          <w:tcPr>
            <w:tcW w:w="225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Gate of Section 8.3</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0.31190</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3.0330</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0.00551</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0.00538</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1.00023</w:t>
            </w:r>
          </w:p>
        </w:tc>
        <w:tc>
          <w:tcPr>
            <w:tcW w:w="133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0.31179</w:t>
            </w:r>
          </w:p>
        </w:tc>
      </w:tr>
      <w:tr>
        <w:trPr>
          <w:cantSplit/>
          <w:jc w:val="center"/>
        </w:trPr>
        <w:tc>
          <w:tcPr>
            <w:tcW w:w="225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at the gate budget</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0.31190</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3.8872</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0.00623</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0.00645</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0.99994</w:t>
            </w:r>
          </w:p>
        </w:tc>
        <w:tc>
          <w:tcPr>
            <w:tcW w:w="133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0.31174</w:t>
            </w:r>
          </w:p>
        </w:tc>
      </w:tr>
      <w:tr>
        <w:trPr>
          <w:cantSplit/>
          <w:jc w:val="center"/>
        </w:trPr>
        <w:tc>
          <w:tcPr>
            <w:tcW w:w="225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Oracle, floor 0.25</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0.31190</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2.0379</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0.00451</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0.00451</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0.99991</w:t>
            </w:r>
          </w:p>
        </w:tc>
        <w:tc>
          <w:tcPr>
            <w:tcW w:w="133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0.31175</w:t>
            </w:r>
          </w:p>
        </w:tc>
      </w:tr>
      <w:tr>
        <w:trPr>
          <w:cantSplit/>
          <w:jc w:val="center"/>
        </w:trPr>
        <w:tc>
          <w:tcPr>
            <w:tcW w:w="225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Oracle, floor 0.05</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0.31190</w:t>
            </w:r>
          </w:p>
        </w:tc>
        <w:tc>
          <w:tcPr>
            <w:tcW w:w="133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1.8300</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0.00428</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0.00432</w:t>
            </w:r>
          </w:p>
        </w:tc>
        <w:tc>
          <w:tcPr>
            <w:tcW w:w="12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1.00003</w:t>
            </w:r>
          </w:p>
        </w:tc>
        <w:tc>
          <w:tcPr>
            <w:tcW w:w="133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0.31177</w:t>
            </w:r>
          </w:p>
        </w:tc>
      </w:tr>
    </w:tbl>
    <w:p>
      <w:pPr>
        <w:pStyle w:val="BodyText"/>
        <w:spacing w:before="140"/>
      </w:pPr>
    </w:p>
    <w:p>
      <w:pPr>
        <w:pStyle w:val="BodyText"/>
      </w:pPr>
      <w:r>
        <w:t xml:space="preserve">The predicted standard deviations agree with the measured ones within 6%. That is the sampling error expected when a standard deviation is estimated from 200 seeds. At the gate’s budget, the oracle rule with floor 0.25 lowers the asymptotic variance by 33% relative to the gate and by 48% relative to uniform inclusion. Lowering the floor to 0.05 gains a further 10%, but reduces the protection that Theorem 3 needs. The gate is already 22% better than uniform inclusion at the same budget. Figure 3 shows why the gate and the oracle differ. The oracle concentrates observations on an annulus between radii of about 1.3 and 2.5, where target weight and loss deviation are both large. It spends the floor near the circle</w:t>
      </w:r>
      <w:r>
        <w:t xml:space="preserve"> </w:t>
      </w:r>
      <m:oMath>
        <m:r>
          <w:rPr>
            <w:rFonts w:ascii="Cambria Math" w:hAnsi="Cambria Math"/>
          </w:rPr>
          <m:t>J</m:t>
        </m:r>
        <m:r>
          <m:rPr>
            <m:sty m:val="p"/>
          </m:rPr>
          <w:rPr>
            <w:rFonts w:ascii="Cambria Math" w:hAnsi="Cambria Math"/>
          </w:rPr>
          <m:t>=</m:t>
        </m:r>
        <m:r>
          <w:rPr>
            <w:rFonts w:ascii="Cambria Math" w:hAnsi="Cambria Math"/>
          </w:rPr>
          <m:t>1</m:t>
        </m:r>
      </m:oMath>
      <w:r>
        <w:t xml:space="preserve">, where</w:t>
      </w:r>
      <w:r>
        <w:t xml:space="preserve"> </w:t>
      </w:r>
      <m:oMath>
        <m:r>
          <w:rPr>
            <w:rFonts w:ascii="Cambria Math" w:hAnsi="Cambria Math"/>
          </w:rPr>
          <m:t>G</m:t>
        </m:r>
      </m:oMath>
      <w:r>
        <w:t xml:space="preserve"> </w:t>
      </w:r>
      <w:r>
        <w:t xml:space="preserve">vanishes. It cannot be deployed, because</w:t>
      </w:r>
      <w:r>
        <w:t xml:space="preserve"> </w:t>
      </w:r>
      <m:oMath>
        <m:r>
          <w:rPr>
            <w:rFonts w:ascii="Cambria Math" w:hAnsi="Cambria Math"/>
          </w:rPr>
          <m:t>G</m:t>
        </m:r>
      </m:oMath>
      <w:r>
        <w:t xml:space="preserve"> </w:t>
      </w:r>
      <w:r>
        <w:t xml:space="preserve">requires the unknown response and target mean. Its value is a reference against which a surrogate proxy with a positive floor can be scored.</w:t>
      </w:r>
    </w:p>
    <w:p>
      <w:pPr>
        <w:pStyle w:val="BodyText"/>
        <w:keepNext/>
        <w:spacing w:before="120"/>
        <w:jc w:val="center"/>
      </w:pPr>
      <w:r>
        <w:rPr>
          <w:noProof/>
        </w:rPr>
        <w:drawing>
          <wp:inline distT="0" distB="0" distL="0" distR="0">
            <wp:extent cx="6126480" cy="2560320"/>
            <wp:effectExtent l="0" t="0" r="0" b="0"/>
            <wp:docPr id="902" name="Picture 902" descr="Oracle inclusion rule and variance comparison"/>
            <wp:cNvGraphicFramePr/>
            <a:graphic xmlns:a="http://schemas.openxmlformats.org/drawingml/2006/main">
              <a:graphicData uri="http://schemas.openxmlformats.org/drawingml/2006/picture">
                <pic:pic xmlns:pic="http://schemas.openxmlformats.org/drawingml/2006/picture">
                  <pic:nvPicPr>
                    <pic:cNvPr id="902" name="Picture 902" descr="Oracle inclusion rule and variance comparison"/>
                    <pic:cNvPicPr>
                      <a:picLocks noChangeAspect="1" noChangeArrowheads="1"/>
                    </pic:cNvPicPr>
                  </pic:nvPicPr>
                  <pic:blipFill>
                    <a:blip r:embed="rId31"/>
                    <a:stretch>
                      <a:fillRect/>
                    </a:stretch>
                  </pic:blipFill>
                  <pic:spPr bwMode="auto">
                    <a:xfrm>
                      <a:off x="0" y="0"/>
                      <a:ext cx="6126480" cy="2560320"/>
                    </a:xfrm>
                    <a:prstGeom prst="rect">
                      <a:avLst/>
                    </a:prstGeom>
                    <a:noFill/>
                  </pic:spPr>
                </pic:pic>
              </a:graphicData>
            </a:graphic>
          </wp:inline>
        </w:drawing>
      </w:r>
    </w:p>
    <w:p>
      <w:pPr>
        <w:pStyle w:val="Caption"/>
        <w:keepLines/>
      </w:pPr>
      <w:r>
        <w:t xml:space="preserve">Figure 3. Left: the oracle inclusion probability with floor 0.25 at the gate budget, with the gate boundaries |y₁| = 1 (vertical lines) and the circle J = 1 where G vanishes (dotted). Right: predicted and measured standard deviations of the corrected estimate for five inclusion rules at n = 100,000.</w:t>
      </w:r>
    </w:p>
    <w:p w14:paraId="09410835" w14:textId="77777777" w:rsidR="006D39C8" w:rsidRDefault="00000000">
      <w:pPr>
        <w:pStyle w:val="Heading1"/>
        <w:rPr>
          <w:rFonts w:hint="eastAsia"/>
        </w:rPr>
      </w:pPr>
      <w:bookmarkStart w:id="24" w:name="X2b367471233090ffa1b9b69ded31896b849b5fc"/>
      <w:bookmarkEnd w:id="20"/>
      <w:bookmarkEnd w:id="23"/>
      <w:r>
        <w:t>9 Neuroscientific evidence and engineering hypotheses</w:t>
      </w:r>
    </w:p>
    <w:p w14:paraId="1EE48D7B" w14:textId="77777777" w:rsidR="006D39C8" w:rsidRDefault="00000000">
      <w:pPr>
        <w:pStyle w:val="Heading2"/>
        <w:rPr>
          <w:rFonts w:hint="eastAsia"/>
        </w:rPr>
      </w:pPr>
      <w:bookmarkStart w:id="25" w:name="X4d9aeb8beb457f60ade3047ed676ede83059824"/>
      <w:r>
        <w:t>9.1 Detailed memory and changing task relevance</w:t>
      </w:r>
    </w:p>
    <w:p w14:paraId="41147250" w14:textId="77777777" w:rsidR="006D39C8" w:rsidRDefault="00000000">
      <w:pPr>
        <w:pStyle w:val="FirstParagraph"/>
        <w:rPr>
          <w:rFonts w:hint="eastAsia"/>
        </w:rPr>
      </w:pPr>
      <w:r>
        <w:t>Nicholas and Mattar studied how human episodic memory supports decisions when future feature relevance is uncertain [12]. Across five experiments with 535 participants, their task showed use of detailed events particularly when people could not know at encoding which features would later matter. This supports the functional motivation for retaining raw engineering response vectors rather than only one scalar score. An archive can then be rescored when objective preferences change. The biological result concerns flexible human memory use, not an immutable cache or an exact Gibbs reweighting mechanism.</w:t>
      </w:r>
    </w:p>
    <w:p w14:paraId="48723D9B" w14:textId="77777777" w:rsidR="006D39C8" w:rsidRDefault="00000000">
      <w:pPr>
        <w:pStyle w:val="BodyText"/>
        <w:rPr>
          <w:rFonts w:hint="eastAsia"/>
        </w:rPr>
      </w:pPr>
      <w:r>
        <w:t>The concrete engineering hypothesis is that retaining cost, carbon, constraint margins and scenario responses improves adaptation to later specifications relative to retaining only the original weighted objective. The cost is storage and compatibility checking. The appropriate experiment changes objective weights or requested scenarios after collection and measures how many responses remain valid without new solver calls.</w:t>
      </w:r>
    </w:p>
    <w:p w14:paraId="61B23547" w14:textId="77777777" w:rsidR="006D39C8" w:rsidRDefault="00000000">
      <w:pPr>
        <w:pStyle w:val="Heading2"/>
        <w:rPr>
          <w:rFonts w:hint="eastAsia"/>
        </w:rPr>
      </w:pPr>
      <w:bookmarkStart w:id="26" w:name="Xc4d5cd47e9319e77f1016e137bb2925e66f44f3"/>
      <w:bookmarkEnd w:id="25"/>
      <w:r>
        <w:t>9.2 Selective access and exploration dynamics</w:t>
      </w:r>
    </w:p>
    <w:p w14:paraId="0CB2DA0F" w14:textId="77777777" w:rsidR="006D39C8" w:rsidRDefault="00000000">
      <w:pPr>
        <w:pStyle w:val="FirstParagraph"/>
        <w:rPr>
          <w:rFonts w:hint="eastAsia"/>
        </w:rPr>
      </w:pPr>
      <w:r>
        <w:t xml:space="preserve">Roscow and colleagues combined rat behavior, reinforcement-learning models and hippocampal–striatal recordings to distinguish reward outcomes from reward-prediction signals [13]. Their results favor a role for prediction error in replay prioritization. This motivates evaluating surprise as an additional observation or retrieval signal, rather than assuming that low achieved loss alone </w:t>
      </w:r>
      <w:r>
        <w:lastRenderedPageBreak/>
        <w:t xml:space="preserve">determines information value. It supplies no evidence that biological replay uses the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correction or knows an engineering proposal density.</w:t>
      </w:r>
    </w:p>
    <w:p w14:paraId="44642F31" w14:textId="77777777" w:rsidR="006D39C8" w:rsidRDefault="00000000">
      <w:pPr>
        <w:pStyle w:val="BodyText"/>
        <w:rPr>
          <w:rFonts w:hint="eastAsia"/>
        </w:rPr>
      </w:pPr>
      <w:r>
        <w:t>Mallory, Widloski and Foster observed organized self-avoidance in rat hippocampal replay across multiple timescales and used an attractor model to investigate neuronal fatigue [14]. This provides experimental motivation for controlling repeated access to the same neighborhood. An occupancy or recency penalty could serve that function in an optimizer. It remains a proposal modification whose performance must be tested independently from the correctness of an estimator.</w:t>
      </w:r>
    </w:p>
    <w:p w14:paraId="5273380D" w14:textId="77777777" w:rsidR="006D39C8" w:rsidRDefault="00000000">
      <w:pPr>
        <w:pStyle w:val="BodyText"/>
        <w:rPr>
          <w:rFonts w:hint="eastAsia"/>
        </w:rPr>
      </w:pPr>
      <w:r>
        <w:t xml:space="preserve">Ji and colleagues developed a firing-rate-adaptation model of stationary, diffusive and superdiffusive hippocampal replay, accompanied by experimental-data analysis [15]. Their work motivates distinguishing changes in intrinsic dynamics from simply increasing independent noise. In ADE, archive feedback, residual drift and fresh Gaussian noise likewise have different effects. The correspondence is functional: biological adaptation strength is not numerically equal to </w:t>
      </w:r>
      <m:oMath>
        <m:r>
          <w:rPr>
            <w:rFonts w:ascii="Cambria Math" w:hAnsi="Cambria Math"/>
          </w:rPr>
          <m:t>η</m:t>
        </m:r>
      </m:oMath>
      <w:r>
        <w:t>, and decoded neural trajectory spread is not equation (6).</w:t>
      </w:r>
    </w:p>
    <w:p w14:paraId="293A2EFA" w14:textId="77777777" w:rsidR="006D39C8" w:rsidRDefault="00000000">
      <w:pPr>
        <w:pStyle w:val="Heading2"/>
        <w:rPr>
          <w:rFonts w:hint="eastAsia"/>
        </w:rPr>
      </w:pPr>
      <w:bookmarkStart w:id="27" w:name="X97ba5a25c80b1e8824f9aa41e0e9e151409c21b"/>
      <w:bookmarkEnd w:id="26"/>
      <w:r>
        <w:t>9.3 What the evidence does and does not support</w:t>
      </w:r>
    </w:p>
    <w:p w14:paraId="38290802" w14:textId="77777777" w:rsidR="006D39C8" w:rsidRDefault="00000000">
      <w:pPr>
        <w:pStyle w:val="FirstParagraph"/>
        <w:rPr>
          <w:rFonts w:hint="eastAsia"/>
        </w:rPr>
      </w:pPr>
      <w:r>
        <w:t>The recent findings support three research directions: retain information for future task relevance, prioritize some experiences over others, and control repetition and exploration separately. They do not establish that human or animal memory is an exact evaluation log, that a neural trajectory samples a fixed target density, or that a neurotransmitter implements a scalar inverse temperature. A solver measurement is a new external observation; internally replaying a remembered or imagined design does not create another measured response.</w:t>
      </w:r>
    </w:p>
    <w:p w14:paraId="192510BE" w14:textId="77777777" w:rsidR="006D39C8" w:rsidRDefault="00000000">
      <w:pPr>
        <w:pStyle w:val="BodyText"/>
        <w:rPr>
          <w:rFonts w:hint="eastAsia"/>
        </w:rPr>
      </w:pPr>
      <w:r>
        <w:t>A useful ADE ablation would independently vary response retention, surprise-based inclusion and occupancy-based diversity. Keep solver-call, attempt and wall-time budgets explicit; preserve the same final verification requirements; and report both feasible incumbent quality and estimator error on problems with a known target. Those outcomes make the analogy testable without treating neuroscience as a proof of an engineering algorithm.</w:t>
      </w:r>
    </w:p>
    <w:p w14:paraId="3DFFFE99" w14:textId="77777777" w:rsidR="006D39C8" w:rsidRDefault="00000000">
      <w:pPr>
        <w:pStyle w:val="Heading1"/>
        <w:rPr>
          <w:rFonts w:hint="eastAsia"/>
        </w:rPr>
      </w:pPr>
      <w:bookmarkStart w:id="28" w:name="analogy-with-an-ai-agent-harness"/>
      <w:bookmarkEnd w:id="24"/>
      <w:bookmarkEnd w:id="27"/>
      <w:r>
        <w:t>10 Analogy with an AI agent harness</w:t>
      </w:r>
    </w:p>
    <w:p w14:paraId="20D7088E" w14:textId="77777777" w:rsidR="006D39C8" w:rsidRDefault="00000000">
      <w:pPr>
        <w:pStyle w:val="Heading2"/>
        <w:rPr>
          <w:rFonts w:hint="eastAsia"/>
        </w:rPr>
      </w:pPr>
      <w:bookmarkStart w:id="29" w:name="fixed-weights-and-state-transitions"/>
      <w:r>
        <w:t>10.1 Fixed weights and state transitions</w:t>
      </w:r>
    </w:p>
    <w:p w14:paraId="746FE24F" w14:textId="77777777" w:rsidR="006D39C8" w:rsidRDefault="00000000">
      <w:pPr>
        <w:pStyle w:val="FirstParagraph"/>
        <w:rPr>
          <w:rFonts w:hint="eastAsia"/>
        </w:rPr>
      </w:pPr>
      <w:r>
        <w:t>Self-Evolving Agent Harness describes persistent revisions to prompts, memory, workflows and executable components around a fixed base model [16]. Harmony Harness studies multi-objective and compositional harness evolution [17]. These October 2026 preprints motivate the decomposition below; their software benchmark results do not validate an ADE construction deployment.</w:t>
      </w:r>
    </w:p>
    <w:p w14:paraId="0349EFC8" w14:textId="77777777" w:rsidR="006D39C8" w:rsidRDefault="00000000">
      <w:pPr>
        <w:pStyle w:val="BodyText"/>
        <w:keepNext/>
        <w:rPr>
          <w:rFonts w:hint="eastAsia"/>
        </w:rPr>
      </w:pPr>
      <w:r>
        <w:t xml:space="preserve">Let </w:t>
      </w:r>
      <m:oMath>
        <m:r>
          <w:rPr>
            <w:rFonts w:ascii="Cambria Math" w:hAnsi="Cambria Math"/>
          </w:rPr>
          <m:t>θ</m:t>
        </m:r>
      </m:oMath>
      <w:r>
        <w:t xml:space="preserve"> be fixed model weights, </w:t>
      </w:r>
      <m:oMath>
        <m:r>
          <w:rPr>
            <w:rFonts w:ascii="Cambria Math" w:hAnsi="Cambria Math"/>
          </w:rPr>
          <m:t>ψ</m:t>
        </m:r>
      </m:oMath>
      <w:r>
        <w:t xml:space="preserve"> the current harness version and </w:t>
      </w:r>
      <m:oMath>
        <m:sSub>
          <m:sSubPr>
            <m:ctrlPr>
              <w:rPr>
                <w:rFonts w:ascii="Cambria Math" w:hAnsi="Cambria Math"/>
              </w:rPr>
            </m:ctrlPr>
          </m:sSubPr>
          <m:e>
            <m:r>
              <w:rPr>
                <w:rFonts w:ascii="Cambria Math" w:hAnsi="Cambria Math"/>
              </w:rPr>
              <m:t>S</m:t>
            </m:r>
          </m:e>
          <m:sub>
            <m:r>
              <w:rPr>
                <w:rFonts w:ascii="Cambria Math" w:hAnsi="Cambria Math"/>
              </w:rPr>
              <m:t>r</m:t>
            </m:r>
          </m:sub>
        </m:sSub>
      </m:oMath>
      <w:r>
        <w:t xml:space="preserve"> the runtime state. A model generates a token or action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a tool may return observation </w:t>
      </w:r>
      <m:oMath>
        <m:sSub>
          <m:sSubPr>
            <m:ctrlPr>
              <w:rPr>
                <w:rFonts w:ascii="Cambria Math" w:hAnsi="Cambria Math"/>
              </w:rPr>
            </m:ctrlPr>
          </m:sSubPr>
          <m:e>
            <m:r>
              <w:rPr>
                <w:rFonts w:ascii="Cambria Math" w:hAnsi="Cambria Math"/>
              </w:rPr>
              <m:t>o</m:t>
            </m:r>
          </m:e>
          <m:sub>
            <m:r>
              <w:rPr>
                <w:rFonts w:ascii="Cambria Math" w:hAnsi="Cambria Math"/>
              </w:rPr>
              <m:t>r</m:t>
            </m:r>
          </m:sub>
        </m:sSub>
      </m:oMath>
      <w:r>
        <w:t>, and the harness commits</w:t>
      </w:r>
    </w:p>
    <w:p w14:paraId="46808188"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e>
          </m:d>
          <m:r>
            <m:rPr>
              <m:sty m:val="p"/>
            </m:rPr>
            <w:rPr>
              <w:rFonts w:ascii="Cambria Math" w:hAnsi="Cambria Math"/>
            </w:rPr>
            <m:t>.</m:t>
          </m:r>
          <m:r>
            <m:rPr>
              <m:nor/>
            </m:rPr>
            <m:t>    (18)</m:t>
          </m:r>
        </m:oMath>
      </m:oMathPara>
    </w:p>
    <w:p w14:paraId="4AF608E3" w14:textId="77777777" w:rsidR="006D39C8" w:rsidRDefault="00000000">
      <w:pPr>
        <w:pStyle w:val="FirstParagraph"/>
        <w:rPr>
          <w:rFonts w:hint="eastAsia"/>
        </w:rPr>
      </w:pPr>
      <w:r>
        <w:t xml:space="preserve">The phrase next token plus old state means this structured transition. It is not arithmetic addition, and it need not update </w:t>
      </w:r>
      <m:oMath>
        <m:r>
          <w:rPr>
            <w:rFonts w:ascii="Cambria Math" w:hAnsi="Cambria Math"/>
          </w:rPr>
          <m:t>θ</m:t>
        </m:r>
      </m:oMath>
      <w:r>
        <w:t xml:space="preserve">. A persistent harness revision </w:t>
      </w:r>
      <m:oMath>
        <m:sSub>
          <m:sSubPr>
            <m:ctrlPr>
              <w:rPr>
                <w:rFonts w:ascii="Cambria Math" w:hAnsi="Cambria Math"/>
              </w:rPr>
            </m:ctrlPr>
          </m:sSubPr>
          <m:e>
            <m:r>
              <w:rPr>
                <w:rFonts w:ascii="Cambria Math" w:hAnsi="Cambria Math"/>
              </w:rPr>
              <m:t>ψ</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v</m:t>
            </m:r>
            <m:r>
              <m:rPr>
                <m:sty m:val="p"/>
              </m:rPr>
              <w:rPr>
                <w:rFonts w:ascii="Cambria Math" w:hAnsi="Cambria Math"/>
              </w:rPr>
              <m:t>+</m:t>
            </m:r>
            <m:r>
              <w:rPr>
                <w:rFonts w:ascii="Cambria Math" w:hAnsi="Cambria Math"/>
              </w:rPr>
              <m:t>1</m:t>
            </m:r>
          </m:sub>
        </m:sSub>
      </m:oMath>
      <w:r>
        <w:t xml:space="preserve"> is a separate, evaluated change. Language-token time, ADE stage time, solver-call time and harness-revision time should not be identified with each other.</w:t>
      </w:r>
    </w:p>
    <w:p w14:paraId="5BBFCC12" w14:textId="77777777" w:rsidR="006D39C8" w:rsidRDefault="00000000">
      <w:pPr>
        <w:pStyle w:val="Heading2"/>
        <w:rPr>
          <w:rFonts w:hint="eastAsia"/>
        </w:rPr>
      </w:pPr>
      <w:bookmarkStart w:id="30" w:name="X7b79fa140be2f7795c7f238922fff43ede7cf6d"/>
      <w:bookmarkEnd w:id="29"/>
      <w:r>
        <w:lastRenderedPageBreak/>
        <w:t>10.2 Caches have different dependency contracts</w:t>
      </w:r>
    </w:p>
    <w:p w14:paraId="6804C60C" w14:textId="77777777" w:rsidR="006D39C8" w:rsidRDefault="00000000">
      <w:pPr>
        <w:pStyle w:val="Caption"/>
        <w:keepNext/>
        <w:rPr>
          <w:rFonts w:hint="eastAsia"/>
        </w:rPr>
      </w:pPr>
      <w:r>
        <w:t>Table 9. Reuse objects in an ADE-enabled engineering harness.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032"/>
        <w:gridCol w:w="4032"/>
      </w:tblGrid>
      <w:tr w:rsidR="006D39C8" w14:paraId="014DF304" w14:textId="77777777">
        <w:trPr>
          <w:cantSplit/>
          <w:tblHeader/>
          <w:jc w:val="center"/>
        </w:trPr>
        <w:tc>
          <w:tcPr>
            <w:tcW w:w="1872" w:type="dxa"/>
            <w:shd w:val="clear" w:color="auto" w:fill="EAEAEA"/>
            <w:tcMar>
              <w:top w:w="80" w:type="dxa"/>
              <w:left w:w="85" w:type="dxa"/>
              <w:bottom w:w="80" w:type="dxa"/>
              <w:right w:w="85" w:type="dxa"/>
            </w:tcMar>
            <w:vAlign w:val="center"/>
          </w:tcPr>
          <w:p w14:paraId="1A2EAFB3" w14:textId="77777777" w:rsidR="006D39C8" w:rsidRDefault="00000000">
            <w:pPr>
              <w:keepNext/>
              <w:keepLines/>
              <w:spacing w:after="0" w:line="247" w:lineRule="auto"/>
              <w:jc w:val="left"/>
              <w:rPr>
                <w:rFonts w:hint="eastAsia"/>
              </w:rPr>
            </w:pPr>
            <w:r>
              <w:rPr>
                <w:b/>
                <w:sz w:val="21"/>
              </w:rPr>
              <w:t>Object</w:t>
            </w:r>
          </w:p>
        </w:tc>
        <w:tc>
          <w:tcPr>
            <w:tcW w:w="4032" w:type="dxa"/>
            <w:shd w:val="clear" w:color="auto" w:fill="EAEAEA"/>
            <w:tcMar>
              <w:top w:w="80" w:type="dxa"/>
              <w:left w:w="85" w:type="dxa"/>
              <w:bottom w:w="80" w:type="dxa"/>
              <w:right w:w="85" w:type="dxa"/>
            </w:tcMar>
            <w:vAlign w:val="center"/>
          </w:tcPr>
          <w:p w14:paraId="0C172ABD" w14:textId="77777777" w:rsidR="006D39C8" w:rsidRDefault="00000000">
            <w:pPr>
              <w:keepNext/>
              <w:keepLines/>
              <w:spacing w:after="0" w:line="247" w:lineRule="auto"/>
              <w:jc w:val="left"/>
              <w:rPr>
                <w:rFonts w:hint="eastAsia"/>
              </w:rPr>
            </w:pPr>
            <w:r>
              <w:rPr>
                <w:b/>
                <w:sz w:val="21"/>
              </w:rPr>
              <w:t>Valid reuse condition</w:t>
            </w:r>
          </w:p>
        </w:tc>
        <w:tc>
          <w:tcPr>
            <w:tcW w:w="4032" w:type="dxa"/>
            <w:shd w:val="clear" w:color="auto" w:fill="EAEAEA"/>
            <w:tcMar>
              <w:top w:w="80" w:type="dxa"/>
              <w:left w:w="85" w:type="dxa"/>
              <w:bottom w:w="80" w:type="dxa"/>
              <w:right w:w="85" w:type="dxa"/>
            </w:tcMar>
            <w:vAlign w:val="center"/>
          </w:tcPr>
          <w:p w14:paraId="6FCF5DCA" w14:textId="77777777" w:rsidR="006D39C8" w:rsidRDefault="00000000">
            <w:pPr>
              <w:keepNext/>
              <w:keepLines/>
              <w:spacing w:after="0" w:line="247" w:lineRule="auto"/>
              <w:jc w:val="left"/>
              <w:rPr>
                <w:rFonts w:hint="eastAsia"/>
              </w:rPr>
            </w:pPr>
            <w:r>
              <w:rPr>
                <w:b/>
                <w:sz w:val="21"/>
              </w:rPr>
              <w:t>Effect of a change</w:t>
            </w:r>
          </w:p>
        </w:tc>
      </w:tr>
      <w:tr w:rsidR="006D39C8" w14:paraId="447C85C2" w14:textId="77777777">
        <w:trPr>
          <w:cantSplit/>
          <w:jc w:val="center"/>
        </w:trPr>
        <w:tc>
          <w:tcPr>
            <w:tcW w:w="1872" w:type="dxa"/>
            <w:shd w:val="clear" w:color="auto" w:fill="FFFFFF"/>
            <w:tcMar>
              <w:top w:w="80" w:type="dxa"/>
              <w:left w:w="85" w:type="dxa"/>
              <w:bottom w:w="80" w:type="dxa"/>
              <w:right w:w="85" w:type="dxa"/>
            </w:tcMar>
            <w:vAlign w:val="center"/>
          </w:tcPr>
          <w:p w14:paraId="267091D5" w14:textId="77777777" w:rsidR="006D39C8" w:rsidRDefault="00000000">
            <w:pPr>
              <w:keepLines/>
              <w:spacing w:after="0" w:line="247" w:lineRule="auto"/>
              <w:jc w:val="left"/>
              <w:rPr>
                <w:rFonts w:hint="eastAsia"/>
              </w:rPr>
            </w:pPr>
            <w:r>
              <w:rPr>
                <w:sz w:val="21"/>
              </w:rPr>
              <w:t>Solver response</w:t>
            </w:r>
          </w:p>
        </w:tc>
        <w:tc>
          <w:tcPr>
            <w:tcW w:w="4032" w:type="dxa"/>
            <w:shd w:val="clear" w:color="auto" w:fill="FFFFFF"/>
            <w:tcMar>
              <w:top w:w="80" w:type="dxa"/>
              <w:left w:w="85" w:type="dxa"/>
              <w:bottom w:w="80" w:type="dxa"/>
              <w:right w:w="85" w:type="dxa"/>
            </w:tcMar>
            <w:vAlign w:val="center"/>
          </w:tcPr>
          <w:p w14:paraId="479766C1" w14:textId="77777777" w:rsidR="006D39C8" w:rsidRDefault="00000000">
            <w:pPr>
              <w:keepLines/>
              <w:spacing w:after="0" w:line="247" w:lineRule="auto"/>
              <w:jc w:val="left"/>
              <w:rPr>
                <w:rFonts w:hint="eastAsia"/>
              </w:rPr>
            </w:pPr>
            <w:r>
              <w:rPr>
                <w:sz w:val="21"/>
              </w:rPr>
              <w:t>Same physical inputs and evaluation contract</w:t>
            </w:r>
          </w:p>
        </w:tc>
        <w:tc>
          <w:tcPr>
            <w:tcW w:w="4032" w:type="dxa"/>
            <w:shd w:val="clear" w:color="auto" w:fill="FFFFFF"/>
            <w:tcMar>
              <w:top w:w="80" w:type="dxa"/>
              <w:left w:w="85" w:type="dxa"/>
              <w:bottom w:w="80" w:type="dxa"/>
              <w:right w:w="85" w:type="dxa"/>
            </w:tcMar>
            <w:vAlign w:val="center"/>
          </w:tcPr>
          <w:p w14:paraId="164DDF4F" w14:textId="77777777" w:rsidR="006D39C8" w:rsidRDefault="00000000">
            <w:pPr>
              <w:keepLines/>
              <w:spacing w:after="0" w:line="247" w:lineRule="auto"/>
              <w:jc w:val="left"/>
              <w:rPr>
                <w:rFonts w:hint="eastAsia"/>
              </w:rPr>
            </w:pPr>
            <w:r>
              <w:rPr>
                <w:sz w:val="21"/>
              </w:rPr>
              <w:t>Re-evaluate or establish response compatibility</w:t>
            </w:r>
          </w:p>
        </w:tc>
      </w:tr>
      <w:tr w:rsidR="006D39C8" w14:paraId="0AC321A7" w14:textId="77777777">
        <w:trPr>
          <w:cantSplit/>
          <w:jc w:val="center"/>
        </w:trPr>
        <w:tc>
          <w:tcPr>
            <w:tcW w:w="1872" w:type="dxa"/>
            <w:shd w:val="clear" w:color="auto" w:fill="FFFFFF"/>
            <w:tcMar>
              <w:top w:w="80" w:type="dxa"/>
              <w:left w:w="85" w:type="dxa"/>
              <w:bottom w:w="80" w:type="dxa"/>
              <w:right w:w="85" w:type="dxa"/>
            </w:tcMar>
            <w:vAlign w:val="center"/>
          </w:tcPr>
          <w:p w14:paraId="782435D2" w14:textId="77777777" w:rsidR="006D39C8" w:rsidRDefault="00000000">
            <w:pPr>
              <w:keepLines/>
              <w:spacing w:after="0" w:line="247" w:lineRule="auto"/>
              <w:jc w:val="left"/>
              <w:rPr>
                <w:rFonts w:hint="eastAsia"/>
              </w:rPr>
            </w:pPr>
            <w:r>
              <w:rPr>
                <w:sz w:val="21"/>
              </w:rPr>
              <w:t>Occupancy sum</w:t>
            </w:r>
          </w:p>
        </w:tc>
        <w:tc>
          <w:tcPr>
            <w:tcW w:w="4032" w:type="dxa"/>
            <w:shd w:val="clear" w:color="auto" w:fill="FFFFFF"/>
            <w:tcMar>
              <w:top w:w="80" w:type="dxa"/>
              <w:left w:w="85" w:type="dxa"/>
              <w:bottom w:w="80" w:type="dxa"/>
              <w:right w:w="85" w:type="dxa"/>
            </w:tcMar>
            <w:vAlign w:val="center"/>
          </w:tcPr>
          <w:p w14:paraId="2031AB08" w14:textId="77777777" w:rsidR="006D39C8" w:rsidRDefault="00000000">
            <w:pPr>
              <w:keepLines/>
              <w:spacing w:after="0" w:line="247" w:lineRule="auto"/>
              <w:jc w:val="left"/>
              <w:rPr>
                <w:rFonts w:hint="eastAsia"/>
              </w:rPr>
            </w:pPr>
            <w:r>
              <w:rPr>
                <w:sz w:val="21"/>
              </w:rPr>
              <w:t>Same archive coordinates, kernel and chart</w:t>
            </w:r>
          </w:p>
        </w:tc>
        <w:tc>
          <w:tcPr>
            <w:tcW w:w="4032" w:type="dxa"/>
            <w:shd w:val="clear" w:color="auto" w:fill="FFFFFF"/>
            <w:tcMar>
              <w:top w:w="80" w:type="dxa"/>
              <w:left w:w="85" w:type="dxa"/>
              <w:bottom w:w="80" w:type="dxa"/>
              <w:right w:w="85" w:type="dxa"/>
            </w:tcMar>
            <w:vAlign w:val="center"/>
          </w:tcPr>
          <w:p w14:paraId="2C7B218E" w14:textId="77777777" w:rsidR="006D39C8" w:rsidRDefault="00000000">
            <w:pPr>
              <w:keepLines/>
              <w:spacing w:after="0" w:line="247" w:lineRule="auto"/>
              <w:jc w:val="left"/>
              <w:rPr>
                <w:rFonts w:hint="eastAsia"/>
              </w:rPr>
            </w:pPr>
            <w:r>
              <w:rPr>
                <w:sz w:val="21"/>
              </w:rPr>
              <w:t>Rebuild or apply a proved transformation</w:t>
            </w:r>
          </w:p>
        </w:tc>
      </w:tr>
      <w:tr w:rsidR="006D39C8" w14:paraId="44022D8E" w14:textId="77777777">
        <w:trPr>
          <w:cantSplit/>
          <w:jc w:val="center"/>
        </w:trPr>
        <w:tc>
          <w:tcPr>
            <w:tcW w:w="1872" w:type="dxa"/>
            <w:shd w:val="clear" w:color="auto" w:fill="FFFFFF"/>
            <w:tcMar>
              <w:top w:w="80" w:type="dxa"/>
              <w:left w:w="85" w:type="dxa"/>
              <w:bottom w:w="80" w:type="dxa"/>
              <w:right w:w="85" w:type="dxa"/>
            </w:tcMar>
            <w:vAlign w:val="center"/>
          </w:tcPr>
          <w:p w14:paraId="7AEEA7B5" w14:textId="77777777" w:rsidR="006D39C8" w:rsidRDefault="00000000">
            <w:pPr>
              <w:keepLines/>
              <w:spacing w:after="0" w:line="247" w:lineRule="auto"/>
              <w:jc w:val="left"/>
              <w:rPr>
                <w:rFonts w:hint="eastAsia"/>
              </w:rPr>
            </w:pPr>
            <w:r>
              <w:rPr>
                <w:sz w:val="21"/>
              </w:rPr>
              <w:t>Proposal score</w:t>
            </w:r>
          </w:p>
        </w:tc>
        <w:tc>
          <w:tcPr>
            <w:tcW w:w="4032" w:type="dxa"/>
            <w:shd w:val="clear" w:color="auto" w:fill="FFFFFF"/>
            <w:tcMar>
              <w:top w:w="80" w:type="dxa"/>
              <w:left w:w="85" w:type="dxa"/>
              <w:bottom w:w="80" w:type="dxa"/>
              <w:right w:w="85" w:type="dxa"/>
            </w:tcMar>
            <w:vAlign w:val="center"/>
          </w:tcPr>
          <w:p w14:paraId="30A4B2C1" w14:textId="77777777" w:rsidR="006D39C8" w:rsidRDefault="00000000">
            <w:pPr>
              <w:keepLines/>
              <w:spacing w:after="0" w:line="247" w:lineRule="auto"/>
              <w:jc w:val="left"/>
              <w:rPr>
                <w:rFonts w:hint="eastAsia"/>
              </w:rPr>
            </w:pPr>
            <w:r>
              <w:rPr>
                <w:sz w:val="21"/>
              </w:rPr>
              <w:t>Stored compatible raw response and current preferences</w:t>
            </w:r>
          </w:p>
        </w:tc>
        <w:tc>
          <w:tcPr>
            <w:tcW w:w="4032" w:type="dxa"/>
            <w:shd w:val="clear" w:color="auto" w:fill="FFFFFF"/>
            <w:tcMar>
              <w:top w:w="80" w:type="dxa"/>
              <w:left w:w="85" w:type="dxa"/>
              <w:bottom w:w="80" w:type="dxa"/>
              <w:right w:w="85" w:type="dxa"/>
            </w:tcMar>
            <w:vAlign w:val="center"/>
          </w:tcPr>
          <w:p w14:paraId="396A7473" w14:textId="77777777" w:rsidR="006D39C8" w:rsidRDefault="00000000">
            <w:pPr>
              <w:keepLines/>
              <w:spacing w:after="0" w:line="247" w:lineRule="auto"/>
              <w:jc w:val="left"/>
              <w:rPr>
                <w:rFonts w:hint="eastAsia"/>
              </w:rPr>
            </w:pPr>
            <w:r>
              <w:rPr>
                <w:sz w:val="21"/>
              </w:rPr>
              <w:t>Rescore when inverse temperature or objectives change</w:t>
            </w:r>
          </w:p>
        </w:tc>
      </w:tr>
      <w:tr w:rsidR="006D39C8" w14:paraId="32EC7848" w14:textId="77777777">
        <w:trPr>
          <w:cantSplit/>
          <w:jc w:val="center"/>
        </w:trPr>
        <w:tc>
          <w:tcPr>
            <w:tcW w:w="1872" w:type="dxa"/>
            <w:shd w:val="clear" w:color="auto" w:fill="FFFFFF"/>
            <w:tcMar>
              <w:top w:w="80" w:type="dxa"/>
              <w:left w:w="85" w:type="dxa"/>
              <w:bottom w:w="80" w:type="dxa"/>
              <w:right w:w="85" w:type="dxa"/>
            </w:tcMar>
            <w:vAlign w:val="center"/>
          </w:tcPr>
          <w:p w14:paraId="229A68E5" w14:textId="77777777" w:rsidR="006D39C8" w:rsidRDefault="00000000">
            <w:pPr>
              <w:keepLines/>
              <w:spacing w:after="0" w:line="247" w:lineRule="auto"/>
              <w:jc w:val="left"/>
              <w:rPr>
                <w:rFonts w:hint="eastAsia"/>
              </w:rPr>
            </w:pPr>
            <w:r>
              <w:rPr>
                <w:sz w:val="21"/>
              </w:rPr>
              <w:t>Model KV prefix</w:t>
            </w:r>
          </w:p>
        </w:tc>
        <w:tc>
          <w:tcPr>
            <w:tcW w:w="4032" w:type="dxa"/>
            <w:shd w:val="clear" w:color="auto" w:fill="FFFFFF"/>
            <w:tcMar>
              <w:top w:w="80" w:type="dxa"/>
              <w:left w:w="85" w:type="dxa"/>
              <w:bottom w:w="80" w:type="dxa"/>
              <w:right w:w="85" w:type="dxa"/>
            </w:tcMar>
            <w:vAlign w:val="center"/>
          </w:tcPr>
          <w:p w14:paraId="18B6D789" w14:textId="77777777" w:rsidR="006D39C8" w:rsidRDefault="00000000">
            <w:pPr>
              <w:keepLines/>
              <w:spacing w:after="0" w:line="247" w:lineRule="auto"/>
              <w:jc w:val="left"/>
              <w:rPr>
                <w:rFonts w:hint="eastAsia"/>
              </w:rPr>
            </w:pPr>
            <w:r>
              <w:rPr>
                <w:sz w:val="21"/>
              </w:rPr>
              <w:t>Same dependent model computation and prefix</w:t>
            </w:r>
          </w:p>
        </w:tc>
        <w:tc>
          <w:tcPr>
            <w:tcW w:w="4032" w:type="dxa"/>
            <w:shd w:val="clear" w:color="auto" w:fill="FFFFFF"/>
            <w:tcMar>
              <w:top w:w="80" w:type="dxa"/>
              <w:left w:w="85" w:type="dxa"/>
              <w:bottom w:w="80" w:type="dxa"/>
              <w:right w:w="85" w:type="dxa"/>
            </w:tcMar>
            <w:vAlign w:val="center"/>
          </w:tcPr>
          <w:p w14:paraId="39775B0B" w14:textId="77777777" w:rsidR="006D39C8" w:rsidRDefault="00000000">
            <w:pPr>
              <w:keepLines/>
              <w:spacing w:after="0" w:line="247" w:lineRule="auto"/>
              <w:jc w:val="left"/>
              <w:rPr>
                <w:rFonts w:hint="eastAsia"/>
              </w:rPr>
            </w:pPr>
            <w:r>
              <w:rPr>
                <w:sz w:val="21"/>
              </w:rPr>
              <w:t>Changed context or model configuration can invalidate later entries</w:t>
            </w:r>
          </w:p>
        </w:tc>
      </w:tr>
      <w:tr w:rsidR="006D39C8" w14:paraId="6B8FCB57" w14:textId="77777777">
        <w:trPr>
          <w:cantSplit/>
          <w:jc w:val="center"/>
        </w:trPr>
        <w:tc>
          <w:tcPr>
            <w:tcW w:w="1872" w:type="dxa"/>
            <w:shd w:val="clear" w:color="auto" w:fill="FFFFFF"/>
            <w:tcMar>
              <w:top w:w="80" w:type="dxa"/>
              <w:left w:w="85" w:type="dxa"/>
              <w:bottom w:w="80" w:type="dxa"/>
              <w:right w:w="85" w:type="dxa"/>
            </w:tcMar>
            <w:vAlign w:val="center"/>
          </w:tcPr>
          <w:p w14:paraId="34CF4058" w14:textId="77777777" w:rsidR="006D39C8" w:rsidRDefault="00000000">
            <w:pPr>
              <w:keepLines/>
              <w:spacing w:after="0" w:line="247" w:lineRule="auto"/>
              <w:jc w:val="left"/>
              <w:rPr>
                <w:rFonts w:hint="eastAsia"/>
              </w:rPr>
            </w:pPr>
            <w:r>
              <w:rPr>
                <w:sz w:val="21"/>
              </w:rPr>
              <w:t>Surrogate artifact</w:t>
            </w:r>
          </w:p>
        </w:tc>
        <w:tc>
          <w:tcPr>
            <w:tcW w:w="4032" w:type="dxa"/>
            <w:shd w:val="clear" w:color="auto" w:fill="FFFFFF"/>
            <w:tcMar>
              <w:top w:w="80" w:type="dxa"/>
              <w:left w:w="85" w:type="dxa"/>
              <w:bottom w:w="80" w:type="dxa"/>
              <w:right w:w="85" w:type="dxa"/>
            </w:tcMar>
            <w:vAlign w:val="center"/>
          </w:tcPr>
          <w:p w14:paraId="0DE42FD0" w14:textId="77777777" w:rsidR="006D39C8" w:rsidRDefault="00000000">
            <w:pPr>
              <w:keepLines/>
              <w:spacing w:after="0" w:line="247" w:lineRule="auto"/>
              <w:jc w:val="left"/>
              <w:rPr>
                <w:rFonts w:hint="eastAsia"/>
              </w:rPr>
            </w:pPr>
            <w:r>
              <w:rPr>
                <w:sz w:val="21"/>
              </w:rPr>
              <w:t>Declared training data and model version</w:t>
            </w:r>
          </w:p>
        </w:tc>
        <w:tc>
          <w:tcPr>
            <w:tcW w:w="4032" w:type="dxa"/>
            <w:shd w:val="clear" w:color="auto" w:fill="FFFFFF"/>
            <w:tcMar>
              <w:top w:w="80" w:type="dxa"/>
              <w:left w:w="85" w:type="dxa"/>
              <w:bottom w:w="80" w:type="dxa"/>
              <w:right w:w="85" w:type="dxa"/>
            </w:tcMar>
            <w:vAlign w:val="center"/>
          </w:tcPr>
          <w:p w14:paraId="060AE8C0" w14:textId="77777777" w:rsidR="006D39C8" w:rsidRDefault="00000000">
            <w:pPr>
              <w:keepLines/>
              <w:spacing w:after="0" w:line="247" w:lineRule="auto"/>
              <w:jc w:val="left"/>
              <w:rPr>
                <w:rFonts w:hint="eastAsia"/>
              </w:rPr>
            </w:pPr>
            <w:r>
              <w:rPr>
                <w:sz w:val="21"/>
              </w:rPr>
              <w:t>Preserve prediction provenance and recalibrate</w:t>
            </w:r>
          </w:p>
        </w:tc>
      </w:tr>
      <w:tr w:rsidR="006D39C8" w14:paraId="68C761C1" w14:textId="77777777">
        <w:trPr>
          <w:cantSplit/>
          <w:jc w:val="center"/>
        </w:trPr>
        <w:tc>
          <w:tcPr>
            <w:tcW w:w="1872" w:type="dxa"/>
            <w:shd w:val="clear" w:color="auto" w:fill="FFFFFF"/>
            <w:tcMar>
              <w:top w:w="80" w:type="dxa"/>
              <w:left w:w="85" w:type="dxa"/>
              <w:bottom w:w="80" w:type="dxa"/>
              <w:right w:w="85" w:type="dxa"/>
            </w:tcMar>
            <w:vAlign w:val="center"/>
          </w:tcPr>
          <w:p w14:paraId="0678AE49" w14:textId="77777777" w:rsidR="006D39C8" w:rsidRDefault="00000000">
            <w:pPr>
              <w:keepLines/>
              <w:spacing w:after="0" w:line="247" w:lineRule="auto"/>
              <w:jc w:val="left"/>
              <w:rPr>
                <w:rFonts w:hint="eastAsia"/>
              </w:rPr>
            </w:pPr>
            <w:r>
              <w:rPr>
                <w:sz w:val="21"/>
              </w:rPr>
              <w:t>Verified design</w:t>
            </w:r>
          </w:p>
        </w:tc>
        <w:tc>
          <w:tcPr>
            <w:tcW w:w="4032" w:type="dxa"/>
            <w:shd w:val="clear" w:color="auto" w:fill="FFFFFF"/>
            <w:tcMar>
              <w:top w:w="80" w:type="dxa"/>
              <w:left w:w="85" w:type="dxa"/>
              <w:bottom w:w="80" w:type="dxa"/>
              <w:right w:w="85" w:type="dxa"/>
            </w:tcMar>
            <w:vAlign w:val="center"/>
          </w:tcPr>
          <w:p w14:paraId="5EC2ECBA" w14:textId="77777777" w:rsidR="006D39C8" w:rsidRDefault="00000000">
            <w:pPr>
              <w:keepLines/>
              <w:spacing w:after="0" w:line="247" w:lineRule="auto"/>
              <w:jc w:val="left"/>
              <w:rPr>
                <w:rFonts w:hint="eastAsia"/>
              </w:rPr>
            </w:pPr>
            <w:r>
              <w:rPr>
                <w:sz w:val="21"/>
              </w:rPr>
              <w:t>All declared checks and versions remain valid</w:t>
            </w:r>
          </w:p>
        </w:tc>
        <w:tc>
          <w:tcPr>
            <w:tcW w:w="4032" w:type="dxa"/>
            <w:shd w:val="clear" w:color="auto" w:fill="FFFFFF"/>
            <w:tcMar>
              <w:top w:w="80" w:type="dxa"/>
              <w:left w:w="85" w:type="dxa"/>
              <w:bottom w:w="80" w:type="dxa"/>
              <w:right w:w="85" w:type="dxa"/>
            </w:tcMar>
            <w:vAlign w:val="center"/>
          </w:tcPr>
          <w:p w14:paraId="77007CF9" w14:textId="77777777" w:rsidR="006D39C8" w:rsidRDefault="00000000">
            <w:pPr>
              <w:keepLines/>
              <w:spacing w:after="0" w:line="247" w:lineRule="auto"/>
              <w:jc w:val="left"/>
              <w:rPr>
                <w:rFonts w:hint="eastAsia"/>
              </w:rPr>
            </w:pPr>
            <w:r>
              <w:rPr>
                <w:sz w:val="21"/>
              </w:rPr>
              <w:t>Reassess affected checks before release</w:t>
            </w:r>
          </w:p>
        </w:tc>
      </w:tr>
    </w:tbl>
    <w:p w14:paraId="43FE0859" w14:textId="77777777" w:rsidR="006D39C8" w:rsidRDefault="00000000">
      <w:pPr>
        <w:pStyle w:val="BodyText"/>
        <w:spacing w:before="140"/>
        <w:rPr>
          <w:rFonts w:hint="eastAsia"/>
        </w:rPr>
      </w:pPr>
      <w:r>
        <w:t>An ADE loss-bias change does not require re-encoding unchanged design coordinates, but it does require updating dependent weighted summaries. A language model’s output sampling temperature acts on output probabilities and need not alter KV entries for an unchanged prefix. Changing attention computation or earlier context can instead alter later hidden states and cached entries. These are distinct dependency questions; the shared word cache does not make them interchangeable.</w:t>
      </w:r>
    </w:p>
    <w:p w14:paraId="03931301" w14:textId="77777777" w:rsidR="006D39C8" w:rsidRDefault="00000000">
      <w:pPr>
        <w:pStyle w:val="BodyText"/>
        <w:rPr>
          <w:rFonts w:hint="eastAsia"/>
        </w:rPr>
      </w:pPr>
      <w:r>
        <w:t>Prompts supply the task and retrieved knowledge. Tools and executable runtime perform CAD, simulation and artifact operations. Memory holds evidence and selected retrieval views; the workspace holds hypotheses and current code. Reason–Act–Observe describes the evolving execution loop [18], while evaluate and verify determine which observations become trusted responses and which designs pass the release gate. Guardrails enforce permitted actions at the runtime boundary. Ablation assesses the contribution of each component. These are harness functions, not a one-to-one mapping to neural-network layers.</w:t>
      </w:r>
    </w:p>
    <w:p w14:paraId="3C4CCA95" w14:textId="77777777" w:rsidR="006D39C8" w:rsidRDefault="00000000">
      <w:pPr>
        <w:pStyle w:val="Heading2"/>
        <w:rPr>
          <w:rFonts w:hint="eastAsia"/>
        </w:rPr>
      </w:pPr>
      <w:bookmarkStart w:id="31" w:name="construction-example"/>
      <w:bookmarkEnd w:id="30"/>
      <w:r>
        <w:t>10.3 Construction example</w:t>
      </w:r>
    </w:p>
    <w:p w14:paraId="690478F6" w14:textId="77777777" w:rsidR="006D39C8" w:rsidRDefault="00000000">
      <w:pPr>
        <w:pStyle w:val="FirstParagraph"/>
        <w:rPr>
          <w:rFonts w:hint="eastAsia"/>
        </w:rPr>
      </w:pPr>
      <w:r>
        <w:t>Consider a proposed conveyor-gallery design harness. A fixed model drafts parameterized geometry and analysis scripts. A tool runtime calls CAD and a structural solver, and a versioned response store retains material quantities, cost, embodied carbon, utilization, deflections and vibration measures. Design codes and project documents provide retrieved context, but the solver implementation and verification contract determine what has actually been checked.</w:t>
      </w:r>
    </w:p>
    <w:p w14:paraId="6BA17677" w14:textId="77777777" w:rsidR="006D39C8" w:rsidRDefault="00000000">
      <w:pPr>
        <w:pStyle w:val="BodyText"/>
        <w:rPr>
          <w:rFonts w:hint="eastAsia"/>
        </w:rPr>
      </w:pPr>
      <w:r>
        <w:t>An identical physical design under identical load and solver versions can reuse an exact response. A nearby continuous design might use a certified margin bound to screen one constraint. A coarse mesh or surrogate can prioritize a high-fidelity call. These three actions receive distinct evidence labels. A high-scoring predicted design still needs the declared final analysis and approval checks.</w:t>
      </w:r>
    </w:p>
    <w:p w14:paraId="2C4AB229" w14:textId="77777777" w:rsidR="006D39C8" w:rsidRDefault="00000000">
      <w:pPr>
        <w:pStyle w:val="BodyText"/>
        <w:rPr>
          <w:rFonts w:hint="eastAsia"/>
        </w:rPr>
      </w:pPr>
      <w:r>
        <w:t xml:space="preserve">Changing cost–carbon preferences can reweight compatible response vectors. It cannot recover a missing load case, turn a prediction into a measurement or certify an untested constraint. A family of scalarized densities can express several preferences, while a separately reported nondominated set </w:t>
      </w:r>
      <w:r>
        <w:lastRenderedPageBreak/>
        <w:t>records observed tradeoffs. One scalarized run does not establish complete Pareto coverage. Discrete member choices and generated programs require explicit proposal laws on their respective spaces before applying Theorem 3.</w:t>
      </w:r>
    </w:p>
    <w:p w14:paraId="48A19D58" w14:textId="77777777" w:rsidR="006D39C8" w:rsidRDefault="00000000">
      <w:pPr>
        <w:pStyle w:val="Heading2"/>
        <w:rPr>
          <w:rFonts w:hint="eastAsia"/>
        </w:rPr>
      </w:pPr>
      <w:bookmarkStart w:id="32" w:name="X76755b942ef36e2d84daccc7dfdae5abdcead4d"/>
      <w:bookmarkEnd w:id="31"/>
      <w:r>
        <w:t>10.4 Assessment is independent of proposal convenience</w:t>
      </w:r>
    </w:p>
    <w:p w14:paraId="7B1E199F" w14:textId="77777777" w:rsidR="006D39C8" w:rsidRDefault="00000000">
      <w:pPr>
        <w:pStyle w:val="FirstParagraph"/>
        <w:rPr>
          <w:rFonts w:hint="eastAsia"/>
        </w:rPr>
      </w:pPr>
      <w:r>
        <w:t>The harness may optimize observation probabilities, retrieval penalties, prompts or tool routing. Accepted revisions should pass held-out assessment and regression checks while the evaluator and admission criteria remain outside the editable proposal surface. Reusing development evaluations for every acceptance decision can create validation overfitting even with fixed model weights.</w:t>
      </w:r>
    </w:p>
    <w:p w14:paraId="4CC9F51A" w14:textId="77777777" w:rsidR="006D39C8" w:rsidRDefault="00000000">
      <w:pPr>
        <w:pStyle w:val="BodyText"/>
        <w:rPr>
          <w:rFonts w:hint="eastAsia"/>
        </w:rPr>
      </w:pPr>
      <w:r>
        <w:t>If a model API, parser or repair pipeline does not expose the executed artifact’s full proposal probability, use that pathway for optimization without inventing a density for it. A known-density numerical audit stream can support probability reporting separately. Likewise, approximate memories can aid proposal generation while the complete evidence required for verification remains independently available. This is the engineering counterpart of separating selective memory access from the truth of a new external observation.</w:t>
      </w:r>
    </w:p>
    <w:p w14:paraId="7ACCC886" w14:textId="77777777" w:rsidR="006D39C8" w:rsidRDefault="00000000">
      <w:pPr>
        <w:pStyle w:val="Heading1"/>
        <w:rPr>
          <w:rFonts w:hint="eastAsia"/>
        </w:rPr>
      </w:pPr>
      <w:bookmarkStart w:id="33" w:name="X0a3c75e2c7e4e401e2685aebd2e378f1f185eb9"/>
      <w:bookmarkEnd w:id="28"/>
      <w:bookmarkEnd w:id="32"/>
      <w:r>
        <w:t>11 Verification requirements and research scope</w:t>
      </w:r>
    </w:p>
    <w:p w14:paraId="1D35B3F8" w14:textId="77777777" w:rsidR="006D39C8" w:rsidRDefault="00000000">
      <w:pPr>
        <w:pStyle w:val="Caption"/>
        <w:keepNext/>
        <w:rPr>
          <w:rFonts w:hint="eastAsia"/>
        </w:rPr>
      </w:pPr>
      <w:r>
        <w:t>Table 10. Requirements for a reusable implementation.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920"/>
      </w:tblGrid>
      <w:tr w:rsidR="006D39C8" w14:paraId="219733E3" w14:textId="77777777">
        <w:trPr>
          <w:cantSplit/>
          <w:tblHeader/>
          <w:jc w:val="center"/>
        </w:trPr>
        <w:tc>
          <w:tcPr>
            <w:tcW w:w="2016" w:type="dxa"/>
            <w:shd w:val="clear" w:color="auto" w:fill="EAEAEA"/>
            <w:tcMar>
              <w:top w:w="80" w:type="dxa"/>
              <w:left w:w="85" w:type="dxa"/>
              <w:bottom w:w="80" w:type="dxa"/>
              <w:right w:w="85" w:type="dxa"/>
            </w:tcMar>
            <w:vAlign w:val="center"/>
          </w:tcPr>
          <w:p w14:paraId="3045EB2A" w14:textId="77777777" w:rsidR="006D39C8" w:rsidRDefault="00000000">
            <w:pPr>
              <w:keepNext/>
              <w:keepLines/>
              <w:spacing w:after="0" w:line="247" w:lineRule="auto"/>
              <w:jc w:val="left"/>
              <w:rPr>
                <w:rFonts w:hint="eastAsia"/>
              </w:rPr>
            </w:pPr>
            <w:r>
              <w:rPr>
                <w:b/>
                <w:sz w:val="21"/>
              </w:rPr>
              <w:t>Area</w:t>
            </w:r>
          </w:p>
        </w:tc>
        <w:tc>
          <w:tcPr>
            <w:tcW w:w="7920" w:type="dxa"/>
            <w:shd w:val="clear" w:color="auto" w:fill="EAEAEA"/>
            <w:tcMar>
              <w:top w:w="80" w:type="dxa"/>
              <w:left w:w="85" w:type="dxa"/>
              <w:bottom w:w="80" w:type="dxa"/>
              <w:right w:w="85" w:type="dxa"/>
            </w:tcMar>
            <w:vAlign w:val="center"/>
          </w:tcPr>
          <w:p w14:paraId="055B7B56" w14:textId="77777777" w:rsidR="006D39C8" w:rsidRDefault="00000000">
            <w:pPr>
              <w:keepNext/>
              <w:keepLines/>
              <w:spacing w:after="0" w:line="247" w:lineRule="auto"/>
              <w:jc w:val="left"/>
              <w:rPr>
                <w:rFonts w:hint="eastAsia"/>
              </w:rPr>
            </w:pPr>
            <w:r>
              <w:rPr>
                <w:b/>
                <w:sz w:val="21"/>
              </w:rPr>
              <w:t>Required check</w:t>
            </w:r>
          </w:p>
        </w:tc>
      </w:tr>
      <w:tr w:rsidR="006D39C8" w14:paraId="324EC7F0" w14:textId="77777777">
        <w:trPr>
          <w:cantSplit/>
          <w:jc w:val="center"/>
        </w:trPr>
        <w:tc>
          <w:tcPr>
            <w:tcW w:w="2016" w:type="dxa"/>
            <w:shd w:val="clear" w:color="auto" w:fill="FFFFFF"/>
            <w:tcMar>
              <w:top w:w="80" w:type="dxa"/>
              <w:left w:w="85" w:type="dxa"/>
              <w:bottom w:w="80" w:type="dxa"/>
              <w:right w:w="85" w:type="dxa"/>
            </w:tcMar>
            <w:vAlign w:val="center"/>
          </w:tcPr>
          <w:p w14:paraId="40AE544C" w14:textId="77777777" w:rsidR="006D39C8" w:rsidRDefault="00000000">
            <w:pPr>
              <w:keepLines/>
              <w:spacing w:after="0" w:line="247" w:lineRule="auto"/>
              <w:jc w:val="left"/>
              <w:rPr>
                <w:rFonts w:hint="eastAsia"/>
              </w:rPr>
            </w:pPr>
            <w:r>
              <w:rPr>
                <w:sz w:val="21"/>
              </w:rPr>
              <w:t>Cache arithmetic</w:t>
            </w:r>
          </w:p>
        </w:tc>
        <w:tc>
          <w:tcPr>
            <w:tcW w:w="7920" w:type="dxa"/>
            <w:shd w:val="clear" w:color="auto" w:fill="FFFFFF"/>
            <w:tcMar>
              <w:top w:w="80" w:type="dxa"/>
              <w:left w:w="85" w:type="dxa"/>
              <w:bottom w:w="80" w:type="dxa"/>
              <w:right w:w="85" w:type="dxa"/>
            </w:tcMar>
            <w:vAlign w:val="center"/>
          </w:tcPr>
          <w:p w14:paraId="7AE4B05D" w14:textId="77777777" w:rsidR="006D39C8" w:rsidRDefault="00000000">
            <w:pPr>
              <w:keepLines/>
              <w:spacing w:after="0" w:line="247" w:lineRule="auto"/>
              <w:jc w:val="left"/>
              <w:rPr>
                <w:rFonts w:hint="eastAsia"/>
              </w:rPr>
            </w:pPr>
            <w:r>
              <w:rPr>
                <w:sz w:val="21"/>
              </w:rPr>
              <w:t>Batch and incremental sums agree with absolute plus relative tolerances on declared ranges; verify argument order and diagonal</w:t>
            </w:r>
          </w:p>
        </w:tc>
      </w:tr>
      <w:tr w:rsidR="006D39C8" w14:paraId="2418863D" w14:textId="77777777">
        <w:trPr>
          <w:cantSplit/>
          <w:jc w:val="center"/>
        </w:trPr>
        <w:tc>
          <w:tcPr>
            <w:tcW w:w="2016" w:type="dxa"/>
            <w:shd w:val="clear" w:color="auto" w:fill="FFFFFF"/>
            <w:tcMar>
              <w:top w:w="80" w:type="dxa"/>
              <w:left w:w="85" w:type="dxa"/>
              <w:bottom w:w="80" w:type="dxa"/>
              <w:right w:w="85" w:type="dxa"/>
            </w:tcMar>
            <w:vAlign w:val="center"/>
          </w:tcPr>
          <w:p w14:paraId="13590840" w14:textId="77777777" w:rsidR="006D39C8" w:rsidRDefault="00000000">
            <w:pPr>
              <w:keepLines/>
              <w:spacing w:after="0" w:line="247" w:lineRule="auto"/>
              <w:jc w:val="left"/>
              <w:rPr>
                <w:rFonts w:hint="eastAsia"/>
              </w:rPr>
            </w:pPr>
            <w:r>
              <w:rPr>
                <w:sz w:val="21"/>
              </w:rPr>
              <w:t>Cache validity</w:t>
            </w:r>
          </w:p>
        </w:tc>
        <w:tc>
          <w:tcPr>
            <w:tcW w:w="7920" w:type="dxa"/>
            <w:shd w:val="clear" w:color="auto" w:fill="FFFFFF"/>
            <w:tcMar>
              <w:top w:w="80" w:type="dxa"/>
              <w:left w:w="85" w:type="dxa"/>
              <w:bottom w:w="80" w:type="dxa"/>
              <w:right w:w="85" w:type="dxa"/>
            </w:tcMar>
            <w:vAlign w:val="center"/>
          </w:tcPr>
          <w:p w14:paraId="599E2C5B" w14:textId="77777777" w:rsidR="006D39C8" w:rsidRDefault="00000000">
            <w:pPr>
              <w:keepLines/>
              <w:spacing w:after="0" w:line="247" w:lineRule="auto"/>
              <w:jc w:val="left"/>
              <w:rPr>
                <w:rFonts w:hint="eastAsia"/>
              </w:rPr>
            </w:pPr>
            <w:r>
              <w:rPr>
                <w:sz w:val="21"/>
              </w:rPr>
              <w:t>Representation, kernel, archive membership and response versions are explicit dependencies</w:t>
            </w:r>
          </w:p>
        </w:tc>
      </w:tr>
      <w:tr w:rsidR="006D39C8" w14:paraId="61BD0C2F" w14:textId="77777777">
        <w:trPr>
          <w:cantSplit/>
          <w:jc w:val="center"/>
        </w:trPr>
        <w:tc>
          <w:tcPr>
            <w:tcW w:w="2016" w:type="dxa"/>
            <w:shd w:val="clear" w:color="auto" w:fill="FFFFFF"/>
            <w:tcMar>
              <w:top w:w="80" w:type="dxa"/>
              <w:left w:w="85" w:type="dxa"/>
              <w:bottom w:w="80" w:type="dxa"/>
              <w:right w:w="85" w:type="dxa"/>
            </w:tcMar>
            <w:vAlign w:val="center"/>
          </w:tcPr>
          <w:p w14:paraId="5BE28A35" w14:textId="77777777" w:rsidR="006D39C8" w:rsidRDefault="00000000">
            <w:pPr>
              <w:keepLines/>
              <w:spacing w:after="0" w:line="247" w:lineRule="auto"/>
              <w:jc w:val="left"/>
              <w:rPr>
                <w:rFonts w:hint="eastAsia"/>
              </w:rPr>
            </w:pPr>
            <w:r>
              <w:rPr>
                <w:sz w:val="21"/>
              </w:rPr>
              <w:t>Sampling law</w:t>
            </w:r>
          </w:p>
        </w:tc>
        <w:tc>
          <w:tcPr>
            <w:tcW w:w="7920" w:type="dxa"/>
            <w:shd w:val="clear" w:color="auto" w:fill="FFFFFF"/>
            <w:tcMar>
              <w:top w:w="80" w:type="dxa"/>
              <w:left w:w="85" w:type="dxa"/>
              <w:bottom w:w="80" w:type="dxa"/>
              <w:right w:w="85" w:type="dxa"/>
            </w:tcMar>
            <w:vAlign w:val="center"/>
          </w:tcPr>
          <w:p w14:paraId="1CDCE800" w14:textId="77777777" w:rsidR="006D39C8" w:rsidRDefault="00000000">
            <w:pPr>
              <w:keepLines/>
              <w:spacing w:after="0" w:line="247" w:lineRule="auto"/>
              <w:jc w:val="left"/>
              <w:rPr>
                <w:rFonts w:hint="eastAsia"/>
              </w:rPr>
            </w:pPr>
            <w:r>
              <w:rPr>
                <w:sz w:val="21"/>
              </w:rPr>
              <w:t>Valid support and full conditional density; deterministic stages carry a separate law tag</w:t>
            </w:r>
          </w:p>
        </w:tc>
      </w:tr>
      <w:tr w:rsidR="006D39C8" w14:paraId="405D5233" w14:textId="77777777">
        <w:trPr>
          <w:cantSplit/>
          <w:jc w:val="center"/>
        </w:trPr>
        <w:tc>
          <w:tcPr>
            <w:tcW w:w="2016" w:type="dxa"/>
            <w:shd w:val="clear" w:color="auto" w:fill="FFFFFF"/>
            <w:tcMar>
              <w:top w:w="80" w:type="dxa"/>
              <w:left w:w="85" w:type="dxa"/>
              <w:bottom w:w="80" w:type="dxa"/>
              <w:right w:w="85" w:type="dxa"/>
            </w:tcMar>
            <w:vAlign w:val="center"/>
          </w:tcPr>
          <w:p w14:paraId="2C894C27" w14:textId="77777777" w:rsidR="006D39C8" w:rsidRDefault="00000000">
            <w:pPr>
              <w:keepLines/>
              <w:spacing w:after="0" w:line="247" w:lineRule="auto"/>
              <w:jc w:val="left"/>
              <w:rPr>
                <w:rFonts w:hint="eastAsia"/>
              </w:rPr>
            </w:pPr>
            <w:r>
              <w:rPr>
                <w:sz w:val="21"/>
              </w:rPr>
              <w:t>Observation law</w:t>
            </w:r>
          </w:p>
        </w:tc>
        <w:tc>
          <w:tcPr>
            <w:tcW w:w="7920" w:type="dxa"/>
            <w:shd w:val="clear" w:color="auto" w:fill="FFFFFF"/>
            <w:tcMar>
              <w:top w:w="80" w:type="dxa"/>
              <w:left w:w="85" w:type="dxa"/>
              <w:bottom w:w="80" w:type="dxa"/>
              <w:right w:w="85" w:type="dxa"/>
            </w:tcMar>
            <w:vAlign w:val="center"/>
          </w:tcPr>
          <w:p w14:paraId="2A3B4F48" w14:textId="77777777" w:rsidR="006D39C8" w:rsidRDefault="00000000">
            <w:pPr>
              <w:keepLines/>
              <w:spacing w:after="0" w:line="247" w:lineRule="auto"/>
              <w:jc w:val="left"/>
              <w:rPr>
                <w:rFonts w:hint="eastAsia"/>
              </w:rPr>
            </w:pPr>
            <w:r>
              <w:rPr>
                <w:sz w:val="21"/>
              </w:rPr>
              <w:t>Availability probability fixed before a new target evaluation; cache hits are exact known responses</w:t>
            </w:r>
          </w:p>
        </w:tc>
      </w:tr>
      <w:tr w:rsidR="006D39C8" w14:paraId="5910199A" w14:textId="77777777">
        <w:trPr>
          <w:cantSplit/>
          <w:jc w:val="center"/>
        </w:trPr>
        <w:tc>
          <w:tcPr>
            <w:tcW w:w="2016" w:type="dxa"/>
            <w:shd w:val="clear" w:color="auto" w:fill="FFFFFF"/>
            <w:tcMar>
              <w:top w:w="80" w:type="dxa"/>
              <w:left w:w="85" w:type="dxa"/>
              <w:bottom w:w="80" w:type="dxa"/>
              <w:right w:w="85" w:type="dxa"/>
            </w:tcMar>
            <w:vAlign w:val="center"/>
          </w:tcPr>
          <w:p w14:paraId="57274E96" w14:textId="77777777" w:rsidR="006D39C8" w:rsidRDefault="00000000">
            <w:pPr>
              <w:keepLines/>
              <w:spacing w:after="0" w:line="247" w:lineRule="auto"/>
              <w:jc w:val="left"/>
              <w:rPr>
                <w:rFonts w:hint="eastAsia"/>
              </w:rPr>
            </w:pPr>
            <w:r>
              <w:rPr>
                <w:sz w:val="21"/>
              </w:rPr>
              <w:t>Statistical output</w:t>
            </w:r>
          </w:p>
        </w:tc>
        <w:tc>
          <w:tcPr>
            <w:tcW w:w="7920" w:type="dxa"/>
            <w:shd w:val="clear" w:color="auto" w:fill="FFFFFF"/>
            <w:tcMar>
              <w:top w:w="80" w:type="dxa"/>
              <w:left w:w="85" w:type="dxa"/>
              <w:bottom w:w="80" w:type="dxa"/>
              <w:right w:w="85" w:type="dxa"/>
            </w:tcMar>
            <w:vAlign w:val="center"/>
          </w:tcPr>
          <w:p w14:paraId="19FEA517" w14:textId="77777777" w:rsidR="006D39C8" w:rsidRDefault="00000000">
            <w:pPr>
              <w:keepLines/>
              <w:spacing w:after="0" w:line="247" w:lineRule="auto"/>
              <w:jc w:val="left"/>
              <w:rPr>
                <w:rFonts w:hint="eastAsia"/>
              </w:rPr>
            </w:pPr>
            <w:r>
              <w:rPr>
                <w:sz w:val="21"/>
              </w:rPr>
              <w:t>Distinguish unnormalized identities, finite-sample ratio bias, asymptotic consistency and ESS diagnostics</w:t>
            </w:r>
          </w:p>
        </w:tc>
      </w:tr>
      <w:tr w:rsidR="006D39C8" w14:paraId="6CEAAD43" w14:textId="77777777">
        <w:trPr>
          <w:cantSplit/>
          <w:jc w:val="center"/>
        </w:trPr>
        <w:tc>
          <w:tcPr>
            <w:tcW w:w="2016" w:type="dxa"/>
            <w:shd w:val="clear" w:color="auto" w:fill="FFFFFF"/>
            <w:tcMar>
              <w:top w:w="80" w:type="dxa"/>
              <w:left w:w="85" w:type="dxa"/>
              <w:bottom w:w="80" w:type="dxa"/>
              <w:right w:w="85" w:type="dxa"/>
            </w:tcMar>
            <w:vAlign w:val="center"/>
          </w:tcPr>
          <w:p w14:paraId="59B31644" w14:textId="77777777" w:rsidR="006D39C8" w:rsidRDefault="00000000">
            <w:pPr>
              <w:keepLines/>
              <w:spacing w:after="0" w:line="247" w:lineRule="auto"/>
              <w:jc w:val="left"/>
              <w:rPr>
                <w:rFonts w:hint="eastAsia"/>
              </w:rPr>
            </w:pPr>
            <w:r>
              <w:rPr>
                <w:sz w:val="21"/>
              </w:rPr>
              <w:t>Budget</w:t>
            </w:r>
          </w:p>
        </w:tc>
        <w:tc>
          <w:tcPr>
            <w:tcW w:w="7920" w:type="dxa"/>
            <w:shd w:val="clear" w:color="auto" w:fill="FFFFFF"/>
            <w:tcMar>
              <w:top w:w="80" w:type="dxa"/>
              <w:left w:w="85" w:type="dxa"/>
              <w:bottom w:w="80" w:type="dxa"/>
              <w:right w:w="85" w:type="dxa"/>
            </w:tcMar>
            <w:vAlign w:val="center"/>
          </w:tcPr>
          <w:p w14:paraId="466A0911" w14:textId="77777777" w:rsidR="006D39C8" w:rsidRDefault="00000000">
            <w:pPr>
              <w:keepLines/>
              <w:spacing w:after="0" w:line="247" w:lineRule="auto"/>
              <w:jc w:val="left"/>
              <w:rPr>
                <w:rFonts w:hint="eastAsia"/>
              </w:rPr>
            </w:pPr>
            <w:r>
              <w:rPr>
                <w:sz w:val="21"/>
              </w:rPr>
              <w:t>Attempts, exact-response availability, new calls, cache hits and partial candidates are counted separately</w:t>
            </w:r>
          </w:p>
        </w:tc>
      </w:tr>
      <w:tr w:rsidR="006D39C8" w14:paraId="539B18C3" w14:textId="77777777">
        <w:trPr>
          <w:cantSplit/>
          <w:jc w:val="center"/>
        </w:trPr>
        <w:tc>
          <w:tcPr>
            <w:tcW w:w="2016" w:type="dxa"/>
            <w:shd w:val="clear" w:color="auto" w:fill="FFFFFF"/>
            <w:tcMar>
              <w:top w:w="80" w:type="dxa"/>
              <w:left w:w="85" w:type="dxa"/>
              <w:bottom w:w="80" w:type="dxa"/>
              <w:right w:w="85" w:type="dxa"/>
            </w:tcMar>
            <w:vAlign w:val="center"/>
          </w:tcPr>
          <w:p w14:paraId="0205C640" w14:textId="77777777" w:rsidR="006D39C8" w:rsidRDefault="00000000">
            <w:pPr>
              <w:keepLines/>
              <w:spacing w:after="0" w:line="247" w:lineRule="auto"/>
              <w:jc w:val="left"/>
              <w:rPr>
                <w:rFonts w:hint="eastAsia"/>
              </w:rPr>
            </w:pPr>
            <w:r>
              <w:rPr>
                <w:sz w:val="21"/>
              </w:rPr>
              <w:t>Artifact admission</w:t>
            </w:r>
          </w:p>
        </w:tc>
        <w:tc>
          <w:tcPr>
            <w:tcW w:w="7920" w:type="dxa"/>
            <w:shd w:val="clear" w:color="auto" w:fill="FFFFFF"/>
            <w:tcMar>
              <w:top w:w="80" w:type="dxa"/>
              <w:left w:w="85" w:type="dxa"/>
              <w:bottom w:w="80" w:type="dxa"/>
              <w:right w:w="85" w:type="dxa"/>
            </w:tcMar>
            <w:vAlign w:val="center"/>
          </w:tcPr>
          <w:p w14:paraId="32932FBC" w14:textId="77777777" w:rsidR="006D39C8" w:rsidRDefault="00000000">
            <w:pPr>
              <w:keepLines/>
              <w:spacing w:after="0" w:line="247" w:lineRule="auto"/>
              <w:jc w:val="left"/>
              <w:rPr>
                <w:rFonts w:hint="eastAsia"/>
              </w:rPr>
            </w:pPr>
            <w:r>
              <w:rPr>
                <w:sz w:val="21"/>
              </w:rPr>
              <w:t>Only declared verified evidence supports release; predictions retain their status</w:t>
            </w:r>
          </w:p>
        </w:tc>
      </w:tr>
      <w:tr w:rsidR="006D39C8" w14:paraId="2DA47CB5" w14:textId="77777777">
        <w:trPr>
          <w:cantSplit/>
          <w:jc w:val="center"/>
        </w:trPr>
        <w:tc>
          <w:tcPr>
            <w:tcW w:w="2016" w:type="dxa"/>
            <w:shd w:val="clear" w:color="auto" w:fill="FFFFFF"/>
            <w:tcMar>
              <w:top w:w="80" w:type="dxa"/>
              <w:left w:w="85" w:type="dxa"/>
              <w:bottom w:w="80" w:type="dxa"/>
              <w:right w:w="85" w:type="dxa"/>
            </w:tcMar>
            <w:vAlign w:val="center"/>
          </w:tcPr>
          <w:p w14:paraId="0011DD0A" w14:textId="77777777" w:rsidR="006D39C8" w:rsidRDefault="00000000">
            <w:pPr>
              <w:keepLines/>
              <w:spacing w:after="0" w:line="247" w:lineRule="auto"/>
              <w:jc w:val="left"/>
              <w:rPr>
                <w:rFonts w:hint="eastAsia"/>
              </w:rPr>
            </w:pPr>
            <w:r>
              <w:rPr>
                <w:sz w:val="21"/>
              </w:rPr>
              <w:t>Empirical comparison</w:t>
            </w:r>
          </w:p>
        </w:tc>
        <w:tc>
          <w:tcPr>
            <w:tcW w:w="7920" w:type="dxa"/>
            <w:shd w:val="clear" w:color="auto" w:fill="FFFFFF"/>
            <w:tcMar>
              <w:top w:w="80" w:type="dxa"/>
              <w:left w:w="85" w:type="dxa"/>
              <w:bottom w:w="80" w:type="dxa"/>
              <w:right w:w="85" w:type="dxa"/>
            </w:tcMar>
            <w:vAlign w:val="center"/>
          </w:tcPr>
          <w:p w14:paraId="48598733" w14:textId="77777777" w:rsidR="006D39C8" w:rsidRDefault="00000000">
            <w:pPr>
              <w:keepLines/>
              <w:spacing w:after="0" w:line="247" w:lineRule="auto"/>
              <w:jc w:val="left"/>
              <w:rPr>
                <w:rFonts w:hint="eastAsia"/>
              </w:rPr>
            </w:pPr>
            <w:r>
              <w:rPr>
                <w:sz w:val="21"/>
              </w:rPr>
              <w:t>Replicated seeds, matched resources, uncertainty and held-out tasks</w:t>
            </w:r>
          </w:p>
        </w:tc>
      </w:tr>
    </w:tbl>
    <w:p w14:paraId="1A50F051" w14:textId="77777777" w:rsidR="006D39C8" w:rsidRDefault="00000000">
      <w:pPr>
        <w:pStyle w:val="BodyText"/>
        <w:spacing w:before="140"/>
        <w:rPr>
          <w:rFonts w:hint="eastAsia"/>
        </w:rPr>
      </w:pPr>
      <w:r>
        <w:t>A transposed-kernel regression test should use points with different norms; equal-norm pairs will not reveal that error. A bounding-box retrieval check does not establish every property of a proposal. Finite inputs also do not guarantee finite machine arithmetic: exponential weights, small denominators and large coordinate norms need scaling and numerical guards.</w:t>
      </w:r>
    </w:p>
    <w:p w14:paraId="2E200E9F" w14:textId="77777777" w:rsidR="006D39C8" w:rsidRDefault="00000000">
      <w:pPr>
        <w:pStyle w:val="BodyText"/>
        <w:rPr>
          <w:rFonts w:hint="eastAsia"/>
        </w:rPr>
      </w:pPr>
      <w:r>
        <w:t xml:space="preserve">The immediate research priorities are a complete archived replication of the source’s engineering benchmark with strict stopping, a comparison of surrogate inclusion proxies under a common positive floor, and separate ablations of novelty, fresh noise and archive coverage. Certified local </w:t>
      </w:r>
      <w:r>
        <w:lastRenderedPageBreak/>
        <w:t>bounds and multi-fidelity estimators require domain-specific validation. The interval computations of Sections 8.4–8.7 add certificates for occupancy sums, detailed balance, the Himmelblau Gibbs reference and the bounds (17). These certificates assume correct rounding of the basic operations and a four-ulp error bound for the exponential. The seed studies and the oracle variance integrals remain diagnostics. The new checks here establish finite-range arithmetic agreement and one analytic selective-evaluation result; they do not establish global optimization convergence, universal evaluation savings or construction safety.</w:t>
      </w:r>
    </w:p>
    <w:p w14:paraId="1EDDB046" w14:textId="77777777" w:rsidR="006D39C8" w:rsidRDefault="00000000">
      <w:pPr>
        <w:pStyle w:val="Heading1"/>
        <w:rPr>
          <w:rFonts w:hint="eastAsia"/>
        </w:rPr>
      </w:pPr>
      <w:bookmarkStart w:id="34" w:name="conclusion"/>
      <w:bookmarkEnd w:id="33"/>
      <w:r>
        <w:t>12 Conclusion</w:t>
      </w:r>
    </w:p>
    <w:p w14:paraId="39C01DFC" w14:textId="77777777" w:rsidR="006D39C8" w:rsidRDefault="00000000">
      <w:pPr>
        <w:pStyle w:val="FirstParagraph"/>
        <w:rPr>
          <w:rFonts w:hint="eastAsia"/>
        </w:rPr>
      </w:pPr>
      <w:r>
        <w:t>Caching, exploration and evaluation reuse are compatible with rigorous ADE reporting when their contracts are separated. Fixed-query occupancy can be updated exactly and obeys a useful reversibility relation, while adaptive proposal densities remain separate historical records. Fresh noise changes conditional covariance; across-history residual moments and final spread require additional analysis. Selective evaluation preserves target integrals through inclusion correction and supports a consistent self-normalized estimator under explicit proposal and observation floors. Recent neuroscience motivates richer retention and access policies, and an AI harness supplies the runtime architecture for testing them. Validated interval computation now certifies the cache arithmetic and the Gibbs reference behind the legacy estimates. Symbolic computation identifies the exact target that an uncorrected inclusion estimator actually converges to. Exact evidence, approximate proposal information and verified artifacts must retain distinct identities throughout that architecture.</w:t>
      </w:r>
    </w:p>
    <w:p w14:paraId="1A4B1B00" w14:textId="77777777" w:rsidR="006D39C8" w:rsidRDefault="00000000">
      <w:pPr>
        <w:pStyle w:val="Heading1"/>
        <w:rPr>
          <w:rFonts w:hint="eastAsia"/>
        </w:rPr>
      </w:pPr>
      <w:bookmarkStart w:id="35" w:name="references"/>
      <w:bookmarkEnd w:id="34"/>
      <w:r>
        <w:t>References</w:t>
      </w:r>
    </w:p>
    <w:p w14:paraId="4E57894B" w14:textId="77777777" w:rsidR="006D39C8" w:rsidRDefault="00000000">
      <w:pPr>
        <w:pStyle w:val="FirstParagraph"/>
        <w:keepLines/>
        <w:spacing w:after="140"/>
        <w:ind w:left="360" w:hanging="360"/>
        <w:jc w:val="left"/>
        <w:rPr>
          <w:rFonts w:hint="eastAsia"/>
        </w:rPr>
      </w:pPr>
      <w:r>
        <w:rPr>
          <w:sz w:val="21"/>
        </w:rPr>
        <w:t>[1] Zhang, Y., Hartl, B., Hazan, H., and Levin, M. (2025). Diffusion models are evolutionary algorithms. ICLR 2025; arXiv version 3, 9 May 2026. https://arxiv.org/abs/2410.02543v3</w:t>
      </w:r>
    </w:p>
    <w:p w14:paraId="0F3AE83A" w14:textId="77777777" w:rsidR="006D39C8" w:rsidRDefault="00000000">
      <w:pPr>
        <w:pStyle w:val="BodyText"/>
        <w:keepLines/>
        <w:spacing w:after="140"/>
        <w:ind w:left="360" w:hanging="360"/>
        <w:jc w:val="left"/>
        <w:rPr>
          <w:rFonts w:hint="eastAsia"/>
        </w:rPr>
      </w:pPr>
      <w:r>
        <w:rPr>
          <w:sz w:val="21"/>
        </w:rPr>
        <w:t>[2] Song, J., Meng, C., and Ermon, S. (2021). Denoising diffusion implicit models. ICLR 2021. https://arxiv.org/abs/2010.02502</w:t>
      </w:r>
    </w:p>
    <w:p w14:paraId="61EBB4B6" w14:textId="77777777" w:rsidR="006D39C8" w:rsidRDefault="00000000">
      <w:pPr>
        <w:pStyle w:val="BodyText"/>
        <w:keepLines/>
        <w:spacing w:after="140"/>
        <w:ind w:left="360" w:hanging="360"/>
        <w:jc w:val="left"/>
        <w:rPr>
          <w:rFonts w:hint="eastAsia"/>
        </w:rPr>
      </w:pPr>
      <w:r>
        <w:rPr>
          <w:sz w:val="21"/>
        </w:rPr>
        <w:t>[3] Ghosh, D. P. (2026). Caches, Temperature and Reuse. Revised edition, 15 October 2026. Author-supplied Word manuscript; source of the legacy measurements in Section 8.1. Related source collection: https://github.com/debiprasadghosh/ResearchOverFlow/tree/main/October2026/AutoregressiveDiffusionEvolution</w:t>
      </w:r>
    </w:p>
    <w:p w14:paraId="2A809A70" w14:textId="77777777" w:rsidR="006D39C8" w:rsidRDefault="00000000">
      <w:pPr>
        <w:pStyle w:val="BodyText"/>
        <w:keepLines/>
        <w:spacing w:after="140"/>
        <w:ind w:left="360" w:hanging="360"/>
        <w:jc w:val="left"/>
        <w:rPr>
          <w:rFonts w:hint="eastAsia"/>
        </w:rPr>
      </w:pPr>
      <w:r>
        <w:rPr>
          <w:sz w:val="21"/>
        </w:rPr>
        <w:t>[4] Horvitz, D. G., and Thompson, D. J. (1952). A generalization of sampling without replacement from a finite universe. Journal of the American Statistical Association 47(260), 663–685. https://doi.org/10.1080/01621459.1952.10483446</w:t>
      </w:r>
    </w:p>
    <w:p w14:paraId="22B178E1" w14:textId="77777777" w:rsidR="006D39C8" w:rsidRDefault="00000000">
      <w:pPr>
        <w:pStyle w:val="BodyText"/>
        <w:keepLines/>
        <w:spacing w:after="140"/>
        <w:ind w:left="360" w:hanging="360"/>
        <w:jc w:val="left"/>
        <w:rPr>
          <w:rFonts w:hint="eastAsia"/>
        </w:rPr>
      </w:pPr>
      <w:r>
        <w:rPr>
          <w:sz w:val="21"/>
        </w:rPr>
        <w:t>[5] Hesterberg, T. (1995). Weighted average importance sampling and defensive mixture distributions. Technometrics 37(2), 185–194. https://doi.org/10.1080/00401706.1995.10484303</w:t>
      </w:r>
    </w:p>
    <w:p w14:paraId="0D772071" w14:textId="77777777" w:rsidR="006D39C8" w:rsidRDefault="00000000">
      <w:pPr>
        <w:pStyle w:val="BodyText"/>
        <w:keepLines/>
        <w:spacing w:after="140"/>
        <w:ind w:left="360" w:hanging="360"/>
        <w:jc w:val="left"/>
        <w:rPr>
          <w:rFonts w:hint="eastAsia"/>
        </w:rPr>
      </w:pPr>
      <w:r>
        <w:rPr>
          <w:sz w:val="21"/>
        </w:rPr>
        <w:t>[6] Delyon, B., and Portier, F. (2021). Safe adaptive importance sampling A mixture approach. Annals of Statistics 49(2), 885–917. Author preprint: https://arxiv.org/abs/1903.08507</w:t>
      </w:r>
    </w:p>
    <w:p w14:paraId="2E243437" w14:textId="77777777" w:rsidR="006D39C8" w:rsidRDefault="00000000">
      <w:pPr>
        <w:pStyle w:val="BodyText"/>
        <w:keepLines/>
        <w:spacing w:after="140"/>
        <w:ind w:left="360" w:hanging="360"/>
        <w:jc w:val="left"/>
        <w:rPr>
          <w:rFonts w:hint="eastAsia"/>
        </w:rPr>
      </w:pPr>
      <w:r>
        <w:rPr>
          <w:sz w:val="21"/>
        </w:rPr>
        <w:t>[7] Ghosh, D. P. (2026). Autoregressive Diffusion Evolution. Revised 17 October 2026. Companion manuscript. The present results state their assumptions independently.</w:t>
      </w:r>
    </w:p>
    <w:p w14:paraId="3DF3FF6B" w14:textId="77777777" w:rsidR="006D39C8" w:rsidRDefault="00000000">
      <w:pPr>
        <w:pStyle w:val="BodyText"/>
        <w:keepLines/>
        <w:spacing w:after="140"/>
        <w:ind w:left="360" w:hanging="360"/>
        <w:jc w:val="left"/>
        <w:rPr>
          <w:rFonts w:hint="eastAsia"/>
        </w:rPr>
      </w:pPr>
      <w:r>
        <w:rPr>
          <w:sz w:val="21"/>
        </w:rPr>
        <w:t>[8] Nadaraya, E. A. (1964). On estimating regression. Theory of Probability and Its Applications 9(1), 141–142. https://doi.org/10.1137/1109020</w:t>
      </w:r>
    </w:p>
    <w:p w14:paraId="549A72C1" w14:textId="77777777" w:rsidR="006D39C8" w:rsidRDefault="00000000">
      <w:pPr>
        <w:pStyle w:val="BodyText"/>
        <w:keepLines/>
        <w:spacing w:after="140"/>
        <w:ind w:left="360" w:hanging="360"/>
        <w:jc w:val="left"/>
        <w:rPr>
          <w:rFonts w:hint="eastAsia"/>
        </w:rPr>
      </w:pPr>
      <w:r>
        <w:rPr>
          <w:sz w:val="21"/>
        </w:rPr>
        <w:t>[9] Jones, D. R., Schonlau, M., and Welch, W. J. (1998). Efficient global optimization of expensive black-box functions. Journal of Global Optimization 13, 455–492. https://doi.org/10.1023/A:1008306431147</w:t>
      </w:r>
    </w:p>
    <w:p w14:paraId="44312982" w14:textId="77777777" w:rsidR="006D39C8" w:rsidRDefault="00000000">
      <w:pPr>
        <w:pStyle w:val="BodyText"/>
        <w:keepLines/>
        <w:spacing w:after="140"/>
        <w:ind w:left="360" w:hanging="360"/>
        <w:jc w:val="left"/>
        <w:rPr>
          <w:rFonts w:hint="eastAsia"/>
        </w:rPr>
      </w:pPr>
      <w:r>
        <w:rPr>
          <w:sz w:val="21"/>
        </w:rPr>
        <w:t>[10] Kennedy, M. C., and O’Hagan, A. (2000). Predicting the output from a complex computer code when fast approximations are available. Biometrika 87(1), 1–13. https://doi.org/10.1093/biomet/87.1.1</w:t>
      </w:r>
    </w:p>
    <w:p w14:paraId="2D124070" w14:textId="77777777" w:rsidR="006D39C8" w:rsidRDefault="00000000">
      <w:pPr>
        <w:pStyle w:val="BodyText"/>
        <w:keepLines/>
        <w:spacing w:after="140"/>
        <w:ind w:left="360" w:hanging="360"/>
        <w:jc w:val="left"/>
        <w:rPr>
          <w:rFonts w:hint="eastAsia"/>
        </w:rPr>
      </w:pPr>
      <w:r>
        <w:rPr>
          <w:sz w:val="21"/>
        </w:rPr>
        <w:t>[11] Peherstorfer, B., Willcox, K., and Gunzburger, M. (2018). Survey of multifidelity methods in uncertainty propagation, inference, and optimization. SIAM Review 60(3), 550–591. https://doi.org/10.1137/16M1082469</w:t>
      </w:r>
    </w:p>
    <w:p w14:paraId="303EC4DB" w14:textId="77777777" w:rsidR="006D39C8" w:rsidRDefault="00000000">
      <w:pPr>
        <w:pStyle w:val="BodyText"/>
        <w:keepLines/>
        <w:spacing w:after="140"/>
        <w:ind w:left="360" w:hanging="360"/>
        <w:jc w:val="left"/>
        <w:rPr>
          <w:rFonts w:hint="eastAsia"/>
        </w:rPr>
      </w:pPr>
      <w:r>
        <w:rPr>
          <w:sz w:val="21"/>
        </w:rPr>
        <w:lastRenderedPageBreak/>
        <w:t>[12] Nicholas, J., and Mattar, M. G. (2026). Episodic memory facilitates flexible decision-making via access to detailed events. Nature Human Behaviour 10, 760–776. Published 23 January 2026. https://doi.org/10.1038/s41562-025-02383-3</w:t>
      </w:r>
    </w:p>
    <w:p w14:paraId="7312D9ED" w14:textId="77777777" w:rsidR="006D39C8" w:rsidRDefault="00000000">
      <w:pPr>
        <w:pStyle w:val="BodyText"/>
        <w:keepLines/>
        <w:spacing w:after="140"/>
        <w:ind w:left="360" w:hanging="360"/>
        <w:jc w:val="left"/>
        <w:rPr>
          <w:rFonts w:hint="eastAsia"/>
        </w:rPr>
      </w:pPr>
      <w:r>
        <w:rPr>
          <w:sz w:val="21"/>
        </w:rPr>
        <w:t>[13] Roscow, E. L., Howe, T., Lepora, N. F., and Jones, M. W. (2025). Post-learning replay of hippocampal-striatal activity is biased by reward-prediction signals. Nature Communications 16, 10394. https://doi.org/10.1038/s41467-025-65354-2</w:t>
      </w:r>
    </w:p>
    <w:p w14:paraId="353F472B" w14:textId="77777777" w:rsidR="006D39C8" w:rsidRDefault="00000000">
      <w:pPr>
        <w:pStyle w:val="BodyText"/>
        <w:keepLines/>
        <w:spacing w:after="140"/>
        <w:ind w:left="360" w:hanging="360"/>
        <w:jc w:val="left"/>
        <w:rPr>
          <w:rFonts w:hint="eastAsia"/>
        </w:rPr>
      </w:pPr>
      <w:r>
        <w:rPr>
          <w:sz w:val="21"/>
        </w:rPr>
        <w:t>[14] Mallory, C. S., Widloski, J., and Foster, D. J. (2025). The time course and organization of hippocampal replay. Science 387, 541–548. https://doi.org/10.1126/science.ads4760</w:t>
      </w:r>
    </w:p>
    <w:p w14:paraId="579A1004" w14:textId="77777777" w:rsidR="006D39C8" w:rsidRDefault="00000000">
      <w:pPr>
        <w:pStyle w:val="BodyText"/>
        <w:keepLines/>
        <w:spacing w:after="140"/>
        <w:ind w:left="360" w:hanging="360"/>
        <w:jc w:val="left"/>
        <w:rPr>
          <w:rFonts w:hint="eastAsia"/>
        </w:rPr>
      </w:pPr>
      <w:r>
        <w:rPr>
          <w:sz w:val="21"/>
        </w:rPr>
        <w:t>[15] Ji, Z., Chu, T., Dong, X., Yu, C., Bush, D., Burgess, N., and Wu, S. (2026). Dynamical modulation of hippocampal replay through firing rate adaptation. Nature Communications 17, 1282. Published 20 January 2026. https://doi.org/10.1038/s41467-025-68042-3</w:t>
      </w:r>
    </w:p>
    <w:p w14:paraId="4C6549A9" w14:textId="77777777" w:rsidR="006D39C8" w:rsidRDefault="00000000">
      <w:pPr>
        <w:pStyle w:val="BodyText"/>
        <w:keepLines/>
        <w:spacing w:after="140"/>
        <w:ind w:left="360" w:hanging="360"/>
        <w:jc w:val="left"/>
        <w:rPr>
          <w:rFonts w:hint="eastAsia"/>
        </w:rPr>
      </w:pPr>
      <w:r>
        <w:rPr>
          <w:sz w:val="21"/>
        </w:rPr>
        <w:t>[16] Wei, C., et al. (2026). Self-evolving agent harness. Preprint, 13 October 2026. https://arxiv.org/abs/2610.18813</w:t>
      </w:r>
    </w:p>
    <w:p w14:paraId="64C7BAEC" w14:textId="77777777" w:rsidR="006D39C8" w:rsidRDefault="00000000">
      <w:pPr>
        <w:pStyle w:val="BodyText"/>
        <w:keepLines/>
        <w:spacing w:after="140"/>
        <w:ind w:left="360" w:hanging="360"/>
        <w:jc w:val="left"/>
        <w:rPr>
          <w:rFonts w:hint="eastAsia"/>
        </w:rPr>
      </w:pPr>
      <w:r>
        <w:rPr>
          <w:sz w:val="21"/>
        </w:rPr>
        <w:t>[17] Yu, W., et al. (2026). Harmony Harness Multi-objective self-evolution of agent harnesses. Preprint, 10 October 2026. https://arxiv.org/abs/2610.15150</w:t>
      </w:r>
    </w:p>
    <w:p w14:paraId="5D5AEA77" w14:textId="77777777" w:rsidR="006D39C8" w:rsidRDefault="00000000">
      <w:pPr>
        <w:pStyle w:val="BodyText"/>
        <w:keepLines/>
        <w:spacing w:after="140"/>
        <w:ind w:left="360" w:hanging="360"/>
        <w:jc w:val="left"/>
        <w:rPr>
          <w:rFonts w:hint="eastAsia"/>
        </w:rPr>
      </w:pPr>
      <w:r>
        <w:rPr>
          <w:sz w:val="21"/>
        </w:rPr>
        <w:t>[18] Yao, S., et al. (2023). ReAct Synergizing reasoning and acting in language models. ICLR 2023. https://arxiv.org/abs/2210.03629</w:t>
      </w:r>
    </w:p>
    <w:p w14:paraId="03E1C54E" w14:textId="77777777" w:rsidR="006D39C8" w:rsidRDefault="00000000">
      <w:pPr>
        <w:pStyle w:val="Heading1"/>
        <w:rPr>
          <w:rFonts w:hint="eastAsia"/>
        </w:rPr>
      </w:pPr>
      <w:bookmarkStart w:id="36" w:name="appendix-a-record-and-cache-contracts"/>
      <w:bookmarkEnd w:id="35"/>
      <w:r>
        <w:t>Appendix A Record and cache contracts</w:t>
      </w:r>
    </w:p>
    <w:p w14:paraId="075AEE4C" w14:textId="77777777" w:rsidR="006D39C8" w:rsidRDefault="00000000">
      <w:pPr>
        <w:pStyle w:val="FirstParagraph"/>
        <w:rPr>
          <w:rFonts w:hint="eastAsia"/>
        </w:rPr>
      </w:pPr>
      <w:r>
        <w:t>A production attempt record should contain immutable sampled coordinates, decoded physical inputs, a proposal-law tag and parameters, the realized log density when defined, observation probability, availability indicator, separate observed and predicted responses, evaluator and constraint identifiers, fidelity and mesh, model and chart versions, parent and stage identifiers, and counter values. Include a response-cache identifier when an exact prior response supplies the value. Keep any realized noise and RNG state needed for replay.</w:t>
      </w:r>
    </w:p>
    <w:p w14:paraId="46748C7C" w14:textId="77777777" w:rsidR="006D39C8" w:rsidRDefault="00000000">
      <w:pPr>
        <w:pStyle w:val="BodyText"/>
        <w:rPr>
          <w:rFonts w:hint="eastAsia"/>
        </w:rPr>
      </w:pPr>
      <w:r>
        <w:t>The attempt log is authoritative. An occupancy array, layer membership list, surrogate training set and prompt context are derived views with their own dependency fingerprints. Invalidating a view should not overwrite a past measured response or reconstruct a historical proposal from a future archive. Recomputing a response under a new scenario creates a new response contract.</w:t>
      </w:r>
    </w:p>
    <w:p w14:paraId="003E57B4" w14:textId="77777777" w:rsidR="006D39C8" w:rsidRDefault="00000000">
      <w:pPr>
        <w:pStyle w:val="BodyText"/>
        <w:rPr>
          <w:rFonts w:hint="eastAsia"/>
        </w:rPr>
      </w:pPr>
      <w:r>
        <w:t>An estimator must reject included records with nonpositive observation probabilities, missing proposal provenance or an incompatible target response. A zero-variance Gaussian call must be rejected rather than assigned log density zero. Observations supplied by exact memoization are available evidence with probability one under that conditional cache state; missing-value imputation remains a prediction.</w:t>
      </w:r>
    </w:p>
    <w:p w14:paraId="72B74205" w14:textId="77777777" w:rsidR="006D39C8" w:rsidRDefault="00000000">
      <w:pPr>
        <w:pStyle w:val="BodyText"/>
        <w:rPr>
          <w:rFonts w:hint="eastAsia"/>
        </w:rPr>
      </w:pPr>
      <w:r>
        <w:t>For a selective proposal implemented as a mixture, record the full mixture density rather than the selected component. For a simulator that does not expose a compatible probability model, retain its outputs for optimization and verification without presenting them as continuous random draws. These requirements apply equally to a C# port and a Python implementation. Cross-language seed equality is not random-stream equality. Appendix C follows this rule: its audit is compared with the Python run by distribution over 200 seeds, not digit for digit.</w:t>
      </w:r>
    </w:p>
    <w:p w14:paraId="7B6CAB68" w14:textId="77777777" w:rsidR="006D39C8" w:rsidRDefault="00000000">
      <w:pPr>
        <w:pStyle w:val="Heading1"/>
        <w:rPr>
          <w:rFonts w:hint="eastAsia"/>
        </w:rPr>
      </w:pPr>
      <w:bookmarkStart w:id="37" w:name="appendix-b-executed-python-reference"/>
      <w:bookmarkEnd w:id="36"/>
      <w:r>
        <w:t>Appendix B Executed Python reference</w:t>
      </w:r>
    </w:p>
    <w:p w14:paraId="12F8AB19" w14:textId="77777777" w:rsidR="006D39C8" w:rsidRDefault="00000000">
      <w:pPr>
        <w:pStyle w:val="FirstParagraph"/>
        <w:rPr>
          <w:rFonts w:hint="eastAsia"/>
        </w:rPr>
      </w:pPr>
      <w:r>
        <w:t xml:space="preserve">The listing below was executed for the fresh selective-evaluation audit and supplies the occupancy recurrence used in the batch comparison. It uses a known-density Gaussian mixture and fresh </w:t>
      </w:r>
      <w:r>
        <w:lastRenderedPageBreak/>
        <w:t>Bernoulli observation decisions. The complete-response array is an analytic-test diagnostic only and never informs future proposals. This is a reference audit, not a reconstruction of the supplied Himmelblau driver or a production harness.</w:t>
      </w:r>
    </w:p>
    <w:p w14:paraId="68C88A5D" w14:textId="77777777" w:rsidR="006D39C8" w:rsidRDefault="00000000">
      <w:pPr>
        <w:pStyle w:val="SourceCode"/>
        <w:keepLines/>
        <w:spacing w:before="80" w:after="80"/>
        <w:rPr>
          <w:rFonts w:hint="eastAsia"/>
        </w:rPr>
      </w:pPr>
      <w:r>
        <w:t>"""Reference audit for Caches Temperature and Reuse, 17 October 2026."""</w:t>
      </w:r>
      <w:r>
        <w:br/>
        <w:t>import numpy as np</w:t>
      </w:r>
      <w:r>
        <w:br/>
        <w:t>from scipy.special import logsumexp</w:t>
      </w:r>
    </w:p>
    <w:p w14:paraId="7070F909" w14:textId="77777777" w:rsidR="006D39C8" w:rsidRDefault="00000000">
      <w:pPr>
        <w:pStyle w:val="SourceCode"/>
        <w:keepLines/>
        <w:spacing w:before="80" w:after="80"/>
        <w:rPr>
          <w:rFonts w:hint="eastAsia"/>
        </w:rPr>
      </w:pPr>
      <w:r>
        <w:t>def kernel(Q, Y, a):</w:t>
      </w:r>
      <w:r>
        <w:br/>
        <w:t xml:space="preserve">    if not 0 &lt; a &lt; 1:</w:t>
      </w:r>
      <w:r>
        <w:br/>
        <w:t xml:space="preserve">        raise ValueError("The observation kernel needs 0 &lt; a &lt; 1")</w:t>
      </w:r>
      <w:r>
        <w:br/>
        <w:t xml:space="preserve">    Q, Y = np.atleast_2d(Q), np.atleast_2d(Y)</w:t>
      </w:r>
      <w:r>
        <w:br/>
        <w:t xml:space="preserve">    return np.exp(-np.sum((Q[:, None]-np.sqrt(a)*Y[None])**2,</w:t>
      </w:r>
      <w:r>
        <w:br/>
        <w:t xml:space="preserve">                         axis=-1)/(2*(1-a)))</w:t>
      </w:r>
    </w:p>
    <w:p w14:paraId="390EB3A6" w14:textId="77777777" w:rsidR="006D39C8" w:rsidRDefault="00000000">
      <w:pPr>
        <w:pStyle w:val="SourceCode"/>
        <w:keepLines/>
        <w:spacing w:before="80" w:after="80"/>
        <w:rPr>
          <w:rFonts w:hint="eastAsia"/>
        </w:rPr>
      </w:pPr>
      <w:r>
        <w:t>def append_occupancy(Y, U, x, a):</w:t>
      </w:r>
      <w:r>
        <w:br/>
        <w:t xml:space="preserve">    Ynew = np.vstack([Y, x])</w:t>
      </w:r>
      <w:r>
        <w:br/>
        <w:t xml:space="preserve">    old = U + kernel(Y, x, a)[:, 0]</w:t>
      </w:r>
      <w:r>
        <w:br/>
        <w:t xml:space="preserve">    new = kernel(x, Ynew, a).sum()</w:t>
      </w:r>
      <w:r>
        <w:br/>
        <w:t xml:space="preserve">    return Ynew, np.r_[old, new]</w:t>
      </w:r>
    </w:p>
    <w:p w14:paraId="040EB802" w14:textId="77777777" w:rsidR="006D39C8" w:rsidRDefault="00000000">
      <w:pPr>
        <w:pStyle w:val="SourceCode"/>
        <w:keepLines/>
        <w:spacing w:before="80" w:after="80"/>
        <w:rPr>
          <w:rFonts w:hint="eastAsia"/>
        </w:rPr>
      </w:pPr>
      <w:r>
        <w:t>def lognormal(y, mean, variance):</w:t>
      </w:r>
      <w:r>
        <w:br/>
        <w:t xml:space="preserve">    if not np.isfinite(variance) or variance &lt;= 0:</w:t>
      </w:r>
      <w:r>
        <w:br/>
        <w:t xml:space="preserve">        raise ValueError("Deterministic steps have no Gaussian density")</w:t>
      </w:r>
      <w:r>
        <w:br/>
        <w:t xml:space="preserve">    delta = np.asarray(y)-mean</w:t>
      </w:r>
      <w:r>
        <w:br/>
        <w:t xml:space="preserve">    return -.5*(delta.size*np.log(2*np.pi*variance)</w:t>
      </w:r>
      <w:r>
        <w:br/>
        <w:t xml:space="preserve">                + np.sum(delta*delta)/variance)</w:t>
      </w:r>
    </w:p>
    <w:p w14:paraId="43B5C9E4" w14:textId="77777777" w:rsidR="006D39C8" w:rsidRDefault="00000000">
      <w:pPr>
        <w:pStyle w:val="SourceCode"/>
        <w:keepLines/>
        <w:spacing w:before="80" w:after="80"/>
        <w:rPr>
          <w:rFonts w:hint="eastAsia"/>
        </w:rPr>
      </w:pPr>
      <w:r>
        <w:t>def estimate(records, beta, correct_inclusion=True):</w:t>
      </w:r>
      <w:r>
        <w:br/>
        <w:t xml:space="preserve">    # A record is (state, measured loss or None, e, log q).</w:t>
      </w:r>
      <w:r>
        <w:br/>
        <w:t xml:space="preserve">    for _, _, e, logq in records:</w:t>
      </w:r>
      <w:r>
        <w:br/>
        <w:t xml:space="preserve">        if not 0 &lt; e &lt;= 1 or not np.isfinite(logq):</w:t>
      </w:r>
      <w:r>
        <w:br/>
        <w:t xml:space="preserve">            raise ValueError("Invalid eligible attempt provenance")</w:t>
      </w:r>
      <w:r>
        <w:br/>
        <w:t xml:space="preserve">    included = [r for r in records if r[1] is not None]</w:t>
      </w:r>
      <w:r>
        <w:br/>
        <w:t xml:space="preserve">    if not included:</w:t>
      </w:r>
      <w:r>
        <w:br/>
        <w:t xml:space="preserve">        raise ValueError("No observed target responses")</w:t>
      </w:r>
      <w:r>
        <w:br/>
        <w:t xml:space="preserve">    logs, values = [], []</w:t>
      </w:r>
      <w:r>
        <w:br/>
        <w:t xml:space="preserve">    for y, loss, e, logq in included:</w:t>
      </w:r>
      <w:r>
        <w:br/>
        <w:t xml:space="preserve">        if not 0 &lt; e &lt;= 1:</w:t>
      </w:r>
      <w:r>
        <w:br/>
        <w:t xml:space="preserve">            raise ValueError("Invalid availability probability")</w:t>
      </w:r>
      <w:r>
        <w:br/>
        <w:t xml:space="preserve">        lp = lognormal(y, np.zeros(len(y)), 1.)</w:t>
      </w:r>
      <w:r>
        <w:br/>
        <w:t xml:space="preserve">        logs.append(-beta*loss+lp-logq</w:t>
      </w:r>
      <w:r>
        <w:br/>
        <w:t xml:space="preserve">                    -(np.log(e) if correct_inclusion else 0))</w:t>
      </w:r>
      <w:r>
        <w:br/>
        <w:t xml:space="preserve">        values.append(loss)</w:t>
      </w:r>
      <w:r>
        <w:br/>
        <w:t xml:space="preserve">    w = np.exp(np.array(logs)-logsumexp(logs))</w:t>
      </w:r>
      <w:r>
        <w:br/>
        <w:t xml:space="preserve">    return float(w @ values), float(1/np.sum(w*w))</w:t>
      </w:r>
    </w:p>
    <w:p w14:paraId="300F0D44" w14:textId="77777777" w:rsidR="006D39C8" w:rsidRDefault="00000000">
      <w:pPr>
        <w:pStyle w:val="SourceCode"/>
        <w:keepLines/>
        <w:spacing w:before="80" w:after="80"/>
        <w:rPr>
          <w:rFonts w:hint="eastAsia"/>
        </w:rPr>
      </w:pPr>
      <w:r>
        <w:lastRenderedPageBreak/>
        <w:t>def density_audit(n=100000, seed=20261017):</w:t>
      </w:r>
      <w:r>
        <w:br/>
        <w:t xml:space="preserve">    rng = np.random.default_rng(seed)</w:t>
      </w:r>
      <w:r>
        <w:br/>
        <w:t xml:space="preserve">    mean = np.array([.8, -.8])</w:t>
      </w:r>
      <w:r>
        <w:br/>
        <w:t xml:space="preserve">    records, full = [], []</w:t>
      </w:r>
      <w:r>
        <w:br/>
        <w:t xml:space="preserve">    for i in range(n):</w:t>
      </w:r>
      <w:r>
        <w:br/>
        <w:t xml:space="preserve">        # Proposal parameters and mixture fraction precede the draw.</w:t>
      </w:r>
      <w:r>
        <w:br/>
        <w:t xml:space="preserve">        y = (rng.standard_normal(2) if rng.random() &lt; .25</w:t>
      </w:r>
      <w:r>
        <w:br/>
        <w:t xml:space="preserve">             else mean+.35*rng.standard_normal(2))</w:t>
      </w:r>
      <w:r>
        <w:br/>
        <w:t xml:space="preserve">        lp = lognormal(y, np.zeros(2), 1.)</w:t>
      </w:r>
      <w:r>
        <w:br/>
        <w:t xml:space="preserve">        lg = lognormal(y, mean, .35**2)</w:t>
      </w:r>
      <w:r>
        <w:br/>
        <w:t xml:space="preserve">        logq = np.logaddexp(np.log(.25)+lp, np.log(.75)+lg)</w:t>
      </w:r>
      <w:r>
        <w:br/>
        <w:t xml:space="preserve">        e = 1. if abs(y[0]) &gt; 1 else .25</w:t>
      </w:r>
      <w:r>
        <w:br/>
        <w:t xml:space="preserve">        observed = rng.random() &lt; e</w:t>
      </w:r>
      <w:r>
        <w:br/>
        <w:t xml:space="preserve">        # Oracle truth below is test-only, not proposal feedback.</w:t>
      </w:r>
      <w:r>
        <w:br/>
        <w:t xml:space="preserve">        truth = float(y@y)</w:t>
      </w:r>
      <w:r>
        <w:br/>
        <w:t xml:space="preserve">        records.append((y.copy(), truth if observed else None, e, logq))</w:t>
      </w:r>
      <w:r>
        <w:br/>
        <w:t xml:space="preserve">        full.append((y.copy(), truth, 1., logq))</w:t>
      </w:r>
      <w:r>
        <w:br/>
        <w:t xml:space="preserve">        mean = .9*mean + .02*np.tanh(y)</w:t>
      </w:r>
      <w:r>
        <w:br/>
        <w:t xml:space="preserve">    corrected, ess = estimate(records, .5)</w:t>
      </w:r>
      <w:r>
        <w:br/>
        <w:t xml:space="preserve">    uncorrected, _ = estimate(records, .5, False)</w:t>
      </w:r>
      <w:r>
        <w:br/>
        <w:t xml:space="preserve">    complete, _ = estimate(full, .5)</w:t>
      </w:r>
      <w:r>
        <w:br/>
        <w:t xml:space="preserve">    return dict(attempts=n, observed=sum(r[1] is not None for r in records),</w:t>
      </w:r>
      <w:r>
        <w:br/>
        <w:t xml:space="preserve">                exact_mean=1., corrected=corrected,</w:t>
      </w:r>
      <w:r>
        <w:br/>
        <w:t xml:space="preserve">                omitted_inclusion=uncorrected,</w:t>
      </w:r>
      <w:r>
        <w:br/>
        <w:t xml:space="preserve">                complete_counterfactual=complete, ess=ess)</w:t>
      </w:r>
    </w:p>
    <w:p w14:paraId="4C7CB096" w14:textId="77777777" w:rsidR="006D39C8" w:rsidRDefault="00000000">
      <w:pPr>
        <w:pStyle w:val="SourceCode"/>
        <w:keepLines/>
        <w:spacing w:before="80" w:after="80"/>
        <w:rPr>
          <w:rFonts w:hint="eastAsia"/>
        </w:rPr>
      </w:pPr>
      <w:r>
        <w:t>if __name__ == "__main__":</w:t>
      </w:r>
      <w:r>
        <w:br/>
        <w:t xml:space="preserve">    print(density_audit())</w:t>
      </w:r>
      <w:bookmarkEnd w:id="37"/>
    </w:p>
    <w:p>
      <w:pPr>
        <w:pStyle w:val="Heading1"/>
      </w:pPr>
      <w:r>
        <w:t xml:space="preserve">Appendix C Validated C# implementation and settings</w:t>
      </w:r>
    </w:p>
    <w:p>
      <w:pPr>
        <w:pStyle w:val="FirstParagraph"/>
      </w:pPr>
      <w:r>
        <w:t xml:space="preserve">The listing below is the compiled C# 12 code behind Sections 8.4–8.7. It targets .NET 8 with no external packages, and was run with .NET 8.0.32 on an Intel Xeon processor at 2.10 GHz. The complete program takes about 78 seconds, of which about 65 seconds are the three quadratures. The driver Program.cs is supplied with the source archive and omitted here. It writes results.json and the per-seed replicates and reads the grid-computed oracle constants. The same quadrature code is used in the 28 October 2026 revision of the companion ADE manuscript. The SymPy script checks (6), (8), (9), (11), (12), (15) and (17), the audit target, the limit of Proposition 7, the overshoot formula and the resource counts.</w:t>
      </w:r>
    </w:p>
    <w:p>
      <w:pPr>
        <w:pStyle w:val="Caption"/>
        <w:keepNext/>
      </w:pPr>
      <w:r>
        <w:t xml:space="preserve">Table 11. Settings of the validated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7949"/>
      </w:tblGrid>
      <w:tr>
        <w:trPr>
          <w:cantSplit/>
          <w:tblHeader/>
          <w:jc w:val="center"/>
        </w:trPr>
        <w:tc>
          <w:tcPr>
            <w:tcW w:w="1987"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Item</w:t>
            </w:r>
          </w:p>
        </w:tc>
        <w:tc>
          <w:tcPr>
            <w:tcW w:w="794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Setting</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rounding</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ulp outward after each correctly rounded +, −, ×, ÷, √; exponential widened by four ulps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Occupancy</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205 points in three dimensions, seed 20261029; 5 initial, 200 appended; a ∈ {0.146, 0.5, 0.916}; equal-norm control on a sphere of radius 1.3</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Detailed balance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400 random pairs per signal level, residual of (8) and of (9) enclosed</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Gibbs quadrature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Square [−8, 8]², 64 × 64 initial squares, widest-first refinement to 4,000,000 squares, β ∈ {0.05, 0.1, 0.4}</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Selective audit</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100,000 attempts, β = 0.5, α = 0.25, proposal scale 0.35, μ₁ = (0.8, −0.8), seed 20261029 and seeds 1 to 200</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Inclusion rules</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Fixed proposal with mean zero, 200 seeds from 1000, 100,000 attempts each; oracle γ = 0.536306 (floor 0.25) and 0.985504 (floor 0.05)</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Grid diagnostic</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Midpoint rule, spacing 0.004 on [−8, 8]²</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Software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.NET 8.0.32, C# 12, System.Random with Box–Muller normals; SymPy 1.14.0, NumPy 2.5.3, SciPy 1.18.1</w:t>
            </w:r>
          </w:p>
        </w:tc>
      </w:tr>
    </w:tbl>
    <w:p>
      <w:pPr>
        <w:pStyle w:val="BodyText"/>
        <w:spacing w:before="140"/>
      </w:pPr>
    </w:p>
    <w:p>
      <w:pPr>
        <w:pStyle w:val="BodyText"/>
      </w:pPr>
      <w:r>
        <w:t xml:space="preserve">Nonnegative quantities are clipped at zero only where an earlier result proves nonnegativity. Square roots of negative lower endpoints throw an exception rather than returning NaN. Estimators sum observed records only, so missing responses are never multiplied by zero.</w:t>
      </w:r>
    </w:p>
    <w:p>
      <w:pPr>
        <w:pStyle w:val="BodyText"/>
        <w:keepNext/>
        <w:spacing w:before="120"/>
      </w:pPr>
      <w:r>
        <w:rPr>
          <w:b/>
        </w:rPr>
        <w:t>Interval.cs</w:t>
      </w:r>
    </w:p>
    <w:p>
      <w:pPr>
        <w:pStyle w:val="SourceCode"/>
        <w:keepLines/>
        <w:spacing w:before="40" w:after="40"/>
      </w:pPr>
      <w:r>
        <w:rPr>
          <w:sz w:val="14"/>
        </w:rPr>
        <w:t xml:space="preserve">namespace CtrIntervals;</w:t>
      </w:r>
      <w:r>
        <w:rPr>
          <w:sz w:val="14"/>
        </w:rPr>
        <w:br/>
        <w:t xml:space="preserve">/// &lt;summary&gt;Closed interval with outward rounding. Add, subtract, multiply, divide and square root are</w:t>
      </w:r>
      <w:r>
        <w:rPr>
          <w:sz w:val="14"/>
        </w:rPr>
        <w:br/>
        <w:t xml:space="preserve">/// correctly rounded in IEEE 754, so a one-ulp outward step encloses the exact result. Math.Exp is not</w:t>
      </w:r>
      <w:r>
        <w:rPr>
          <w:sz w:val="14"/>
        </w:rPr>
        <w:br/>
        <w:t xml:space="preserve">/// guaranteed correctly rounded; its result is widened by four ulps, an assumption stated in the paper.&lt;/summary&gt;</w:t>
      </w:r>
      <w:r>
        <w:rPr>
          <w:sz w:val="14"/>
        </w:rPr>
        <w:br/>
        <w:t xml:space="preserve">public readonly record struct Iv(double Lo, double Hi)</w:t>
      </w:r>
      <w:r>
        <w:rPr>
          <w:sz w:val="14"/>
        </w:rPr>
        <w:br/>
        <w:t xml:space="preserve">{</w:t>
      </w:r>
      <w:r>
        <w:rPr>
          <w:sz w:val="14"/>
        </w:rPr>
        <w:br/>
        <w:t xml:space="preserve">    public static Iv Point(double x) =&gt; new(x, x);</w:t>
      </w:r>
      <w:r>
        <w:rPr>
          <w:sz w:val="14"/>
        </w:rPr>
        <w:br/>
        <w:t xml:space="preserve">    static double Dn(double x) =&gt; Math.BitDecrement(x);</w:t>
      </w:r>
      <w:r>
        <w:rPr>
          <w:sz w:val="14"/>
        </w:rPr>
        <w:br/>
        <w:t xml:space="preserve">    static double Up(double x) =&gt; Math.BitIncrement(x);</w:t>
      </w:r>
      <w:r>
        <w:rPr>
          <w:sz w:val="14"/>
        </w:rPr>
        <w:br/>
        <w:t xml:space="preserve">    static double Dn4(double x) =&gt; Dn(Dn(Dn(Dn(x))));</w:t>
      </w:r>
      <w:r>
        <w:rPr>
          <w:sz w:val="14"/>
        </w:rPr>
        <w:br/>
        <w:t xml:space="preserve">    static double Up4(double x) =&gt; Up(Up(Up(Up(x))));</w:t>
      </w:r>
      <w:r>
        <w:rPr>
          <w:sz w:val="14"/>
        </w:rPr>
        <w:br/>
        <w:t xml:space="preserve">    public double Mid =&gt; 0.5 * (Lo + Hi);</w:t>
      </w:r>
      <w:r>
        <w:rPr>
          <w:sz w:val="14"/>
        </w:rPr>
        <w:br/>
        <w:t xml:space="preserve">    public double Width =&gt; Hi - Lo;</w:t>
      </w:r>
      <w:r>
        <w:rPr>
          <w:sz w:val="14"/>
        </w:rPr>
        <w:br/>
        <w:t xml:space="preserve">    public double Mag =&gt; Math.Max(Math.Abs(Lo), Math.Abs(Hi));</w:t>
      </w:r>
      <w:r>
        <w:rPr>
          <w:sz w:val="14"/>
        </w:rPr>
        <w:br/>
        <w:t xml:space="preserve">    public bool Overlaps(Iv o) =&gt; Lo &lt;= o.Hi &amp;&amp; o.Lo &lt;= Hi;</w:t>
      </w:r>
    </w:p>
    <w:p>
      <w:pPr>
        <w:pStyle w:val="SourceCode"/>
        <w:keepLines/>
        <w:spacing w:before="40" w:after="40"/>
      </w:pPr>
      <w:r>
        <w:rPr>
          <w:sz w:val="14"/>
        </w:rPr>
        <w:t xml:space="preserve">    public static Iv operator +(Iv a, Iv b) =&gt; new(Dn(a.Lo + b.Lo), Up(a.Hi + b.Hi));</w:t>
      </w:r>
      <w:r>
        <w:rPr>
          <w:sz w:val="14"/>
        </w:rPr>
        <w:br/>
        <w:t xml:space="preserve">    public static Iv operator -(Iv a, Iv b) =&gt; new(Dn(a.Lo - b.Hi), Up(a.Hi - b.Lo));</w:t>
      </w:r>
      <w:r>
        <w:rPr>
          <w:sz w:val="14"/>
        </w:rPr>
        <w:br/>
        <w:t xml:space="preserve">    public static Iv operator -(Iv a) =&gt; new(-a.Hi, -a.Lo);</w:t>
      </w:r>
      <w:r>
        <w:rPr>
          <w:sz w:val="14"/>
        </w:rPr>
        <w:br/>
        <w:t xml:space="preserve">    public static Iv operator *(Iv a, Iv b)</w:t>
      </w:r>
      <w:r>
        <w:rPr>
          <w:sz w:val="14"/>
        </w:rPr>
        <w:br/>
        <w:t xml:space="preserve">    {</w:t>
      </w:r>
      <w:r>
        <w:rPr>
          <w:sz w:val="14"/>
        </w:rPr>
        <w:br/>
        <w:t xml:space="preserve">        double p1 = a.Lo * b.Lo, p2 = a.Lo * b.Hi, p3 = a.Hi * b.Lo, p4 = a.Hi * b.Hi;</w:t>
      </w:r>
      <w:r>
        <w:rPr>
          <w:sz w:val="14"/>
        </w:rPr>
        <w:br/>
        <w:t xml:space="preserve">        return new(Dn(Math.Min(Math.Min(p1, p2), Math.Min(p3, p4))), Up(Math.Max(Math.Max(p1, p2), Math.Max(p3, p4))));</w:t>
      </w:r>
      <w:r>
        <w:rPr>
          <w:sz w:val="14"/>
        </w:rPr>
        <w:br/>
        <w:t xml:space="preserve">    }</w:t>
      </w:r>
      <w:r>
        <w:rPr>
          <w:sz w:val="14"/>
        </w:rPr>
        <w:br/>
        <w:t xml:space="preserve">    public static Iv operator /(Iv a, Iv b)</w:t>
      </w:r>
      <w:r>
        <w:rPr>
          <w:sz w:val="14"/>
        </w:rPr>
        <w:br/>
        <w:t xml:space="preserve">    {</w:t>
      </w:r>
      <w:r>
        <w:rPr>
          <w:sz w:val="14"/>
        </w:rPr>
        <w:br/>
        <w:t xml:space="preserve">        if (b.Lo &lt;= 0 &amp;&amp; b.Hi &gt;= 0) throw new DivideByZeroException("Denominator interval contains zero");</w:t>
      </w:r>
      <w:r>
        <w:rPr>
          <w:sz w:val="14"/>
        </w:rPr>
        <w:br/>
        <w:t xml:space="preserve">        double q1 = a.Lo / b.Lo, q2 = a.Lo / b.Hi, q3 = a.Hi / b.Lo, q4 = a.Hi / b.Hi;</w:t>
      </w:r>
      <w:r>
        <w:rPr>
          <w:sz w:val="14"/>
        </w:rPr>
        <w:br/>
        <w:t xml:space="preserve">        return new(Dn(Math.Min(Math.Min(q1, q2), Math.Min(q3, q4))), Up(Math.Max(Math.Max(q1, q2), Math.Max(q3, q4))));</w:t>
      </w:r>
      <w:r>
        <w:rPr>
          <w:sz w:val="14"/>
        </w:rPr>
        <w:br/>
        <w:t xml:space="preserve">    }</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p>
    <w:p>
      <w:pPr>
        <w:pStyle w:val="SourceCode"/>
        <w:keepLines/>
        <w:spacing w:before="40" w:after="40"/>
      </w:pPr>
      <w:r>
        <w:rPr>
          <w:sz w:val="14"/>
        </w:rPr>
        <w:t xml:space="preserve">    public Iv Sqr() =&gt; (Lo, Hi) switch</w:t>
      </w:r>
      <w:r>
        <w:rPr>
          <w:sz w:val="14"/>
        </w:rPr>
        <w:br/>
        <w:t xml:space="preserve">    {</w:t>
      </w:r>
      <w:r>
        <w:rPr>
          <w:sz w:val="14"/>
        </w:rPr>
        <w:br/>
        <w:t xml:space="preserve">        ( &gt;= 0, _) =&gt; new(Dn(Lo * Lo), Up(Hi * Hi)),</w:t>
      </w:r>
      <w:r>
        <w:rPr>
          <w:sz w:val="14"/>
        </w:rPr>
        <w:br/>
        <w:t xml:space="preserve">        (_, &lt;= 0) =&gt; new(Dn(Hi * Hi), Up(Lo * Lo)),</w:t>
      </w:r>
      <w:r>
        <w:rPr>
          <w:sz w:val="14"/>
        </w:rPr>
        <w:br/>
        <w:t xml:space="preserve">        _ =&gt; new(0.0, Up(Math.Max(Lo * Lo, Hi * Hi)))</w:t>
      </w:r>
      <w:r>
        <w:rPr>
          <w:sz w:val="14"/>
        </w:rPr>
        <w:br/>
        <w:t xml:space="preserve">    };</w:t>
      </w:r>
      <w:r>
        <w:rPr>
          <w:sz w:val="14"/>
        </w:rPr>
        <w:br/>
        <w:t xml:space="preserve">    public Iv Sqrt() =&gt; Lo &lt; 0 ? throw new ArgumentOutOfRangeException(nameof(Lo)) : new(Math.Max(0, Dn(Math.Sqrt(Lo))), Up(Math.Sqrt(Hi)));</w:t>
      </w:r>
      <w:r>
        <w:rPr>
          <w:sz w:val="14"/>
        </w:rPr>
        <w:br/>
        <w:t xml:space="preserve">    public Iv Exp() =&gt; new(Math.Max(0, Dn4(Math.Exp(Lo))), Up4(Math.Exp(Hi)));</w:t>
      </w:r>
      <w:r>
        <w:rPr>
          <w:sz w:val="14"/>
        </w:rPr>
        <w:br/>
        <w:t xml:space="preserve">    public Iv Max0() =&gt; new(Math.Max(0, Lo), Math.Max(0, Hi));</w:t>
      </w:r>
      <w:r>
        <w:rPr>
          <w:sz w:val="14"/>
        </w:rPr>
        <w:br/>
        <w:t xml:space="preserve">    public static Iv Hull(Iv a, Iv b) =&gt; new(Math.Min(a.Lo, b.Lo), Math.Max(a.Hi, b.Hi));</w:t>
      </w:r>
      <w:r>
        <w:rPr>
          <w:sz w:val="14"/>
        </w:rPr>
        <w:br/>
        <w:t xml:space="preserve">}</w:t>
      </w:r>
    </w:p>
    <w:p>
      <w:pPr>
        <w:pStyle w:val="BodyText"/>
        <w:keepNext/>
        <w:spacing w:before="120"/>
      </w:pPr>
      <w:r>
        <w:rPr>
          <w:b/>
        </w:rPr>
        <w:t>Occupancy.cs</w:t>
      </w:r>
    </w:p>
    <w:p>
      <w:pPr>
        <w:pStyle w:val="SourceCode"/>
        <w:keepLines/>
        <w:spacing w:before="40" w:after="40"/>
      </w:pPr>
      <w:r>
        <w:rPr>
          <w:sz w:val="14"/>
        </w:rPr>
        <w:t xml:space="preserve">namespace CtrIntervals;</w:t>
      </w:r>
      <w:r>
        <w:rPr>
          <w:sz w:val="14"/>
        </w:rPr>
        <w:br/>
        <w:t xml:space="preserve">/// &lt;summary&gt;Validated occupancy caches u_j = sum_i H_a(y_j, y_i) for the unnormalised kernel (2).</w:t>
      </w:r>
      <w:r>
        <w:rPr>
          <w:sz w:val="14"/>
        </w:rPr>
        <w:br/>
        <w:t xml:space="preserve">/// The first kernel argument is always the query.&lt;/summary&gt;</w:t>
      </w:r>
      <w:r>
        <w:rPr>
          <w:sz w:val="14"/>
        </w:rPr>
        <w:br/>
        <w:t xml:space="preserve">public static class Occupancy</w:t>
      </w:r>
      <w:r>
        <w:rPr>
          <w:sz w:val="14"/>
        </w:rPr>
        <w:br/>
        <w:t xml:space="preserve">{</w:t>
      </w:r>
      <w:r>
        <w:rPr>
          <w:sz w:val="14"/>
        </w:rPr>
        <w:br/>
        <w:t xml:space="preserve">    public sealed record Row(double A, int Points, double FloatRelErr, double CertifiedFloatRelErrBound,</w:t>
      </w:r>
      <w:r>
        <w:rPr>
          <w:sz w:val="14"/>
        </w:rPr>
        <w:br/>
        <w:t xml:space="preserve">        double MaxEnclosureRelWidth, bool AllOverlap, double TransposedErrLower, double TransposedErrUpper, int TransposedCertifiedWrong);</w:t>
      </w:r>
    </w:p>
    <w:p>
      <w:pPr>
        <w:pStyle w:val="SourceCode"/>
        <w:keepLines/>
        <w:spacing w:before="40" w:after="40"/>
      </w:pPr>
      <w:r>
        <w:rPr>
          <w:sz w:val="14"/>
        </w:rPr>
        <w:t xml:space="preserve">    public static Iv LogH(double[] x, double[] y, double a)</w:t>
      </w:r>
      <w:r>
        <w:rPr>
          <w:sz w:val="14"/>
        </w:rPr>
        <w:br/>
        <w:t xml:space="preserve">    {</w:t>
      </w:r>
      <w:r>
        <w:rPr>
          <w:sz w:val="14"/>
        </w:rPr>
        <w:br/>
        <w:t xml:space="preserve">        Iv sa = Iv.Point(a).Sqrt(), sq = Iv.Point(0);</w:t>
      </w:r>
      <w:r>
        <w:rPr>
          <w:sz w:val="14"/>
        </w:rPr>
        <w:br/>
        <w:t xml:space="preserve">        for (int k = 0; k &lt; x.Length; k++) sq += (Iv.Point(x[k]) - sa * Iv.Point(y[k])).Sqr();</w:t>
      </w:r>
      <w:r>
        <w:rPr>
          <w:sz w:val="14"/>
        </w:rPr>
        <w:br/>
        <w:t xml:space="preserve">        return -(sq / (2.0 * (1.0 - Iv.Point(a))));</w:t>
      </w:r>
      <w:r>
        <w:rPr>
          <w:sz w:val="14"/>
        </w:rPr>
        <w:br/>
        <w:t xml:space="preserve">    }</w:t>
      </w:r>
      <w:r>
        <w:rPr>
          <w:sz w:val="14"/>
        </w:rPr>
        <w:br/>
        <w:t xml:space="preserve">    public static Iv H(double[] x, double[] y, double a) =&gt; LogH(x, y, a).Exp();</w:t>
      </w:r>
      <w:r>
        <w:rPr>
          <w:sz w:val="14"/>
        </w:rPr>
        <w:br/>
        <w:t xml:space="preserve">    static double Hf(double[] x, double[] y, double a)</w:t>
      </w:r>
      <w:r>
        <w:rPr>
          <w:sz w:val="14"/>
        </w:rPr>
        <w:br/>
        <w:t xml:space="preserve">    {</w:t>
      </w:r>
      <w:r>
        <w:rPr>
          <w:sz w:val="14"/>
        </w:rPr>
        <w:br/>
        <w:t xml:space="preserve">        double s = 0, r = Math.Sqrt(a); for (int k = 0; k &lt; x.Length; k++) { double t = x[k] - r * y[k]; s += t * t; }</w:t>
      </w:r>
      <w:r>
        <w:rPr>
          <w:sz w:val="14"/>
        </w:rPr>
        <w:br/>
        <w:t xml:space="preserve">        return Math.Exp(-s / (2 * (1 - a)));</w:t>
      </w:r>
      <w:r>
        <w:rPr>
          <w:sz w:val="14"/>
        </w:rPr>
        <w:br/>
        <w:t xml:space="preserve">    }</w:t>
      </w:r>
    </w:p>
    <w:p>
      <w:pPr>
        <w:pStyle w:val="SourceCode"/>
        <w:keepLines/>
        <w:spacing w:before="40" w:after="40"/>
      </w:pPr>
      <w:r>
        <w:rPr>
          <w:sz w:val="14"/>
        </w:rPr>
        <w:t xml:space="preserve">    public static double[][] Points(int seed, int n, int d)</w:t>
      </w:r>
      <w:r>
        <w:rPr>
          <w:sz w:val="14"/>
        </w:rPr>
        <w:br/>
        <w:t xml:space="preserve">    {</w:t>
      </w:r>
      <w:r>
        <w:rPr>
          <w:sz w:val="14"/>
        </w:rPr>
        <w:br/>
        <w:t xml:space="preserve">        var rnd = new Random(seed); double N() =&gt; Math.Sqrt(-2 * Math.Log(1 - rnd.NextDouble())) * Math.Cos(2 * Math.PI * rnd.NextDouble());</w:t>
      </w:r>
      <w:r>
        <w:rPr>
          <w:sz w:val="14"/>
        </w:rPr>
        <w:br/>
        <w:t xml:space="preserve">        return Enumerable.Range(0, n).Select(_ =&gt; Enumerable.Range(0, d).Select(_ =&gt; N()).ToArray()).ToArray();</w:t>
      </w:r>
      <w:r>
        <w:rPr>
          <w:sz w:val="14"/>
        </w:rPr>
        <w:br/>
        <w:t xml:space="preserve">    }</w:t>
      </w:r>
    </w:p>
    <w:p>
      <w:pPr>
        <w:pStyle w:val="SourceCode"/>
        <w:keepLines/>
        <w:spacing w:before="40" w:after="40"/>
      </w:pPr>
      <w:r>
        <w:rPr>
          <w:sz w:val="14"/>
        </w:rPr>
        <w:t xml:space="preserve">    /// &lt;summary&gt;Recurrence (7) in interval and float arithmetic, a transposed update, and fresh batch sums.&lt;/summary&gt;</w:t>
      </w:r>
      <w:r>
        <w:rPr>
          <w:sz w:val="14"/>
        </w:rPr>
        <w:br/>
        <w:t xml:space="preserve">    public static Row Run(double[][] Y, int init, double a)</w:t>
      </w:r>
      <w:r>
        <w:rPr>
          <w:sz w:val="14"/>
        </w:rPr>
        <w:br/>
        <w:t xml:space="preserve">    {</w:t>
      </w:r>
      <w:r>
        <w:rPr>
          <w:sz w:val="14"/>
        </w:rPr>
        <w:br/>
        <w:t xml:space="preserve">        int n = Y.Length;</w:t>
      </w:r>
      <w:r>
        <w:rPr>
          <w:sz w:val="14"/>
        </w:rPr>
        <w:br/>
        <w:t xml:space="preserve">        var U = new List&lt;Iv&gt;(); var Uf = new List&lt;double&gt;(); var Ut = new List&lt;Iv&gt;();</w:t>
      </w:r>
      <w:r>
        <w:rPr>
          <w:sz w:val="14"/>
        </w:rPr>
        <w:br/>
        <w:t xml:space="preserve">        for (int j = 0; j &lt; init; j++)</w:t>
      </w:r>
      <w:r>
        <w:rPr>
          <w:sz w:val="14"/>
        </w:rPr>
        <w:br/>
        <w:t xml:space="preserve">        {</w:t>
      </w:r>
      <w:r>
        <w:rPr>
          <w:sz w:val="14"/>
        </w:rPr>
        <w:br/>
        <w:t xml:space="preserve">            Iv s = Iv.Point(0); double sf = 0;</w:t>
      </w:r>
      <w:r>
        <w:rPr>
          <w:sz w:val="14"/>
        </w:rPr>
        <w:br/>
        <w:t xml:space="preserve">            for (int i = 0; i &lt; init; i++) { s += H(Y[j], Y[i], a); sf += Hf(Y[j], Y[i], a); }</w:t>
      </w:r>
      <w:r>
        <w:rPr>
          <w:sz w:val="14"/>
        </w:rPr>
        <w:br/>
        <w:t xml:space="preserve">            U.Add(s); Uf.Add(sf); Ut.Add(s);</w:t>
      </w:r>
      <w:r>
        <w:rPr>
          <w:sz w:val="14"/>
        </w:rPr>
        <w:br/>
        <w:t xml:space="preserve">        }</w:t>
      </w:r>
      <w:r>
        <w:rPr>
          <w:sz w:val="14"/>
        </w:rPr>
        <w:br/>
        <w:t xml:space="preserve">        for (int m = init; m &lt; n; m++)</w:t>
      </w:r>
      <w:r>
        <w:rPr>
          <w:sz w:val="14"/>
        </w:rPr>
        <w:br/>
        <w:t xml:space="preserve">        {</w:t>
      </w:r>
      <w:r>
        <w:rPr>
          <w:sz w:val="14"/>
        </w:rPr>
        <w:br/>
        <w:t xml:space="preserve">            var x = Y[m];</w:t>
      </w:r>
      <w:r>
        <w:rPr>
          <w:sz w:val="14"/>
        </w:rPr>
        <w:br/>
        <w:t xml:space="preserve">            for (int j = 0; j &lt; m; j++)</w:t>
      </w:r>
      <w:r>
        <w:rPr>
          <w:sz w:val="14"/>
        </w:rPr>
        <w:br/>
        <w:t xml:space="preserve">            {</w:t>
      </w:r>
      <w:r>
        <w:rPr>
          <w:sz w:val="14"/>
        </w:rPr>
        <w:br/>
        <w:t xml:space="preserve">                U[j] += H(Y[j], x, a); Uf[j] += Hf(Y[j], x, a);</w:t>
      </w:r>
      <w:r>
        <w:rPr>
          <w:sz w:val="14"/>
        </w:rPr>
        <w:br/>
        <w:t xml:space="preserve">                Ut[j] += H(x, Y[j], a);                                // wrong argument order</w:t>
      </w:r>
      <w:r>
        <w:rPr>
          <w:sz w:val="14"/>
        </w:rPr>
        <w:br/>
        <w:t xml:space="preserve">            }</w:t>
      </w:r>
      <w:r>
        <w:rPr>
          <w:sz w:val="14"/>
        </w:rPr>
        <w:br/>
        <w:t xml:space="preserve">            Iv s = Iv.Point(0), st = Iv.Point(0); double sf = 0;</w:t>
      </w:r>
      <w:r>
        <w:rPr>
          <w:sz w:val="14"/>
        </w:rPr>
        <w:br/>
        <w:t xml:space="preserve">            for (int i = 0; i &lt;= m; i++) { s += H(x, Y[i], a); sf += Hf(x, Y[i], a); st += H(Y[i], x, a); }</w:t>
      </w:r>
      <w:r>
        <w:rPr>
          <w:sz w:val="14"/>
        </w:rPr>
        <w:br/>
        <w:t xml:space="preserve">            U.Add(s); Uf.Add(sf); Ut.Add(st);</w:t>
      </w:r>
      <w:r>
        <w:rPr>
          <w:sz w:val="14"/>
        </w:rPr>
        <w:br/>
        <w:t xml:space="preserve">        }</w:t>
      </w:r>
      <w:r>
        <w:rPr>
          <w:sz w:val="14"/>
        </w:rPr>
        <w:br/>
        <w:t xml:space="preserve">        double relErr = 0, relBound = 0, relW = 0, tLo = 0, tHi = 0; bool overlap = true; int wrong = 0;</w:t>
      </w:r>
      <w:r>
        <w:rPr>
          <w:sz w:val="14"/>
        </w:rPr>
        <w:br/>
        <w:t xml:space="preserve">        for (int j = 0; j &lt; n; j++)</w:t>
      </w:r>
      <w:r>
        <w:rPr>
          <w:sz w:val="14"/>
        </w:rPr>
        <w:br/>
        <w:t xml:space="preserve">        {</w:t>
      </w:r>
      <w:r>
        <w:rPr>
          <w:sz w:val="14"/>
        </w:rPr>
        <w:br/>
        <w:t xml:space="preserve">            Iv batch = Iv.Point(0); double bf = 0;</w:t>
      </w:r>
      <w:r>
        <w:rPr>
          <w:sz w:val="14"/>
        </w:rPr>
        <w:br/>
        <w:t xml:space="preserve">            for (int i = 0; i &lt; n; i++) { batch += H(Y[j], Y[i], a); bf += Hf(Y[j], Y[i], a); }</w:t>
      </w:r>
      <w:r>
        <w:rPr>
          <w:sz w:val="14"/>
        </w:rPr>
        <w:br/>
        <w:t xml:space="preserve">            overlap &amp;= batch.Overlaps(U[j]);</w:t>
      </w:r>
      <w:r>
        <w:rPr>
          <w:sz w:val="14"/>
        </w:rPr>
        <w:br/>
        <w:t xml:space="preserve">            relErr = Math.Max(relErr, Math.Abs(Uf[j] - bf) / bf);</w:t>
      </w:r>
      <w:r>
        <w:rPr>
          <w:sz w:val="14"/>
        </w:rPr>
        <w:br/>
        <w:t xml:space="preserve">            relBound = Math.Max(relBound, Math.Max(Math.Abs(Uf[j] - batch.Lo), Math.Abs(batch.Hi - Uf[j])) / batch.Lo);</w:t>
      </w:r>
      <w:r>
        <w:rPr>
          <w:sz w:val="14"/>
        </w:rPr>
        <w:br/>
        <w:t xml:space="preserve">            relW = Math.Max(relW, U[j].Width / U[j].Lo);</w:t>
      </w:r>
      <w:r>
        <w:rPr>
          <w:sz w:val="14"/>
        </w:rPr>
        <w:br/>
        <w:t xml:space="preserve">            // Certified bounds on |transposed - exact| / exact</w:t>
      </w:r>
      <w:r>
        <w:rPr>
          <w:sz w:val="14"/>
        </w:rPr>
        <w:br/>
        <w:t xml:space="preserve">            double lo = Math.Max(0, Math.Max(Ut[j].Lo - batch.Hi, batch.Lo - Ut[j].Hi)) / batch.Hi;</w:t>
      </w:r>
      <w:r>
        <w:rPr>
          <w:sz w:val="14"/>
        </w:rPr>
        <w:br/>
        <w:t xml:space="preserve">            double hi = Math.Max(Math.Abs(Ut[j].Hi - batch.Lo), Math.Abs(batch.Hi - Ut[j].Lo)) / batch.Lo;</w:t>
      </w:r>
      <w:r>
        <w:rPr>
          <w:sz w:val="14"/>
        </w:rPr>
        <w:br/>
        <w:t xml:space="preserve">            if (lo &gt; 0) wrong++;</w:t>
      </w:r>
      <w:r>
        <w:rPr>
          <w:sz w:val="14"/>
        </w:rPr>
        <w:br/>
        <w:t xml:space="preserve">            tLo = Math.Max(tLo, lo); tHi = Math.Max(tHi, hi);</w:t>
      </w:r>
      <w:r>
        <w:rPr>
          <w:sz w:val="14"/>
        </w:rPr>
        <w:br/>
        <w:t xml:space="preserve">        }</w:t>
      </w:r>
      <w:r>
        <w:rPr>
          <w:sz w:val="14"/>
        </w:rPr>
        <w:br/>
        <w:t xml:space="preserve">        return new(a, n, relErr, relBound, relW, overlap, tLo, tHi, wrong);</w:t>
      </w:r>
      <w:r>
        <w:rPr>
          <w:sz w:val="14"/>
        </w:rPr>
        <w:br/>
        <w:t xml:space="preserve">    }</w:t>
      </w:r>
    </w:p>
    <w:p>
      <w:pPr>
        <w:pStyle w:val="SourceCode"/>
        <w:keepLines/>
        <w:spacing w:before="40" w:after="40"/>
      </w:pPr>
      <w:r>
        <w:rPr>
          <w:sz w:val="14"/>
        </w:rPr>
        <w:t xml:space="preserve">    /// &lt;summary&gt;Equal-norm control: points on a sphere make the transposed update exact.&lt;/summary&gt;</w:t>
      </w:r>
      <w:r>
        <w:rPr>
          <w:sz w:val="14"/>
        </w:rPr>
        <w:br/>
        <w:t xml:space="preserve">    public static double[][] Sphere(int seed, int n, int d, double radius)</w:t>
      </w:r>
      <w:r>
        <w:rPr>
          <w:sz w:val="14"/>
        </w:rPr>
        <w:br/>
        <w:t xml:space="preserve">        =&gt; Points(seed, n, d).Select(p =&gt; { double r = Math.Sqrt(p.Sum(t =&gt; t * t)); return p.Select(t =&gt; radius * t / r).ToArray(); }).ToArray();</w:t>
      </w:r>
    </w:p>
    <w:p>
      <w:pPr>
        <w:pStyle w:val="SourceCode"/>
        <w:keepLines/>
        <w:spacing w:before="40" w:after="40"/>
      </w:pPr>
      <w:r>
        <w:rPr>
          <w:sz w:val="14"/>
        </w:rPr>
        <w:t xml:space="preserve">    public sealed record Balance(int Pairs, double MaxWidth, bool AllContainZero, double DiagMaxWidth, bool DiagContainsZero);</w:t>
      </w:r>
    </w:p>
    <w:p>
      <w:pPr>
        <w:pStyle w:val="SourceCode"/>
        <w:keepLines/>
        <w:spacing w:before="40" w:after="40"/>
      </w:pPr>
      <w:r>
        <w:rPr>
          <w:sz w:val="14"/>
        </w:rPr>
        <w:t xml:space="preserve">    /// &lt;summary&gt;Encloses log H(x,y) - log H(y,x) - (|y|^2 - |x|^2)/2 and the diagonal identity (9).&lt;/summary&gt;</w:t>
      </w:r>
      <w:r>
        <w:rPr>
          <w:sz w:val="14"/>
        </w:rPr>
        <w:br/>
        <w:t xml:space="preserve">    public static Balance DetailedBalance(double[][] Y, double a, int pairs, int seed)</w:t>
      </w:r>
      <w:r>
        <w:rPr>
          <w:sz w:val="14"/>
        </w:rPr>
        <w:br/>
        <w:t xml:space="preserve">    {</w:t>
      </w:r>
      <w:r>
        <w:rPr>
          <w:sz w:val="14"/>
        </w:rPr>
        <w:br/>
        <w:t xml:space="preserve">        var rnd = new Random(seed); double mw = 0, dw = 0; bool ok = true, dok = true;</w:t>
      </w:r>
      <w:r>
        <w:rPr>
          <w:sz w:val="14"/>
        </w:rPr>
        <w:br/>
        <w:t xml:space="preserve">        for (int p = 0; p &lt; pairs; p++)</w:t>
      </w:r>
      <w:r>
        <w:rPr>
          <w:sz w:val="14"/>
        </w:rPr>
        <w:br/>
        <w:t xml:space="preserve">        {</w:t>
      </w:r>
      <w:r>
        <w:rPr>
          <w:sz w:val="14"/>
        </w:rPr>
        <w:br/>
        <w:t xml:space="preserve">            var x = Y[rnd.Next(Y.Length)]; var y = Y[rnd.Next(Y.Length)];</w:t>
      </w:r>
      <w:r>
        <w:rPr>
          <w:sz w:val="14"/>
        </w:rPr>
        <w:br/>
        <w:t xml:space="preserve">            Iv nx = Iv.Point(0), ny = Iv.Point(0); for (int k = 0; k &lt; x.Length; k++) { nx += Iv.Point(x[k]).Sqr(); ny += Iv.Point(y[k]).Sqr(); }</w:t>
      </w:r>
      <w:r>
        <w:rPr>
          <w:sz w:val="14"/>
        </w:rPr>
        <w:br/>
        <w:t xml:space="preserve">            Iv r = LogH(x, y, a) - LogH(y, x, a) - (ny - nx) / 2.0;</w:t>
      </w:r>
      <w:r>
        <w:rPr>
          <w:sz w:val="14"/>
        </w:rPr>
        <w:br/>
        <w:t xml:space="preserve">            mw = Math.Max(mw, r.Width); ok &amp;= r.Lo &lt;= 0 &amp;&amp; r.Hi &gt;= 0;</w:t>
      </w:r>
      <w:r>
        <w:rPr>
          <w:sz w:val="14"/>
        </w:rPr>
        <w:br/>
        <w:t xml:space="preserve">            Iv sa = Iv.Point(a).Sqrt();</w:t>
      </w:r>
      <w:r>
        <w:rPr>
          <w:sz w:val="14"/>
        </w:rPr>
        <w:br/>
        <w:t xml:space="preserve">            Iv dd = LogH(y, y, a) + (1.0 - sa) / (2.0 * (1.0 + sa)) * ny;</w:t>
      </w:r>
      <w:r>
        <w:rPr>
          <w:sz w:val="14"/>
        </w:rPr>
        <w:br/>
        <w:t xml:space="preserve">            dw = Math.Max(dw, dd.Width); dok &amp;= dd.Lo &lt;= 0 &amp;&amp; dd.Hi &gt;= 0;</w:t>
      </w:r>
      <w:r>
        <w:rPr>
          <w:sz w:val="14"/>
        </w:rPr>
        <w:br/>
        <w:t xml:space="preserve">        }</w:t>
      </w:r>
      <w:r>
        <w:rPr>
          <w:sz w:val="14"/>
        </w:rPr>
        <w:br/>
        <w:t xml:space="preserve">        return new(pairs, mw, ok, dw, dok);</w:t>
      </w:r>
      <w:r>
        <w:rPr>
          <w:sz w:val="14"/>
        </w:rPr>
        <w:br/>
        <w:t xml:space="preserve">    }</w:t>
      </w:r>
      <w:r>
        <w:rPr>
          <w:sz w:val="14"/>
        </w:rPr>
        <w:br/>
        <w:t xml:space="preserve">}</w:t>
      </w:r>
    </w:p>
    <w:p>
      <w:pPr>
        <w:pStyle w:val="BodyText"/>
        <w:keepNext/>
        <w:spacing w:before="120"/>
      </w:pPr>
      <w:r>
        <w:rPr>
          <w:b/>
        </w:rPr>
        <w:t>Audit.cs</w:t>
      </w:r>
    </w:p>
    <w:p>
      <w:pPr>
        <w:pStyle w:val="SourceCode"/>
        <w:keepLines/>
        <w:spacing w:before="40" w:after="40"/>
      </w:pPr>
      <w:r>
        <w:rPr>
          <w:sz w:val="14"/>
        </w:rPr>
        <w:t xml:space="preserve">namespace CtrIntervals;</w:t>
      </w:r>
      <w:r>
        <w:rPr>
          <w:sz w:val="14"/>
        </w:rPr>
        <w:br/>
        <w:t xml:space="preserve">/// &lt;summary&gt;Selective-evaluation audit of Section 8.3 with interval-certified bounds (17).&lt;/summary&gt;</w:t>
      </w:r>
      <w:r>
        <w:rPr>
          <w:sz w:val="14"/>
        </w:rPr>
        <w:br/>
        <w:t xml:space="preserve">public static class Audit</w:t>
      </w:r>
      <w:r>
        <w:rPr>
          <w:sz w:val="14"/>
        </w:rPr>
        <w:br/>
        <w:t xml:space="preserve">{</w:t>
      </w:r>
      <w:r>
        <w:rPr>
          <w:sz w:val="14"/>
        </w:rPr>
        <w:br/>
        <w:t xml:space="preserve">    public sealed record Result(int Attempts, int Observed, double Corrected, double Omitted, double Complete, double Ess,</w:t>
      </w:r>
      <w:r>
        <w:rPr>
          <w:sz w:val="14"/>
        </w:rPr>
        <w:br/>
        <w:t xml:space="preserve">        double MaxW, double MaxV, double MaxVJ, bool BoundsHold);</w:t>
      </w:r>
    </w:p>
    <w:p>
      <w:pPr>
        <w:pStyle w:val="SourceCode"/>
        <w:keepLines/>
        <w:spacing w:before="40" w:after="40"/>
      </w:pPr>
      <w:r>
        <w:rPr>
          <w:sz w:val="14"/>
        </w:rPr>
        <w:t xml:space="preserve">    static double LogAddExp(double p, double q) { double m = Math.Max(p, q); return m + Math.Log(Math.Exp(p - m) + Math.Exp(q - m)); }</w:t>
      </w:r>
      <w:r>
        <w:rPr>
          <w:sz w:val="14"/>
        </w:rPr>
        <w:br/>
        <w:t xml:space="preserve">    const double Log2Pi = 1.8378770664093453;</w:t>
      </w:r>
    </w:p>
    <w:p>
      <w:pPr>
        <w:pStyle w:val="SourceCode"/>
        <w:keepLines/>
        <w:spacing w:before="40" w:after="40"/>
      </w:pPr>
      <w:r>
        <w:rPr>
          <w:sz w:val="14"/>
        </w:rPr>
        <w:t xml:space="preserve">    /// &lt;summary&gt;Adaptive run: mean update mu &lt;- 0.9 mu + 0.02 tanh(Y) after each draw.&lt;/summary&gt;</w:t>
      </w:r>
      <w:r>
        <w:rPr>
          <w:sz w:val="14"/>
        </w:rPr>
        <w:br/>
        <w:t xml:space="preserve">    public static Result Run(int seed, int n = 100_000, double beta = 0.5, double alpha = 0.25, double s = 0.35)</w:t>
      </w:r>
      <w:r>
        <w:rPr>
          <w:sz w:val="14"/>
        </w:rPr>
        <w:br/>
        <w:t xml:space="preserve">    {</w:t>
      </w:r>
      <w:r>
        <w:rPr>
          <w:sz w:val="14"/>
        </w:rPr>
        <w:br/>
        <w:t xml:space="preserve">        var rnd = new Random(seed); double N() =&gt; Math.Sqrt(-2 * Math.Log(1 - rnd.NextDouble())) * Math.Cos(2 * Math.PI * rnd.NextDouble());</w:t>
      </w:r>
      <w:r>
        <w:rPr>
          <w:sz w:val="14"/>
        </w:rPr>
        <w:br/>
        <w:t xml:space="preserve">        double m1 = 0.8, m2 = -0.8;</w:t>
      </w:r>
      <w:r>
        <w:rPr>
          <w:sz w:val="14"/>
        </w:rPr>
        <w:br/>
        <w:t xml:space="preserve">        var lw = new double[n]; var le = new double[n]; var J = new double[n]; var obs = new bool[n];</w:t>
      </w:r>
      <w:r>
        <w:rPr>
          <w:sz w:val="14"/>
        </w:rPr>
        <w:br/>
        <w:t xml:space="preserve">        int observed = 0; double maxW = 0, maxV = 0, maxVJ = 0; bool ok = true;</w:t>
      </w:r>
      <w:r>
        <w:rPr>
          <w:sz w:val="14"/>
        </w:rPr>
        <w:br/>
        <w:t xml:space="preserve">        double bV = 1 / (alpha * 0.25), bVJ = 1 / (alpha * 0.25 * Math.E * beta), bW = 1 / alpha;</w:t>
      </w:r>
      <w:r>
        <w:rPr>
          <w:sz w:val="14"/>
        </w:rPr>
        <w:br/>
        <w:t xml:space="preserve">        for (int i = 0; i &lt; n; i++)</w:t>
      </w:r>
      <w:r>
        <w:rPr>
          <w:sz w:val="14"/>
        </w:rPr>
        <w:br/>
        <w:t xml:space="preserve">        {</w:t>
      </w:r>
      <w:r>
        <w:rPr>
          <w:sz w:val="14"/>
        </w:rPr>
        <w:br/>
        <w:t xml:space="preserve">            double y1, y2;</w:t>
      </w:r>
      <w:r>
        <w:rPr>
          <w:sz w:val="14"/>
        </w:rPr>
        <w:br/>
        <w:t xml:space="preserve">            if (rnd.NextDouble() &lt; alpha) { y1 = N(); y2 = N(); } else { y1 = m1 + s * N(); y2 = m2 + s * N(); }</w:t>
      </w:r>
      <w:r>
        <w:rPr>
          <w:sz w:val="14"/>
        </w:rPr>
        <w:br/>
        <w:t xml:space="preserve">            double lp = -Log2Pi - 0.5 * (y1 * y1 + y2 * y2);</w:t>
      </w:r>
      <w:r>
        <w:rPr>
          <w:sz w:val="14"/>
        </w:rPr>
        <w:br/>
        <w:t xml:space="preserve">            double lg = -Log2Pi - Math.Log(s * s) - 0.5 * ((y1 - m1) * (y1 - m1) + (y2 - m2) * (y2 - m2)) / (s * s);</w:t>
      </w:r>
      <w:r>
        <w:rPr>
          <w:sz w:val="14"/>
        </w:rPr>
        <w:br/>
        <w:t xml:space="preserve">            double lq = LogAddExp(Math.Log(alpha) + lp, Math.Log(1 - alpha) + lg);</w:t>
      </w:r>
      <w:r>
        <w:rPr>
          <w:sz w:val="14"/>
        </w:rPr>
        <w:br/>
        <w:t xml:space="preserve">            double e = Math.Abs(y1) &gt; 1 ? 1.0 : 0.25;</w:t>
      </w:r>
      <w:r>
        <w:rPr>
          <w:sz w:val="14"/>
        </w:rPr>
        <w:br/>
        <w:t xml:space="preserve">            obs[i] = rnd.NextDouble() &lt; e; if (obs[i]) observed++;</w:t>
      </w:r>
      <w:r>
        <w:rPr>
          <w:sz w:val="14"/>
        </w:rPr>
        <w:br/>
        <w:t xml:space="preserve">            J[i] = y1 * y1 + y2 * y2; lw[i] = -beta * J[i] + lp - lq; le[i] = Math.Log(e);</w:t>
      </w:r>
      <w:r>
        <w:rPr>
          <w:sz w:val="14"/>
        </w:rPr>
        <w:br/>
        <w:t xml:space="preserve">            // Certified checks of (17) for the recorded log weights</w:t>
      </w:r>
      <w:r>
        <w:rPr>
          <w:sz w:val="14"/>
        </w:rPr>
        <w:br/>
        <w:t xml:space="preserve">            Iv W = Iv.Point(lw[i]).Exp(), V = Iv.Point(lw[i] - le[i]).Exp();</w:t>
      </w:r>
      <w:r>
        <w:rPr>
          <w:sz w:val="14"/>
        </w:rPr>
        <w:br/>
        <w:t xml:space="preserve">            maxW = Math.Max(maxW, W.Hi);</w:t>
      </w:r>
      <w:r>
        <w:rPr>
          <w:sz w:val="14"/>
        </w:rPr>
        <w:br/>
        <w:t xml:space="preserve">            if (obs[i]) { maxV = Math.Max(maxV, V.Hi); maxVJ = Math.Max(maxVJ, (V * Iv.Point(J[i])).Hi); ok &amp;= V.Hi &lt;= bV &amp;&amp; (V * Iv.Point(J[i])).Hi &lt;= bVJ; }</w:t>
      </w:r>
      <w:r>
        <w:rPr>
          <w:sz w:val="14"/>
        </w:rPr>
        <w:br/>
        <w:t xml:space="preserve">            ok &amp;= W.Hi &lt;= bW;</w:t>
      </w:r>
      <w:r>
        <w:rPr>
          <w:sz w:val="14"/>
        </w:rPr>
        <w:br/>
        <w:t xml:space="preserve">            m1 = 0.9 * m1 + 0.02 * Math.Tanh(y1); m2 = 0.9 * m2 + 0.02 * Math.Tanh(y2);</w:t>
      </w:r>
      <w:r>
        <w:rPr>
          <w:sz w:val="14"/>
        </w:rPr>
        <w:br/>
        <w:t xml:space="preserve">        }</w:t>
      </w:r>
      <w:r>
        <w:rPr>
          <w:sz w:val="14"/>
        </w:rPr>
        <w:br/>
        <w:t xml:space="preserve">        double Est(Func&lt;int, bool&gt; use, Func&lt;int, double&gt; logw, out double ess)</w:t>
      </w:r>
      <w:r>
        <w:rPr>
          <w:sz w:val="14"/>
        </w:rPr>
        <w:br/>
        <w:t xml:space="preserve">        {</w:t>
      </w:r>
      <w:r>
        <w:rPr>
          <w:sz w:val="14"/>
        </w:rPr>
        <w:br/>
        <w:t xml:space="preserve">            double mx = double.NegativeInfinity; for (int i = 0; i &lt; n; i++) if (use(i)) mx = Math.Max(mx, logw(i));</w:t>
      </w:r>
      <w:r>
        <w:rPr>
          <w:sz w:val="14"/>
        </w:rPr>
        <w:br/>
        <w:t xml:space="preserve">            double sw = 0, sw2 = 0, swj = 0;</w:t>
      </w:r>
      <w:r>
        <w:rPr>
          <w:sz w:val="14"/>
        </w:rPr>
        <w:br/>
        <w:t xml:space="preserve">            for (int i = 0; i &lt; n; i++) if (use(i)) { double w = Math.Exp(logw(i) - mx); sw += w; sw2 += w * w; swj += w * J[i]; }</w:t>
      </w:r>
      <w:r>
        <w:rPr>
          <w:sz w:val="14"/>
        </w:rPr>
        <w:br/>
        <w:t xml:space="preserve">            ess = sw * sw / sw2; return swj / sw;</w:t>
      </w:r>
      <w:r>
        <w:rPr>
          <w:sz w:val="14"/>
        </w:rPr>
        <w:br/>
        <w:t xml:space="preserve">        }</w:t>
      </w:r>
      <w:r>
        <w:rPr>
          <w:sz w:val="14"/>
        </w:rPr>
        <w:br/>
        <w:t xml:space="preserve">        double corr = Est(i =&gt; obs[i], i =&gt; lw[i] - le[i], out double ess);</w:t>
      </w:r>
      <w:r>
        <w:rPr>
          <w:sz w:val="14"/>
        </w:rPr>
        <w:br/>
        <w:t xml:space="preserve">        double omit = Est(i =&gt; obs[i], i =&gt; lw[i], out _);</w:t>
      </w:r>
      <w:r>
        <w:rPr>
          <w:sz w:val="14"/>
        </w:rPr>
        <w:br/>
        <w:t xml:space="preserve">        double comp = Est(_ =&gt; true, i =&gt; lw[i], out _);</w:t>
      </w:r>
      <w:r>
        <w:rPr>
          <w:sz w:val="14"/>
        </w:rPr>
        <w:br/>
        <w:t xml:space="preserve">        return new(n, observed, corr, omit, comp, ess, maxW, maxV, maxVJ, ok);</w:t>
      </w:r>
      <w:r>
        <w:rPr>
          <w:sz w:val="14"/>
        </w:rPr>
        <w:br/>
        <w:t xml:space="preserve">    }</w:t>
      </w:r>
      <w:r>
        <w:rPr>
          <w:sz w:val="14"/>
        </w:rPr>
        <w:br/>
        <w:t xml:space="preserve">}</w:t>
      </w:r>
    </w:p>
    <w:p>
      <w:pPr>
        <w:pStyle w:val="BodyText"/>
        <w:keepNext/>
        <w:spacing w:before="120"/>
      </w:pPr>
      <w:r>
        <w:rPr>
          <w:b/>
        </w:rPr>
        <w:t>Allocation.cs</w:t>
      </w:r>
    </w:p>
    <w:p>
      <w:pPr>
        <w:pStyle w:val="SourceCode"/>
        <w:keepLines/>
        <w:spacing w:before="40" w:after="40"/>
      </w:pPr>
      <w:r>
        <w:rPr>
          <w:sz w:val="14"/>
        </w:rPr>
        <w:t xml:space="preserve">namespace CtrIntervals;</w:t>
      </w:r>
      <w:r>
        <w:rPr>
          <w:sz w:val="14"/>
        </w:rPr>
        <w:br/>
        <w:t xml:space="preserve">/// &lt;summary&gt;Monte Carlo check of the asymptotic variance of five inclusion rules under the fixed proposal</w:t>
      </w:r>
      <w:r>
        <w:rPr>
          <w:sz w:val="14"/>
        </w:rPr>
        <w:br/>
        <w:t xml:space="preserve">/// 0.75 N(0, 0.35^2 I) + 0.25 N(0, I). The oracle rule uses the hidden G = W (J - 1) and is a design benchmark only.&lt;/summary&gt;</w:t>
      </w:r>
      <w:r>
        <w:rPr>
          <w:sz w:val="14"/>
        </w:rPr>
        <w:br/>
        <w:t xml:space="preserve">public static class Allocation</w:t>
      </w:r>
      <w:r>
        <w:rPr>
          <w:sz w:val="14"/>
        </w:rPr>
        <w:br/>
        <w:t xml:space="preserve">{</w:t>
      </w:r>
      <w:r>
        <w:rPr>
          <w:sz w:val="14"/>
        </w:rPr>
        <w:br/>
        <w:t xml:space="preserve">    public sealed record Rule(string Name, double Gamma, double Floor, double Uniform);</w:t>
      </w:r>
      <w:r>
        <w:rPr>
          <w:sz w:val="14"/>
        </w:rPr>
        <w:br/>
        <w:t xml:space="preserve">    public sealed record Result(string Name, int Seeds, double Mean, double Sd, double MeanObservedFraction);</w:t>
      </w:r>
      <w:r>
        <w:rPr>
          <w:sz w:val="14"/>
        </w:rPr>
        <w:br/>
        <w:t xml:space="preserve">    const double Log2Pi = 1.8378770664093453;</w:t>
      </w:r>
    </w:p>
    <w:p>
      <w:pPr>
        <w:pStyle w:val="SourceCode"/>
        <w:keepLines/>
        <w:spacing w:before="40" w:after="40"/>
      </w:pPr>
      <w:r>
        <w:rPr>
          <w:sz w:val="14"/>
        </w:rPr>
        <w:t xml:space="preserve">    public static double Estimate(Rule r, int seed, int n, out double frac)</w:t>
      </w:r>
      <w:r>
        <w:rPr>
          <w:sz w:val="14"/>
        </w:rPr>
        <w:br/>
        <w:t xml:space="preserve">    {</w:t>
      </w:r>
      <w:r>
        <w:rPr>
          <w:sz w:val="14"/>
        </w:rPr>
        <w:br/>
        <w:t xml:space="preserve">        var rnd = new Random(seed); double N() =&gt; Math.Sqrt(-2 * Math.Log(1 - rnd.NextDouble())) * Math.Cos(2 * Math.PI * rnd.NextDouble());</w:t>
      </w:r>
      <w:r>
        <w:rPr>
          <w:sz w:val="14"/>
        </w:rPr>
        <w:br/>
        <w:t xml:space="preserve">        const double s = 0.35, alpha = 0.25, beta = 0.5; double sw = 0, swj = 0; int obs = 0;</w:t>
      </w:r>
      <w:r>
        <w:rPr>
          <w:sz w:val="14"/>
        </w:rPr>
        <w:br/>
        <w:t xml:space="preserve">        for (int i = 0; i &lt; n; i++)</w:t>
      </w:r>
      <w:r>
        <w:rPr>
          <w:sz w:val="14"/>
        </w:rPr>
        <w:br/>
        <w:t xml:space="preserve">        {</w:t>
      </w:r>
      <w:r>
        <w:rPr>
          <w:sz w:val="14"/>
        </w:rPr>
        <w:br/>
        <w:t xml:space="preserve">            double y1, y2;</w:t>
      </w:r>
      <w:r>
        <w:rPr>
          <w:sz w:val="14"/>
        </w:rPr>
        <w:br/>
        <w:t xml:space="preserve">            if (rnd.NextDouble() &lt; alpha) { y1 = N(); y2 = N(); } else { y1 = s * N(); y2 = s * N(); }</w:t>
      </w:r>
      <w:r>
        <w:rPr>
          <w:sz w:val="14"/>
        </w:rPr>
        <w:br/>
        <w:t xml:space="preserve">            double J = y1 * y1 + y2 * y2;</w:t>
      </w:r>
      <w:r>
        <w:rPr>
          <w:sz w:val="14"/>
        </w:rPr>
        <w:br/>
        <w:t xml:space="preserve">            double phi = Math.Exp(-Log2Pi - 0.5 * J), g = Math.Exp(-Log2Pi - 2 * Math.Log(s) - 0.5 * J / (s * s));</w:t>
      </w:r>
      <w:r>
        <w:rPr>
          <w:sz w:val="14"/>
        </w:rPr>
        <w:br/>
        <w:t xml:space="preserve">            double W = Math.Exp(-beta * J) * phi / (alpha * phi + (1 - alpha) * g);</w:t>
      </w:r>
      <w:r>
        <w:rPr>
          <w:sz w:val="14"/>
        </w:rPr>
        <w:br/>
        <w:t xml:space="preserve">            double e = r.Name switch</w:t>
      </w:r>
      <w:r>
        <w:rPr>
          <w:sz w:val="14"/>
        </w:rPr>
        <w:br/>
        <w:t xml:space="preserve">            {</w:t>
      </w:r>
      <w:r>
        <w:rPr>
          <w:sz w:val="14"/>
        </w:rPr>
        <w:br/>
        <w:t xml:space="preserve">                "complete" =&gt; 1.0,</w:t>
      </w:r>
      <w:r>
        <w:rPr>
          <w:sz w:val="14"/>
        </w:rPr>
        <w:br/>
        <w:t xml:space="preserve">                "gate" =&gt; Math.Abs(y1) &gt; 1 ? 1.0 : 0.25,</w:t>
      </w:r>
      <w:r>
        <w:rPr>
          <w:sz w:val="14"/>
        </w:rPr>
        <w:br/>
        <w:t xml:space="preserve">                "uniform" =&gt; r.Uniform,</w:t>
      </w:r>
      <w:r>
        <w:rPr>
          <w:sz w:val="14"/>
        </w:rPr>
        <w:br/>
        <w:t xml:space="preserve">                _ =&gt; Math.Clamp(r.Gamma * Math.Abs(W * (J - 1)), r.Floor, 1.0)</w:t>
      </w:r>
      <w:r>
        <w:rPr>
          <w:sz w:val="14"/>
        </w:rPr>
        <w:br/>
        <w:t xml:space="preserve">            };</w:t>
      </w:r>
      <w:r>
        <w:rPr>
          <w:sz w:val="14"/>
        </w:rPr>
        <w:br/>
        <w:t xml:space="preserve">            if (rnd.NextDouble() &lt; e) { obs++; double v = W / e; sw += v; swj += v * J; }</w:t>
      </w:r>
      <w:r>
        <w:rPr>
          <w:sz w:val="14"/>
        </w:rPr>
        <w:br/>
        <w:t xml:space="preserve">        }</w:t>
      </w:r>
      <w:r>
        <w:rPr>
          <w:sz w:val="14"/>
        </w:rPr>
        <w:br/>
        <w:t xml:space="preserve">        frac = (double)obs / n; return swj / sw;</w:t>
      </w:r>
      <w:r>
        <w:rPr>
          <w:sz w:val="14"/>
        </w:rPr>
        <w:br/>
        <w:t xml:space="preserve">    }</w:t>
      </w:r>
    </w:p>
    <w:p>
      <w:pPr>
        <w:pStyle w:val="SourceCode"/>
        <w:keepLines/>
        <w:spacing w:before="40" w:after="40"/>
      </w:pPr>
      <w:r>
        <w:rPr>
          <w:sz w:val="14"/>
        </w:rPr>
        <w:t xml:space="preserve">    public static Result Run(Rule r, int seeds, int n)</w:t>
      </w:r>
      <w:r>
        <w:rPr>
          <w:sz w:val="14"/>
        </w:rPr>
        <w:br/>
        <w:t xml:space="preserve">    {</w:t>
      </w:r>
      <w:r>
        <w:rPr>
          <w:sz w:val="14"/>
        </w:rPr>
        <w:br/>
        <w:t xml:space="preserve">        var est = new double[seeds]; double fr = 0;</w:t>
      </w:r>
      <w:r>
        <w:rPr>
          <w:sz w:val="14"/>
        </w:rPr>
        <w:br/>
        <w:t xml:space="preserve">        Parallel.For(0, seeds, k =&gt; { est[k] = Estimate(r, 1000 + k, n, out double f); lock (est) fr += f; });</w:t>
      </w:r>
      <w:r>
        <w:rPr>
          <w:sz w:val="14"/>
        </w:rPr>
        <w:br/>
        <w:t xml:space="preserve">        double m = est.Average(), sd = Math.Sqrt(est.Sum(t =&gt; (t - m) * (t - m)) / (seeds - 1));</w:t>
      </w:r>
      <w:r>
        <w:rPr>
          <w:sz w:val="14"/>
        </w:rPr>
        <w:br/>
        <w:t xml:space="preserve">        return new(r.Name, seeds, m, sd, fr / seeds);</w:t>
      </w:r>
      <w:r>
        <w:rPr>
          <w:sz w:val="14"/>
        </w:rPr>
        <w:br/>
        <w:t xml:space="preserve">    }</w:t>
      </w:r>
      <w:r>
        <w:rPr>
          <w:sz w:val="14"/>
        </w:rPr>
        <w:br/>
        <w:t xml:space="preserve">}</w:t>
      </w:r>
    </w:p>
    <w:p>
      <w:pPr>
        <w:pStyle w:val="BodyText"/>
        <w:keepNext/>
        <w:spacing w:before="120"/>
      </w:pPr>
      <w:r>
        <w:rPr>
          <w:b/>
        </w:rPr>
        <w:t>Gibbs.cs</w:t>
      </w:r>
    </w:p>
    <w:p>
      <w:pPr>
        <w:pStyle w:val="SourceCode"/>
        <w:keepLines/>
        <w:spacing w:before="40" w:after="40"/>
      </w:pPr>
      <w:r>
        <w:rPr>
          <w:sz w:val="14"/>
        </w:rPr>
        <w:t xml:space="preserve">namespace CtrIntervals;</w:t>
      </w:r>
      <w:r>
        <w:rPr>
          <w:sz w:val="14"/>
        </w:rPr>
        <w:br/>
        <w:t xml:space="preserve">/// &lt;summary&gt;Validated quadrature for the Himmelblau Gibbs target pi_beta proportional to exp(-beta J) nu,</w:t>
      </w:r>
      <w:r>
        <w:rPr>
          <w:sz w:val="14"/>
        </w:rPr>
        <w:br/>
        <w:t xml:space="preserve">/// with J(z) = h(4z) and nu = N(0, I2). Each box integral is enclosed by the midpoint value plus an</w:t>
      </w:r>
      <w:r>
        <w:rPr>
          <w:sz w:val="14"/>
        </w:rPr>
        <w:br/>
        <w:t xml:space="preserve">/// interval Hessian remainder: int_Q g = A g(c) + (1/2) int s^T H(xi_s) s ds.&lt;/summary&gt;</w:t>
      </w:r>
      <w:r>
        <w:rPr>
          <w:sz w:val="14"/>
        </w:rPr>
        <w:br/>
        <w:t xml:space="preserve">public static class Gibbs</w:t>
      </w:r>
      <w:r>
        <w:rPr>
          <w:sz w:val="14"/>
        </w:rPr>
        <w:br/>
        <w:t xml:space="preserve">{</w:t>
      </w:r>
      <w:r>
        <w:rPr>
          <w:sz w:val="14"/>
        </w:rPr>
        <w:br/>
        <w:t xml:space="preserve">    public sealed record Derivs(Iv F, Iv F1, Iv F2, Iv F11, Iv F22, Iv F12, Iv N, Iv N11, Iv N22, Iv N12, Iv J);</w:t>
      </w:r>
      <w:r>
        <w:rPr>
          <w:sz w:val="14"/>
        </w:rPr>
        <w:br/>
        <w:t xml:space="preserve">    public sealed record Result(double Beta, Iv Z, Iv N, Iv MeanLoss, long Boxes, double Half);</w:t>
      </w:r>
      <w:r>
        <w:rPr>
          <w:sz w:val="14"/>
        </w:rPr>
        <w:br/>
        <w:t xml:space="preserve">    static readonly Iv TwoPi = 2.0 * new Iv(Math.BitDecrement(Math.PI), Math.BitIncrement(Math.PI));</w:t>
      </w:r>
    </w:p>
    <w:p>
      <w:pPr>
        <w:pStyle w:val="SourceCode"/>
        <w:keepLines/>
        <w:spacing w:before="40" w:after="40"/>
      </w:pPr>
      <w:r>
        <w:rPr>
          <w:sz w:val="14"/>
        </w:rPr>
        <w:t xml:space="preserve">    /// &lt;summary&gt;Value, gradient and Hessian enclosures of f = exp(-beta J) nu and n = J f on a box.&lt;/summary&gt;</w:t>
      </w:r>
      <w:r>
        <w:rPr>
          <w:sz w:val="14"/>
        </w:rPr>
        <w:br/>
        <w:t xml:space="preserve">    public static Derivs Eval(Iv z1, Iv z2, double beta)</w:t>
      </w:r>
      <w:r>
        <w:rPr>
          <w:sz w:val="14"/>
        </w:rPr>
        <w:br/>
        <w:t xml:space="preserve">    {</w:t>
      </w:r>
      <w:r>
        <w:rPr>
          <w:sz w:val="14"/>
        </w:rPr>
        <w:br/>
        <w:t xml:space="preserve">        Iv u = 4.0 * z1, v = 4.0 * z2;</w:t>
      </w:r>
      <w:r>
        <w:rPr>
          <w:sz w:val="14"/>
        </w:rPr>
        <w:br/>
        <w:t xml:space="preserve">        Iv P = u.Sqr() + v - 11.0, Q = u + v.Sqr() - 7.0;</w:t>
      </w:r>
      <w:r>
        <w:rPr>
          <w:sz w:val="14"/>
        </w:rPr>
        <w:br/>
        <w:t xml:space="preserve">        Iv J = P.Sqr() + Q.Sqr();</w:t>
      </w:r>
      <w:r>
        <w:rPr>
          <w:sz w:val="14"/>
        </w:rPr>
        <w:br/>
        <w:t xml:space="preserve">        Iv Ju = 4.0 * (u * P) + 2.0 * Q, Jv = 2.0 * P + 4.0 * (v * Q);</w:t>
      </w:r>
      <w:r>
        <w:rPr>
          <w:sz w:val="14"/>
        </w:rPr>
        <w:br/>
        <w:t xml:space="preserve">        Iv Juu = 4.0 * P + 8.0 * u.Sqr() + 2.0, Jvv = 4.0 * Q + 8.0 * v.Sqr() + 2.0, Juv = 4.0 * u + 4.0 * v;</w:t>
      </w:r>
      <w:r>
        <w:rPr>
          <w:sz w:val="14"/>
        </w:rPr>
        <w:br/>
        <w:t xml:space="preserve">        Iv J1 = 4.0 * Ju, J2 = 4.0 * Jv, J11 = 16.0 * Juu, J22 = 16.0 * Jvv, J12 = 16.0 * Juv;</w:t>
      </w:r>
      <w:r>
        <w:rPr>
          <w:sz w:val="14"/>
        </w:rPr>
        <w:br/>
        <w:t xml:space="preserve">        Iv G = -(beta * J) - 0.5 * (z1.Sqr() + z2.Sqr());</w:t>
      </w:r>
      <w:r>
        <w:rPr>
          <w:sz w:val="14"/>
        </w:rPr>
        <w:br/>
        <w:t xml:space="preserve">        Iv f = G.Exp() / TwoPi;</w:t>
      </w:r>
      <w:r>
        <w:rPr>
          <w:sz w:val="14"/>
        </w:rPr>
        <w:br/>
        <w:t xml:space="preserve">        Iv G1 = -(beta * J1) - z1, G2 = -(beta * J2) - z2;</w:t>
      </w:r>
      <w:r>
        <w:rPr>
          <w:sz w:val="14"/>
        </w:rPr>
        <w:br/>
        <w:t xml:space="preserve">        Iv G11 = -(beta * J11) - 1.0, G22 = -(beta * J22) - 1.0, G12 = -(beta * J12);</w:t>
      </w:r>
      <w:r>
        <w:rPr>
          <w:sz w:val="14"/>
        </w:rPr>
        <w:br/>
        <w:t xml:space="preserve">        Iv f1 = f * G1, f2 = f * G2, f11 = f * (G11 + G1.Sqr()), f22 = f * (G22 + G2.Sqr()), f12 = f * (G12 + G1 * G2);</w:t>
      </w:r>
      <w:r>
        <w:rPr>
          <w:sz w:val="14"/>
        </w:rPr>
        <w:br/>
        <w:t xml:space="preserve">        Iv n = J * f;</w:t>
      </w:r>
      <w:r>
        <w:rPr>
          <w:sz w:val="14"/>
        </w:rPr>
        <w:br/>
        <w:t xml:space="preserve">        Iv n11 = J11 * f + 2.0 * (J1 * f1) + J * f11, n22 = J22 * f + 2.0 * (J2 * f2) + J * f22, n12 = J12 * f + J1 * f2 + J2 * f1 + J * f12;</w:t>
      </w:r>
      <w:r>
        <w:rPr>
          <w:sz w:val="14"/>
        </w:rPr>
        <w:br/>
        <w:t xml:space="preserve">        return new(f, f1, f2, f11, f22, f12, n, n11, n22, n12, J);</w:t>
      </w:r>
      <w:r>
        <w:rPr>
          <w:sz w:val="14"/>
        </w:rPr>
        <w:br/>
        <w:t xml:space="preserve">    }</w:t>
      </w:r>
    </w:p>
    <w:p>
      <w:pPr>
        <w:pStyle w:val="SourceCode"/>
        <w:keepLines/>
        <w:spacing w:before="40" w:after="40"/>
      </w:pPr>
      <w:r>
        <w:rPr>
          <w:sz w:val="14"/>
        </w:rPr>
        <w:t xml:space="preserve">    sealed record Box(double X, double Y, double H, Iv Zi, Iv Ni);</w:t>
      </w:r>
    </w:p>
    <w:p>
      <w:pPr>
        <w:pStyle w:val="SourceCode"/>
        <w:keepLines/>
        <w:spacing w:before="40" w:after="40"/>
      </w:pPr>
      <w:r>
        <w:rPr>
          <w:sz w:val="14"/>
        </w:rPr>
        <w:t xml:space="preserve">    static Box Integrate(double x, double y, double h, double beta)</w:t>
      </w:r>
      <w:r>
        <w:rPr>
          <w:sz w:val="14"/>
        </w:rPr>
        <w:br/>
        <w:t xml:space="preserve">    {</w:t>
      </w:r>
      <w:r>
        <w:rPr>
          <w:sz w:val="14"/>
        </w:rPr>
        <w:br/>
        <w:t xml:space="preserve">        var whole = Eval(new Iv(x - h / 2, x + h / 2), new Iv(y - h / 2, y + h / 2), beta);</w:t>
      </w:r>
      <w:r>
        <w:rPr>
          <w:sz w:val="14"/>
        </w:rPr>
        <w:br/>
        <w:t xml:space="preserve">        var mid = Eval(Iv.Point(x), Iv.Point(y), beta);</w:t>
      </w:r>
      <w:r>
        <w:rPr>
          <w:sz w:val="14"/>
        </w:rPr>
        <w:br/>
        <w:t xml:space="preserve">        Iv area = Iv.Point(h) * Iv.Point(h);</w:t>
      </w:r>
      <w:r>
        <w:rPr>
          <w:sz w:val="14"/>
        </w:rPr>
        <w:br/>
        <w:t xml:space="preserve">        Iv m2 = area * Iv.Point(h * h) / Iv.Point(12.0);          // int s_i^2 ds = A h^2 / 12</w:t>
      </w:r>
      <w:r>
        <w:rPr>
          <w:sz w:val="14"/>
        </w:rPr>
        <w:br/>
        <w:t xml:space="preserve">        Iv mx = area * Iv.Point(h * h) / Iv.Point(16.0);          // int |s1 s2| ds = A h^2 / 16</w:t>
      </w:r>
      <w:r>
        <w:rPr>
          <w:sz w:val="14"/>
        </w:rPr>
        <w:br/>
        <w:t xml:space="preserve">        Iv pm = new(-1, 1);</w:t>
      </w:r>
      <w:r>
        <w:rPr>
          <w:sz w:val="14"/>
        </w:rPr>
        <w:br/>
        <w:t xml:space="preserve">        Iv zi = area * mid.F + 0.5 * (whole.F11 * m2 + whole.F22 * m2) + (whole.F12 * pm) * mx;</w:t>
      </w:r>
      <w:r>
        <w:rPr>
          <w:sz w:val="14"/>
        </w:rPr>
        <w:br/>
        <w:t xml:space="preserve">        Iv ni = area * mid.N + 0.5 * (whole.N11 * m2 + whole.N22 * m2) + (whole.N12 * pm) * mx;</w:t>
      </w:r>
      <w:r>
        <w:rPr>
          <w:sz w:val="14"/>
        </w:rPr>
        <w:br/>
        <w:t xml:space="preserve">        // A direct value enclosure is also valid; keep the tighter of the two.</w:t>
      </w:r>
      <w:r>
        <w:rPr>
          <w:sz w:val="14"/>
        </w:rPr>
        <w:br/>
        <w:t xml:space="preserve">        Iv zd = area * whole.F, nd = area * whole.N;</w:t>
      </w:r>
      <w:r>
        <w:rPr>
          <w:sz w:val="14"/>
        </w:rPr>
        <w:br/>
        <w:t xml:space="preserve">        return new(x, y, h, new(Math.Max(zi.Lo, zd.Lo), Math.Min(zi.Hi, zd.Hi)), new(Math.Max(ni.Lo, nd.Lo), Math.Min(ni.Hi, nd.Hi)));</w:t>
      </w:r>
      <w:r>
        <w:rPr>
          <w:sz w:val="14"/>
        </w:rPr>
        <w:br/>
        <w:t xml:space="preserve">    }</w:t>
      </w:r>
    </w:p>
    <w:p>
      <w:pPr>
        <w:pStyle w:val="SourceCode"/>
        <w:keepLines/>
        <w:spacing w:before="40" w:after="40"/>
      </w:pPr>
      <w:r>
        <w:rPr>
          <w:sz w:val="14"/>
        </w:rPr>
        <w:t xml:space="preserve">    public static (Result result, IReadOnlyList&lt;(double x, double y, double h, Iv J, Iv Zi)&gt; boxes) Run(double beta, double relTol, double L = 8.0, int start = 64, long maxBoxes = 4_000_000)</w:t>
      </w:r>
      <w:r>
        <w:rPr>
          <w:sz w:val="14"/>
        </w:rPr>
        <w:br/>
        <w:t xml:space="preserve">    {</w:t>
      </w:r>
      <w:r>
        <w:rPr>
          <w:sz w:val="14"/>
        </w:rPr>
        <w:br/>
        <w:t xml:space="preserve">        double h0 = 2 * L / start;</w:t>
      </w:r>
      <w:r>
        <w:rPr>
          <w:sz w:val="14"/>
        </w:rPr>
        <w:br/>
        <w:t xml:space="preserve">        var pq = new PriorityQueue&lt;Box, double&gt;();</w:t>
      </w:r>
      <w:r>
        <w:rPr>
          <w:sz w:val="14"/>
        </w:rPr>
        <w:br/>
        <w:t xml:space="preserve">        Iv Z = Iv.Point(0), N = Iv.Point(0); long count = 0;</w:t>
      </w:r>
      <w:r>
        <w:rPr>
          <w:sz w:val="14"/>
        </w:rPr>
        <w:br/>
        <w:t xml:space="preserve">        for (int i = 0; i &lt; start; i++) for (int j = 0; j &lt; start; j++)</w:t>
      </w:r>
      <w:r>
        <w:rPr>
          <w:sz w:val="14"/>
        </w:rPr>
        <w:br/>
        <w:t xml:space="preserve">        {</w:t>
      </w:r>
      <w:r>
        <w:rPr>
          <w:sz w:val="14"/>
        </w:rPr>
        <w:br/>
        <w:t xml:space="preserve">            var b = Integrate(-L + (i + 0.5) * h0, -L + (j + 0.5) * h0, h0, beta);</w:t>
      </w:r>
      <w:r>
        <w:rPr>
          <w:sz w:val="14"/>
        </w:rPr>
        <w:br/>
        <w:t xml:space="preserve">            pq.Enqueue(b, -(b.Zi.Width + b.Ni.Width / 10)); count++;</w:t>
      </w:r>
      <w:r>
        <w:rPr>
          <w:sz w:val="14"/>
        </w:rPr>
        <w:br/>
        <w:t xml:space="preserve">        }</w:t>
      </w:r>
      <w:r>
        <w:rPr>
          <w:sz w:val="14"/>
        </w:rPr>
        <w:br/>
        <w:t xml:space="preserve">        // Tail outside the square: nu mass at most phi(L)/2 by the Mills ratio; J exp(-beta J) &lt;= 1/(e beta).</w:t>
      </w:r>
      <w:r>
        <w:rPr>
          <w:sz w:val="14"/>
        </w:rPr>
        <w:br/>
        <w:t xml:space="preserve">        double tail = Math.BitIncrement(Math.Exp(-L * L / 2) / Math.Sqrt(2 * Math.PI) / 2 * 1.000001);</w:t>
      </w:r>
      <w:r>
        <w:rPr>
          <w:sz w:val="14"/>
        </w:rPr>
        <w:br/>
        <w:t xml:space="preserve">        Iv zTail = new(0, tail), nTail = new(0, tail / (Math.E * beta) * 1.000001);</w:t>
      </w:r>
      <w:r>
        <w:rPr>
          <w:sz w:val="14"/>
        </w:rPr>
        <w:br/>
        <w:t xml:space="preserve">        double SumW() { double s = 0; foreach (var (b, _) in pq.UnorderedItems) s += b.Zi.Width + b.Ni.Width / 10; return s; }</w:t>
      </w:r>
      <w:r>
        <w:rPr>
          <w:sz w:val="14"/>
        </w:rPr>
        <w:br/>
        <w:t xml:space="preserve">        double target = relTol, check = 0;</w:t>
      </w:r>
      <w:r>
        <w:rPr>
          <w:sz w:val="14"/>
        </w:rPr>
        <w:br/>
        <w:t xml:space="preserve">        while (count &lt; maxBoxes)</w:t>
      </w:r>
      <w:r>
        <w:rPr>
          <w:sz w:val="14"/>
        </w:rPr>
        <w:br/>
        <w:t xml:space="preserve">        {</w:t>
      </w:r>
      <w:r>
        <w:rPr>
          <w:sz w:val="14"/>
        </w:rPr>
        <w:br/>
        <w:t xml:space="preserve">            if (count &gt;= check)</w:t>
      </w:r>
      <w:r>
        <w:rPr>
          <w:sz w:val="14"/>
        </w:rPr>
        <w:br/>
        <w:t xml:space="preserve">            {</w:t>
      </w:r>
      <w:r>
        <w:rPr>
          <w:sz w:val="14"/>
        </w:rPr>
        <w:br/>
        <w:t xml:space="preserve">                var (zs, ns) = Sum(pq); var mean = (ns + nTail) / (zs + zTail);</w:t>
      </w:r>
      <w:r>
        <w:rPr>
          <w:sz w:val="14"/>
        </w:rPr>
        <w:br/>
        <w:t xml:space="preserve">                if (mean.Width &lt;= relTol * mean.Mid) break;</w:t>
      </w:r>
      <w:r>
        <w:rPr>
          <w:sz w:val="14"/>
        </w:rPr>
        <w:br/>
        <w:t xml:space="preserve">                check = count * 1.25 + 1000;</w:t>
      </w:r>
      <w:r>
        <w:rPr>
          <w:sz w:val="14"/>
        </w:rPr>
        <w:br/>
        <w:t xml:space="preserve">            }</w:t>
      </w:r>
      <w:r>
        <w:rPr>
          <w:sz w:val="14"/>
        </w:rPr>
        <w:br/>
        <w:t xml:space="preserve">            var bx = pq.Dequeue(); double q = bx.H / 4, hh = bx.H / 2;</w:t>
      </w:r>
      <w:r>
        <w:rPr>
          <w:sz w:val="14"/>
        </w:rPr>
        <w:br/>
        <w:t xml:space="preserve">            foreach (var (dx, dy) in new[] { (-q, -q), (-q, q), (q, -q), (q, q) })</w:t>
      </w:r>
      <w:r>
        <w:rPr>
          <w:sz w:val="14"/>
        </w:rPr>
        <w:br/>
        <w:t xml:space="preserve">            { var c = Integrate(bx.X + dx, bx.Y + dy, hh, beta); pq.Enqueue(c, -(c.Zi.Width + c.Ni.Width / 10)); }</w:t>
      </w:r>
      <w:r>
        <w:rPr>
          <w:sz w:val="14"/>
        </w:rPr>
        <w:br/>
        <w:t xml:space="preserve">            count += 3;</w:t>
      </w:r>
      <w:r>
        <w:rPr>
          <w:sz w:val="14"/>
        </w:rPr>
        <w:br/>
        <w:t xml:space="preserve">        }</w:t>
      </w:r>
      <w:r>
        <w:rPr>
          <w:sz w:val="14"/>
        </w:rPr>
        <w:br/>
        <w:t xml:space="preserve">        var (zsum, nsum) = Sum(pq);</w:t>
      </w:r>
      <w:r>
        <w:rPr>
          <w:sz w:val="14"/>
        </w:rPr>
        <w:br/>
        <w:t xml:space="preserve">        Iv Zt = zsum + zTail, Nt = nsum + nTail;</w:t>
      </w:r>
      <w:r>
        <w:rPr>
          <w:sz w:val="14"/>
        </w:rPr>
        <w:br/>
        <w:t xml:space="preserve">        var boxes = pq.UnorderedItems.Select(t =&gt; (t.Element.X, t.Element.Y, t.Element.H,</w:t>
      </w:r>
      <w:r>
        <w:rPr>
          <w:sz w:val="14"/>
        </w:rPr>
        <w:br/>
        <w:t xml:space="preserve">            Eval(new Iv(t.Element.X - t.Element.H / 2, t.Element.X + t.Element.H / 2), new Iv(t.Element.Y - t.Element.H / 2, t.Element.Y + t.Element.H / 2), beta).J, t.Element.Zi)).ToList();</w:t>
      </w:r>
      <w:r>
        <w:rPr>
          <w:sz w:val="14"/>
        </w:rPr>
        <w:br/>
        <w:t xml:space="preserve">        return (new Result(beta, Zt, Nt, Nt / Zt, count, h0), boxes);</w:t>
      </w:r>
      <w:r>
        <w:rPr>
          <w:sz w:val="14"/>
        </w:rPr>
        <w:br/>
        <w:t xml:space="preserve">    }</w:t>
      </w:r>
    </w:p>
    <w:p>
      <w:pPr>
        <w:pStyle w:val="SourceCode"/>
        <w:keepLines/>
        <w:spacing w:before="40" w:after="40"/>
      </w:pPr>
      <w:r>
        <w:rPr>
          <w:sz w:val="14"/>
        </w:rPr>
        <w:t xml:space="preserve">    static (Iv, Iv) Sum(PriorityQueue&lt;Box, double&gt; pq)</w:t>
      </w:r>
      <w:r>
        <w:rPr>
          <w:sz w:val="14"/>
        </w:rPr>
        <w:br/>
        <w:t xml:space="preserve">    {</w:t>
      </w:r>
      <w:r>
        <w:rPr>
          <w:sz w:val="14"/>
        </w:rPr>
        <w:br/>
        <w:t xml:space="preserve">        Iv z = Iv.Point(0), n = Iv.Point(0);</w:t>
      </w:r>
      <w:r>
        <w:rPr>
          <w:sz w:val="14"/>
        </w:rPr>
        <w:br/>
        <w:t xml:space="preserve">        foreach (var (b, _) in pq.UnorderedItems) { z += b.Zi; n += b.Ni; }</w:t>
      </w:r>
      <w:r>
        <w:rPr>
          <w:sz w:val="14"/>
        </w:rPr>
        <w:br/>
        <w:t xml:space="preserve">        return (z, n);</w:t>
      </w:r>
      <w:r>
        <w:rPr>
          <w:sz w:val="14"/>
        </w:rPr>
        <w:br/>
        <w:t xml:space="preserve">    }</w:t>
      </w:r>
    </w:p>
    <w:p>
      <w:pPr>
        <w:pStyle w:val="SourceCode"/>
        <w:keepLines/>
        <w:spacing w:before="40" w:after="40"/>
      </w:pPr>
      <w:r>
        <w:rPr>
          <w:sz w:val="14"/>
        </w:rPr>
        <w:t xml:space="preserve">    /// &lt;summary&gt;Certified upper bound on pi_beta(J &gt;= delta): boxes not certified below delta, plus the tail.&lt;/summary&gt;</w:t>
      </w:r>
      <w:r>
        <w:rPr>
          <w:sz w:val="14"/>
        </w:rPr>
        <w:br/>
        <w:t xml:space="preserve">    public static double UpperTailProbability(IReadOnlyList&lt;(double x, double y, double h, Iv J, Iv Zi)&gt; boxes, Result r, double delta, double L = 8.0)</w:t>
      </w:r>
      <w:r>
        <w:rPr>
          <w:sz w:val="14"/>
        </w:rPr>
        <w:br/>
        <w:t xml:space="preserve">    {</w:t>
      </w:r>
      <w:r>
        <w:rPr>
          <w:sz w:val="14"/>
        </w:rPr>
        <w:br/>
        <w:t xml:space="preserve">        double tail = Math.BitIncrement(Math.Exp(-L * L / 2) / Math.Sqrt(2 * Math.PI) / 2 * 1.000001);</w:t>
      </w:r>
      <w:r>
        <w:rPr>
          <w:sz w:val="14"/>
        </w:rPr>
        <w:br/>
        <w:t xml:space="preserve">        Iv s = new(0, tail);</w:t>
      </w:r>
      <w:r>
        <w:rPr>
          <w:sz w:val="14"/>
        </w:rPr>
        <w:br/>
        <w:t xml:space="preserve">        foreach (var (_, _, _, J, Zi) in boxes) if (J.Hi &gt;= delta) s += new Iv(0, Zi.Hi);</w:t>
      </w:r>
      <w:r>
        <w:rPr>
          <w:sz w:val="14"/>
        </w:rPr>
        <w:br/>
        <w:t xml:space="preserve">        return (s / r.Z).Hi;</w:t>
      </w:r>
      <w:r>
        <w:rPr>
          <w:sz w:val="14"/>
        </w:rPr>
        <w:br/>
        <w:t xml:space="preserve">    }</w:t>
      </w:r>
    </w:p>
    <w:p>
      <w:pPr>
        <w:pStyle w:val="SourceCode"/>
        <w:keepLines/>
        <w:spacing w:before="40" w:after="40"/>
      </w:pPr>
      <w:r>
        <w:rPr>
          <w:sz w:val="14"/>
        </w:rPr>
        <w:t xml:space="preserve">    /// &lt;summary&gt;Certified lower bound on nu(J &lt;= c): sum of nu-mass lower bounds over boxes with J upper bound &lt;= c.&lt;/summary&gt;</w:t>
      </w:r>
      <w:r>
        <w:rPr>
          <w:sz w:val="14"/>
        </w:rPr>
        <w:br/>
        <w:t xml:space="preserve">    public static double NuMassBelow(IReadOnlyList&lt;(double x, double y, double h, Iv J, Iv Zi)&gt; boxes, double c)</w:t>
      </w:r>
      <w:r>
        <w:rPr>
          <w:sz w:val="14"/>
        </w:rPr>
        <w:br/>
        <w:t xml:space="preserve">    {</w:t>
      </w:r>
      <w:r>
        <w:rPr>
          <w:sz w:val="14"/>
        </w:rPr>
        <w:br/>
        <w:t xml:space="preserve">        Iv s = Iv.Point(0);</w:t>
      </w:r>
      <w:r>
        <w:rPr>
          <w:sz w:val="14"/>
        </w:rPr>
        <w:br/>
        <w:t xml:space="preserve">        foreach (var (x, y, h, J, _) in boxes)</w:t>
      </w:r>
      <w:r>
        <w:rPr>
          <w:sz w:val="14"/>
        </w:rPr>
        <w:br/>
        <w:t xml:space="preserve">        {</w:t>
      </w:r>
      <w:r>
        <w:rPr>
          <w:sz w:val="14"/>
        </w:rPr>
        <w:br/>
        <w:t xml:space="preserve">            if (J.Hi &gt; c) continue;</w:t>
      </w:r>
      <w:r>
        <w:rPr>
          <w:sz w:val="14"/>
        </w:rPr>
        <w:br/>
        <w:t xml:space="preserve">            Iv z1 = new(x - h / 2, x + h / 2), z2 = new(y - h / 2, y + h / 2);</w:t>
      </w:r>
      <w:r>
        <w:rPr>
          <w:sz w:val="14"/>
        </w:rPr>
        <w:br/>
        <w:t xml:space="preserve">            Iv phi = (-0.5 * (z1.Sqr() + z2.Sqr())).Exp() / TwoPi;</w:t>
      </w:r>
      <w:r>
        <w:rPr>
          <w:sz w:val="14"/>
        </w:rPr>
        <w:br/>
        <w:t xml:space="preserve">            s += Iv.Point(h) * Iv.Point(h) * new Iv(phi.Lo, phi.Lo);</w:t>
      </w:r>
      <w:r>
        <w:rPr>
          <w:sz w:val="14"/>
        </w:rPr>
        <w:br/>
        <w:t xml:space="preserve">        }</w:t>
      </w:r>
      <w:r>
        <w:rPr>
          <w:sz w:val="14"/>
        </w:rPr>
        <w:br/>
        <w:t xml:space="preserve">        return s.Lo;</w:t>
      </w:r>
      <w:r>
        <w:rPr>
          <w:sz w:val="14"/>
        </w:rPr>
        <w:br/>
        <w:t xml:space="preserve">    }</w:t>
      </w:r>
      <w:r>
        <w:rPr>
          <w:sz w:val="14"/>
        </w:rPr>
        <w:br/>
        <w:t xml:space="preserve">}</w:t>
      </w:r>
    </w:p>
    <w:sectPr w:rsidR="006D39C8"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9E2B2" w14:textId="77777777" w:rsidR="00803204" w:rsidRDefault="00803204">
      <w:pPr>
        <w:spacing w:after="0" w:line="240" w:lineRule="auto"/>
        <w:rPr>
          <w:rFonts w:hint="eastAsia"/>
        </w:rPr>
      </w:pPr>
      <w:r>
        <w:separator/>
      </w:r>
    </w:p>
  </w:endnote>
  <w:endnote w:type="continuationSeparator" w:id="0">
    <w:p w14:paraId="3FAC4CB0" w14:textId="77777777" w:rsidR="00803204" w:rsidRDefault="008032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C312" w14:textId="77777777" w:rsidR="006D39C8"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5B6E" w14:textId="77777777" w:rsidR="00803204" w:rsidRDefault="00803204">
      <w:pPr>
        <w:rPr>
          <w:rFonts w:hint="eastAsia"/>
        </w:rPr>
      </w:pPr>
      <w:r>
        <w:separator/>
      </w:r>
    </w:p>
  </w:footnote>
  <w:footnote w:type="continuationSeparator" w:id="0">
    <w:p w14:paraId="4835CB99" w14:textId="77777777" w:rsidR="00803204" w:rsidRDefault="0080320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320F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D965A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9752141">
    <w:abstractNumId w:val="8"/>
  </w:num>
  <w:num w:numId="2" w16cid:durableId="1914972989">
    <w:abstractNumId w:val="6"/>
  </w:num>
  <w:num w:numId="3" w16cid:durableId="147014483">
    <w:abstractNumId w:val="5"/>
  </w:num>
  <w:num w:numId="4" w16cid:durableId="860360909">
    <w:abstractNumId w:val="4"/>
  </w:num>
  <w:num w:numId="5" w16cid:durableId="257449390">
    <w:abstractNumId w:val="7"/>
  </w:num>
  <w:num w:numId="6" w16cid:durableId="1164204729">
    <w:abstractNumId w:val="3"/>
  </w:num>
  <w:num w:numId="7" w16cid:durableId="1209490674">
    <w:abstractNumId w:val="2"/>
  </w:num>
  <w:num w:numId="8" w16cid:durableId="832338989">
    <w:abstractNumId w:val="1"/>
  </w:num>
  <w:num w:numId="9" w16cid:durableId="479688080">
    <w:abstractNumId w:val="0"/>
  </w:num>
  <w:num w:numId="10" w16cid:durableId="68042529">
    <w:abstractNumId w:val="9"/>
  </w:num>
  <w:num w:numId="11" w16cid:durableId="12904730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9C8"/>
    <w:rsid w:val="00122C2D"/>
    <w:rsid w:val="0037015F"/>
    <w:rsid w:val="006D39C8"/>
    <w:rsid w:val="0080320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E8F8"/>
  <w15:docId w15:val="{EDEC6C52-6763-42FE-B394-4457F26D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30" Type="http://schemas.openxmlformats.org/officeDocument/2006/relationships/image" Target="media/image2.png"/><Relationship Id="rId3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8320</Words>
  <Characters>47428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Caches Temperature and Reuse</dc:title>
  <dc:subject>Exact occupancy caches, selective evaluation, neural replay and AI harness connections</dc:subject>
  <dc:creator>Debi Prasad Ghosh</dc:creator>
  <cp:keywords>ADE; occupancy; cache; selective evaluation; importance sampling; neuroscience; agent harness</cp:keywords>
  <dc:description/>
  <cp:lastModifiedBy>Debiprasad Ghosh</cp:lastModifiedBy>
  <cp:revision>2</cp:revision>
  <dcterms:created xsi:type="dcterms:W3CDTF">2026-10-17T11:31:00Z</dcterms:created>
  <dcterms:modified xsi:type="dcterms:W3CDTF">2026-10-17T11:37:00Z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Exact archive updates and selective evaluation in Autoregressive Diffusion Evolution</vt:lpwstr>
  </property>
</Properties>
</file>