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082E" w14:textId="77777777" w:rsidR="0012657B" w:rsidRDefault="00000000" w:rsidP="00B04090">
      <w:pPr>
        <w:pStyle w:val="Title"/>
        <w:jc w:val="center"/>
      </w:pPr>
      <w:r>
        <w:t>Homotopy Learning for Category Level Training</w:t>
      </w:r>
    </w:p>
    <w:p w14:paraId="752EA247" w14:textId="77777777" w:rsidR="0012657B" w:rsidRDefault="00000000" w:rsidP="00B04090">
      <w:pPr>
        <w:pStyle w:val="Subtitle"/>
        <w:jc w:val="center"/>
      </w:pPr>
      <w:r>
        <w:t>A Generalized Homotopy Optimization Framework for Verified Transfer Between Structures</w:t>
      </w:r>
    </w:p>
    <w:p w14:paraId="19146845" w14:textId="77777777" w:rsidR="0012657B" w:rsidRDefault="00000000" w:rsidP="00B04090">
      <w:pPr>
        <w:jc w:val="center"/>
      </w:pPr>
      <w:r>
        <w:t>Debi Prasad Ghosh</w:t>
      </w:r>
    </w:p>
    <w:p w14:paraId="3EF0D6E3" w14:textId="77777777" w:rsidR="0012657B" w:rsidRDefault="00000000" w:rsidP="00B04090">
      <w:pPr>
        <w:jc w:val="center"/>
      </w:pPr>
      <w:r>
        <w:t>6 October 2026</w:t>
      </w:r>
    </w:p>
    <w:p w14:paraId="3870A8AB" w14:textId="77777777" w:rsidR="0012657B" w:rsidRDefault="00000000" w:rsidP="00B04090">
      <w:pPr>
        <w:pStyle w:val="FirstParagraph"/>
        <w:jc w:val="center"/>
      </w:pPr>
      <w:r>
        <w:t>Founder and Principal Engineer, Debias Parametric Guru, Kolkata, India</w:t>
        <w:br/>
        <w:t>debiprasadghosh@gmail.com</w:t>
      </w:r>
    </w:p>
    <w:p w14:paraId="550378AB" w14:textId="77777777" w:rsidR="0012657B" w:rsidRDefault="00000000" w:rsidP="00B04090">
      <w:pPr>
        <w:pStyle w:val="BodyText"/>
        <w:jc w:val="center"/>
      </w:pPr>
      <w:r>
        <w:t>Conceptual and mathematical research paper</w:t>
      </w:r>
    </w:p>
    <w:p w14:paraId="01391C14" w14:textId="77777777" w:rsidR="0012657B" w:rsidRDefault="00000000" w:rsidP="00B04090">
      <w:pPr>
        <w:pStyle w:val="Heading1"/>
        <w:jc w:val="both"/>
      </w:pPr>
      <w:bookmarkStart w:id="0" w:name="abstract"/>
      <w:r>
        <w:t>Abstract</w:t>
      </w:r>
    </w:p>
    <w:p w14:paraId="06F6EA95" w14:textId="77777777" w:rsidR="0012657B" w:rsidRDefault="00000000" w:rsidP="00B04090">
      <w:pPr>
        <w:pStyle w:val="FirstParagraph"/>
        <w:jc w:val="both"/>
      </w:pPr>
      <w:r>
        <w:rPr>
          <w:sz w:val="23"/>
        </w:rPr>
        <w:t xml:space="preserve">We propose category level training as learning shared theories through checked relationships between structured domains. We organize the proposal as a four rung ladder whose training targets are token sequences, executable functions, domain presentations, and diagrams of presentations with interpretation maps. The ladder specifies increasingly structured units of credit; it is not asserted to be a necessary chronology or a sufficient construction of artificial general intelligence. Extending Generalized Homotopy Optimization, we define a carrier of competing theories, executable translations, comparison witnesses, preserved observables, and validity records. Relation preservation and route agreement supply structural constraints, while destination prediction, intervention tests, residual description length, and restricted adaptation to held out domains prevent empty or coordinated false abstractions. We distinguish the topology of semantic comparisons from the time schedule of optimization. In the invertible linear setting, compatible states form the holonomy fixed space, and each added comparison divides its constraints between reduction of compatible states and additional discrepancy capacity. We then show why this state criterion is incomplete for abstraction: a representation may have no nonzero fixed state while retaining nonconstant invariant observables. Lossy translations are handled through parallel route tests and declared information loss rather than assumed inverses. Mechanical and electrical analogies illustrate transport of equations, power observables, and the limits of network realization. We give a learning architecture, an explicit credit assignment scheme, and controlled experiments that can falsify the proposed transfer advantage. We then ask which existing learning backbone suits this carrier and how its parameters should be optimized. Diffusion Evolution recombines candidates linearly in their stored coordinates, so a law survives its search exactly when the law’s admissible set is the whole coordinate space or a linear subspace of it, and candidates must be aligned to common conventions before averaging. Power preserving transports admit an exact genome, a sign and a logarithmic magnitude with one exchange bit, and storing vertex genes builds route coherence into the genome while moving the loop test into a chi-square residual with</w:t>
      </w:r>
      <w:r>
        <w:rPr>
          <w:sz w:val="23"/>
        </w:rPr>
        <w:t xml:space="preserve"> </w:t>
      </w:r>
      <m:oMath>
        <m:sSub>
          <m:e>
            <m:r>
              <w:rPr>
                <w:rFonts w:ascii="Cambria Math" w:hAnsi="Cambria Math"/>
              </w:rPr>
              <m:t>β</m:t>
            </m:r>
          </m:e>
          <m:sub>
            <m:r>
              <w:rPr>
                <w:rFonts w:ascii="Cambria Math" w:hAnsi="Cambria Math"/>
              </w:rPr>
              <m:t>1</m:t>
            </m:r>
          </m:sub>
        </m:sSub>
      </m:oMath>
      <w:r>
        <w:rPr>
          <w:sz w:val="23"/>
        </w:rPr>
        <w:t xml:space="preserve"> </w:t>
      </w:r>
      <w:r>
        <w:rPr>
          <w:sz w:val="23"/>
        </w:rPr>
        <w:t xml:space="preserve">degrees of freedom. A three domain experiment confirms these encoding effects. All 38 checks of the earlier computational supplement, four construction checks, and 29 new checks pass. No trained category level learner or empirical improvement in general intelligence is reported.</w:t>
      </w:r>
    </w:p>
    <w:p w14:paraId="49921C43" w14:textId="77777777" w:rsidR="0012657B" w:rsidRDefault="00000000" w:rsidP="00B04090">
      <w:pPr>
        <w:pStyle w:val="BodyText"/>
        <w:jc w:val="both"/>
      </w:pPr>
      <w:r>
        <w:rPr>
          <w:b/>
          <w:bCs/>
          <w:sz w:val="23"/>
        </w:rPr>
        <w:t>Keywords</w:t>
      </w:r>
      <w:r>
        <w:rPr>
          <w:sz w:val="23"/>
        </w:rPr>
        <w:t xml:space="preserve"> category level training; generalized homotopy optimization; functor learning; abstraction; holonomy; invariant observables; verified transfer; continual theory revision; diffusion evolution; logarithmic number system; group synchronization</w:t>
      </w:r>
    </w:p>
    <w:p w14:paraId="05531C49" w14:textId="77777777" w:rsidR="0012657B" w:rsidRDefault="00000000" w:rsidP="00B04090">
      <w:pPr>
        <w:pStyle w:val="Heading1"/>
        <w:pageBreakBefore/>
        <w:jc w:val="both"/>
      </w:pPr>
      <w:bookmarkStart w:id="1" w:name="introduction"/>
      <w:bookmarkEnd w:id="0"/>
      <w:r>
        <w:lastRenderedPageBreak/>
        <w:t>1 Introduction</w:t>
      </w:r>
    </w:p>
    <w:p w14:paraId="6070C188" w14:textId="77777777" w:rsidR="0012657B" w:rsidRDefault="00000000" w:rsidP="00B04090">
      <w:pPr>
        <w:pStyle w:val="FirstParagraph"/>
        <w:jc w:val="both"/>
      </w:pPr>
      <w:r>
        <w:t>A model can solve problems in several domains without learning an abstraction that can be reliably interpreted in all of them. The difference becomes visible when a result must be transported, an operation must be recombined, or an analogy must be rejected outside its assumptions. We propose a training target that exposes those requirements directly. The learner proposes a shared theory and executable interpretations, and receives credit only for the structure and predictions that independently checked transports preserve.</w:t>
      </w:r>
    </w:p>
    <w:p w14:paraId="60BD7444" w14:textId="77777777" w:rsidR="0012657B" w:rsidRDefault="00000000" w:rsidP="00B04090">
      <w:pPr>
        <w:pStyle w:val="BodyText"/>
        <w:jc w:val="both"/>
      </w:pPr>
      <w:r>
        <w:t>Our motivating hypothesis is that increasingly general learning requires increasingly structured units of credit. Token prediction assigns credit to a continuation. Function training assigns credit to a procedure meeting a specification. Structure training assigns credit to a reusable presentation of a domain. Category level training assigns credit to relationships between presentations and to the verified consequences of those relationships. These objectives can coexist in one model and can revise one another during training. They need not correspond to four separate networks or four completed historical eras.</w:t>
      </w:r>
    </w:p>
    <w:p w14:paraId="5F224A30" w14:textId="77777777" w:rsidR="0012657B" w:rsidRDefault="00000000" w:rsidP="00B04090">
      <w:pPr>
        <w:pStyle w:val="BodyText"/>
        <w:jc w:val="both"/>
      </w:pPr>
      <w:r>
        <w:t>Generalized Homotopy Optimization, or GHO, permits the optimization carrier itself to gain structure as the problem demands richer representations [1]. Here we apply that principle to candidate theories and their interpretations. We use Homotopy Learning for an instantiated GHO search over such candidates. The term requires a declared carrier space, admissible deformations, preserved quantities, and equivalence witnesses. A collection of training iterations alone does not establish a homotopy.</w:t>
      </w:r>
    </w:p>
    <w:p w14:paraId="41850C72" w14:textId="77777777" w:rsidR="0012657B" w:rsidRDefault="00000000" w:rsidP="00B04090">
      <w:pPr>
        <w:pStyle w:val="BodyText"/>
        <w:jc w:val="both"/>
      </w:pPr>
      <w:r>
        <w:t>The principal contribution is an operational synthesis rather than a claim of priority for learning functors. The synthesis couples theory proposals, independently checked transports, observables that survive representation changes, obstruction directed revision, and transfer evaluation under a restricted interpretation budget. Standard mathematics supplies several properties of the proposed checks. Whether this combination improves learned abstraction remains an experimental question.</w:t>
      </w:r>
    </w:p>
    <w:p w14:paraId="283B58AB" w14:textId="77777777" w:rsidR="0012657B" w:rsidRDefault="00000000" w:rsidP="00B04090">
      <w:pPr>
        <w:pStyle w:val="BodyText"/>
        <w:jc w:val="both"/>
      </w:pPr>
      <w:r>
        <w:t>Throughout the paper, a proposition denotes a mathematical statement proved under explicit assumptions. A computational check tests a specified finite instance. A proposed mechanism or experimental prediction is untested. We do not use successful matrix calculations as evidence that a neural network has learned a shared theory.</w:t>
      </w:r>
    </w:p>
    <w:p w14:paraId="07C55724" w14:textId="77777777" w:rsidR="0012657B" w:rsidRDefault="00000000" w:rsidP="00B04090">
      <w:pPr>
        <w:pStyle w:val="Heading1"/>
        <w:jc w:val="both"/>
      </w:pPr>
      <w:bookmarkStart w:id="2" w:name="the-four-rung-hypothesis"/>
      <w:bookmarkEnd w:id="1"/>
      <w:r>
        <w:t>2 The four rung hypothesis</w:t>
      </w:r>
    </w:p>
    <w:p w14:paraId="38ACAA57" w14:textId="77777777" w:rsidR="0012657B" w:rsidRDefault="00000000" w:rsidP="00B04090">
      <w:pPr>
        <w:pStyle w:val="FirstParagraph"/>
        <w:jc w:val="both"/>
      </w:pPr>
      <w:r>
        <w:t>Table 1 defines the training target at each rung. The distinction concerns what the objective demands and what the evaluation can establish. A token predictor may already acquire useful relational representations; a rewarded function may internally discover a library. The higher rung makes a stronger obligation explicit rather than declaring those abilities impossible below it.</w:t>
      </w:r>
    </w:p>
    <w:p w14:paraId="530F902A" w14:textId="77777777" w:rsidR="0012657B" w:rsidRDefault="00000000" w:rsidP="00B04090">
      <w:pPr>
        <w:pStyle w:val="Caption"/>
        <w:keepNext/>
        <w:spacing w:before="100" w:after="140"/>
        <w:jc w:val="both"/>
      </w:pPr>
      <w:r>
        <w:t>Table 1 Training targets and required evidence</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613"/>
        <w:gridCol w:w="3168"/>
        <w:gridCol w:w="4982"/>
      </w:tblGrid>
      <w:tr w:rsidR="0012657B" w14:paraId="787C51F8" w14:textId="77777777">
        <w:trPr>
          <w:cantSplit/>
          <w:tblHeader/>
          <w:jc w:val="center"/>
        </w:trPr>
        <w:tc>
          <w:tcPr>
            <w:tcW w:w="1613" w:type="dxa"/>
            <w:shd w:val="clear" w:color="auto" w:fill="E7E7E7"/>
            <w:tcMar>
              <w:top w:w="90" w:type="dxa"/>
              <w:left w:w="110" w:type="dxa"/>
              <w:bottom w:w="90" w:type="dxa"/>
              <w:right w:w="110" w:type="dxa"/>
            </w:tcMar>
            <w:vAlign w:val="center"/>
          </w:tcPr>
          <w:p w14:paraId="171A7CD1" w14:textId="77777777" w:rsidR="0012657B" w:rsidRDefault="00000000" w:rsidP="00B04090">
            <w:pPr>
              <w:keepLines/>
              <w:spacing w:after="20" w:line="250" w:lineRule="auto"/>
              <w:jc w:val="both"/>
            </w:pPr>
            <w:r>
              <w:rPr>
                <w:b/>
                <w:sz w:val="21"/>
              </w:rPr>
              <w:t>Rung</w:t>
            </w:r>
          </w:p>
        </w:tc>
        <w:tc>
          <w:tcPr>
            <w:tcW w:w="3168" w:type="dxa"/>
            <w:shd w:val="clear" w:color="auto" w:fill="E7E7E7"/>
            <w:tcMar>
              <w:top w:w="90" w:type="dxa"/>
              <w:left w:w="110" w:type="dxa"/>
              <w:bottom w:w="90" w:type="dxa"/>
              <w:right w:w="110" w:type="dxa"/>
            </w:tcMar>
            <w:vAlign w:val="center"/>
          </w:tcPr>
          <w:p w14:paraId="6E33246E" w14:textId="77777777" w:rsidR="0012657B" w:rsidRDefault="00000000" w:rsidP="00B04090">
            <w:pPr>
              <w:keepLines/>
              <w:spacing w:after="20" w:line="250" w:lineRule="auto"/>
              <w:jc w:val="both"/>
            </w:pPr>
            <w:r>
              <w:rPr>
                <w:b/>
                <w:sz w:val="21"/>
              </w:rPr>
              <w:t>Unit of credit</w:t>
            </w:r>
          </w:p>
        </w:tc>
        <w:tc>
          <w:tcPr>
            <w:tcW w:w="4982" w:type="dxa"/>
            <w:shd w:val="clear" w:color="auto" w:fill="E7E7E7"/>
            <w:tcMar>
              <w:top w:w="90" w:type="dxa"/>
              <w:left w:w="110" w:type="dxa"/>
              <w:bottom w:w="90" w:type="dxa"/>
              <w:right w:w="110" w:type="dxa"/>
            </w:tcMar>
            <w:vAlign w:val="center"/>
          </w:tcPr>
          <w:p w14:paraId="3B098D3E" w14:textId="77777777" w:rsidR="0012657B" w:rsidRDefault="00000000" w:rsidP="00B04090">
            <w:pPr>
              <w:keepLines/>
              <w:spacing w:after="20" w:line="250" w:lineRule="auto"/>
              <w:jc w:val="both"/>
            </w:pPr>
            <w:r>
              <w:rPr>
                <w:b/>
                <w:sz w:val="21"/>
              </w:rPr>
              <w:t>Required evidence</w:t>
            </w:r>
          </w:p>
        </w:tc>
      </w:tr>
      <w:tr w:rsidR="0012657B" w14:paraId="0699E652" w14:textId="77777777">
        <w:trPr>
          <w:cantSplit/>
          <w:jc w:val="center"/>
        </w:trPr>
        <w:tc>
          <w:tcPr>
            <w:tcW w:w="1613" w:type="dxa"/>
            <w:shd w:val="clear" w:color="auto" w:fill="FFFFFF"/>
            <w:tcMar>
              <w:top w:w="90" w:type="dxa"/>
              <w:left w:w="110" w:type="dxa"/>
              <w:bottom w:w="90" w:type="dxa"/>
              <w:right w:w="110" w:type="dxa"/>
            </w:tcMar>
            <w:vAlign w:val="center"/>
          </w:tcPr>
          <w:p w14:paraId="54619E1D" w14:textId="77777777" w:rsidR="0012657B" w:rsidRDefault="00000000" w:rsidP="00B04090">
            <w:pPr>
              <w:keepLines/>
              <w:spacing w:after="20" w:line="250" w:lineRule="auto"/>
              <w:jc w:val="both"/>
            </w:pPr>
            <w:r>
              <w:rPr>
                <w:sz w:val="21"/>
              </w:rPr>
              <w:t>1 Token</w:t>
            </w:r>
          </w:p>
        </w:tc>
        <w:tc>
          <w:tcPr>
            <w:tcW w:w="3168" w:type="dxa"/>
            <w:shd w:val="clear" w:color="auto" w:fill="FFFFFF"/>
            <w:tcMar>
              <w:top w:w="90" w:type="dxa"/>
              <w:left w:w="110" w:type="dxa"/>
              <w:bottom w:w="90" w:type="dxa"/>
              <w:right w:w="110" w:type="dxa"/>
            </w:tcMar>
            <w:vAlign w:val="center"/>
          </w:tcPr>
          <w:p w14:paraId="3FFBA4AA" w14:textId="77777777" w:rsidR="0012657B" w:rsidRDefault="00000000" w:rsidP="00B04090">
            <w:pPr>
              <w:keepLines/>
              <w:spacing w:after="20" w:line="250" w:lineRule="auto"/>
              <w:jc w:val="both"/>
            </w:pPr>
            <w:r>
              <w:rPr>
                <w:sz w:val="21"/>
              </w:rPr>
              <w:t>Continuation or sequence</w:t>
            </w:r>
          </w:p>
        </w:tc>
        <w:tc>
          <w:tcPr>
            <w:tcW w:w="4982" w:type="dxa"/>
            <w:shd w:val="clear" w:color="auto" w:fill="FFFFFF"/>
            <w:tcMar>
              <w:top w:w="90" w:type="dxa"/>
              <w:left w:w="110" w:type="dxa"/>
              <w:bottom w:w="90" w:type="dxa"/>
              <w:right w:w="110" w:type="dxa"/>
            </w:tcMar>
            <w:vAlign w:val="center"/>
          </w:tcPr>
          <w:p w14:paraId="33E8D757" w14:textId="77777777" w:rsidR="0012657B" w:rsidRDefault="00000000" w:rsidP="00B04090">
            <w:pPr>
              <w:keepLines/>
              <w:spacing w:after="20" w:line="250" w:lineRule="auto"/>
              <w:jc w:val="both"/>
            </w:pPr>
            <w:r>
              <w:rPr>
                <w:sz w:val="21"/>
              </w:rPr>
              <w:t>Predictive performance on held out sequences</w:t>
            </w:r>
          </w:p>
        </w:tc>
      </w:tr>
      <w:tr w:rsidR="0012657B" w14:paraId="5A5E02F3" w14:textId="77777777">
        <w:trPr>
          <w:cantSplit/>
          <w:jc w:val="center"/>
        </w:trPr>
        <w:tc>
          <w:tcPr>
            <w:tcW w:w="1613" w:type="dxa"/>
            <w:shd w:val="clear" w:color="auto" w:fill="F6F6F6"/>
            <w:tcMar>
              <w:top w:w="90" w:type="dxa"/>
              <w:left w:w="110" w:type="dxa"/>
              <w:bottom w:w="90" w:type="dxa"/>
              <w:right w:w="110" w:type="dxa"/>
            </w:tcMar>
            <w:vAlign w:val="center"/>
          </w:tcPr>
          <w:p w14:paraId="592596BA" w14:textId="77777777" w:rsidR="0012657B" w:rsidRDefault="00000000" w:rsidP="00B04090">
            <w:pPr>
              <w:keepLines/>
              <w:spacing w:after="20" w:line="250" w:lineRule="auto"/>
              <w:jc w:val="both"/>
            </w:pPr>
            <w:r>
              <w:rPr>
                <w:sz w:val="21"/>
              </w:rPr>
              <w:t>2 Function</w:t>
            </w:r>
          </w:p>
        </w:tc>
        <w:tc>
          <w:tcPr>
            <w:tcW w:w="3168" w:type="dxa"/>
            <w:shd w:val="clear" w:color="auto" w:fill="F6F6F6"/>
            <w:tcMar>
              <w:top w:w="90" w:type="dxa"/>
              <w:left w:w="110" w:type="dxa"/>
              <w:bottom w:w="90" w:type="dxa"/>
              <w:right w:w="110" w:type="dxa"/>
            </w:tcMar>
            <w:vAlign w:val="center"/>
          </w:tcPr>
          <w:p w14:paraId="12144D97" w14:textId="77777777" w:rsidR="0012657B" w:rsidRDefault="00000000" w:rsidP="00B04090">
            <w:pPr>
              <w:keepLines/>
              <w:spacing w:after="20" w:line="250" w:lineRule="auto"/>
              <w:jc w:val="both"/>
            </w:pPr>
            <w:r>
              <w:rPr>
                <w:sz w:val="21"/>
              </w:rPr>
              <w:t>Executable procedure</w:t>
            </w:r>
          </w:p>
        </w:tc>
        <w:tc>
          <w:tcPr>
            <w:tcW w:w="4982" w:type="dxa"/>
            <w:shd w:val="clear" w:color="auto" w:fill="F6F6F6"/>
            <w:tcMar>
              <w:top w:w="90" w:type="dxa"/>
              <w:left w:w="110" w:type="dxa"/>
              <w:bottom w:w="90" w:type="dxa"/>
              <w:right w:w="110" w:type="dxa"/>
            </w:tcMar>
            <w:vAlign w:val="center"/>
          </w:tcPr>
          <w:p w14:paraId="2FF1628A" w14:textId="77777777" w:rsidR="0012657B" w:rsidRDefault="00000000" w:rsidP="00B04090">
            <w:pPr>
              <w:keepLines/>
              <w:spacing w:after="20" w:line="250" w:lineRule="auto"/>
              <w:jc w:val="both"/>
            </w:pPr>
            <w:r>
              <w:rPr>
                <w:sz w:val="21"/>
              </w:rPr>
              <w:t>Compliance with an externally specified task</w:t>
            </w:r>
          </w:p>
        </w:tc>
      </w:tr>
      <w:tr w:rsidR="0012657B" w14:paraId="225CEF39" w14:textId="77777777">
        <w:trPr>
          <w:cantSplit/>
          <w:jc w:val="center"/>
        </w:trPr>
        <w:tc>
          <w:tcPr>
            <w:tcW w:w="1613" w:type="dxa"/>
            <w:shd w:val="clear" w:color="auto" w:fill="FFFFFF"/>
            <w:tcMar>
              <w:top w:w="90" w:type="dxa"/>
              <w:left w:w="110" w:type="dxa"/>
              <w:bottom w:w="90" w:type="dxa"/>
              <w:right w:w="110" w:type="dxa"/>
            </w:tcMar>
            <w:vAlign w:val="center"/>
          </w:tcPr>
          <w:p w14:paraId="63A414AB" w14:textId="77777777" w:rsidR="0012657B" w:rsidRDefault="00000000" w:rsidP="00B04090">
            <w:pPr>
              <w:keepLines/>
              <w:spacing w:after="20" w:line="250" w:lineRule="auto"/>
              <w:jc w:val="both"/>
            </w:pPr>
            <w:r>
              <w:rPr>
                <w:sz w:val="21"/>
              </w:rPr>
              <w:lastRenderedPageBreak/>
              <w:t>3 Structure</w:t>
            </w:r>
          </w:p>
        </w:tc>
        <w:tc>
          <w:tcPr>
            <w:tcW w:w="3168" w:type="dxa"/>
            <w:shd w:val="clear" w:color="auto" w:fill="FFFFFF"/>
            <w:tcMar>
              <w:top w:w="90" w:type="dxa"/>
              <w:left w:w="110" w:type="dxa"/>
              <w:bottom w:w="90" w:type="dxa"/>
              <w:right w:w="110" w:type="dxa"/>
            </w:tcMar>
            <w:vAlign w:val="center"/>
          </w:tcPr>
          <w:p w14:paraId="28B9CFA5" w14:textId="77777777" w:rsidR="0012657B" w:rsidRDefault="00000000" w:rsidP="00B04090">
            <w:pPr>
              <w:keepLines/>
              <w:spacing w:after="20" w:line="250" w:lineRule="auto"/>
              <w:jc w:val="both"/>
            </w:pPr>
            <w:r>
              <w:rPr>
                <w:sz w:val="21"/>
              </w:rPr>
              <w:t>Generators and relations within a domain</w:t>
            </w:r>
          </w:p>
        </w:tc>
        <w:tc>
          <w:tcPr>
            <w:tcW w:w="4982" w:type="dxa"/>
            <w:shd w:val="clear" w:color="auto" w:fill="FFFFFF"/>
            <w:tcMar>
              <w:top w:w="90" w:type="dxa"/>
              <w:left w:w="110" w:type="dxa"/>
              <w:bottom w:w="90" w:type="dxa"/>
              <w:right w:w="110" w:type="dxa"/>
            </w:tcMar>
            <w:vAlign w:val="center"/>
          </w:tcPr>
          <w:p w14:paraId="7B5FB984" w14:textId="77777777" w:rsidR="0012657B" w:rsidRDefault="00000000" w:rsidP="00B04090">
            <w:pPr>
              <w:keepLines/>
              <w:spacing w:after="20" w:line="250" w:lineRule="auto"/>
              <w:jc w:val="both"/>
            </w:pPr>
            <w:r>
              <w:rPr>
                <w:sz w:val="21"/>
              </w:rPr>
              <w:t>Correct reuse under new compositions and instances</w:t>
            </w:r>
          </w:p>
        </w:tc>
      </w:tr>
      <w:tr w:rsidR="0012657B" w14:paraId="4389E9ED" w14:textId="77777777">
        <w:trPr>
          <w:cantSplit/>
          <w:jc w:val="center"/>
        </w:trPr>
        <w:tc>
          <w:tcPr>
            <w:tcW w:w="1613" w:type="dxa"/>
            <w:shd w:val="clear" w:color="auto" w:fill="F6F6F6"/>
            <w:tcMar>
              <w:top w:w="90" w:type="dxa"/>
              <w:left w:w="110" w:type="dxa"/>
              <w:bottom w:w="90" w:type="dxa"/>
              <w:right w:w="110" w:type="dxa"/>
            </w:tcMar>
            <w:vAlign w:val="center"/>
          </w:tcPr>
          <w:p w14:paraId="62521155" w14:textId="77777777" w:rsidR="0012657B" w:rsidRDefault="00000000" w:rsidP="00B04090">
            <w:pPr>
              <w:keepLines/>
              <w:spacing w:after="20" w:line="250" w:lineRule="auto"/>
              <w:jc w:val="both"/>
            </w:pPr>
            <w:r>
              <w:rPr>
                <w:sz w:val="21"/>
              </w:rPr>
              <w:t>4 Category</w:t>
            </w:r>
          </w:p>
        </w:tc>
        <w:tc>
          <w:tcPr>
            <w:tcW w:w="3168" w:type="dxa"/>
            <w:shd w:val="clear" w:color="auto" w:fill="F6F6F6"/>
            <w:tcMar>
              <w:top w:w="90" w:type="dxa"/>
              <w:left w:w="110" w:type="dxa"/>
              <w:bottom w:w="90" w:type="dxa"/>
              <w:right w:w="110" w:type="dxa"/>
            </w:tcMar>
            <w:vAlign w:val="center"/>
          </w:tcPr>
          <w:p w14:paraId="016FC97E" w14:textId="77777777" w:rsidR="0012657B" w:rsidRDefault="00000000" w:rsidP="00B04090">
            <w:pPr>
              <w:keepLines/>
              <w:spacing w:after="20" w:line="250" w:lineRule="auto"/>
              <w:jc w:val="both"/>
            </w:pPr>
            <w:r>
              <w:rPr>
                <w:sz w:val="21"/>
              </w:rPr>
              <w:t>Transports and comparisons between domains</w:t>
            </w:r>
          </w:p>
        </w:tc>
        <w:tc>
          <w:tcPr>
            <w:tcW w:w="4982" w:type="dxa"/>
            <w:shd w:val="clear" w:color="auto" w:fill="F6F6F6"/>
            <w:tcMar>
              <w:top w:w="90" w:type="dxa"/>
              <w:left w:w="110" w:type="dxa"/>
              <w:bottom w:w="90" w:type="dxa"/>
              <w:right w:w="110" w:type="dxa"/>
            </w:tcMar>
            <w:vAlign w:val="center"/>
          </w:tcPr>
          <w:p w14:paraId="3891918F" w14:textId="77777777" w:rsidR="0012657B" w:rsidRDefault="00000000" w:rsidP="00B04090">
            <w:pPr>
              <w:keepLines/>
              <w:spacing w:after="20" w:line="250" w:lineRule="auto"/>
              <w:jc w:val="both"/>
            </w:pPr>
            <w:r>
              <w:rPr>
                <w:sz w:val="21"/>
              </w:rPr>
              <w:t>Preserved relations and verified inheritance in new domains</w:t>
            </w:r>
          </w:p>
        </w:tc>
      </w:tr>
    </w:tbl>
    <w:p w14:paraId="1CDFF946" w14:textId="77777777" w:rsidR="0012657B" w:rsidRDefault="00000000" w:rsidP="00B04090">
      <w:pPr>
        <w:pStyle w:val="Heading2"/>
        <w:jc w:val="both"/>
      </w:pPr>
      <w:bookmarkStart w:id="3" w:name="token-and-function-carriers"/>
      <w:r>
        <w:t>2.1 Token and function carriers</w:t>
      </w:r>
    </w:p>
    <w:p w14:paraId="576AB38B" w14:textId="77777777" w:rsidR="0012657B" w:rsidRDefault="00000000" w:rsidP="00B04090">
      <w:pPr>
        <w:pStyle w:val="FirstParagraph"/>
        <w:jc w:val="both"/>
      </w:pPr>
      <w:r>
        <w:t>At rung 1, a sequence model induces a measure over finite strings. Likelihood training changes this measure and its parameterized realization. At rung 2, the task reward is supplied through human feedback, an external verifier, or a combination of signals. We use the established labels RLHF and RLVR when discussing those mechanisms. RLHS and RLVF in the motivating ladder refer informally to human signals and verifiable feedback; they are not introduced as standard names.</w:t>
      </w:r>
    </w:p>
    <w:p w14:paraId="3376AF6B" w14:textId="77777777" w:rsidR="0012657B" w:rsidRDefault="00000000" w:rsidP="00B04090">
      <w:pPr>
        <w:pStyle w:val="BodyText"/>
        <w:jc w:val="both"/>
      </w:pPr>
      <w:r>
        <w:rPr>
          <w:b/>
          <w:bCs/>
        </w:rPr>
        <w:t>Proposition 1 Gibbs selection on a fixed carrier.</w:t>
      </w:r>
      <w:r>
        <w:t xml:space="preserve"> Let the candidate set be finite, let the reference probabilities be positive on their declared support, let the reward be finite, and let the regularization coefficient be positive. Maximizing expected reward minus relative entropy has the unique solution</w:t>
      </w:r>
    </w:p>
    <w:p w14:paraId="6B346021"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m:rPr>
                    <m:sty m:val="p"/>
                  </m:rPr>
                  <w:rPr>
                    <w:rFonts w:ascii="Cambria Math" w:hAnsi="Cambria Math"/>
                  </w:rPr>
                  <m:t>ref</m:t>
                </m:r>
              </m:sub>
            </m:sSub>
            <m:d>
              <m:dPr>
                <m:ctrlPr>
                  <w:rPr>
                    <w:rFonts w:ascii="Cambria Math" w:hAnsi="Cambria Math"/>
                  </w:rPr>
                </m:ctrlPr>
              </m:dPr>
              <m:e>
                <m:r>
                  <w:rPr>
                    <w:rFonts w:ascii="Cambria Math" w:hAnsi="Cambria Math"/>
                  </w:rPr>
                  <m:t>y</m:t>
                </m:r>
              </m:e>
            </m:d>
            <m:r>
              <m:rPr>
                <m:sty m:val="p"/>
              </m:rPr>
              <w:rPr>
                <w:rFonts w:ascii="Cambria Math" w:hAnsi="Cambria Math"/>
              </w:rPr>
              <m:t>exp</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β</m:t>
                </m:r>
              </m:e>
            </m:d>
          </m:num>
          <m:den>
            <m:r>
              <w:rPr>
                <w:rFonts w:ascii="Cambria Math" w:hAnsi="Cambria Math"/>
              </w:rPr>
              <m:t>Z</m:t>
            </m:r>
          </m:den>
        </m:f>
        <m:r>
          <m:rPr>
            <m:sty m:val="p"/>
          </m:rPr>
          <w:rPr>
            <w:rFonts w:ascii="Cambria Math" w:hAnsi="Cambria Math"/>
          </w:rPr>
          <m:t>,</m:t>
        </m:r>
        <m:r>
          <w:rPr>
            <w:rFonts w:ascii="Cambria Math" w:hAnsi="Cambria Math"/>
          </w:rPr>
          <m:t>  Z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b>
              <m:sSubPr>
                <m:ctrlPr>
                  <w:rPr>
                    <w:rFonts w:ascii="Cambria Math" w:hAnsi="Cambria Math"/>
                  </w:rPr>
                </m:ctrlPr>
              </m:sSubPr>
              <m:e>
                <m:r>
                  <w:rPr>
                    <w:rFonts w:ascii="Cambria Math" w:hAnsi="Cambria Math"/>
                  </w:rPr>
                  <m:t>π</m:t>
                </m:r>
              </m:e>
              <m:sub>
                <m:r>
                  <m:rPr>
                    <m:sty m:val="p"/>
                  </m:rPr>
                  <w:rPr>
                    <w:rFonts w:ascii="Cambria Math" w:hAnsi="Cambria Math"/>
                  </w:rPr>
                  <m:t>ref</m:t>
                </m:r>
              </m:sub>
            </m:sSub>
          </m:e>
        </m:nary>
        <m:d>
          <m:dPr>
            <m:ctrlPr>
              <w:rPr>
                <w:rFonts w:ascii="Cambria Math" w:hAnsi="Cambria Math"/>
              </w:rPr>
            </m:ctrlPr>
          </m:dPr>
          <m:e>
            <m:r>
              <w:rPr>
                <w:rFonts w:ascii="Cambria Math" w:hAnsi="Cambria Math"/>
              </w:rPr>
              <m:t>y</m:t>
            </m:r>
          </m:e>
        </m:d>
        <m:r>
          <m:rPr>
            <m:sty m:val="p"/>
          </m:rPr>
          <w:rPr>
            <w:rFonts w:ascii="Cambria Math" w:hAnsi="Cambria Math"/>
          </w:rPr>
          <m:t>exp</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β</m:t>
            </m:r>
          </m:e>
        </m:d>
        <m:r>
          <m:rPr>
            <m:sty m:val="p"/>
          </m:rPr>
          <w:rPr>
            <w:rFonts w:ascii="Cambria Math" w:hAnsi="Cambria Math"/>
          </w:rPr>
          <m:t>.</m:t>
        </m:r>
      </m:oMath>
      <w:r>
        <w:rPr>
          <w:sz w:val="22"/>
        </w:rPr>
        <w:tab/>
        <w:t>(1)</w:t>
      </w:r>
    </w:p>
    <w:p w14:paraId="5358BE09" w14:textId="77777777" w:rsidR="0012657B" w:rsidRDefault="00000000" w:rsidP="00B04090">
      <w:pPr>
        <w:pStyle w:val="FirstParagraph"/>
        <w:jc w:val="both"/>
      </w:pPr>
      <w:r>
        <w:rPr>
          <w:b/>
          <w:bCs/>
        </w:rPr>
        <w:t>Proof.</w:t>
      </w:r>
      <w:r>
        <w:t xml:space="preserve"> On the reference support, the objective equals the constant </w:t>
      </w:r>
      <m:oMath>
        <m:r>
          <w:rPr>
            <w:rFonts w:ascii="Cambria Math" w:hAnsi="Cambria Math"/>
          </w:rPr>
          <m:t>β</m:t>
        </m:r>
        <m:r>
          <m:rPr>
            <m:sty m:val="p"/>
          </m:rPr>
          <w:rPr>
            <w:rFonts w:ascii="Cambria Math" w:hAnsi="Cambria Math"/>
          </w:rPr>
          <m:t>log</m:t>
        </m:r>
        <m:r>
          <w:rPr>
            <w:rFonts w:ascii="Cambria Math" w:hAnsi="Cambria Math"/>
          </w:rPr>
          <m:t>Z</m:t>
        </m:r>
      </m:oMath>
      <w:r>
        <w:t xml:space="preserve"> minus </w:t>
      </w:r>
      <m:oMath>
        <m:r>
          <w:rPr>
            <w:rFonts w:ascii="Cambria Math" w:hAnsi="Cambria Math"/>
          </w:rPr>
          <m:t>β </m:t>
        </m:r>
        <m:r>
          <m:rPr>
            <m:sty m:val="p"/>
          </m:rPr>
          <w:rPr>
            <w:rFonts w:ascii="Cambria Math" w:hAnsi="Cambria Math"/>
          </w:rPr>
          <m:t>KL</m:t>
        </m:r>
        <m:d>
          <m:dPr>
            <m:ctrlPr>
              <w:rPr>
                <w:rFonts w:ascii="Cambria Math" w:hAnsi="Cambria Math"/>
              </w:rPr>
            </m:ctrlPr>
          </m:dPr>
          <m:e>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e>
        </m:d>
      </m:oMath>
      <w:r>
        <w:t>. Nonnegativity of relative entropy gives uniqueness. Assigning positive mass outside the reference support gives infinite relative entropy and is inadmissible. This closed form also appears in the derivation of direct preference optimization [2].</w:t>
      </w:r>
    </w:p>
    <w:p w14:paraId="0E7F366A" w14:textId="77777777" w:rsidR="0012657B" w:rsidRDefault="00000000" w:rsidP="00B04090">
      <w:pPr>
        <w:pStyle w:val="BodyText"/>
        <w:jc w:val="both"/>
      </w:pPr>
      <w:r>
        <w:t>Selection therefore cannot create a candidate that has exactly zero reference mass. This is a statement about a fixed output carrier and objective. It is not a practical ceiling on representation learning by reinforcement learning. Softmax sequence models commonly assign positive probability to an enormous set of strings, and parameter updates can make a previously negligible behaviour accessible. In GHO terms, selection, candidate generation, correction, and representation change must remain distinct operations.</w:t>
      </w:r>
    </w:p>
    <w:p w14:paraId="41573D80" w14:textId="77777777" w:rsidR="0012657B" w:rsidRDefault="00000000" w:rsidP="00B04090">
      <w:pPr>
        <w:pStyle w:val="Heading2"/>
        <w:jc w:val="both"/>
      </w:pPr>
      <w:bookmarkStart w:id="4" w:name="X5160bb58e2b730b5aa88d0c578f8166771944b2"/>
      <w:bookmarkEnd w:id="3"/>
      <w:r>
        <w:t>2.2 Structure carriers and the role of calibrated decisions</w:t>
      </w:r>
    </w:p>
    <w:p w14:paraId="4ADF2BCB" w14:textId="77777777" w:rsidR="0012657B" w:rsidRDefault="00000000" w:rsidP="00B04090">
      <w:pPr>
        <w:pStyle w:val="FirstParagraph"/>
        <w:jc w:val="both"/>
      </w:pPr>
      <w:r>
        <w:t>A rung 3 candidate supplies a presentation: typed generators, admissible compositions, equations or rewrite relations, and a realization on domain instances. Two expressions can then be identified by a verified congruence. The resulting quotient removes distinctions declared irrelevant by the presentation. Successful answers alone do not certify this presentation; evaluation must test its reuse on compositions that were withheld during fitting.</w:t>
      </w:r>
    </w:p>
    <w:p w14:paraId="6E9FF1D8" w14:textId="77777777" w:rsidR="0012657B" w:rsidRDefault="00000000" w:rsidP="00B04090">
      <w:pPr>
        <w:pStyle w:val="BodyText"/>
        <w:jc w:val="both"/>
      </w:pPr>
      <w:r>
        <w:t>TypeSafe describes RLCD as Reinforcement Learning for Calibrated Decisions, producing typed decisions with confidence estimates [3]. We retain that meaning. Calibration does not by itself establish discovery of generators or relations. Our proposed structure training could use a calibrated decision model to prioritize a candidate relation, select a verifier, or decide whether to revise a presentation. The additional structural objective, checker, and discovery evidence would still be required.</w:t>
      </w:r>
    </w:p>
    <w:p w14:paraId="090DE947" w14:textId="77777777" w:rsidR="0012657B" w:rsidRDefault="00000000" w:rsidP="00B04090">
      <w:pPr>
        <w:pStyle w:val="BodyText"/>
        <w:jc w:val="both"/>
      </w:pPr>
      <w:r>
        <w:t xml:space="preserve">In the four rung hypothesis, the structure stage is thus broader than RLCD. Calibrated decisions are a possible component of the architecture rather than a mathematical identification with quotient </w:t>
        <w:lastRenderedPageBreak/>
        <w:t>discovery. A different use of the acronym in earlier alignment research, Reinforcement Learning from Contrastive Distillation, is also distinct [14].</w:t>
      </w:r>
    </w:p>
    <w:p w14:paraId="75BAFB5E" w14:textId="77777777" w:rsidR="0012657B" w:rsidRDefault="00000000" w:rsidP="00B04090">
      <w:pPr>
        <w:pStyle w:val="Heading2"/>
        <w:jc w:val="both"/>
      </w:pPr>
      <w:bookmarkStart w:id="5" w:name="diagram-carriers"/>
      <w:bookmarkEnd w:id="4"/>
      <w:r>
        <w:t>2.3 Diagram carriers</w:t>
      </w:r>
    </w:p>
    <w:p w14:paraId="214A364B" w14:textId="77777777" w:rsidR="0012657B" w:rsidRDefault="00000000" w:rsidP="00B04090">
      <w:pPr>
        <w:pStyle w:val="FirstParagraph"/>
        <w:jc w:val="both"/>
      </w:pPr>
      <w:r>
        <w:t>At rung 4, the learner must account for several presentations together with specified comparisons. The candidate includes a shared theory, its domain interpretations, the relations those interpretations preserve, and the validity of transported statements. Equivalent theories may be merged only with an appropriate witness. Competing theories remain available when the available comparisons do not determine a unique abstraction.</w:t>
      </w:r>
    </w:p>
    <w:p w14:paraId="37119983" w14:textId="77777777" w:rsidR="0012657B" w:rsidRDefault="00000000" w:rsidP="00B04090">
      <w:pPr>
        <w:pStyle w:val="BodyText"/>
        <w:jc w:val="both"/>
      </w:pPr>
      <w:r>
        <w:t>Rungs 3 and 4 can be trained jointly after an initial presentation exists. A cross domain comparison may reveal a missing generator or an invalid relation in one domain. Revision then changes the lower presentation and invalidates affected verification records. This feedback is a hypothesis about learning, not a theorem that every failed comparison identifies a missing generator.</w:t>
      </w:r>
    </w:p>
    <w:p w14:paraId="393B0E42" w14:textId="77777777" w:rsidR="0012657B" w:rsidRDefault="00000000" w:rsidP="00B04090">
      <w:pPr>
        <w:pStyle w:val="Heading1"/>
        <w:jc w:val="both"/>
      </w:pPr>
      <w:bookmarkStart w:id="6" w:name="relation-to-existing-work"/>
      <w:bookmarkEnd w:id="2"/>
      <w:bookmarkEnd w:id="5"/>
      <w:r>
        <w:t>3 Relation to existing work</w:t>
      </w:r>
    </w:p>
    <w:p w14:paraId="299EC163" w14:textId="77777777" w:rsidR="0012657B" w:rsidRDefault="00000000" w:rsidP="00B04090">
      <w:pPr>
        <w:pStyle w:val="FirstParagraph"/>
        <w:jc w:val="both"/>
      </w:pPr>
      <w:r>
        <w:t>Learning Functors using Gradient Descent interprets CycleGAN through a category presented by generators and relations, generalizes composition constraints, and learns set valued functors [4]. This establishes a direct precedent for categorical training objectives. CycleGAN itself uses cycle consistency in unpaired image translation [5]. Pairwise round trips are therefore an existing ingredient, and the present proposal must be assessed against stronger baselines than task training alone.</w:t>
      </w:r>
    </w:p>
    <w:p w14:paraId="4A6DAA69" w14:textId="77777777" w:rsidR="0012657B" w:rsidRDefault="00000000" w:rsidP="00B04090">
      <w:pPr>
        <w:pStyle w:val="BodyText"/>
        <w:jc w:val="both"/>
      </w:pPr>
      <w:r>
        <w:t>Categorical Deep Learning proposes an algebraic language for architectural constraints and their implementations [6]. Our focus is learning and comparing domain theories and executable interpretations. An architecture described categorically need not expose a theory discovery problem, while an interpreter that emits functors need not implement its entire neural architecture as a categorical construction. Both approaches can be combined.</w:t>
      </w:r>
    </w:p>
    <w:p w14:paraId="6C2F67DE" w14:textId="77777777" w:rsidR="0012657B" w:rsidRDefault="00000000" w:rsidP="00B04090">
      <w:pPr>
        <w:pStyle w:val="BodyText"/>
        <w:jc w:val="both"/>
      </w:pPr>
      <w:r>
        <w:t>Causal abstraction uses interventions to test whether neural representations implement variables and causal relationships in a higher level model [7]. We adopt independently grounded intervention checks as one possible source of semantic evidence. The point is methodological: agreement among learned maps is weaker than experimentally validated preservation.</w:t>
      </w:r>
    </w:p>
    <w:p w14:paraId="71B094CD" w14:textId="77777777" w:rsidR="0012657B" w:rsidRDefault="00000000" w:rsidP="00B04090">
      <w:pPr>
        <w:pStyle w:val="BodyText"/>
        <w:jc w:val="both"/>
      </w:pPr>
      <w:r>
        <w:t>VICReg addresses collapse in representation learning through explicit variance and covariance terms [8]. Its lesson motivates an information preserving part of our objective. Variance alone is insufficient here because a high variance representation can still encode arbitrary labels. Destination prediction, structured interventions, and transfer remain necessary.</w:t>
      </w:r>
    </w:p>
    <w:p w14:paraId="1E495EB5" w14:textId="77777777" w:rsidR="0012657B" w:rsidRDefault="00000000" w:rsidP="00B04090">
      <w:pPr>
        <w:pStyle w:val="BodyText"/>
        <w:jc w:val="both"/>
      </w:pPr>
      <w:r>
        <w:t>DreamCoder learns reusable program libraries and a neural search policy through wake and sleep phases [9]. It is a relevant precedent for structure discovery and compression. Our proposed additional target is the preservation and failure of library structure across independently presented domains. Cellular sheaf theory provides the linear compatibility formalism used below [10]. Category theory supplies the distinctions among functors, natural transformations, limits, and adjunctions [11].</w:t>
      </w:r>
    </w:p>
    <w:p w14:paraId="7FC2FE52" w14:textId="77777777" w:rsidR="0012657B" w:rsidRDefault="00000000" w:rsidP="00B04090">
      <w:pPr>
        <w:pStyle w:val="Heading1"/>
        <w:jc w:val="both"/>
      </w:pPr>
      <w:bookmarkStart w:id="7" w:name="a-precise-category-level-carrier"/>
      <w:bookmarkEnd w:id="6"/>
      <w:r>
        <w:lastRenderedPageBreak/>
        <w:t>4 A precise category level carrier</w:t>
      </w:r>
    </w:p>
    <w:p w14:paraId="76A3954F" w14:textId="77777777" w:rsidR="0012657B" w:rsidRDefault="00000000" w:rsidP="00B04090">
      <w:pPr>
        <w:pStyle w:val="Heading2"/>
        <w:jc w:val="both"/>
      </w:pPr>
      <w:bookmarkStart w:id="8" w:name="presentations-and-realizations"/>
      <w:r>
        <w:t>4.1 Presentations and realizations</w:t>
      </w:r>
    </w:p>
    <w:p w14:paraId="7CA3EBE9" w14:textId="77777777" w:rsidR="0012657B" w:rsidRDefault="00000000" w:rsidP="00B04090">
      <w:pPr>
        <w:pStyle w:val="FirstParagraph"/>
        <w:jc w:val="both"/>
      </w:pPr>
      <w:r>
        <w:t>Let a domain presentation be a small category generated by typed operations and relations. For a finite presentation, an exact functor is specified by images of generators that satisfy the relations. The presentation is accompanied by executable realizations on instances, a declared observation vocabulary, and a verifier. Equality of finite programs may be undecidable in general. Finite test success is therefore recorded as test success, unless a proof producing checker establishes the relation for the stated scope.</w:t>
      </w:r>
    </w:p>
    <w:p w14:paraId="379E3F5C" w14:textId="77777777" w:rsidR="0012657B" w:rsidRDefault="00000000" w:rsidP="00B04090">
      <w:pPr>
        <w:pStyle w:val="BodyText"/>
        <w:jc w:val="both"/>
      </w:pPr>
      <w:r>
        <w:t>We distinguish categorical maps from their numerical realizations. The functor acts on objects and morphisms; a realization may expose a state map between numerical spaces. A matrix calculation below is a property of this linear realization and is not automatically a proof about the full domain category.</w:t>
      </w:r>
    </w:p>
    <w:p w14:paraId="4CF16DAF" w14:textId="77777777" w:rsidR="0012657B" w:rsidRDefault="00000000" w:rsidP="00B04090">
      <w:pPr>
        <w:pStyle w:val="BodyText"/>
        <w:jc w:val="both"/>
      </w:pPr>
      <w:r>
        <w:t>The semantic comparison complex contains domain vertices, directed translation edges, and optionally specified comparisons between parallel paths. It is separate from the optimization schedule. Training time can be a sequence even when the semantic comparisons contain many loops.</w:t>
      </w:r>
    </w:p>
    <w:p w14:paraId="6509B46E" w14:textId="77777777" w:rsidR="0012657B" w:rsidRDefault="00000000" w:rsidP="00B04090">
      <w:pPr>
        <w:pStyle w:val="Heading2"/>
        <w:jc w:val="both"/>
      </w:pPr>
      <w:bookmarkStart w:id="9" w:name="the-decorated-cone"/>
      <w:bookmarkEnd w:id="8"/>
      <w:r>
        <w:t>4.2 The decorated cone</w:t>
      </w:r>
    </w:p>
    <w:p w14:paraId="405BC258" w14:textId="77777777" w:rsidR="0012657B" w:rsidRDefault="00000000" w:rsidP="00B04090">
      <w:pPr>
        <w:pStyle w:val="FirstParagraph"/>
        <w:jc w:val="both"/>
      </w:pPr>
      <w:r>
        <w:t>A candidate carrier element has the form</w:t>
      </w:r>
    </w:p>
    <w:p w14:paraId="1B3B7067"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m:rPr>
                <m:scr m:val="script"/>
                <m:sty m:val="p"/>
              </m:rPr>
              <w:rPr>
                <w:rFonts w:ascii="Cambria Math" w:hAnsi="Cambria Math"/>
              </w:rPr>
              <m:t>},O,D,E</m:t>
            </m:r>
          </m:e>
        </m:d>
        <m:r>
          <m:rPr>
            <m:sty m:val="p"/>
          </m:rPr>
          <w:rPr>
            <w:rFonts w:ascii="Cambria Math" w:hAnsi="Cambria Math"/>
          </w:rPr>
          <m:t>.</m:t>
        </m:r>
      </m:oMath>
      <w:r>
        <w:rPr>
          <w:sz w:val="22"/>
        </w:rPr>
        <w:tab/>
        <w:t>(2)</w:t>
      </w:r>
    </w:p>
    <w:p w14:paraId="5253EF5E" w14:textId="77777777" w:rsidR="0012657B" w:rsidRDefault="00000000" w:rsidP="00B04090">
      <w:pPr>
        <w:pStyle w:val="FirstParagraph"/>
        <w:jc w:val="both"/>
      </w:pPr>
      <w:r>
        <w:t xml:space="preserve">Here the shared theory is </w:t>
      </w:r>
      <m:oMath>
        <m:r>
          <w:rPr>
            <w:rFonts w:ascii="Cambria Math" w:hAnsi="Cambria Math"/>
          </w:rPr>
          <m:t>T</m:t>
        </m:r>
      </m:oMath>
      <w:r>
        <w:t xml:space="preserve">; interpretations are </w:t>
      </w:r>
      <m:oMath>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optional abstractions are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T</m:t>
        </m:r>
      </m:oMath>
      <w:r>
        <w:t xml:space="preserve">; and translations are </w:t>
      </w: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The collection </w:t>
      </w:r>
      <m:oMath>
        <m:r>
          <m:rPr>
            <m:scr m:val="script"/>
            <m:sty m:val="p"/>
          </m:rPr>
          <w:rPr>
            <w:rFonts w:ascii="Cambria Math" w:hAnsi="Cambria Math"/>
          </w:rPr>
          <m:t>O</m:t>
        </m:r>
      </m:oMath>
      <w:r>
        <w:t xml:space="preserve"> declares preserved observations, </w:t>
      </w:r>
      <m:oMath>
        <m:r>
          <m:rPr>
            <m:scr m:val="script"/>
            <m:sty m:val="p"/>
          </m:rPr>
          <w:rPr>
            <w:rFonts w:ascii="Cambria Math" w:hAnsi="Cambria Math"/>
          </w:rPr>
          <m:t>D</m:t>
        </m:r>
      </m:oMath>
      <w:r>
        <w:t xml:space="preserve"> records validity domains, and </w:t>
      </w:r>
      <m:oMath>
        <m:r>
          <m:rPr>
            <m:scr m:val="script"/>
            <m:sty m:val="p"/>
          </m:rPr>
          <w:rPr>
            <w:rFonts w:ascii="Cambria Math" w:hAnsi="Cambria Math"/>
          </w:rPr>
          <m:t>E</m:t>
        </m:r>
      </m:oMath>
      <w:r>
        <w:t xml:space="preserve"> records evidence and versions. When translations are exact and comparison witnesses satisfy the necessary composition laws, the interpretation data form a cone or a pseudocone. The remaining fields decorate that cone with executable and empirical obligations.</w:t>
      </w:r>
    </w:p>
    <w:p w14:paraId="7912BBB7" w14:textId="77777777" w:rsidR="0012657B" w:rsidRDefault="00000000" w:rsidP="00B04090">
      <w:pPr>
        <w:pStyle w:val="BodyText"/>
        <w:jc w:val="both"/>
      </w:pPr>
      <w:r>
        <w:t>An edge witness compares the two routes from the shared theory into its destination:</w:t>
      </w:r>
    </w:p>
    <w:p w14:paraId="5EB86220"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α</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oMath>
      <w:r>
        <w:rPr>
          <w:sz w:val="22"/>
        </w:rPr>
        <w:tab/>
        <w:t>(3)</w:t>
      </w:r>
    </w:p>
    <w:p w14:paraId="62994F32" w14:textId="77777777" w:rsidR="0012657B" w:rsidRDefault="00000000" w:rsidP="00B04090">
      <w:pPr>
        <w:pStyle w:val="FirstParagraph"/>
        <w:jc w:val="both"/>
      </w:pPr>
      <w:r>
        <w:t xml:space="preserve">A natural transformation is additional structure. For a morphism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in the shared theory, its components satisfy</w:t>
      </w:r>
    </w:p>
    <w:p w14:paraId="2E802EBF"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I</m:t>
            </m:r>
          </m:e>
          <m:sub>
            <m:r>
              <w:rPr>
                <w:rFonts w:ascii="Cambria Math" w:hAnsi="Cambria Math"/>
              </w:rPr>
              <m:t>v</m:t>
            </m:r>
          </m:sub>
        </m:sSub>
        <m:d>
          <m:dPr>
            <m:ctrlPr>
              <w:rPr>
                <w:rFonts w:ascii="Cambria Math" w:hAnsi="Cambria Math"/>
              </w:rPr>
            </m:ctrlPr>
          </m:dPr>
          <m:e>
            <m:r>
              <w:rPr>
                <w:rFonts w:ascii="Cambria Math" w:hAnsi="Cambria Math"/>
              </w:rPr>
              <m:t>f</m:t>
            </m:r>
          </m:e>
        </m:d>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e</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r>
              <m:rPr>
                <m:sty m:val="p"/>
              </m:rPr>
              <w:rPr>
                <w:rFonts w:ascii="Cambria Math" w:hAnsi="Cambria Math"/>
              </w:rPr>
              <m:t>,</m:t>
            </m:r>
            <m:r>
              <w:rPr>
                <w:rFonts w:ascii="Cambria Math" w:hAnsi="Cambria Math"/>
              </w:rPr>
              <m:t>y</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u</m:t>
                </m:r>
              </m:sub>
            </m:sSub>
          </m:e>
        </m:d>
        <m:d>
          <m:dPr>
            <m:ctrlPr>
              <w:rPr>
                <w:rFonts w:ascii="Cambria Math" w:hAnsi="Cambria Math"/>
              </w:rPr>
            </m:ctrlPr>
          </m:dPr>
          <m:e>
            <m:r>
              <w:rPr>
                <w:rFonts w:ascii="Cambria Math" w:hAnsi="Cambria Math"/>
              </w:rPr>
              <m:t>f</m:t>
            </m:r>
          </m:e>
        </m:d>
        <m:r>
          <m:rPr>
            <m:sty m:val="p"/>
          </m:rPr>
          <w:rPr>
            <w:rFonts w:ascii="Cambria Math" w:hAnsi="Cambria Math"/>
          </w:rPr>
          <m:t>.</m:t>
        </m:r>
      </m:oMath>
      <w:r>
        <w:rPr>
          <w:sz w:val="22"/>
        </w:rPr>
        <w:tab/>
        <w:t>(4)</w:t>
      </w:r>
    </w:p>
    <w:p w14:paraId="068E195A" w14:textId="77777777" w:rsidR="0012657B" w:rsidRDefault="00000000" w:rsidP="00B04090">
      <w:pPr>
        <w:pStyle w:val="FirstParagraph"/>
        <w:jc w:val="both"/>
      </w:pPr>
      <w:r>
        <w:t>Only an invertible witness supports the corresponding equivalence or reversible homotopy interpretation. A noninvertible witness may describe approximation or information loss and must not be silently treated as equality. In approximate implementations, the defect metric and tested generators are declared. Small defect on generators does not guarantee uniformly small defect on every composite.</w:t>
      </w:r>
    </w:p>
    <w:p w14:paraId="146F3B82" w14:textId="77777777" w:rsidR="0012657B" w:rsidRDefault="00000000" w:rsidP="00B04090">
      <w:pPr>
        <w:pStyle w:val="BodyText"/>
        <w:keepNext/>
        <w:spacing w:before="100"/>
        <w:jc w:val="both"/>
      </w:pPr>
      <w:r>
        <w:rPr>
          <w:noProof/>
        </w:rPr>
        <w:lastRenderedPageBreak/>
        <w:drawing>
          <wp:inline distT="0" distB="0" distL="0" distR="0" wp14:anchorId="7FAC659C" wp14:editId="13C31181">
            <wp:extent cx="5577840" cy="3154680"/>
            <wp:effectExtent l="0" t="0" r="0" b="0"/>
            <wp:docPr id="29" name="Picture" descr="Shared theory T with three domain interpretations and independently proposed translations forming a comparison loop."/>
            <wp:cNvGraphicFramePr/>
            <a:graphic xmlns:a="http://schemas.openxmlformats.org/drawingml/2006/main">
              <a:graphicData uri="http://schemas.openxmlformats.org/drawingml/2006/picture">
                <pic:pic xmlns:pic="http://schemas.openxmlformats.org/drawingml/2006/picture">
                  <pic:nvPicPr>
                    <pic:cNvPr id="30" name="Picture" descr="comparison_diagram.png"/>
                    <pic:cNvPicPr>
                      <a:picLocks noChangeAspect="1" noChangeArrowheads="1"/>
                    </pic:cNvPicPr>
                  </pic:nvPicPr>
                  <pic:blipFill>
                    <a:blip r:embed="rId7"/>
                    <a:stretch>
                      <a:fillRect/>
                    </a:stretch>
                  </pic:blipFill>
                  <pic:spPr bwMode="auto">
                    <a:xfrm>
                      <a:off x="0" y="0"/>
                      <a:ext cx="5577840" cy="3154680"/>
                    </a:xfrm>
                    <a:prstGeom prst="rect">
                      <a:avLst/>
                    </a:prstGeom>
                    <a:noFill/>
                    <a:ln w="9525">
                      <a:noFill/>
                      <a:headEnd/>
                      <a:tailEnd/>
                    </a:ln>
                  </pic:spPr>
                </pic:pic>
              </a:graphicData>
            </a:graphic>
          </wp:inline>
        </w:drawing>
      </w:r>
    </w:p>
    <w:p w14:paraId="0A4AAB58" w14:textId="77777777" w:rsidR="0012657B" w:rsidRDefault="00000000" w:rsidP="00B04090">
      <w:pPr>
        <w:pStyle w:val="Caption"/>
        <w:spacing w:before="100" w:after="140"/>
        <w:jc w:val="both"/>
      </w:pPr>
      <w:r>
        <w:t>Figure 1 A candidate shared theory has three interpretations and independently proposed domain translations. Each edge supplies a comparison witness. The checker evaluates declared route agreements and destination predictions, and its failures can revise either a translation or a presentation. Arrows represent typed proposals rather than established equivalences.</w:t>
      </w:r>
    </w:p>
    <w:p w14:paraId="6D9BFC86" w14:textId="77777777" w:rsidR="0012657B" w:rsidRDefault="00000000" w:rsidP="00B04090">
      <w:pPr>
        <w:pStyle w:val="Heading2"/>
        <w:jc w:val="both"/>
      </w:pPr>
      <w:bookmarkStart w:id="10" w:name="X5bdaf1d364e4d6f2576035c8db242669d97ac23"/>
      <w:bookmarkEnd w:id="9"/>
      <w:r>
        <w:t>4.3 Universality and reflectivity are additional claims</w:t>
      </w:r>
    </w:p>
    <w:p w14:paraId="14338B4E" w14:textId="77777777" w:rsidR="0012657B" w:rsidRDefault="00000000" w:rsidP="00B04090">
      <w:pPr>
        <w:pStyle w:val="FirstParagraph"/>
        <w:jc w:val="both"/>
      </w:pPr>
      <w:r>
        <w:t>For a fixed diagram, a limit is a terminal cone: every other cone factors uniquely through it. A pseudolimit requires the corresponding coherent categorical data. A trained candidate that passes finitely many tests does not thereby satisfy this universal property. We treat factorization of rival cones as a relative test within a declared hypothesis class, not as a proof of unrestricted universality.</w:t>
      </w:r>
    </w:p>
    <w:p w14:paraId="1873F519" w14:textId="77777777" w:rsidR="0012657B" w:rsidRDefault="00000000" w:rsidP="00B04090">
      <w:pPr>
        <w:pStyle w:val="BodyText"/>
        <w:jc w:val="both"/>
      </w:pPr>
      <w:r>
        <w:t xml:space="preserve">Likewise, the condition </w:t>
      </w:r>
      <m:oMath>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T</m:t>
            </m:r>
          </m:sub>
        </m:sSub>
      </m:oMath>
      <w:r>
        <w:t xml:space="preserve"> alone does not establish an adjunction or a reflective subcategory. If an adjunction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oMath>
      <w:r>
        <w:t xml:space="preserve"> is supplied and its counit is invertible, the interpretation is fully faithful and its image is reflective [11]. General domain abstraction need not meet these assumptions. The default implementation therefore declares the information retained and discarded, without assuming reflectivity.</w:t>
      </w:r>
    </w:p>
    <w:p w14:paraId="338E77AE" w14:textId="77777777" w:rsidR="0012657B" w:rsidRDefault="00000000" w:rsidP="00B04090">
      <w:pPr>
        <w:pStyle w:val="BodyText"/>
        <w:jc w:val="both"/>
      </w:pPr>
      <w:r>
        <w:t>This avoids imposing an exact equivalence on domains that share only an observational subtheory. For example, two physical systems can share a response law without sharing all states, realizations, or allowed interventions.</w:t>
      </w:r>
    </w:p>
    <w:p w14:paraId="7B921F81" w14:textId="77777777" w:rsidR="0012657B" w:rsidRDefault="00000000" w:rsidP="00B04090">
      <w:pPr>
        <w:pStyle w:val="Heading2"/>
        <w:jc w:val="both"/>
      </w:pPr>
      <w:bookmarkStart w:id="11" w:name="X395aa6cd6f24249d7889a0e22cf2571cb0487c5"/>
      <w:bookmarkEnd w:id="10"/>
      <w:r>
        <w:t>4.4 The deformation space and protected content</w:t>
      </w:r>
    </w:p>
    <w:p w14:paraId="2FCF9B24" w14:textId="77777777" w:rsidR="0012657B" w:rsidRDefault="00000000" w:rsidP="00B04090">
      <w:pPr>
        <w:pStyle w:val="FirstParagraph"/>
        <w:jc w:val="both"/>
      </w:pPr>
      <w:r>
        <w:t>To instantiate GHO, fix a numerical realization and give each parameter family its usual Euclidean topology. A schema defines a stratum of candidate carriers. Within that stratum, continuous paths change numerical maps, and every admissible path retains registered types and protected observations within a declared tolerance. A curriculum parameter changes task difficulty or comparison supervision while retaining a correspondence to the final task. These choices supply an actual deformation problem rather than merely a name for iteration.</w:t>
      </w:r>
    </w:p>
    <w:p w14:paraId="4A7F708C" w14:textId="77777777" w:rsidR="0012657B" w:rsidRDefault="00000000" w:rsidP="00B04090">
      <w:pPr>
        <w:pStyle w:val="BodyText"/>
        <w:jc w:val="both"/>
      </w:pPr>
      <w:r>
        <w:lastRenderedPageBreak/>
        <w:t>Discrete schema edits connect strata only through typed embeddings, explicit replacement maps, or witnessed equivalences. An edit that changes the meaning of a protected query is a revision of the problem specification, with its own version and revalidation. It is not automatically a homotopy preserving the old theory. The implementation records both continuous parameter transport and discrete revision events; no common topology or continuity theorem for arbitrary edits is assumed.</w:t>
      </w:r>
    </w:p>
    <w:p w14:paraId="160D74BE" w14:textId="77777777" w:rsidR="0012657B" w:rsidRDefault="00000000" w:rsidP="00B04090">
      <w:pPr>
        <w:pStyle w:val="Heading1"/>
        <w:jc w:val="both"/>
      </w:pPr>
      <w:bookmarkStart w:id="12" w:name="what-coherence-checks-establish"/>
      <w:bookmarkEnd w:id="7"/>
      <w:bookmarkEnd w:id="11"/>
      <w:r>
        <w:t>5 What coherence checks establish</w:t>
      </w:r>
    </w:p>
    <w:p w14:paraId="1D44543F" w14:textId="77777777" w:rsidR="0012657B" w:rsidRDefault="00000000" w:rsidP="00B04090">
      <w:pPr>
        <w:pStyle w:val="Heading2"/>
        <w:jc w:val="both"/>
      </w:pPr>
      <w:bookmarkStart w:id="13" w:name="invertible-translations-on-a-graph"/>
      <w:r>
        <w:t>5.1 Invertible translations on a graph</w:t>
      </w:r>
    </w:p>
    <w:p w14:paraId="6160C9B4" w14:textId="77777777" w:rsidR="0012657B" w:rsidRDefault="00000000" w:rsidP="00B04090">
      <w:pPr>
        <w:pStyle w:val="FirstParagraph"/>
        <w:jc w:val="both"/>
      </w:pPr>
      <w:r>
        <w:rPr>
          <w:b/>
          <w:bCs/>
        </w:rPr>
        <w:t>Proposition 2 Fundamental loop checks.</w:t>
      </w:r>
      <w:r>
        <w:t xml:space="preserve"> Let a finite connected comparison graph have translations that are exact invertible linear maps between equal dimensional spaces. Reverse traversal uses the true inverse. Choose a root and a spanning tree. All transports can be expressed as changes of domain coordinates if and only if every fundamental loop transport is the identity. The number of fundamental loops is</w:t>
      </w:r>
    </w:p>
    <w:p w14:paraId="5926EFE8"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J</m:t>
            </m:r>
          </m:e>
        </m:d>
        <m:r>
          <m:rPr>
            <m:sty m:val="p"/>
          </m:rPr>
          <w:rPr>
            <w:rFonts w:ascii="Cambria Math" w:hAnsi="Cambria Math"/>
          </w:rPr>
          <m:t>=</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r>
          <m:rPr>
            <m:sty m:val="p"/>
          </m:rPr>
          <w:rPr>
            <w:rFonts w:ascii="Cambria Math" w:hAnsi="Cambria Math"/>
          </w:rPr>
          <m:t>.</m:t>
        </m:r>
      </m:oMath>
      <w:r>
        <w:rPr>
          <w:sz w:val="22"/>
        </w:rPr>
        <w:tab/>
        <w:t>(5)</w:t>
      </w:r>
    </w:p>
    <w:p w14:paraId="45CE783D" w14:textId="77777777" w:rsidR="0012657B" w:rsidRDefault="00000000" w:rsidP="00B04090">
      <w:pPr>
        <w:pStyle w:val="FirstParagraph"/>
        <w:jc w:val="both"/>
      </w:pPr>
      <w:r>
        <w:rPr>
          <w:b/>
          <w:bCs/>
        </w:rPr>
        <w:t>Proof.</w:t>
      </w:r>
      <w:r>
        <w:t xml:space="preserve"> Transport the root coordinates along each tree path. This fixes all tree edges. Each remaining edge defines one root based loop and agrees with the coordinates precisely when its loop product is the identity. The fundamental loops freely generate the fundamental group of a graph, so their identity transports imply the same for every closed walk. The converse follows by telescoping coordinate changes.</w:t>
      </w:r>
    </w:p>
    <w:p w14:paraId="1CE797A6" w14:textId="77777777" w:rsidR="0012657B" w:rsidRDefault="00000000" w:rsidP="00B04090">
      <w:pPr>
        <w:pStyle w:val="BodyText"/>
        <w:jc w:val="both"/>
      </w:pPr>
      <w:r>
        <w:t>On a tree, route coherence is vacuous under these assumptions, because there is only one simple path between each pair of vertices. This does not make tree comparisons uninformative. Independently paired examples, relation checks, and destination predictions can still constrain every edge. Bridges are invisible to the verdict of strict loop triviality, not to all possible supervision. Numerical matrix entries can also change under conjugation without changing a loop’s triviality verdict.</w:t>
      </w:r>
    </w:p>
    <w:p w14:paraId="7BB18CD3" w14:textId="77777777" w:rsidR="0012657B" w:rsidRDefault="00000000" w:rsidP="00B04090">
      <w:pPr>
        <w:pStyle w:val="BodyText"/>
        <w:jc w:val="both"/>
      </w:pPr>
      <w:r>
        <w:t>When an allowed symmetry group is declared, the checker must specify what agreement modulo that symmetry means. A quotient of an automorphism group by a subgroup is a quotient group only when the subgroup is normal. We avoid a general quotient group assumption by comparing the declared observable action of routes. A frame change can be admissible for one observable and invalid for another.</w:t>
      </w:r>
    </w:p>
    <w:p w14:paraId="65746C77" w14:textId="77777777" w:rsidR="0012657B" w:rsidRDefault="00000000" w:rsidP="00B04090">
      <w:pPr>
        <w:pStyle w:val="Heading2"/>
        <w:jc w:val="both"/>
      </w:pPr>
      <w:bookmarkStart w:id="14" w:name="X8dd4fb85b4640b9878470590185ef65dbbc551d"/>
      <w:bookmarkEnd w:id="13"/>
      <w:r>
        <w:t>5.2 Noncommuting transports and higher comparisons</w:t>
      </w:r>
    </w:p>
    <w:p w14:paraId="3E720E23" w14:textId="77777777" w:rsidR="0012657B" w:rsidRDefault="00000000" w:rsidP="00B04090">
      <w:pPr>
        <w:pStyle w:val="FirstParagraph"/>
        <w:jc w:val="both"/>
      </w:pPr>
      <w:r>
        <w:t>Testing loops that merely span first homology need not detect nonabelian holonomy. Homology records the abelianization of path composition. Exact identity checks on a spanning tree’s fundamental loops suffice for graph transports because those loops generate the full fundamental group. For a complex with filled comparisons, trusted cell boundaries impose relations, and the remaining global generators must also be checked.</w:t>
      </w:r>
    </w:p>
    <w:p w14:paraId="389526B0" w14:textId="77777777" w:rsidR="0012657B" w:rsidRDefault="00000000" w:rsidP="00B04090">
      <w:pPr>
        <w:pStyle w:val="BodyText"/>
        <w:jc w:val="both"/>
      </w:pPr>
      <w:r>
        <w:t>Local consistency on filled squares can coexist with nontrivial transport around a hole. The supplied annulus check illustrates this: all six square residuals vanish while the transport around the hole is a rotation through 0.9 radians. This is a finite example of the local to global distinction, not evidence of a phenomenon in a trained network.</w:t>
      </w:r>
    </w:p>
    <w:p w14:paraId="4CF9FCD6" w14:textId="77777777" w:rsidR="0012657B" w:rsidRDefault="00000000" w:rsidP="00B04090">
      <w:pPr>
        <w:pStyle w:val="BodyText"/>
        <w:jc w:val="both"/>
      </w:pPr>
      <w:r>
        <w:lastRenderedPageBreak/>
        <w:t>Noncommuting domains require transports capable of representing operation order. A commuting embedding cannot distinguish two routes solely through the order of their relation operators when all other information is equal. An implementation can recover that distinction through contextual state or other noncommuting machinery, but then that machinery must be included in its evaluated transport model.</w:t>
      </w:r>
    </w:p>
    <w:p w14:paraId="2D6581D9" w14:textId="77777777" w:rsidR="0012657B" w:rsidRDefault="00000000" w:rsidP="00B04090">
      <w:pPr>
        <w:pStyle w:val="Heading2"/>
        <w:jc w:val="both"/>
      </w:pPr>
      <w:bookmarkStart w:id="15" w:name="error-accumulation"/>
      <w:bookmarkEnd w:id="14"/>
      <w:r>
        <w:t>5.3 Error accumulation</w:t>
      </w:r>
    </w:p>
    <w:p w14:paraId="2A332F16" w14:textId="77777777" w:rsidR="0012657B" w:rsidRDefault="00000000" w:rsidP="00B04090">
      <w:pPr>
        <w:pStyle w:val="FirstParagraph"/>
        <w:jc w:val="both"/>
      </w:pPr>
      <w:r>
        <w:t xml:space="preserve">If each ideal step is Lipschitz with constant at most </w:t>
      </w:r>
      <m:oMath>
        <m:r>
          <w:rPr>
            <w:rFonts w:ascii="Cambria Math" w:hAnsi="Cambria Math"/>
          </w:rPr>
          <m:t>L</m:t>
        </m:r>
      </m:oMath>
      <w:r>
        <w:t xml:space="preserve">, and each learned step differs from its ideal step by at most </w:t>
      </w:r>
      <m:oMath>
        <m:r>
          <w:rPr>
            <w:rFonts w:ascii="Cambria Math" w:hAnsi="Cambria Math"/>
          </w:rPr>
          <m:t>ε</m:t>
        </m:r>
      </m:oMath>
      <w:r>
        <w:t xml:space="preserve"> throughout an invariant tested region, then the discrepancy after </w:t>
      </w:r>
      <m:oMath>
        <m:r>
          <w:rPr>
            <w:rFonts w:ascii="Cambria Math" w:hAnsi="Cambria Math"/>
          </w:rPr>
          <m:t>k</m:t>
        </m:r>
      </m:oMath>
      <w:r>
        <w:t xml:space="preserve"> steps obeys</w:t>
      </w:r>
    </w:p>
    <w:p w14:paraId="08A21CE3"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ε</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L</m:t>
                </m:r>
              </m:e>
              <m:sup>
                <m:r>
                  <w:rPr>
                    <w:rFonts w:ascii="Cambria Math" w:hAnsi="Cambria Math"/>
                  </w:rPr>
                  <m:t>j</m:t>
                </m:r>
              </m:sup>
            </m:sSup>
          </m:e>
        </m:nary>
        <m:r>
          <m:rPr>
            <m:sty m:val="p"/>
          </m:rPr>
          <w:rPr>
            <w:rFonts w:ascii="Cambria Math" w:hAnsi="Cambria Math"/>
          </w:rPr>
          <m:t>.</m:t>
        </m:r>
      </m:oMath>
      <w:r>
        <w:rPr>
          <w:sz w:val="22"/>
        </w:rPr>
        <w:tab/>
        <w:t>(6)</w:t>
      </w:r>
    </w:p>
    <w:p w14:paraId="4E3AE54A" w14:textId="77777777" w:rsidR="0012657B" w:rsidRDefault="00000000" w:rsidP="00B04090">
      <w:pPr>
        <w:pStyle w:val="FirstParagraph"/>
        <w:jc w:val="both"/>
      </w:pPr>
      <w:r>
        <w:t xml:space="preserve">For </w:t>
      </w:r>
      <m:oMath>
        <m:r>
          <w:rPr>
            <w:rFonts w:ascii="Cambria Math" w:hAnsi="Cambria Math"/>
          </w:rPr>
          <m:t>L</m:t>
        </m:r>
        <m:r>
          <m:rPr>
            <m:sty m:val="p"/>
          </m:rPr>
          <w:rPr>
            <w:rFonts w:ascii="Cambria Math" w:hAnsi="Cambria Math"/>
          </w:rPr>
          <m:t>=</m:t>
        </m:r>
        <m:r>
          <w:rPr>
            <w:rFonts w:ascii="Cambria Math" w:hAnsi="Cambria Math"/>
          </w:rPr>
          <m:t>1</m:t>
        </m:r>
      </m:oMath>
      <w:r>
        <w:t xml:space="preserve"> this is </w:t>
      </w:r>
      <m:oMath>
        <m:r>
          <w:rPr>
            <w:rFonts w:ascii="Cambria Math" w:hAnsi="Cambria Math"/>
          </w:rPr>
          <m:t>kε</m:t>
        </m:r>
      </m:oMath>
      <w:r>
        <w:t>. Under additional small error, independence, and zero mean assumptions, an approximately isometric realization can exhibit square root growth. This scaling is a local regime and can saturate on a compact group. It must not be used as a universal law of translation error.</w:t>
      </w:r>
    </w:p>
    <w:p w14:paraId="447B23E5" w14:textId="77777777" w:rsidR="0012657B" w:rsidRDefault="00000000" w:rsidP="00B04090">
      <w:pPr>
        <w:pStyle w:val="BodyText"/>
        <w:jc w:val="both"/>
      </w:pPr>
      <w:r>
        <w:t>Constant error across route lengths does not establish retrieval. Exact composition can have zero error at every length, and cancellation or contraction can suppress error growth. Distinguishing composition from retrieval requires withheld compositions, changed encodings, and interventions on intermediate steps.</w:t>
      </w:r>
    </w:p>
    <w:p w14:paraId="431CE421" w14:textId="77777777" w:rsidR="0012657B" w:rsidRDefault="00000000" w:rsidP="00B04090">
      <w:pPr>
        <w:pStyle w:val="Heading2"/>
        <w:jc w:val="both"/>
      </w:pPr>
      <w:bookmarkStart w:id="16" w:name="obstruction-evidence"/>
      <w:bookmarkEnd w:id="15"/>
      <w:r>
        <w:t>5.4 Obstruction evidence</w:t>
      </w:r>
    </w:p>
    <w:p w14:paraId="46689AF5" w14:textId="77777777" w:rsidR="0012657B" w:rsidRDefault="00000000" w:rsidP="00B04090">
      <w:pPr>
        <w:pStyle w:val="FirstParagraph"/>
        <w:jc w:val="both"/>
      </w:pPr>
      <w:r>
        <w:t>A persistent residual after failed optimization is evidence against the fitted candidate. It is not automatically an impossibility certificate. A certificate must identify the hypothesis class, protected constraints, and a witness showing that every admissible repair fails. An exhaustive finite search, a proof checker, or a domain theorem may provide such evidence. Without it, the system reports an unresolved discrepancy and keeps alternative explanations available.</w:t>
      </w:r>
    </w:p>
    <w:p w14:paraId="360D8218" w14:textId="77777777" w:rsidR="0012657B" w:rsidRDefault="00000000" w:rsidP="00B04090">
      <w:pPr>
        <w:pStyle w:val="BodyText"/>
        <w:jc w:val="both"/>
      </w:pPr>
      <w:r>
        <w:t>This distinction matters when the checker and translator share a source. Coordinated errors can satisfy every internal route equation. Independent destination evidence is necessary to turn agreement into credible transfer.</w:t>
      </w:r>
    </w:p>
    <w:p w14:paraId="3F44AB6F" w14:textId="77777777" w:rsidR="0012657B" w:rsidRDefault="00000000" w:rsidP="00B04090">
      <w:pPr>
        <w:pStyle w:val="Heading1"/>
        <w:jc w:val="both"/>
      </w:pPr>
      <w:bookmarkStart w:id="17" w:name="X63d2bf5f8566f89ae2fd7150eaf7c4487695ff2"/>
      <w:bookmarkEnd w:id="12"/>
      <w:bookmarkEnd w:id="16"/>
      <w:r>
        <w:t>6 Compatible states and invariant observables</w:t>
      </w:r>
    </w:p>
    <w:p w14:paraId="48719D90" w14:textId="77777777" w:rsidR="0012657B" w:rsidRDefault="00000000" w:rsidP="00B04090">
      <w:pPr>
        <w:pStyle w:val="Heading2"/>
        <w:jc w:val="both"/>
      </w:pPr>
      <w:bookmarkStart w:id="18" w:name="the-linear-compatibility-complex"/>
      <w:r>
        <w:t>6.1 The linear compatibility complex</w:t>
      </w:r>
    </w:p>
    <w:p w14:paraId="49B667CA" w14:textId="77777777" w:rsidR="0012657B" w:rsidRDefault="00000000" w:rsidP="00B04090">
      <w:pPr>
        <w:pStyle w:val="FirstParagraph"/>
        <w:jc w:val="both"/>
      </w:pPr>
      <w:r>
        <w:t>Associate a finite dimensional space with each vertex. For a directed edge, use a linear map from its source space to its target space. The compatibility operator is</w:t>
      </w:r>
    </w:p>
    <w:p w14:paraId="75B89F59"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rPr>
          <w:sz w:val="22"/>
        </w:rPr>
        <w:tab/>
        <w:t>(7)</w:t>
      </w:r>
    </w:p>
    <w:p w14:paraId="46C619E9" w14:textId="77777777" w:rsidR="0012657B" w:rsidRDefault="00000000" w:rsidP="00B04090">
      <w:pPr>
        <w:pStyle w:val="FirstParagraph"/>
        <w:jc w:val="both"/>
      </w:pPr>
      <w:r>
        <w:t xml:space="preserve">The compatible state space is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=ker</m:t>
        </m:r>
        <m:r>
          <w:rPr>
            <w:rFonts w:ascii="Cambria Math" w:hAnsi="Cambria Math"/>
          </w:rPr>
          <m:t>δ</m:t>
        </m:r>
      </m:oMath>
      <w:r>
        <w:t xml:space="preserve">, and the unabsorbable edge discrepancy space is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=coker</m:t>
        </m:r>
        <m:r>
          <w:rPr>
            <w:rFonts w:ascii="Cambria Math" w:hAnsi="Cambria Math"/>
          </w:rPr>
          <m:t>δ</m:t>
        </m:r>
      </m:oMath>
      <w:r>
        <w:t>. These are the degree zero and degree one cohomology spaces of the graph sheaf realization [10]. Cohomology here is relative to the chosen spaces and maps. Its dimensions do not measure general intelligence.</w:t>
      </w:r>
    </w:p>
    <w:p w14:paraId="38DCCDCC" w14:textId="77777777" w:rsidR="0012657B" w:rsidRDefault="00000000" w:rsidP="00B04090">
      <w:pPr>
        <w:pStyle w:val="BodyText"/>
        <w:jc w:val="both"/>
      </w:pPr>
      <w:r>
        <w:rPr>
          <w:b/>
          <w:bCs/>
        </w:rPr>
        <w:t>Proposition 3 Compatibility accounting.</w:t>
      </w:r>
      <w:r>
        <w:t xml:space="preserve"> In the linear graph setting,</w:t>
      </w:r>
    </w:p>
    <w:p w14:paraId="09CFCFE6" w14:textId="77777777" w:rsidR="0012657B" w:rsidRDefault="00000000" w:rsidP="00B04090">
      <w:pPr>
        <w:pStyle w:val="BodyText"/>
        <w:keepLines/>
        <w:tabs>
          <w:tab w:val="center" w:pos="4810"/>
          <w:tab w:val="right" w:pos="9677"/>
        </w:tabs>
        <w:spacing w:before="100"/>
        <w:jc w:val="both"/>
      </w:pPr>
      <w:r>
        <w:tab/>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oMath>
      <w:r>
        <w:rPr>
          <w:sz w:val="22"/>
        </w:rPr>
        <w:tab/>
        <w:t>(8)</w:t>
      </w:r>
    </w:p>
    <w:p w14:paraId="0467544B" w14:textId="77777777" w:rsidR="0012657B" w:rsidRDefault="00000000" w:rsidP="00B04090">
      <w:pPr>
        <w:pStyle w:val="FirstParagraph"/>
        <w:jc w:val="both"/>
      </w:pPr>
      <w:r>
        <w:t xml:space="preserve">Adding an edge whose target has dimension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changes the dimensions by</w:t>
      </w:r>
    </w:p>
    <w:p w14:paraId="0B197B65" w14:textId="77777777" w:rsidR="0012657B" w:rsidRDefault="00000000" w:rsidP="00B04090">
      <w:pPr>
        <w:pStyle w:val="BodyText"/>
        <w:keepLines/>
        <w:tabs>
          <w:tab w:val="center" w:pos="4810"/>
          <w:tab w:val="right" w:pos="9677"/>
        </w:tabs>
        <w:spacing w:before="100"/>
        <w:jc w:val="both"/>
      </w:pPr>
      <w:r>
        <w:lastRenderedPageBreak/>
        <w:tab/>
      </w:r>
      <m:oMath>
        <m:d>
          <m:dPr>
            <m:ctrlPr>
              <w:rPr>
                <w:rFonts w:ascii="Cambria Math" w:hAnsi="Cambria Math"/>
              </w:rPr>
            </m:ctrlPr>
          </m:dPr>
          <m:e>
            <m:r>
              <w:rPr>
                <w:rFonts w:ascii="Cambria Math" w:hAnsi="Cambria Math"/>
              </w:rPr>
              <m:t>Δ</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Δ</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oMath>
      <w:r>
        <w:rPr>
          <w:sz w:val="22"/>
        </w:rPr>
        <w:tab/>
        <w:t>(9)</w:t>
      </w:r>
    </w:p>
    <w:p w14:paraId="6B9F835E" w14:textId="77777777" w:rsidR="0012657B" w:rsidRDefault="00000000" w:rsidP="00B04090">
      <w:pPr>
        <w:pStyle w:val="FirstParagraph"/>
        <w:jc w:val="both"/>
      </w:pPr>
      <w:r>
        <w:rPr>
          <w:b/>
          <w:bCs/>
        </w:rPr>
        <w:t>Proof.</w:t>
      </w:r>
      <w:r>
        <w:t xml:space="preserve"> Equation (8) is rank nullity for the compatibility operator. A new edge adds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rows. If its rank contribution is </w:t>
      </w:r>
      <m:oMath>
        <m:r>
          <w:rPr>
            <w:rFonts w:ascii="Cambria Math" w:hAnsi="Cambria Math"/>
          </w:rPr>
          <m:t>r</m:t>
        </m:r>
      </m:oMath>
      <w:r>
        <w:t xml:space="preserve">, the kernel loses </w:t>
      </w:r>
      <m:oMath>
        <m:r>
          <w:rPr>
            <w:rFonts w:ascii="Cambria Math" w:hAnsi="Cambria Math"/>
          </w:rPr>
          <m:t>r</m:t>
        </m:r>
      </m:oMath>
      <w:r>
        <w:t xml:space="preserve"> dimensions and the cokernel gains </w:t>
      </w: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r</m:t>
        </m:r>
      </m:oMath>
      <w:r>
        <w:t xml:space="preserve"> dimensions.</w:t>
      </w:r>
    </w:p>
    <w:p w14:paraId="617F9765" w14:textId="77777777" w:rsidR="0012657B" w:rsidRDefault="00000000" w:rsidP="00B04090">
      <w:pPr>
        <w:pStyle w:val="BodyText"/>
        <w:jc w:val="both"/>
      </w:pPr>
      <w:r>
        <w:t xml:space="preserve">Thus an additional comparison can restrict the compatible states and can create further directions in which edge discrepancies are distinguishable from changes of vertex states. We call the latter discrepancy capacity. It is an algebraic property, not a guarantee that a noisy critic will detect every practical error. On a connected graph with identity holonomy and equal dimension </w:t>
      </w:r>
      <m:oMath>
        <m:r>
          <w:rPr>
            <w:rFonts w:ascii="Cambria Math" w:hAnsi="Cambria Math"/>
          </w:rPr>
          <m:t>d</m:t>
        </m:r>
      </m:oMath>
      <w:r>
        <w:t xml:space="preserve">, this capacity is </w:t>
      </w:r>
      <m:oMath>
        <m:r>
          <w:rPr>
            <w:rFonts w:ascii="Cambria Math" w:hAnsi="Cambria Math"/>
          </w:rPr>
          <m:t>d</m:t>
        </m:r>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76DFED68" w14:textId="77777777" w:rsidR="0012657B" w:rsidRDefault="00000000" w:rsidP="00B04090">
      <w:pPr>
        <w:pStyle w:val="BodyText"/>
        <w:jc w:val="both"/>
      </w:pPr>
      <w:r>
        <w:rPr>
          <w:b/>
          <w:bCs/>
        </w:rPr>
        <w:t>Proposition 4 Holonomy fixed states.</w:t>
      </w:r>
      <w:r>
        <w:t xml:space="preserve"> Under the invertibility assumptions of Proposition 2, compatible states are in bijection with root states fixed by every loop transport:</w:t>
      </w:r>
    </w:p>
    <w:p w14:paraId="07A3A852"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Hol</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γ</m:t>
            </m:r>
          </m:lim>
        </m:limLow>
        <m:r>
          <m:rPr>
            <m:sty m:val="p"/>
          </m:rPr>
          <w:rPr>
            <w:rFonts w:ascii="Cambria Math" w:hAnsi="Cambria Math"/>
          </w:rPr>
          <m:t>ker</m:t>
        </m:r>
        <m:d>
          <m:dPr>
            <m:ctrlPr>
              <w:rPr>
                <w:rFonts w:ascii="Cambria Math" w:hAnsi="Cambria Math"/>
              </w:rPr>
            </m:ctrlPr>
          </m:dPr>
          <m:e>
            <m:r>
              <w:rPr>
                <w:rFonts w:ascii="Cambria Math" w:hAnsi="Cambria Math"/>
              </w:rPr>
              <m:t>ρ</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1</m:t>
            </m:r>
          </m:e>
        </m:d>
        <m:r>
          <m:rPr>
            <m:sty m:val="p"/>
          </m:rPr>
          <w:rPr>
            <w:rFonts w:ascii="Cambria Math" w:hAnsi="Cambria Math"/>
          </w:rPr>
          <m:t>.</m:t>
        </m:r>
      </m:oMath>
      <w:r>
        <w:rPr>
          <w:sz w:val="22"/>
        </w:rPr>
        <w:tab/>
        <w:t>(10)</w:t>
      </w:r>
    </w:p>
    <w:p w14:paraId="2C7CF6E1" w14:textId="77777777" w:rsidR="0012657B" w:rsidRDefault="00000000" w:rsidP="00B04090">
      <w:pPr>
        <w:pStyle w:val="FirstParagraph"/>
        <w:jc w:val="both"/>
      </w:pPr>
      <w:r>
        <w:rPr>
          <w:b/>
          <w:bCs/>
        </w:rPr>
        <w:t>Proof.</w:t>
      </w:r>
      <w:r>
        <w:t xml:space="preserve"> A root state determines every tree vertex by transport. A remaining edge is compatible exactly when the corresponding fundamental loop fixes the root state. These conditions generate the conditions for all loops.</w:t>
      </w:r>
    </w:p>
    <w:p w14:paraId="5117EC34" w14:textId="77777777" w:rsidR="0012657B" w:rsidRDefault="00000000" w:rsidP="00B04090">
      <w:pPr>
        <w:pStyle w:val="BodyText"/>
        <w:jc w:val="both"/>
      </w:pPr>
      <w:r>
        <w:t xml:space="preserve">Affine edge offsets add a separate existence question. The equation </w:t>
      </w:r>
      <m:oMath>
        <m:r>
          <w:rPr>
            <w:rFonts w:ascii="Cambria Math" w:hAnsi="Cambria Math"/>
          </w:rPr>
          <m:t>δx</m:t>
        </m:r>
        <m:r>
          <m:rPr>
            <m:sty m:val="p"/>
          </m:rPr>
          <w:rPr>
            <w:rFonts w:ascii="Cambria Math" w:hAnsi="Cambria Math"/>
          </w:rPr>
          <m:t>=</m:t>
        </m:r>
        <m:r>
          <w:rPr>
            <w:rFonts w:ascii="Cambria Math" w:hAnsi="Cambria Math"/>
          </w:rPr>
          <m:t>b</m:t>
        </m:r>
      </m:oMath>
      <w:r>
        <w:t xml:space="preserve"> is solvable precisely when the offset class vanishes in the cokernel. With temperatures as an elementary example, a wrong Kelvin offset in a Celsius to Fahrenheit to Kelvin to Celsius route leaves a 0.15 K discrepancy that vertex adjustment cannot remove.</w:t>
      </w:r>
    </w:p>
    <w:p w14:paraId="1DCD7842" w14:textId="77777777" w:rsidR="0012657B" w:rsidRDefault="00000000" w:rsidP="00B04090">
      <w:pPr>
        <w:pStyle w:val="Heading2"/>
        <w:jc w:val="both"/>
      </w:pPr>
      <w:bookmarkStart w:id="19" w:name="X74ae3df9ba52b3f531ee963589a810f7a4cbe72"/>
      <w:bookmarkEnd w:id="18"/>
      <w:r>
        <w:t>6.2 A zero fixed space can retain a useful concept</w:t>
      </w:r>
    </w:p>
    <w:p w14:paraId="6E8B4EFF" w14:textId="77777777" w:rsidR="0012657B" w:rsidRDefault="00000000" w:rsidP="00B04090">
      <w:pPr>
        <w:pStyle w:val="FirstParagraph"/>
        <w:jc w:val="both"/>
      </w:pPr>
      <w:r>
        <w:rPr>
          <w:b/>
          <w:bCs/>
        </w:rPr>
        <w:t>Proposition 5 Invariant observables need not be fixed states.</w:t>
      </w:r>
      <w:r>
        <w:t xml:space="preserve"> A linear realization with a zero common fixed space can have nonconstant invariant observables.</w:t>
      </w:r>
    </w:p>
    <w:p w14:paraId="7162705D" w14:textId="77777777" w:rsidR="0012657B" w:rsidRDefault="00000000" w:rsidP="00B04090">
      <w:pPr>
        <w:pStyle w:val="BodyText"/>
        <w:jc w:val="both"/>
      </w:pPr>
      <w:r>
        <w:rPr>
          <w:b/>
          <w:bCs/>
        </w:rPr>
        <w:t>Proof by example.</w:t>
      </w:r>
      <w:r>
        <w:t xml:space="preserve"> Let the holonomy contain a rotation through a right angle on the plane. Its only fixed vector is zero. Nevertheless</w:t>
      </w:r>
    </w:p>
    <w:p w14:paraId="687D96FE"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Rx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ker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oMath>
      <w:r>
        <w:rPr>
          <w:sz w:val="22"/>
        </w:rPr>
        <w:tab/>
        <w:t>(11)</w:t>
      </w:r>
    </w:p>
    <w:p w14:paraId="35168E2D" w14:textId="77777777" w:rsidR="0012657B" w:rsidRDefault="00000000" w:rsidP="00B04090">
      <w:pPr>
        <w:pStyle w:val="FirstParagraph"/>
        <w:jc w:val="both"/>
      </w:pPr>
      <w:r>
        <w:t>Magnitude survives even though orientation does not. The same distinction holds for the full planar rotation group. Hence zero compatible state dimension cannot be interpreted as absence of every useful abstraction.</w:t>
      </w:r>
    </w:p>
    <w:p w14:paraId="3D593083" w14:textId="77777777" w:rsidR="0012657B" w:rsidRDefault="00000000" w:rsidP="00B04090">
      <w:pPr>
        <w:pStyle w:val="BodyText"/>
        <w:jc w:val="both"/>
      </w:pPr>
      <w:r>
        <w:t>For a declared family of invertible holonomies, define the invariant observable collection by</w:t>
      </w:r>
    </w:p>
    <w:p w14:paraId="21A6D51A"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Hol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cr m:val="double-struck"/>
            <m:sty m:val="p"/>
          </m:rPr>
          <w:rPr>
            <w:rFonts w:ascii="Cambria Math" w:hAnsi="Cambria Math"/>
          </w:rPr>
          <m:t>→R∣</m:t>
        </m:r>
        <m:r>
          <w:rPr>
            <w:rFonts w:ascii="Cambria Math" w:hAnsi="Cambria Math"/>
          </w:rPr>
          <m:t>q</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q</m:t>
        </m:r>
        <m:r>
          <m:rPr>
            <m:nor/>
          </m:rPr>
          <m:t xml:space="preserve"> for every </m:t>
        </m:r>
        <m:r>
          <w:rPr>
            <w:rFonts w:ascii="Cambria Math" w:hAnsi="Cambria Math"/>
          </w:rPr>
          <m:t>γ</m:t>
        </m:r>
        <m:r>
          <m:rPr>
            <m:sty m:val="p"/>
          </m:rPr>
          <w:rPr>
            <w:rFonts w:ascii="Cambria Math" w:hAnsi="Cambria Math"/>
          </w:rPr>
          <m:t>}.</m:t>
        </m:r>
      </m:oMath>
      <w:r>
        <w:rPr>
          <w:sz w:val="22"/>
        </w:rPr>
        <w:tab/>
        <w:t>(12)</w:t>
      </w:r>
    </w:p>
    <w:p w14:paraId="184A132D" w14:textId="77777777" w:rsidR="0012657B" w:rsidRDefault="00000000" w:rsidP="00B04090">
      <w:pPr>
        <w:pStyle w:val="FirstParagraph"/>
        <w:jc w:val="both"/>
      </w:pPr>
      <w:r>
        <w:t>This can be restricted to a finite vocabulary, continuous functions, or bounded degree polynomials. Predictive relevance and sufficient variation must be assessed separately. Constants always survive, and many surviving observables may be irrelevant to the task.</w:t>
      </w:r>
    </w:p>
    <w:p w14:paraId="6CCE58D2" w14:textId="77777777" w:rsidR="0012657B" w:rsidRDefault="00000000" w:rsidP="00B04090">
      <w:pPr>
        <w:pStyle w:val="BodyText"/>
        <w:jc w:val="both"/>
      </w:pPr>
      <w:r>
        <w:t xml:space="preserve">For polynomial observables, a feature lift turns the problem into a linear one on a different space. The operator on degree </w:t>
      </w:r>
      <m:oMath>
        <m:r>
          <w:rPr>
            <w:rFonts w:ascii="Cambria Math" w:hAnsi="Cambria Math"/>
          </w:rPr>
          <m:t>k</m:t>
        </m:r>
      </m:oMath>
      <w:r>
        <w:t xml:space="preserve"> observables is the dual of the symmetric power of the state transport. Quadratic observables can equivalently be represented by symmetric matrices. Their invariance condition is</w:t>
      </w:r>
    </w:p>
    <w:p w14:paraId="43326853"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R</m:t>
            </m:r>
          </m:e>
          <m:sup>
            <m:r>
              <m:rPr>
                <m:scr m:val="sans-serif"/>
                <m:sty m:val="p"/>
              </m:rPr>
              <w:rPr>
                <w:rFonts w:ascii="Cambria Math" w:hAnsi="Cambria Math"/>
              </w:rPr>
              <m:t>T</m:t>
            </m:r>
          </m:sup>
        </m:sSup>
        <m:r>
          <w:rPr>
            <w:rFonts w:ascii="Cambria Math" w:hAnsi="Cambria Math"/>
          </w:rPr>
          <m:t>QR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Qx</m:t>
        </m:r>
        <m:r>
          <m:rPr>
            <m:sty m:val="p"/>
          </m:rPr>
          <w:rPr>
            <w:rFonts w:ascii="Cambria Math" w:hAnsi="Cambria Math"/>
          </w:rPr>
          <m:t>.</m:t>
        </m:r>
      </m:oMath>
      <w:r>
        <w:rPr>
          <w:sz w:val="22"/>
        </w:rPr>
        <w:tab/>
        <w:t>(13)</w:t>
      </w:r>
    </w:p>
    <w:p w14:paraId="7FD911B0" w14:textId="77777777" w:rsidR="0012657B" w:rsidRDefault="00000000" w:rsidP="00B04090">
      <w:pPr>
        <w:pStyle w:val="FirstParagraph"/>
        <w:jc w:val="both"/>
      </w:pPr>
      <w:r>
        <w:lastRenderedPageBreak/>
        <w:t>This suggests training a bounded observable vocabulary alongside compatible latent states. It does not require full enumeration of all polynomial invariants. The number of features can grow rapidly, so the chosen degree and observation vocabulary must be charged to the model and checking budget.</w:t>
      </w:r>
    </w:p>
    <w:p w14:paraId="45888F76" w14:textId="77777777" w:rsidR="0012657B" w:rsidRDefault="00000000" w:rsidP="00B04090">
      <w:pPr>
        <w:pStyle w:val="Heading2"/>
        <w:jc w:val="both"/>
      </w:pPr>
      <w:bookmarkStart w:id="20" w:name="lossy-routes-and-round-trips"/>
      <w:bookmarkEnd w:id="19"/>
      <w:r>
        <w:t>6.3 Lossy routes and round trips</w:t>
      </w:r>
    </w:p>
    <w:p w14:paraId="22F48BE5" w14:textId="77777777" w:rsidR="0012657B" w:rsidRDefault="00000000" w:rsidP="00B04090">
      <w:pPr>
        <w:pStyle w:val="FirstParagraph"/>
        <w:jc w:val="both"/>
      </w:pPr>
      <w:r>
        <w:t>When an edge loses information, reverse traversal cannot be replaced by an inverse. The general checker compares parallel directed routes on a declared observable set and records the loss of each route. An abstraction may discard domain details while retaining the quantities necessary for a destination prediction.</w:t>
      </w:r>
    </w:p>
    <w:p w14:paraId="1AA7847E" w14:textId="77777777" w:rsidR="0012657B" w:rsidRDefault="00000000" w:rsidP="00B04090">
      <w:pPr>
        <w:pStyle w:val="BodyText"/>
        <w:jc w:val="both"/>
      </w:pPr>
      <w:r>
        <w:t xml:space="preserve">For one linear round trip </w:t>
      </w:r>
      <m:oMath>
        <m:r>
          <w:rPr>
            <w:rFonts w:ascii="Cambria Math" w:hAnsi="Cambria Math"/>
          </w:rPr>
          <m:t>e</m:t>
        </m:r>
      </m:oMath>
      <w:r>
        <w:t xml:space="preserve"> on a finite dimensional space, a standard conditional result remains useful. If its powers are bounded, the Cesaro averages converge:</w:t>
      </w:r>
    </w:p>
    <w:p w14:paraId="2792A75F" w14:textId="77777777" w:rsidR="0012657B" w:rsidRDefault="00000000" w:rsidP="00B04090">
      <w:pPr>
        <w:pStyle w:val="BodyText"/>
        <w:keepLines/>
        <w:tabs>
          <w:tab w:val="center" w:pos="4810"/>
          <w:tab w:val="right" w:pos="9677"/>
        </w:tabs>
        <w:spacing w:before="100"/>
        <w:jc w:val="both"/>
      </w:pPr>
      <w:r>
        <w:tab/>
      </w:r>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e</m:t>
                </m:r>
              </m:e>
              <m:sup>
                <m:r>
                  <w:rPr>
                    <w:rFonts w:ascii="Cambria Math" w:hAnsi="Cambria Math"/>
                  </w:rPr>
                  <m:t>j</m:t>
                </m:r>
              </m:sup>
            </m:sSup>
          </m:e>
        </m:nary>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Fix</m:t>
            </m:r>
            <m:d>
              <m:dPr>
                <m:ctrlPr>
                  <w:rPr>
                    <w:rFonts w:ascii="Cambria Math" w:hAnsi="Cambria Math"/>
                  </w:rPr>
                </m:ctrlPr>
              </m:dPr>
              <m:e>
                <m:r>
                  <w:rPr>
                    <w:rFonts w:ascii="Cambria Math" w:hAnsi="Cambria Math"/>
                  </w:rPr>
                  <m:t>e</m:t>
                </m:r>
              </m:e>
            </m:d>
          </m:sub>
        </m:sSub>
        <m:r>
          <m:rPr>
            <m:sty m:val="p"/>
          </m:rPr>
          <w:rPr>
            <w:rFonts w:ascii="Cambria Math" w:hAnsi="Cambria Math"/>
          </w:rPr>
          <m:t>.</m:t>
        </m:r>
      </m:oMath>
      <w:r>
        <w:rPr>
          <w:sz w:val="22"/>
        </w:rPr>
        <w:tab/>
        <w:t>(14)</w:t>
      </w:r>
    </w:p>
    <w:p w14:paraId="402BB9EF" w14:textId="77777777" w:rsidR="0012657B" w:rsidRDefault="00000000" w:rsidP="00B04090">
      <w:pPr>
        <w:pStyle w:val="FirstParagraph"/>
        <w:jc w:val="both"/>
      </w:pPr>
      <w:r>
        <w:rPr>
          <w:b/>
          <w:bCs/>
        </w:rPr>
        <w:t>Proof.</w:t>
      </w:r>
      <w:r>
        <w:t xml:space="preserve"> The average fixes every vector fixed by </w:t>
      </w:r>
      <m:oMath>
        <m:r>
          <w:rPr>
            <w:rFonts w:ascii="Cambria Math" w:hAnsi="Cambria Math"/>
          </w:rPr>
          <m:t>e</m:t>
        </m:r>
      </m:oMath>
      <w:r>
        <w:t xml:space="preserve">. On a vector </w:t>
      </w:r>
      <m:oMath>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r>
          <w:rPr>
            <w:rFonts w:ascii="Cambria Math" w:hAnsi="Cambria Math"/>
          </w:rPr>
          <m:t>y</m:t>
        </m:r>
      </m:oMath>
      <w:r>
        <w:t xml:space="preserve">, it equals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n</m:t>
                </m:r>
              </m:sup>
            </m:sSup>
            <m:r>
              <w:rPr>
                <w:rFonts w:ascii="Cambria Math" w:hAnsi="Cambria Math"/>
              </w:rPr>
              <m:t>y</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oMath>
      <w:r>
        <w:t xml:space="preserve">, which tends to zero by power boundedness. Power boundedness also excludes a nonzero intersection between the fixed space and the image of </w:t>
      </w:r>
      <m:oMath>
        <m:r>
          <w:rPr>
            <w:rFonts w:ascii="Cambria Math" w:hAnsi="Cambria Math"/>
          </w:rPr>
          <m:t>e</m:t>
        </m:r>
        <m:r>
          <m:rPr>
            <m:sty m:val="p"/>
          </m:rPr>
          <w:rPr>
            <w:rFonts w:ascii="Cambria Math" w:hAnsi="Cambria Math"/>
          </w:rPr>
          <m:t>-</m:t>
        </m:r>
        <m:r>
          <w:rPr>
            <w:rFonts w:ascii="Cambria Math" w:hAnsi="Cambria Math"/>
          </w:rPr>
          <m:t>1</m:t>
        </m:r>
      </m:oMath>
      <w:r>
        <w:t>. Rank nullity then gives the direct sum decomposition and the stated projection.</w:t>
      </w:r>
    </w:p>
    <w:p w14:paraId="6888D82B" w14:textId="77777777" w:rsidR="0012657B" w:rsidRDefault="00000000" w:rsidP="00B04090">
      <w:pPr>
        <w:pStyle w:val="BodyText"/>
        <w:jc w:val="both"/>
      </w:pPr>
      <w:r>
        <w:t>This is a result for one endomorphism. Separate projections for several loops can be incompatible or fail to commute, so averaging one loop does not establish invariance under all loops. The projection can be oblique. Applying the construction to symbolic programs additionally requires a representation in which averaging has a declared meaning; averaging source text is not justified by Equation (14).</w:t>
      </w:r>
    </w:p>
    <w:p w14:paraId="64D9DB5C" w14:textId="77777777" w:rsidR="0012657B" w:rsidRDefault="00000000" w:rsidP="00B04090">
      <w:pPr>
        <w:pStyle w:val="Heading1"/>
        <w:jc w:val="both"/>
      </w:pPr>
      <w:bookmarkStart w:id="21" w:name="X97184f6432c24b01adb4c0aabb10c3bdfc6924a"/>
      <w:bookmarkEnd w:id="17"/>
      <w:bookmarkEnd w:id="20"/>
      <w:r>
        <w:t>7 Training objectives and credit assignment</w:t>
      </w:r>
    </w:p>
    <w:p w14:paraId="14C14E49" w14:textId="77777777" w:rsidR="0012657B" w:rsidRDefault="00000000" w:rsidP="00B04090">
      <w:pPr>
        <w:pStyle w:val="Heading2"/>
        <w:jc w:val="both"/>
      </w:pPr>
      <w:bookmarkStart w:id="22" w:name="Xcc80885bd25a798aa1558475bfbc3b776167d0b"/>
      <w:r>
        <w:t>7.1 Internal consistency and external information</w:t>
      </w:r>
    </w:p>
    <w:p w14:paraId="56E515A5" w14:textId="77777777" w:rsidR="0012657B" w:rsidRDefault="00000000" w:rsidP="00B04090">
      <w:pPr>
        <w:pStyle w:val="FirstParagraph"/>
        <w:jc w:val="both"/>
      </w:pPr>
      <w:r>
        <w:rPr>
          <w:b/>
          <w:bCs/>
        </w:rPr>
        <w:t>Proposition 6 Collapse of consistency only training.</w:t>
      </w:r>
      <w:r>
        <w:t xml:space="preserve"> Suppose every checked numerical operation and translation preserves zero, and the candidate shared representation maps every input to zero. Relation and route residuals measured only in that representation are zero. Therefore an objective containing only those residuals has a collapsed global minimizer whenever its terms are nonnegative.</w:t>
      </w:r>
    </w:p>
    <w:p w14:paraId="2D7C2D97" w14:textId="77777777" w:rsidR="0012657B" w:rsidRDefault="00000000" w:rsidP="00B04090">
      <w:pPr>
        <w:pStyle w:val="BodyText"/>
        <w:jc w:val="both"/>
      </w:pPr>
      <w:r>
        <w:rPr>
          <w:b/>
          <w:bCs/>
        </w:rPr>
        <w:t>Proof.</w:t>
      </w:r>
      <w:r>
        <w:t xml:space="preserve"> Both sides of every checked equality evaluate to the same zero representation. Each residual vanishes. A nonnegative objective cannot be smaller than zero.</w:t>
      </w:r>
    </w:p>
    <w:p w14:paraId="0FEDBABF" w14:textId="77777777" w:rsidR="0012657B" w:rsidRDefault="00000000" w:rsidP="00B04090">
      <w:pPr>
        <w:pStyle w:val="BodyText"/>
        <w:jc w:val="both"/>
      </w:pPr>
      <w:r>
        <w:t>There is a second failure mode. Independently learned maps can implement coordinated but semantically incorrect relabelings. Route consistency may remain exact while destination meanings are wrong. Additional variance can prevent constant collapse but cannot resolve this semantic error. The objective must include independent information about domain content and intended correspondences.</w:t>
      </w:r>
    </w:p>
    <w:p w14:paraId="2E21F067" w14:textId="77777777" w:rsidR="0012657B" w:rsidRDefault="00000000" w:rsidP="00B04090">
      <w:pPr>
        <w:pStyle w:val="Heading2"/>
        <w:jc w:val="both"/>
      </w:pPr>
      <w:bookmarkStart w:id="23" w:name="a-constrained-objective"/>
      <w:bookmarkEnd w:id="22"/>
      <w:r>
        <w:t>7.2 A constrained objective</w:t>
      </w:r>
    </w:p>
    <w:p w14:paraId="6710700A" w14:textId="77777777" w:rsidR="0012657B" w:rsidRDefault="00000000" w:rsidP="00B04090">
      <w:pPr>
        <w:pStyle w:val="FirstParagraph"/>
        <w:jc w:val="both"/>
      </w:pPr>
      <w:r>
        <w:t>We propose the following schematic objective over a declared, bounded hypothesis class:</w:t>
      </w:r>
    </w:p>
    <w:p w14:paraId="7CA71A8D" w14:textId="77777777" w:rsidR="0012657B" w:rsidRDefault="00000000" w:rsidP="00B04090">
      <w:pPr>
        <w:pStyle w:val="BodyText"/>
        <w:keepLines/>
        <w:tabs>
          <w:tab w:val="center" w:pos="4810"/>
          <w:tab w:val="right" w:pos="9677"/>
        </w:tabs>
        <w:spacing w:before="100"/>
        <w:jc w:val="both"/>
      </w:pPr>
      <w:r>
        <w:tab/>
      </w:r>
      <m:oMath>
        <m:r>
          <m:rPr>
            <m:scr m:val="script"/>
            <m:sty m:val="p"/>
          </m:rPr>
          <w:rPr>
            <w:rFonts w:ascii="Cambria Math" w:hAnsi="Cambria Math"/>
          </w:rPr>
          <m:t>J=</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coh</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int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code</m:t>
            </m:r>
          </m:sub>
        </m:sSub>
        <m:r>
          <m:rPr>
            <m:sty m:val="p"/>
          </m:rPr>
          <w:rPr>
            <w:rFonts w:ascii="Cambria Math" w:hAnsi="Cambria Math"/>
          </w:rPr>
          <m:t>.</m:t>
        </m:r>
      </m:oMath>
      <w:r>
        <w:rPr>
          <w:sz w:val="22"/>
        </w:rPr>
        <w:tab/>
        <w:t>(15)</w:t>
      </w:r>
    </w:p>
    <w:p w14:paraId="31B29B25" w14:textId="77777777" w:rsidR="0012657B" w:rsidRDefault="00000000" w:rsidP="00B04090">
      <w:pPr>
        <w:pStyle w:val="FirstParagraph"/>
        <w:jc w:val="both"/>
      </w:pPr>
      <w:r>
        <w:lastRenderedPageBreak/>
        <w:t>The relation term checks generator relations and new composites. The coherence term checks only path comparisons justified by the claimed theory or observable scope. Prediction measures verified destination consequences. Intervention measures preservation under externally specified changes. Code length accounts for the shared theory, interpretations, allowed symmetries, observation vocabulary, and unexplained domain residuals. All scales and units are declared rather than chosen after seeing the result.</w:t>
      </w:r>
    </w:p>
    <w:p w14:paraId="2BF6A11A" w14:textId="77777777" w:rsidR="0012657B" w:rsidRDefault="00000000" w:rsidP="00B04090">
      <w:pPr>
        <w:pStyle w:val="BodyText"/>
        <w:jc w:val="both"/>
      </w:pPr>
      <w:r>
        <w:t>Hard validity constraints accompany this objective. Some requirements, including type safety or a required physical conservation law, must not be bought off by gains in compression. The learner can narrow its claimed scope or declare a failure when those constraints cannot be met.</w:t>
      </w:r>
    </w:p>
    <w:p w14:paraId="2F8F20F0" w14:textId="77777777" w:rsidR="0012657B" w:rsidRDefault="00000000" w:rsidP="00B04090">
      <w:pPr>
        <w:pStyle w:val="BodyText"/>
        <w:jc w:val="both"/>
      </w:pPr>
      <w:r>
        <w:t>The description length term uses a computable coding scheme inspired by minimum description length [12]:</w:t>
      </w:r>
    </w:p>
    <w:p w14:paraId="20EF5D66"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L</m:t>
        </m:r>
        <m:d>
          <m:dPr>
            <m:ctrlPr>
              <w:rPr>
                <w:rFonts w:ascii="Cambria Math" w:hAnsi="Cambria Math"/>
              </w:rPr>
            </m:ctrlPr>
          </m:dPr>
          <m:e>
            <m:r>
              <m:rPr>
                <m:scr m:val="script"/>
                <m:sty m:val="p"/>
              </m:rPr>
              <w:rPr>
                <w:rFonts w:ascii="Cambria Math" w:hAnsi="Cambria Math"/>
              </w:rPr>
              <m:t>O</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begChr m:val="["/>
                <m:endChr m:val="]"/>
                <m:ctrlPr>
                  <w:rPr>
                    <w:rFonts w:ascii="Cambria Math" w:hAnsi="Cambria Math"/>
                  </w:rPr>
                </m:ctrlPr>
              </m:dPr>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cr m:val="script"/>
                        <m:sty m:val="p"/>
                      </m:rPr>
                      <w:rPr>
                        <w:rFonts w:ascii="Cambria Math" w:hAnsi="Cambria Math"/>
                      </w:rPr>
                      <m:t>,O</m:t>
                    </m:r>
                  </m:e>
                </m:d>
              </m:e>
            </m:d>
          </m:e>
        </m:nary>
        <m:r>
          <m:rPr>
            <m:sty m:val="p"/>
          </m:rPr>
          <w:rPr>
            <w:rFonts w:ascii="Cambria Math" w:hAnsi="Cambria Math"/>
          </w:rPr>
          <m:t>.</m:t>
        </m:r>
      </m:oMath>
      <w:r>
        <w:rPr>
          <w:sz w:val="22"/>
        </w:rPr>
        <w:tab/>
        <w:t>(16)</w:t>
      </w:r>
    </w:p>
    <w:p w14:paraId="19DECD1A" w14:textId="77777777" w:rsidR="0012657B" w:rsidRDefault="00000000" w:rsidP="00B04090">
      <w:pPr>
        <w:pStyle w:val="FirstParagraph"/>
        <w:jc w:val="both"/>
      </w:pPr>
      <w:r>
        <w:t xml:space="preserve">The domain data are denoted by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and </w:t>
      </w:r>
      <m:oMath>
        <m:r>
          <w:rPr>
            <w:rFonts w:ascii="Cambria Math" w:hAnsi="Cambria Math"/>
          </w:rPr>
          <m:t>G</m:t>
        </m:r>
      </m:oMath>
      <w:r>
        <w:t xml:space="preserve"> is the declared symmetry model. Encoding an interpretation out of a trivial theory does not encode a domain. The residual term is therefore essential. Encoder and decoder choices, numerical precision, and shared background libraries are fixed across competing candidates. A large residual network can bypass the shared theory unless its capacity and execution are included in the comparison.</w:t>
      </w:r>
    </w:p>
    <w:p w14:paraId="136F1705" w14:textId="77777777" w:rsidR="0012657B" w:rsidRDefault="00000000" w:rsidP="00B04090">
      <w:pPr>
        <w:pStyle w:val="Heading2"/>
        <w:jc w:val="both"/>
      </w:pPr>
      <w:bookmarkStart w:id="24" w:name="X4ec41458e58e34acb254d3d164eb0ee6fa069e4"/>
      <w:bookmarkEnd w:id="23"/>
      <w:r>
        <w:t>7.3 Discrete proposals and differentiable realizations</w:t>
      </w:r>
    </w:p>
    <w:p w14:paraId="27D2D39D" w14:textId="77777777" w:rsidR="0012657B" w:rsidRDefault="00000000" w:rsidP="00B04090">
      <w:pPr>
        <w:pStyle w:val="FirstParagraph"/>
        <w:jc w:val="both"/>
      </w:pPr>
      <w:r>
        <w:t>The network emits a typed program representing a theory edit, generator mapping, or verification action. A checker returns structured outcomes, including violated relations, destination errors, and checking cost. Where the realization is differentiable, relation and prediction losses update numerical maps directly. For discrete edits, policy gradient or another program search method updates the proposal policy. Distillation can then train the policy on accepted programs, preserving their validity records.</w:t>
      </w:r>
    </w:p>
    <w:p w14:paraId="5E0CFBBC" w14:textId="77777777" w:rsidR="0012657B" w:rsidRDefault="00000000" w:rsidP="00B04090">
      <w:pPr>
        <w:pStyle w:val="BodyText"/>
        <w:jc w:val="both"/>
      </w:pPr>
      <w:r>
        <w:t>For a fixed distribution of training domains and checker tasks, one possible scalar reward is</w:t>
      </w:r>
    </w:p>
    <w:p w14:paraId="33224300"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ΔV</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λΔL</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κC</m:t>
        </m:r>
        <m:d>
          <m:dPr>
            <m:ctrlPr>
              <w:rPr>
                <w:rFonts w:ascii="Cambria Math" w:hAnsi="Cambria Math"/>
              </w:rPr>
            </m:ctrlPr>
          </m:dPr>
          <m:e>
            <m:r>
              <w:rPr>
                <w:rFonts w:ascii="Cambria Math" w:hAnsi="Cambria Math"/>
              </w:rPr>
              <m:t>a</m:t>
            </m:r>
          </m:e>
        </m:d>
        <m:r>
          <m:rPr>
            <m:sty m:val="p"/>
          </m:rPr>
          <w:rPr>
            <w:rFonts w:ascii="Cambria Math" w:hAnsi="Cambria Math"/>
          </w:rPr>
          <m:t>,</m:t>
        </m:r>
      </m:oMath>
      <w:r>
        <w:rPr>
          <w:sz w:val="22"/>
        </w:rPr>
        <w:tab/>
        <w:t>(17)</w:t>
      </w:r>
    </w:p>
    <w:p w14:paraId="44711976" w14:textId="77777777" w:rsidR="0012657B" w:rsidRDefault="00000000" w:rsidP="00B04090">
      <w:pPr>
        <w:pStyle w:val="FirstParagraph"/>
        <w:jc w:val="both"/>
      </w:pPr>
      <w:r>
        <w:t xml:space="preserve">where the validity improvement </w:t>
      </w:r>
      <m:oMath>
        <m:r>
          <w:rPr>
            <w:rFonts w:ascii="Cambria Math" w:hAnsi="Cambria Math"/>
          </w:rPr>
          <m:t>ΔV</m:t>
        </m:r>
      </m:oMath>
      <w:r>
        <w:t xml:space="preserve"> is measured on a separate training validation stream, </w:t>
      </w:r>
      <m:oMath>
        <m:r>
          <w:rPr>
            <w:rFonts w:ascii="Cambria Math" w:hAnsi="Cambria Math"/>
          </w:rPr>
          <m:t>ΔL</m:t>
        </m:r>
      </m:oMath>
      <w:r>
        <w:t xml:space="preserve"> is code change, and </w:t>
      </w:r>
      <m:oMath>
        <m:r>
          <w:rPr>
            <w:rFonts w:ascii="Cambria Math" w:hAnsi="Cambria Math"/>
          </w:rPr>
          <m:t>C</m:t>
        </m:r>
      </m:oMath>
      <w:r>
        <w:t xml:space="preserve"> is execution and checking cost. An action that violates a hard constraint is rejected regardless of reward. The reward scale does not constitute a theorem about generalization.</w:t>
      </w:r>
    </w:p>
    <w:p w14:paraId="41EAA221" w14:textId="77777777" w:rsidR="0012657B" w:rsidRDefault="00000000" w:rsidP="00B04090">
      <w:pPr>
        <w:pStyle w:val="BodyText"/>
        <w:jc w:val="both"/>
      </w:pPr>
      <w:r>
        <w:t>Failed checks assign credit to implicated proposals, but error attribution is only as identifiable as the comparison graph and evidence permit. Series edges can share the same loop failure pattern. The controller should request a grounded test or preserve several repair hypotheses instead of assigning a unique culprit without evidence.</w:t>
      </w:r>
    </w:p>
    <w:p w14:paraId="615A92CB" w14:textId="77777777" w:rsidR="0012657B" w:rsidRDefault="00000000" w:rsidP="00B04090">
      <w:pPr>
        <w:pStyle w:val="Heading2"/>
        <w:jc w:val="both"/>
      </w:pPr>
      <w:bookmarkStart w:id="25" w:name="restricted-transfer-evaluation"/>
      <w:bookmarkEnd w:id="24"/>
      <w:r>
        <w:t>7.4 Restricted transfer evaluation</w:t>
      </w:r>
    </w:p>
    <w:p w14:paraId="6ABE6889" w14:textId="77777777" w:rsidR="0012657B" w:rsidRDefault="00000000" w:rsidP="00B04090">
      <w:pPr>
        <w:pStyle w:val="FirstParagraph"/>
        <w:jc w:val="both"/>
      </w:pPr>
      <w:r>
        <w:t>The shared theory is frozen before final transfer evaluation. Only a bounded interpretation module is fitted in a new domain. The adaptation budget includes data, parameter count, verifier queries, program length, search compute, and access to auxiliary libraries. A cheap parameter count with extensive hidden search is not cheap adaptation.</w:t>
      </w:r>
    </w:p>
    <w:p w14:paraId="25BD341A" w14:textId="77777777" w:rsidR="0012657B" w:rsidRDefault="00000000" w:rsidP="00B04090">
      <w:pPr>
        <w:pStyle w:val="BodyText"/>
        <w:jc w:val="both"/>
      </w:pPr>
      <w:r>
        <w:lastRenderedPageBreak/>
        <w:t xml:space="preserve">Let </w:t>
      </w:r>
      <m:oMath>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T</m:t>
            </m:r>
          </m:e>
        </m:d>
      </m:oMath>
      <w:r>
        <w:t xml:space="preserve"> be the examples required to reach a registered criterion with the frozen theory, and let </w:t>
      </w:r>
      <m:oMath>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B</m:t>
            </m:r>
          </m:e>
        </m:d>
      </m:oMath>
      <w:r>
        <w:t xml:space="preserve"> be the examples required by a matched baseline:</w:t>
      </w:r>
    </w:p>
    <w:p w14:paraId="6684853C"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B</m:t>
                </m:r>
              </m:e>
            </m:d>
          </m:den>
        </m:f>
        <m:r>
          <m:rPr>
            <m:sty m:val="p"/>
          </m:rPr>
          <w:rPr>
            <w:rFonts w:ascii="Cambria Math" w:hAnsi="Cambria Math"/>
          </w:rPr>
          <m:t>.</m:t>
        </m:r>
      </m:oMath>
      <w:r>
        <w:rPr>
          <w:sz w:val="22"/>
        </w:rPr>
        <w:tab/>
        <w:t>(18)</w:t>
      </w:r>
    </w:p>
    <w:p w14:paraId="04F84D0E" w14:textId="77777777" w:rsidR="0012657B" w:rsidRDefault="00000000" w:rsidP="00B04090">
      <w:pPr>
        <w:pStyle w:val="FirstParagraph"/>
        <w:jc w:val="both"/>
      </w:pPr>
      <w:r>
        <w:t>This ratio is reported only when the baseline reaches the criterion and its sample count is positive. Otherwise report the censored learning curves and budget limit. Report the minimum gain and all domain gains; exclude no negative gain from the summary. Development domains can shape the objective, while final probe domains remain unavailable for theory selection and tuning.</w:t>
      </w:r>
    </w:p>
    <w:p w14:paraId="44B0C809" w14:textId="77777777" w:rsidR="0012657B" w:rsidRDefault="00000000" w:rsidP="00B04090">
      <w:pPr>
        <w:pStyle w:val="BodyText"/>
        <w:jc w:val="both"/>
      </w:pPr>
      <w:r>
        <w:t>Finite probe profiles are inspired by the relational viewpoint of the Yoneda lemma [11]. A finite profile is not a fully faithful Yoneda embedding unless suitable conditions are established. It provides operational evidence on the tested probes, with an explicit boundary.</w:t>
      </w:r>
    </w:p>
    <w:p w14:paraId="4CF6D2B7" w14:textId="77777777" w:rsidR="0012657B" w:rsidRDefault="00000000" w:rsidP="00B04090">
      <w:pPr>
        <w:pStyle w:val="Heading1"/>
        <w:jc w:val="both"/>
      </w:pPr>
      <w:bookmarkStart w:id="26" w:name="architecture-and-theory-revision"/>
      <w:bookmarkEnd w:id="21"/>
      <w:bookmarkEnd w:id="25"/>
      <w:r>
        <w:t>8 Architecture and theory revision</w:t>
      </w:r>
    </w:p>
    <w:p w14:paraId="33FEA154" w14:textId="77777777" w:rsidR="0012657B" w:rsidRDefault="00000000" w:rsidP="00B04090">
      <w:pPr>
        <w:pStyle w:val="FirstParagraph"/>
        <w:jc w:val="both"/>
      </w:pPr>
      <w:r>
        <w:t>The proposed system uses a neural proposer coupled to a versioned presentation store and executable checkers. The store contains the generators, relations, realizations, scope declarations, and lineage of each candidate. Translation heads emit programs and typed witnesses. An observation head proposes a bounded set of useful quantities. A comparison critic checks relations, routes, destination predictions, and interventions. The controller chooses whether to repair a map, revise a presentation, acquire evidence, or retain competing candidates.</w:t>
      </w:r>
    </w:p>
    <w:p w14:paraId="4A7FEE1B" w14:textId="77777777" w:rsidR="0012657B" w:rsidRDefault="00000000" w:rsidP="00B04090">
      <w:pPr>
        <w:pStyle w:val="BodyText"/>
        <w:jc w:val="both"/>
      </w:pPr>
      <w:r>
        <w:t>Theory changes are committed only after their specified checks pass. Previously certified statements are revalidated when any dependency changes. Lower artifacts remain available as earlier versions; a higher interpretation does not silently overwrite their meaning. This is an engineering design choice for reproducibility, not a claim that versioning guarantees truth.</w:t>
      </w:r>
    </w:p>
    <w:p w14:paraId="28DE4C70" w14:textId="77777777" w:rsidR="0012657B" w:rsidRDefault="00000000" w:rsidP="00B04090">
      <w:pPr>
        <w:pStyle w:val="BodyText"/>
        <w:jc w:val="both"/>
      </w:pPr>
      <w:r>
        <w:t>One training iteration samples a domain diagram and its independent evidence, proposes generator maps, evaluates registered relations and paths, computes destination predictions, and retains the structured failures. The controller then proposes a bounded repair or branches into several alternatives. Numerical correction and proposal policy updates use separate interfaces. Selection compares candidates on the same development evidence and total budget, and a candidate is retired or merged only after the relevant validity or equivalence test. Final probe domains do not participate in this iteration.</w:t>
      </w:r>
    </w:p>
    <w:p w14:paraId="73273B3A" w14:textId="77777777" w:rsidR="0012657B" w:rsidRDefault="00000000" w:rsidP="00B04090">
      <w:pPr>
        <w:pStyle w:val="BodyText"/>
        <w:jc w:val="both"/>
      </w:pPr>
      <w:r>
        <w:t>GHO supplies the search organization. Transport carries a candidate between related tasks or curricula. Branching preserves rival theories. Horizontal transfer moves verified modules or statements through declared interpretations. Correction repairs realizations against the objective. Selection reallocates resources. Quotienting merges candidates only with witnessed equivalence, while retirement removes claims whose validity has failed [1].</w:t>
      </w:r>
    </w:p>
    <w:p w14:paraId="43181868" w14:textId="77777777" w:rsidR="0012657B" w:rsidRDefault="00000000" w:rsidP="00B04090">
      <w:pPr>
        <w:pStyle w:val="BodyText"/>
        <w:jc w:val="both"/>
      </w:pPr>
      <w:r>
        <w:t>Four repair responses are particularly useful. A candidate can restrict its preserved observables, enlarge its theory, factor a joint claim into separately valid components, or certify an obstruction when a proof is available. Restriction must state what was lost. Enlargement must pay for its extra structure and produce a new verified consequence. Factorization must evaluate residual coupling. An unresolved fit must remain an unresolved fit.</w:t>
      </w:r>
    </w:p>
    <w:p w14:paraId="0E6D1CD5" w14:textId="77777777" w:rsidR="0012657B" w:rsidRDefault="00000000" w:rsidP="00B04090">
      <w:pPr>
        <w:pStyle w:val="BodyText"/>
        <w:jc w:val="both"/>
      </w:pPr>
      <w:r>
        <w:lastRenderedPageBreak/>
        <w:t>The system can revisit rung 3 when a missing relation is a supported explanation of a comparison failure. It can also reject that explanation when independent evidence instead identifies a wrong translation. Higher level revision is therefore driven by a diagnosis and a test, not by the mere presence of nonzero holonomy.</w:t>
      </w:r>
    </w:p>
    <w:p>
      <w:pPr>
        <w:pStyle w:val="Heading1"/>
        <w:jc w:val="both"/>
      </w:pPr>
      <w:r>
        <w:t xml:space="preserve">9 Learning backbone and parameter optimization</w:t>
      </w:r>
    </w:p>
    <w:p>
      <w:pPr>
        <w:pStyle w:val="FirstParagraph"/>
        <w:jc w:val="both"/>
      </w:pPr>
      <w:r>
        <w:t xml:space="preserve">Two practical questions follow from Sections 4 to 8. Which existing learning machinery is suited to searching this carrier, and how should its parameters be optimized? The answer given here is a composite rather than a single network. Each component is chosen for what the propositions of Sections 5 and 6 require of it, and the numerical representation is chosen so that the arithmetic of the search coincides with the algebra that a candidate theory claims. The propositions below are proved under their stated assumptions. The experiment of Section 9.7 uses three domains and a supplied algebra; it tests an encoding and an optimizer, not the learning of a shared theory.</w:t>
      </w:r>
    </w:p>
    <w:p>
      <w:pPr>
        <w:pStyle w:val="Heading2"/>
        <w:jc w:val="both"/>
      </w:pPr>
      <w:r>
        <w:t xml:space="preserve">9.1 Requirements and candidate backbones</w:t>
      </w:r>
    </w:p>
    <w:p>
      <w:pPr>
        <w:pStyle w:val="FirstParagraph"/>
        <w:jc w:val="both"/>
      </w:pPr>
      <w:r>
        <w:t xml:space="preserve">The earlier sections impose six requirements on a backbone. Translations must be explicit typed parameters that compose along routes and represent operation order when domains do not commute (Section 5.2). Compatible states and invariant observables must be computable from those parameters (Section 6). Rival theories must coexist until evidence separates them (Section 2.3). Discrete schema edits and continuous corrections need different update rules (Section 7.3). Recombination of candidates must respect both the declared laws and the declared conventions, a requirement developed in Section 9.2. Every committed candidate must pass an independent verifier (Section 8). Table 2 compares existing families with these requirements.</w:t>
      </w:r>
    </w:p>
    <w:p>
      <w:pPr>
        <w:pStyle w:val="Caption"/>
        <w:keepNext/>
        <w:spacing w:before="100" w:after="140"/>
        <w:jc w:val="both"/>
      </w:pPr>
      <w:r>
        <w:t xml:space="preserve">Table 2 Existing learning backbones and what each lacks for this carrier</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300"/>
        <w:gridCol w:w="3730"/>
        <w:gridCol w:w="3733"/>
      </w:tblGrid>
      <w:tr>
        <w:trPr>
          <w:cantSplit/>
          <w:tblHeader/>
          <w:jc w:val="center"/>
        </w:trPr>
        <w:tc>
          <w:tcPr>
            <w:tcW w:w="23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Family</w:t>
            </w:r>
          </w:p>
        </w:tc>
        <w:tc>
          <w:tcPr>
            <w:tcW w:w="373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What it supplies</w:t>
            </w:r>
          </w:p>
        </w:tc>
        <w:tc>
          <w:tcPr>
            <w:tcW w:w="3733"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What it lacks here</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Diffusion Evolution [16]</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Training free population search; fitness weighted denoising holds several high fitness regions</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Euclidean kernels and averages in stored coordinates; no declared laws or conventions</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HADES and its conditional variant [17]</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 diffusion model retrained on curated evaluations proposes offspring; classifier-free guidance conditions on traits</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The same coordinate assumptions; sampler training must be charged to the budget</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DiGress [18]</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Discrete diffusion over nodes and edges with a graph transformer denoiser</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Typed, directed theory diagrams and their witnesses need added constraints</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Neural sheaf diffusion [19, 20]</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Learned restriction maps on edges; the sheaf Laplacian measures disagreement</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Stalks carry states rather than observables; the deep variant replaces the disagreement operator</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Group synchronization [21, 22]</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Vertex frames from noisy pairwise transports; spectral bounds relate frustration to inconsistency</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The group, the theory, and the domains are fixed in advance</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Clifford and quaternion networks [23, 24]</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Composition of rotations and reflections built into the layers</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The symmetry group is chosen before training</w:t>
            </w:r>
          </w:p>
        </w:tc>
      </w:tr>
      <w:tr>
        <w:trPr>
          <w:cantSplit/>
          <w:jc w:val="center"/>
        </w:trPr>
        <w:tc>
          <w:tcPr>
            <w:tcW w:w="23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Sequence and program models</w:t>
            </w:r>
          </w:p>
        </w:tc>
        <w:tc>
          <w:tcPr>
            <w:tcW w:w="373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Proposals of presentations, translations, and repairs as programs</w:t>
            </w:r>
          </w:p>
        </w:tc>
        <w:tc>
          <w:tcPr>
            <w:tcW w:w="373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Their internal maps are not the audited transports</w:t>
            </w:r>
          </w:p>
        </w:tc>
      </w:tr>
    </w:tbl>
    <w:p>
      <w:pPr>
        <w:pStyle w:val="BodyText"/>
        <w:spacing w:before="160"/>
        <w:jc w:val="both"/>
      </w:pPr>
      <w:r>
        <w:t xml:space="preserve">No single family meets all six requirements. The most suitable core combines a synchronization or sheaf layer with a population search. In the first, the learned parameters are the transports themselves, and its kernel is the compatible state space of Section 6.1. In the second, rival theories can occupy separate niches. A sequence or program model remains the most capable existing proposer of presentations, translations, and repairs, provided that its output is treated as a candidate for the verifier rather than as the audited map. Figure 2 shows the resulting loop.</w:t>
      </w:r>
    </w:p>
    <w:p>
      <w:pPr>
        <w:pStyle w:val="BodyText"/>
        <w:keepNext/>
        <w:spacing w:before="100"/>
        <w:jc w:val="center"/>
      </w:pPr>
      <w:r>
        <w:rPr>
          <w:noProof/>
        </w:rPr>
        <w:drawing>
          <wp:inline distT="0" distB="0" distL="0" distR="0">
            <wp:extent cx="5303520" cy="4489413"/>
            <wp:effectExtent l="0" t="0" r="0" b="0"/>
            <wp:docPr id="31" name="Picture 2" descr="Proposed backbone: proposer, typed genome, decoder, synchronization and sheaf core, verifier, archive, aligned diffusion evolution and law selection."/>
            <wp:cNvGraphicFramePr/>
            <a:graphic xmlns:a="http://schemas.openxmlformats.org/drawingml/2006/main">
              <a:graphicData uri="http://schemas.openxmlformats.org/drawingml/2006/picture">
                <pic:pic xmlns:pic="http://schemas.openxmlformats.org/drawingml/2006/picture">
                  <pic:nvPicPr>
                    <pic:cNvPr id="32" name="Picture 2" descr="backbone.png"/>
                    <pic:cNvPicPr>
                      <a:picLocks noChangeAspect="1" noChangeArrowheads="1"/>
                    </pic:cNvPicPr>
                  </pic:nvPicPr>
                  <pic:blipFill>
                    <a:blip r:embed="rId100"/>
                    <a:stretch>
                      <a:fillRect/>
                    </a:stretch>
                  </pic:blipFill>
                  <pic:spPr bwMode="auto">
                    <a:xfrm>
                      <a:off x="0" y="0"/>
                      <a:ext cx="5303520" cy="4489413"/>
                    </a:xfrm>
                    <a:prstGeom prst="rect">
                      <a:avLst/>
                    </a:prstGeom>
                    <a:noFill/>
                    <a:ln w="9525">
                      <a:noFill/>
                      <a:headEnd/>
                      <a:tailEnd/>
                    </a:ln>
                  </pic:spPr>
                </pic:pic>
              </a:graphicData>
            </a:graphic>
          </wp:inline>
        </w:drawing>
      </w:r>
    </w:p>
    <w:p>
      <w:pPr>
        <w:pStyle w:val="Caption"/>
        <w:spacing w:before="100" w:after="140"/>
        <w:jc w:val="both"/>
      </w:pPr>
      <w:r>
        <w:t xml:space="preserve">Figure 2 The proposed backbone. The main column decodes a typed genome into transports and observables, computes compatible states and the residual statistic of Section 9.4, and submits the result to an independent verifier. Numerical failures return to aligned population search and local correction; structural failures return to the proposer as schema revisions. The archive trains a conditional proposer once enough verified evaluations exist, and competing decoders, which encode competing laws, are compared by code length and withheld prediction.</w:t>
      </w:r>
    </w:p>
    <w:p>
      <w:pPr>
        <w:pStyle w:val="Heading2"/>
        <w:jc w:val="both"/>
      </w:pPr>
      <w:r>
        <w:t xml:space="preserve">9.2 Diffusion Evolution as a GHO instance</w:t>
      </w:r>
    </w:p>
    <w:p>
      <w:pPr>
        <w:pStyle w:val="FirstParagraph"/>
        <w:jc w:val="both"/>
      </w:pPr>
      <w:r>
        <w:t xml:space="preserve">Diffusion Evolution [16] maintains a population</w:t>
      </w:r>
      <w:r>
        <w:t xml:space="preserve"> </w:t>
      </w:r>
      <m:oMath>
        <m:sSub>
          <m:e>
            <m:r>
              <w:rPr>
                <w:rFonts w:ascii="Cambria Math" w:hAnsi="Cambria Math"/>
              </w:rPr>
              <m:t>X</m:t>
            </m:r>
          </m:e>
          <m:sub>
            <m:r>
              <w:rPr>
                <w:rFonts w:ascii="Cambria Math" w:hAnsi="Cambria Math"/>
              </w:rPr>
              <m:t>t</m:t>
            </m:r>
          </m:sub>
        </m:sSub>
      </m:oMath>
      <w:r>
        <w:t xml:space="preserve"> </w:t>
      </w:r>
      <w:r>
        <w:t xml:space="preserve">of parameter vectors. At each step it estimates, for every individual, a denoised target from its fitness weighted neighbours,</w:t>
      </w:r>
    </w:p>
    <w:p>
      <w:pPr>
        <w:pStyle w:val="BodyText"/>
        <w:keepLines/>
        <w:tabs>
          <w:tab w:val="center" w:pos="4810"/>
          <w:tab w:val="right" w:pos="9677"/>
        </w:tabs>
        <w:spacing w:before="100"/>
        <w:jc w:val="both"/>
      </w:pPr>
      <w:r>
        <w:tab/>
      </w:r>
      <m:oMath>
        <m:sSub>
          <m:e>
            <m:acc>
              <m:accPr>
                <m:chr m:val="̂"/>
              </m:accPr>
              <m:e>
                <m:r>
                  <w:rPr>
                    <w:rFonts w:ascii="Cambria Math" w:hAnsi="Cambria Math"/>
                  </w:rPr>
                  <m:t>x</m:t>
                </m:r>
              </m:e>
            </m:acc>
          </m:e>
          <m:sub>
            <m:r>
              <w:rPr>
                <w:rFonts w:ascii="Cambria Math" w:hAnsi="Cambria Math"/>
              </w:rPr>
              <m:t>0</m:t>
            </m:r>
          </m:sub>
        </m:sSub>
        <m:d>
          <m:dPr>
            <m:begChr m:val="("/>
            <m:sepChr m:val=""/>
            <m:endChr m:val=")"/>
            <m:grow/>
          </m:dPr>
          <m:e>
            <m:sSub>
              <m:e>
                <m:r>
                  <w:rPr>
                    <w:rFonts w:ascii="Cambria Math" w:hAnsi="Cambria Math"/>
                  </w:rPr>
                  <m:t>x</m:t>
                </m:r>
              </m:e>
              <m:sub>
                <m:r>
                  <w:rPr>
                    <w:rFonts w:ascii="Cambria Math" w:hAnsi="Cambria Math"/>
                  </w:rPr>
                  <m:t>t</m:t>
                </m:r>
              </m:sub>
            </m:sSub>
          </m:e>
        </m:d>
        <m:r>
          <m:rPr>
            <m:sty m:val="p"/>
          </m:rPr>
          <w:rPr>
            <w:rFonts w:ascii="Cambria Math" w:hAnsi="Cambria Math"/>
          </w:rPr>
          <m:t>=</m:t>
        </m:r>
        <m:f>
          <m:fPr>
            <m:type m:val="bar"/>
          </m:fPr>
          <m:num>
            <m:r>
              <w:rPr>
                <w:rFonts w:ascii="Cambria Math" w:hAnsi="Cambria Math"/>
              </w:rPr>
              <m:t>1</m:t>
            </m:r>
          </m:num>
          <m:den>
            <m:r>
              <w:rPr>
                <w:rFonts w:ascii="Cambria Math" w:hAnsi="Cambria Math"/>
              </w:rPr>
              <m:t>Z</m:t>
            </m:r>
          </m:den>
        </m:f>
        <m:nary>
          <m:naryPr>
            <m:chr m:val="∑"/>
            <m:limLoc m:val="undOvr"/>
            <m:subHide m:val="off"/>
            <m:supHide m:val="on"/>
          </m:naryPr>
          <m:sub>
            <m:r>
              <w:rPr>
                <w:rFonts w:ascii="Cambria Math" w:hAnsi="Cambria Math"/>
              </w:rPr>
              <m:t>x</m:t>
            </m:r>
            <m:r>
              <m:rPr>
                <m:sty m:val="p"/>
              </m:rPr>
              <w:rPr>
                <w:rFonts w:ascii="Cambria Math" w:hAnsi="Cambria Math"/>
              </w:rPr>
              <m:t>∈</m:t>
            </m:r>
            <m:sSub>
              <m:e>
                <m:r>
                  <w:rPr>
                    <w:rFonts w:ascii="Cambria Math" w:hAnsi="Cambria Math"/>
                  </w:rPr>
                  <m:t>X</m:t>
                </m:r>
              </m:e>
              <m:sub>
                <m:r>
                  <w:rPr>
                    <w:rFonts w:ascii="Cambria Math" w:hAnsi="Cambria Math"/>
                  </w:rPr>
                  <m:t>t</m:t>
                </m:r>
              </m:sub>
            </m:sSub>
          </m:sub>
          <m:sup>
            <m:r>
              <w:rPr>
                <w:rFonts w:ascii="Cambria Math" w:hAnsi="Cambria Math"/>
              </w:rPr>
              <m:t>​</m:t>
            </m:r>
          </m:sup>
          <m:e>
            <m:r>
              <w:rPr>
                <w:rFonts w:ascii="Cambria Math" w:hAnsi="Cambria Math"/>
              </w:rPr>
              <m:t>g</m:t>
            </m:r>
          </m:e>
        </m:nary>
        <m:d>
          <m:dPr>
            <m:begChr m:val="("/>
            <m:sepChr m:val=""/>
            <m:endChr m:val=")"/>
            <m:grow/>
          </m:dPr>
          <m:e>
            <m:r>
              <w:rPr>
                <w:rFonts w:ascii="Cambria Math" w:hAnsi="Cambria Math"/>
              </w:rPr>
              <m:t>f</m:t>
            </m:r>
            <m:d>
              <m:dPr>
                <m:begChr m:val="("/>
                <m:sepChr m:val=""/>
                <m:endChr m:val=")"/>
                <m:grow/>
              </m:dPr>
              <m:e>
                <m:r>
                  <w:rPr>
                    <w:rFonts w:ascii="Cambria Math" w:hAnsi="Cambria Math"/>
                  </w:rPr>
                  <m:t>x</m:t>
                </m:r>
              </m:e>
            </m:d>
          </m:e>
        </m:d>
        <m:r>
          <w:rPr>
            <w:rFonts w:ascii="Cambria Math" w:hAnsi="Cambria Math"/>
          </w:rPr>
          <m:t> </m:t>
        </m:r>
        <m:r>
          <m:rPr>
            <m:scr m:val="script"/>
            <m:sty m:val="p"/>
          </m:rPr>
          <w:rPr>
            <w:rFonts w:ascii="Cambria Math" w:hAnsi="Cambria Math"/>
          </w:rPr>
          <m:t>N</m:t>
        </m:r>
        <m:d>
          <m:dPr>
            <m:begChr m:val="("/>
            <m:sepChr m:val=""/>
            <m:endChr m:val=")"/>
            <m:grow/>
          </m:dPr>
          <m:e>
            <m:sSub>
              <m:e>
                <m:r>
                  <w:rPr>
                    <w:rFonts w:ascii="Cambria Math" w:hAnsi="Cambria Math"/>
                  </w:rPr>
                  <m:t>x</m:t>
                </m:r>
              </m:e>
              <m:sub>
                <m:r>
                  <w:rPr>
                    <w:rFonts w:ascii="Cambria Math" w:hAnsi="Cambria Math"/>
                  </w:rPr>
                  <m:t>t</m:t>
                </m:r>
              </m:sub>
            </m:sSub>
            <m:r>
              <m:rPr>
                <m:sty m:val="p"/>
              </m:rPr>
              <w:rPr>
                <w:rFonts w:ascii="Cambria Math" w:hAnsi="Cambria Math"/>
              </w:rPr>
              <m:t>;</m:t>
            </m:r>
            <m:rad>
              <m:radPr>
                <m:degHide m:val="on"/>
              </m:radPr>
              <m:deg/>
              <m:e>
                <m:sSub>
                  <m:e>
                    <m:r>
                      <w:rPr>
                        <w:rFonts w:ascii="Cambria Math" w:hAnsi="Cambria Math"/>
                      </w:rPr>
                      <m:t>α</m:t>
                    </m:r>
                  </m:e>
                  <m:sub>
                    <m:r>
                      <w:rPr>
                        <w:rFonts w:ascii="Cambria Math" w:hAnsi="Cambria Math"/>
                      </w:rPr>
                      <m:t>t</m:t>
                    </m:r>
                  </m:sub>
                </m:sSub>
              </m:e>
            </m:rad>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1</m:t>
            </m:r>
            <m:r>
              <m:rPr>
                <m:sty m:val="p"/>
              </m:rPr>
              <w:rPr>
                <w:rFonts w:ascii="Cambria Math" w:hAnsi="Cambria Math"/>
              </w:rPr>
              <m:t>−</m:t>
            </m:r>
            <m:sSub>
              <m:e>
                <m:r>
                  <w:rPr>
                    <w:rFonts w:ascii="Cambria Math" w:hAnsi="Cambria Math"/>
                  </w:rPr>
                  <m:t>α</m:t>
                </m:r>
              </m:e>
              <m:sub>
                <m:r>
                  <w:rPr>
                    <w:rFonts w:ascii="Cambria Math" w:hAnsi="Cambria Math"/>
                  </w:rPr>
                  <m:t>t</m:t>
                </m:r>
              </m:sub>
            </m:sSub>
          </m:e>
        </m:d>
        <m:r>
          <w:rPr>
            <w:rFonts w:ascii="Cambria Math" w:hAnsi="Cambria Math"/>
          </w:rPr>
          <m:t> </m:t>
        </m:r>
        <m:r>
          <w:rPr>
            <w:rFonts w:ascii="Cambria Math" w:hAnsi="Cambria Math"/>
          </w:rPr>
          <m:t>x</m:t>
        </m:r>
        <m:r>
          <m:rPr>
            <m:sty m:val="p"/>
          </m:rPr>
          <w:rPr>
            <w:rFonts w:ascii="Cambria Math" w:hAnsi="Cambria Math"/>
          </w:rPr>
          <m:t>,</m:t>
        </m:r>
      </m:oMath>
      <w:r>
        <w:rPr>
          <w:sz w:val="22"/>
        </w:rPr>
        <w:tab/>
        <w:t>(19)</w:t>
      </w:r>
    </w:p>
    <w:p>
      <w:pPr>
        <w:pStyle w:val="BodyText"/>
        <w:jc w:val="both"/>
      </w:pPr>
      <w:r>
        <w:t xml:space="preserve">and then applies the update</w:t>
      </w:r>
    </w:p>
    <w:p>
      <w:pPr>
        <w:pStyle w:val="BodyText"/>
        <w:keepLines/>
        <w:tabs>
          <w:tab w:val="center" w:pos="4810"/>
          <w:tab w:val="right" w:pos="9677"/>
        </w:tabs>
        <w:spacing w:before="100"/>
        <w:jc w:val="both"/>
      </w:pPr>
      <w:r>
        <w:tab/>
      </w:r>
      <m:oMath>
        <m:sSub>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ad>
          <m:radPr>
            <m:degHide m:val="on"/>
          </m:radPr>
          <m:deg/>
          <m:e>
            <m:sSub>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r>
          <w:rPr>
            <w:rFonts w:ascii="Cambria Math" w:hAnsi="Cambria Math"/>
          </w:rPr>
          <m:t> </m:t>
        </m:r>
        <m:sSub>
          <m:e>
            <m:acc>
              <m:accPr>
                <m:chr m:val="̂"/>
              </m:accPr>
              <m:e>
                <m:r>
                  <w:rPr>
                    <w:rFonts w:ascii="Cambria Math" w:hAnsi="Cambria Math"/>
                  </w:rPr>
                  <m:t>x</m:t>
                </m:r>
              </m:e>
            </m:acc>
          </m:e>
          <m:sub>
            <m:r>
              <w:rPr>
                <w:rFonts w:ascii="Cambria Math" w:hAnsi="Cambria Math"/>
              </w:rPr>
              <m:t>0</m:t>
            </m:r>
          </m:sub>
        </m:sSub>
        <m:r>
          <m:rPr>
            <m:sty m:val="p"/>
          </m:rPr>
          <w:rPr>
            <w:rFonts w:ascii="Cambria Math" w:hAnsi="Cambria Math"/>
          </w:rPr>
          <m:t>+</m:t>
        </m:r>
        <m:rad>
          <m:radPr>
            <m:degHide m:val="on"/>
          </m:radPr>
          <m:deg/>
          <m:e>
            <m:r>
              <w:rPr>
                <w:rFonts w:ascii="Cambria Math" w:hAnsi="Cambria Math"/>
              </w:rPr>
              <m:t>1</m:t>
            </m:r>
            <m:r>
              <m:rPr>
                <m:sty m:val="p"/>
              </m:rPr>
              <w:rPr>
                <w:rFonts w:ascii="Cambria Math" w:hAnsi="Cambria Math"/>
              </w:rPr>
              <m:t>−</m:t>
            </m:r>
            <m:sSub>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e>
                <m:r>
                  <w:rPr>
                    <w:rFonts w:ascii="Cambria Math" w:hAnsi="Cambria Math"/>
                  </w:rPr>
                  <m:t>σ</m:t>
                </m:r>
              </m:e>
              <m:sub>
                <m:r>
                  <w:rPr>
                    <w:rFonts w:ascii="Cambria Math" w:hAnsi="Cambria Math"/>
                  </w:rPr>
                  <m:t>t</m:t>
                </m:r>
              </m:sub>
              <m:sup>
                <m:r>
                  <w:rPr>
                    <w:rFonts w:ascii="Cambria Math" w:hAnsi="Cambria Math"/>
                  </w:rPr>
                  <m:t>2</m:t>
                </m:r>
              </m:sup>
            </m:sSubSup>
          </m:e>
        </m:rad>
        <m:r>
          <w:rPr>
            <w:rFonts w:ascii="Cambria Math" w:hAnsi="Cambria Math"/>
          </w:rPr>
          <m:t> </m:t>
        </m:r>
        <m:f>
          <m:fPr>
            <m:type m:val="bar"/>
          </m:fPr>
          <m:num>
            <m:sSub>
              <m:e>
                <m:r>
                  <w:rPr>
                    <w:rFonts w:ascii="Cambria Math" w:hAnsi="Cambria Math"/>
                  </w:rPr>
                  <m:t>x</m:t>
                </m:r>
              </m:e>
              <m:sub>
                <m:r>
                  <w:rPr>
                    <w:rFonts w:ascii="Cambria Math" w:hAnsi="Cambria Math"/>
                  </w:rPr>
                  <m:t>t</m:t>
                </m:r>
              </m:sub>
            </m:sSub>
            <m:r>
              <m:rPr>
                <m:sty m:val="p"/>
              </m:rPr>
              <w:rPr>
                <w:rFonts w:ascii="Cambria Math" w:hAnsi="Cambria Math"/>
              </w:rPr>
              <m:t>−</m:t>
            </m:r>
            <m:rad>
              <m:radPr>
                <m:degHide m:val="on"/>
              </m:radPr>
              <m:deg/>
              <m:e>
                <m:sSub>
                  <m:e>
                    <m:r>
                      <w:rPr>
                        <w:rFonts w:ascii="Cambria Math" w:hAnsi="Cambria Math"/>
                      </w:rPr>
                      <m:t>α</m:t>
                    </m:r>
                  </m:e>
                  <m:sub>
                    <m:r>
                      <w:rPr>
                        <w:rFonts w:ascii="Cambria Math" w:hAnsi="Cambria Math"/>
                      </w:rPr>
                      <m:t>t</m:t>
                    </m:r>
                  </m:sub>
                </m:sSub>
              </m:e>
            </m:rad>
            <m:r>
              <w:rPr>
                <w:rFonts w:ascii="Cambria Math" w:hAnsi="Cambria Math"/>
              </w:rPr>
              <m:t> </m:t>
            </m:r>
            <m:sSub>
              <m:e>
                <m:acc>
                  <m:accPr>
                    <m:chr m:val="̂"/>
                  </m:accPr>
                  <m:e>
                    <m:r>
                      <w:rPr>
                        <w:rFonts w:ascii="Cambria Math" w:hAnsi="Cambria Math"/>
                      </w:rPr>
                      <m:t>x</m:t>
                    </m:r>
                  </m:e>
                </m:acc>
              </m:e>
              <m:sub>
                <m:r>
                  <w:rPr>
                    <w:rFonts w:ascii="Cambria Math" w:hAnsi="Cambria Math"/>
                  </w:rPr>
                  <m:t>0</m:t>
                </m:r>
              </m:sub>
            </m:sSub>
          </m:num>
          <m:den>
            <m:rad>
              <m:radPr>
                <m:degHide m:val="on"/>
              </m:radPr>
              <m:deg/>
              <m:e>
                <m:r>
                  <w:rPr>
                    <w:rFonts w:ascii="Cambria Math" w:hAnsi="Cambria Math"/>
                  </w:rPr>
                  <m:t>1</m:t>
                </m:r>
                <m:r>
                  <m:rPr>
                    <m:sty m:val="p"/>
                  </m:rPr>
                  <w:rPr>
                    <w:rFonts w:ascii="Cambria Math" w:hAnsi="Cambria Math"/>
                  </w:rPr>
                  <m:t>−</m:t>
                </m:r>
                <m:sSub>
                  <m:e>
                    <m:r>
                      <w:rPr>
                        <w:rFonts w:ascii="Cambria Math" w:hAnsi="Cambria Math"/>
                      </w:rPr>
                      <m:t>α</m:t>
                    </m:r>
                  </m:e>
                  <m:sub>
                    <m:r>
                      <w:rPr>
                        <w:rFonts w:ascii="Cambria Math" w:hAnsi="Cambria Math"/>
                      </w:rPr>
                      <m:t>t</m:t>
                    </m:r>
                  </m:sub>
                </m:sSub>
              </m:e>
            </m:rad>
          </m:den>
        </m:f>
        <m:r>
          <m:rPr>
            <m:sty m:val="p"/>
          </m:rPr>
          <w:rPr>
            <w:rFonts w:ascii="Cambria Math" w:hAnsi="Cambria Math"/>
          </w:rPr>
          <m:t>+</m:t>
        </m:r>
        <m:sSub>
          <m:e>
            <m:r>
              <w:rPr>
                <w:rFonts w:ascii="Cambria Math" w:hAnsi="Cambria Math"/>
              </w:rPr>
              <m:t>σ</m:t>
            </m:r>
          </m:e>
          <m:sub>
            <m:r>
              <w:rPr>
                <w:rFonts w:ascii="Cambria Math" w:hAnsi="Cambria Math"/>
              </w:rPr>
              <m:t>t</m:t>
            </m:r>
          </m:sub>
        </m:sSub>
        <m:r>
          <w:rPr>
            <w:rFonts w:ascii="Cambria Math" w:hAnsi="Cambria Math"/>
          </w:rPr>
          <m:t>w</m:t>
        </m:r>
        <m:r>
          <m:rPr>
            <m:sty m:val="p"/>
          </m:rPr>
          <w:rPr>
            <w:rFonts w:ascii="Cambria Math" w:hAnsi="Cambria Math"/>
          </w:rPr>
          <m:t>,</m:t>
        </m:r>
      </m:oMath>
      <w:r>
        <w:rPr>
          <w:sz w:val="22"/>
        </w:rPr>
        <w:tab/>
        <w:t>(20)</w:t>
      </w:r>
    </w:p>
    <w:p>
      <w:pPr>
        <w:pStyle w:val="BodyText"/>
        <w:jc w:val="both"/>
      </w:pPr>
      <w:r>
        <w:t xml:space="preserve">where</w:t>
      </w:r>
      <w:r>
        <w:t xml:space="preserve"> </w:t>
      </w:r>
      <m:oMath>
        <m:r>
          <w:rPr>
            <w:rFonts w:ascii="Cambria Math" w:hAnsi="Cambria Math"/>
          </w:rPr>
          <m:t>Z</m:t>
        </m:r>
      </m:oMath>
      <w:r>
        <w:t xml:space="preserve"> </w:t>
      </w:r>
      <w:r>
        <w:t xml:space="preserve">normalizes the weights,</w:t>
      </w:r>
      <w:r>
        <w:t xml:space="preserve"> </w:t>
      </w:r>
      <m:oMath>
        <m:r>
          <w:rPr>
            <w:rFonts w:ascii="Cambria Math" w:hAnsi="Cambria Math"/>
          </w:rPr>
          <m:t>w</m:t>
        </m:r>
      </m:oMath>
      <w:r>
        <w:t xml:space="preserve"> </w:t>
      </w:r>
      <w:r>
        <w:t xml:space="preserve">is standard Gaussian noise, and</w:t>
      </w:r>
      <w:r>
        <w:t xml:space="preserve"> </w:t>
      </w:r>
      <m:oMath>
        <m:sSub>
          <m:e>
            <m:r>
              <w:rPr>
                <w:rFonts w:ascii="Cambria Math" w:hAnsi="Cambria Math"/>
              </w:rPr>
              <m:t>α</m:t>
            </m:r>
          </m:e>
          <m:sub>
            <m:r>
              <w:rPr>
                <w:rFonts w:ascii="Cambria Math" w:hAnsi="Cambria Math"/>
              </w:rPr>
              <m:t>t</m:t>
            </m:r>
          </m:sub>
        </m:sSub>
      </m:oMath>
      <w:r>
        <w:t xml:space="preserve"> </w:t>
      </w:r>
      <w:r>
        <w:t xml:space="preserve">follows a cosine schedule. With an exponential fitness mapping</w:t>
      </w:r>
      <w:r>
        <w:t xml:space="preserve"> </w:t>
      </w:r>
      <m:oMath>
        <m:r>
          <w:rPr>
            <w:rFonts w:ascii="Cambria Math" w:hAnsi="Cambria Math"/>
          </w:rPr>
          <m:t>g</m:t>
        </m:r>
      </m:oMath>
      <w:r>
        <w:t xml:space="preserve">, the weights in Equation (19) are the Gibbs weights of Proposition 1 multiplied by a Gaussian kernel of width</w:t>
      </w:r>
      <w:r>
        <w:t xml:space="preserve"> </w:t>
      </w:r>
      <m:oMath>
        <m:rad>
          <m:radPr>
            <m:degHide m:val="on"/>
          </m:radPr>
          <m:deg/>
          <m:e>
            <m:d>
              <m:dPr>
                <m:begChr m:val="("/>
                <m:sepChr m:val=""/>
                <m:endChr m:val=")"/>
                <m:grow/>
              </m:dPr>
              <m:e>
                <m:r>
                  <w:rPr>
                    <w:rFonts w:ascii="Cambria Math" w:hAnsi="Cambria Math"/>
                  </w:rPr>
                  <m:t>1</m:t>
                </m:r>
                <m:r>
                  <m:rPr>
                    <m:sty m:val="p"/>
                  </m:rPr>
                  <w:rPr>
                    <w:rFonts w:ascii="Cambria Math" w:hAnsi="Cambria Math"/>
                  </w:rPr>
                  <m:t>−</m:t>
                </m:r>
                <m:sSub>
                  <m:e>
                    <m:r>
                      <w:rPr>
                        <w:rFonts w:ascii="Cambria Math" w:hAnsi="Cambria Math"/>
                      </w:rPr>
                      <m:t>α</m:t>
                    </m:r>
                  </m:e>
                  <m:sub>
                    <m:r>
                      <w:rPr>
                        <w:rFonts w:ascii="Cambria Math" w:hAnsi="Cambria Math"/>
                      </w:rPr>
                      <m:t>t</m:t>
                    </m:r>
                  </m:sub>
                </m:sSub>
              </m:e>
            </m:d>
            <m:r>
              <m:rPr>
                <m:sty m:val="p"/>
              </m:rPr>
              <w:rPr>
                <w:rFonts w:ascii="Cambria Math" w:hAnsi="Cambria Math"/>
              </w:rPr>
              <m:t>/</m:t>
            </m:r>
            <m:sSub>
              <m:e>
                <m:r>
                  <w:rPr>
                    <w:rFonts w:ascii="Cambria Math" w:hAnsi="Cambria Math"/>
                  </w:rPr>
                  <m:t>α</m:t>
                </m:r>
              </m:e>
              <m:sub>
                <m:r>
                  <w:rPr>
                    <w:rFonts w:ascii="Cambria Math" w:hAnsi="Cambria Math"/>
                  </w:rPr>
                  <m:t>t</m:t>
                </m:r>
              </m:sub>
            </m:sSub>
          </m:e>
        </m:rad>
      </m:oMath>
      <w:r>
        <w:t xml:space="preserve"> </w:t>
      </w:r>
      <w:r>
        <w:t xml:space="preserve">in parameter space, which shrinks along the schedule. In GHO terms, Equation (19) is selection localized in parameter space, the noise is branching, and the schedule is a resolution homotopy from a broad carrier to a concentrated one. The reported ability to hold several high fitness regions [16] suits rival theories, but diversity alone does not certify distinct theories; equivalence still requires a witness (Section 2.3).</w:t>
      </w:r>
    </w:p>
    <w:p>
      <w:pPr>
        <w:pStyle w:val="BodyText"/>
        <w:jc w:val="both"/>
      </w:pPr>
      <w:r>
        <w:rPr>
          <w:bCs/>
          <w:b/>
        </w:rPr>
        <w:t xml:space="preserve">Proposition 7 Recombination in Diffusion Evolution is linear.</w:t>
      </w:r>
      <w:r>
        <w:t xml:space="preserve"> </w:t>
      </w:r>
      <w:r>
        <w:t xml:space="preserve">In Equations (19) and (20), every estimate</w:t>
      </w:r>
      <w:r>
        <w:t xml:space="preserve"> </w:t>
      </w:r>
      <m:oMath>
        <m:sSub>
          <m:e>
            <m:acc>
              <m:accPr>
                <m:chr m:val="̂"/>
              </m:accPr>
              <m:e>
                <m:r>
                  <w:rPr>
                    <w:rFonts w:ascii="Cambria Math" w:hAnsi="Cambria Math"/>
                  </w:rPr>
                  <m:t>x</m:t>
                </m:r>
              </m:e>
            </m:acc>
          </m:e>
          <m:sub>
            <m:r>
              <w:rPr>
                <w:rFonts w:ascii="Cambria Math" w:hAnsi="Cambria Math"/>
              </w:rPr>
              <m:t>0</m:t>
            </m:r>
          </m:sub>
        </m:sSub>
        <m:d>
          <m:dPr>
            <m:begChr m:val="("/>
            <m:sepChr m:val=""/>
            <m:endChr m:val=")"/>
            <m:grow/>
          </m:dPr>
          <m:e>
            <m:sSub>
              <m:e>
                <m:r>
                  <w:rPr>
                    <w:rFonts w:ascii="Cambria Math" w:hAnsi="Cambria Math"/>
                  </w:rPr>
                  <m:t>x</m:t>
                </m:r>
              </m:e>
              <m:sub>
                <m:r>
                  <w:rPr>
                    <w:rFonts w:ascii="Cambria Math" w:hAnsi="Cambria Math"/>
                  </w:rPr>
                  <m:t>t</m:t>
                </m:r>
              </m:sub>
            </m:sSub>
          </m:e>
        </m:d>
      </m:oMath>
      <w:r>
        <w:t xml:space="preserve"> </w:t>
      </w:r>
      <w:r>
        <w:t xml:space="preserve">is a convex combination of current individuals, and every update is a linear combination of</w:t>
      </w:r>
      <w:r>
        <w:t xml:space="preserve"> </w:t>
      </w:r>
      <m:oMath>
        <m:sSub>
          <m:e>
            <m:r>
              <w:rPr>
                <w:rFonts w:ascii="Cambria Math" w:hAnsi="Cambria Math"/>
              </w:rPr>
              <m:t>x</m:t>
            </m:r>
          </m:e>
          <m:sub>
            <m:r>
              <w:rPr>
                <w:rFonts w:ascii="Cambria Math" w:hAnsi="Cambria Math"/>
              </w:rPr>
              <m:t>t</m:t>
            </m:r>
          </m:sub>
        </m:sSub>
      </m:oMath>
      <w:r>
        <w:t xml:space="preserve"> </w:t>
      </w:r>
      <w:r>
        <w:t xml:space="preserve">and</w:t>
      </w:r>
      <w:r>
        <w:t xml:space="preserve"> </w:t>
      </w:r>
      <m:oMath>
        <m:sSub>
          <m:e>
            <m:acc>
              <m:accPr>
                <m:chr m:val="̂"/>
              </m:accPr>
              <m:e>
                <m:r>
                  <w:rPr>
                    <w:rFonts w:ascii="Cambria Math" w:hAnsi="Cambria Math"/>
                  </w:rPr>
                  <m:t>x</m:t>
                </m:r>
              </m:e>
            </m:acc>
          </m:e>
          <m:sub>
            <m:r>
              <w:rPr>
                <w:rFonts w:ascii="Cambria Math" w:hAnsi="Cambria Math"/>
              </w:rPr>
              <m:t>0</m:t>
            </m:r>
          </m:sub>
        </m:sSub>
        <m:d>
          <m:dPr>
            <m:begChr m:val="("/>
            <m:sepChr m:val=""/>
            <m:endChr m:val=")"/>
            <m:grow/>
          </m:dPr>
          <m:e>
            <m:sSub>
              <m:e>
                <m:r>
                  <w:rPr>
                    <w:rFonts w:ascii="Cambria Math" w:hAnsi="Cambria Math"/>
                  </w:rPr>
                  <m:t>x</m:t>
                </m:r>
              </m:e>
              <m:sub>
                <m:r>
                  <w:rPr>
                    <w:rFonts w:ascii="Cambria Math" w:hAnsi="Cambria Math"/>
                  </w:rPr>
                  <m:t>t</m:t>
                </m:r>
              </m:sub>
            </m:sSub>
          </m:e>
        </m:d>
      </m:oMath>
      <w:r>
        <w:t xml:space="preserve"> </w:t>
      </w:r>
      <w:r>
        <w:t xml:space="preserve">plus Gaussian noise. If the admissible set of a law is a linear subspace of the stored coordinates, the initial population lies in it, and the noise is drawn within it, every individual satisfies the law at every step. If the admissible set is not convex, an estimate can violate the law even when every individual satisfies it.</w:t>
      </w:r>
    </w:p>
    <w:p>
      <w:pPr>
        <w:pStyle w:val="BodyText"/>
        <w:jc w:val="both"/>
      </w:pPr>
      <w:r>
        <w:rPr>
          <w:bCs/>
          <w:b/>
        </w:rPr>
        <w:t xml:space="preserve">Proof.</w:t>
      </w:r>
      <w:r>
        <w:t xml:space="preserve"> </w:t>
      </w:r>
      <w:r>
        <w:t xml:space="preserve">The weights in Equation (19) are nonnegative and sum to one. Equation (20) is linear in</w:t>
      </w:r>
      <w:r>
        <w:t xml:space="preserve"> </w:t>
      </w:r>
      <m:oMath>
        <m:sSub>
          <m:e>
            <m:r>
              <w:rPr>
                <w:rFonts w:ascii="Cambria Math" w:hAnsi="Cambria Math"/>
              </w:rPr>
              <m:t>x</m:t>
            </m:r>
          </m:e>
          <m:sub>
            <m:r>
              <w:rPr>
                <w:rFonts w:ascii="Cambria Math" w:hAnsi="Cambria Math"/>
              </w:rPr>
              <m:t>t</m:t>
            </m:r>
          </m:sub>
        </m:sSub>
      </m:oMath>
      <w:r>
        <w:t xml:space="preserve"> </w:t>
      </w:r>
      <w:r>
        <w:t xml:space="preserve">and</w:t>
      </w:r>
      <w:r>
        <w:t xml:space="preserve"> </w:t>
      </w:r>
      <m:oMath>
        <m:sSub>
          <m:e>
            <m:acc>
              <m:accPr>
                <m:chr m:val="̂"/>
              </m:accPr>
              <m:e>
                <m:r>
                  <w:rPr>
                    <w:rFonts w:ascii="Cambria Math" w:hAnsi="Cambria Math"/>
                  </w:rPr>
                  <m:t>x</m:t>
                </m:r>
              </m:e>
            </m:acc>
          </m:e>
          <m:sub>
            <m:r>
              <w:rPr>
                <w:rFonts w:ascii="Cambria Math" w:hAnsi="Cambria Math"/>
              </w:rPr>
              <m:t>0</m:t>
            </m:r>
          </m:sub>
        </m:sSub>
      </m:oMath>
      <w:r>
        <w:t xml:space="preserve">, and a linear subspace is closed under linear combinations. For the last statement, place the weight on two admissible individuals whose midpoint is inadmissible; Check H2 in Appendix C gives an instance in which the algorithm’s own weights produce the violation.</w:t>
      </w:r>
    </w:p>
    <w:p>
      <w:pPr>
        <w:pStyle w:val="BodyText"/>
        <w:jc w:val="both"/>
      </w:pPr>
      <w:r>
        <w:t xml:space="preserve">The rule therefore concerns the representation rather than the search. A law that must never be broken should be encoded so that its admissible set is the whole coordinate space or a linear subspace of it. Dense matrices fail this rule for power preservation. In Check H2, every member of a population of dense</w:t>
      </w:r>
      <w:r>
        <w:t xml:space="preserve"> </w:t>
      </w:r>
      <m:oMath>
        <m:r>
          <w:rPr>
            <w:rFonts w:ascii="Cambria Math" w:hAnsi="Cambria Math"/>
          </w:rPr>
          <m:t>2</m:t>
        </m:r>
        <m:r>
          <m:rPr>
            <m:sty m:val="p"/>
          </m:rPr>
          <w:rPr>
            <w:rFonts w:ascii="Cambria Math" w:hAnsi="Cambria Math"/>
          </w:rPr>
          <m:t>×</m:t>
        </m:r>
        <m:r>
          <w:rPr>
            <w:rFonts w:ascii="Cambria Math" w:hAnsi="Cambria Math"/>
          </w:rPr>
          <m:t>2</m:t>
        </m:r>
      </m:oMath>
      <w:r>
        <w:t xml:space="preserve"> </w:t>
      </w:r>
      <w:r>
        <w:t xml:space="preserve">transports preserved power exactly, yet the estimates of Equation (19) violated the defining equation</w:t>
      </w:r>
      <w:r>
        <w:t xml:space="preserve"> </w:t>
      </w:r>
      <m:oMath>
        <m:sSup>
          <m:e>
            <m:r>
              <w:rPr>
                <w:rFonts w:ascii="Cambria Math" w:hAnsi="Cambria Math"/>
              </w:rPr>
              <m:t>M</m:t>
            </m:r>
          </m:e>
          <m:sup>
            <m:r>
              <m:rPr>
                <m:scr m:val="sans-serif"/>
                <m:sty m:val="p"/>
              </m:rPr>
              <w:rPr>
                <w:rFonts w:ascii="Cambria Math" w:hAnsi="Cambria Math"/>
              </w:rPr>
              <m:t>T</m:t>
            </m:r>
          </m:sup>
        </m:sSup>
        <m:r>
          <w:rPr>
            <w:rFonts w:ascii="Cambria Math" w:hAnsi="Cambria Math"/>
          </w:rPr>
          <m:t>J</m:t>
        </m:r>
        <m:r>
          <w:rPr>
            <w:rFonts w:ascii="Cambria Math" w:hAnsi="Cambria Math"/>
          </w:rPr>
          <m:t>M</m:t>
        </m:r>
        <m:r>
          <m:rPr>
            <m:sty m:val="p"/>
          </m:rPr>
          <w:rPr>
            <w:rFonts w:ascii="Cambria Math" w:hAnsi="Cambria Math"/>
          </w:rPr>
          <m:t>=</m:t>
        </m:r>
        <m:r>
          <w:rPr>
            <w:rFonts w:ascii="Cambria Math" w:hAnsi="Cambria Math"/>
          </w:rPr>
          <m:t>J</m:t>
        </m:r>
      </m:oMath>
      <w:r>
        <w:t xml:space="preserve"> </w:t>
      </w:r>
      <w:r>
        <w:t xml:space="preserve">by up to 0.20 in Frobenius norm.</w:t>
      </w:r>
    </w:p>
    <w:p>
      <w:pPr>
        <w:pStyle w:val="BodyText"/>
        <w:jc w:val="both"/>
      </w:pPr>
      <w:r>
        <w:t xml:space="preserve">Linearity raises a second problem. Two individuals can describe the same transport in different conventions, for example with effort and flow exchanged in both domains. Averaging them can preserve a linear law and still erase content. In Check H3, the genomes of</w:t>
      </w:r>
      <w:r>
        <w:t xml:space="preserve"> </w:t>
      </w:r>
      <m:oMath>
        <m:r>
          <m:rPr>
            <m:sty m:val="p"/>
          </m:rPr>
          <w:rPr>
            <w:rFonts w:ascii="Cambria Math" w:hAnsi="Cambria Math"/>
          </w:rPr>
          <m:t>d</m:t>
        </m:r>
        <m:r>
          <m:rPr>
            <m:sty m:val="p"/>
          </m:rPr>
          <w:rPr>
            <w:rFonts w:ascii="Cambria Math" w:hAnsi="Cambria Math"/>
          </w:rPr>
          <m:t>i</m:t>
        </m:r>
        <m:r>
          <m:rPr>
            <m:sty m:val="p"/>
          </m:rPr>
          <w:rPr>
            <w:rFonts w:ascii="Cambria Math" w:hAnsi="Cambria Math"/>
          </w:rPr>
          <m:t>a</m:t>
        </m:r>
        <m:r>
          <m:rPr>
            <m:sty m:val="p"/>
          </m:rPr>
          <w:rPr>
            <w:rFonts w:ascii="Cambria Math" w:hAnsi="Cambria Math"/>
          </w:rPr>
          <m:t>g</m:t>
        </m:r>
        <m:d>
          <m:dPr>
            <m:begChr m:val="("/>
            <m:sepChr m:val=""/>
            <m:endChr m:val=")"/>
            <m:grow/>
          </m:dPr>
          <m:e>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w:t>
      </w:r>
      <w:r>
        <w:t xml:space="preserve">and</w:t>
      </w:r>
      <w:r>
        <w:t xml:space="preserve"> </w:t>
      </w:r>
      <m:oMath>
        <m:r>
          <m:rPr>
            <m:sty m:val="p"/>
          </m:rPr>
          <w:rPr>
            <w:rFonts w:ascii="Cambria Math" w:hAnsi="Cambria Math"/>
          </w:rPr>
          <m:t>d</m:t>
        </m:r>
        <m:r>
          <m:rPr>
            <m:sty m:val="p"/>
          </m:rPr>
          <w:rPr>
            <w:rFonts w:ascii="Cambria Math" w:hAnsi="Cambria Math"/>
          </w:rPr>
          <m:t>i</m:t>
        </m:r>
        <m:r>
          <m:rPr>
            <m:sty m:val="p"/>
          </m:rPr>
          <w:rPr>
            <w:rFonts w:ascii="Cambria Math" w:hAnsi="Cambria Math"/>
          </w:rPr>
          <m:t>a</m:t>
        </m:r>
        <m:r>
          <m:rPr>
            <m:sty m:val="p"/>
          </m:rPr>
          <w:rPr>
            <w:rFonts w:ascii="Cambria Math" w:hAnsi="Cambria Math"/>
          </w:rPr>
          <m:t>g</m:t>
        </m:r>
        <m:d>
          <m:dPr>
            <m:begChr m:val="("/>
            <m:sepChr m:val=""/>
            <m:endChr m:val=")"/>
            <m:grow/>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e>
        </m:d>
      </m:oMath>
      <w:r>
        <w:t xml:space="preserve"> </w:t>
      </w:r>
      <w:r>
        <w:t xml:space="preserve">are related by the exchange</w:t>
      </w:r>
      <w:r>
        <w:t xml:space="preserve"> </w:t>
      </w:r>
      <m:oMath>
        <m:r>
          <w:rPr>
            <w:rFonts w:ascii="Cambria Math" w:hAnsi="Cambria Math"/>
          </w:rPr>
          <m:t>S</m:t>
        </m:r>
      </m:oMath>
      <w:r>
        <w:t xml:space="preserve">, so they describe one transport under exchanged conventions. Averaging their logarithmic genes gives the identity, which preserves power but removes the gain of four. Aligning the second genome to the first under the declared convention group before averaging restores the gain exactly. Kernel distances in Equation (19) should therefore compare aligned representatives,</w:t>
      </w:r>
    </w:p>
    <w:p>
      <w:pPr>
        <w:pStyle w:val="BodyText"/>
        <w:keepLines/>
        <w:tabs>
          <w:tab w:val="center" w:pos="4810"/>
          <w:tab w:val="right" w:pos="9677"/>
        </w:tabs>
        <w:spacing w:before="100"/>
        <w:jc w:val="both"/>
      </w:pPr>
      <w:r>
        <w:tab/>
      </w:r>
      <m:oMath>
        <m:r>
          <w:rPr>
            <w:rFonts w:ascii="Cambria Math" w:hAnsi="Cambria Math"/>
          </w:rPr>
          <m:t>d</m:t>
        </m:r>
        <m:d>
          <m:dPr>
            <m:begChr m:val="("/>
            <m:sepChr m:val=""/>
            <m:endChr m:val=")"/>
            <m:grow/>
          </m:dPr>
          <m:e>
            <m:d>
              <m:dPr>
                <m:begChr m:val="["/>
                <m:sepChr m:val=""/>
                <m:endChr m:val="]"/>
                <m:grow/>
              </m:dPr>
              <m:e>
                <m:r>
                  <w:rPr>
                    <w:rFonts w:ascii="Cambria Math" w:hAnsi="Cambria Math"/>
                  </w:rPr>
                  <m:t>x</m:t>
                </m:r>
              </m:e>
            </m:d>
            <m:r>
              <m:rPr>
                <m:sty m:val="p"/>
              </m:rPr>
              <w:rPr>
                <w:rFonts w:ascii="Cambria Math" w:hAnsi="Cambria Math"/>
              </w:rPr>
              <m:t>,</m:t>
            </m:r>
            <m:d>
              <m:dPr>
                <m:begChr m:val="["/>
                <m:sepChr m:val=""/>
                <m:endChr m:val="]"/>
                <m:grow/>
              </m:dPr>
              <m:e>
                <m:r>
                  <w:rPr>
                    <w:rFonts w:ascii="Cambria Math" w:hAnsi="Cambria Math"/>
                  </w:rPr>
                  <m:t>y</m:t>
                </m:r>
              </m:e>
            </m:d>
          </m:e>
        </m:d>
        <m:r>
          <m:rPr>
            <m:sty m:val="p"/>
          </m:rPr>
          <w:rPr>
            <w:rFonts w:ascii="Cambria Math" w:hAnsi="Cambria Math"/>
          </w:rPr>
          <m:t>=</m:t>
        </m:r>
        <m:sSub>
          <m:e>
            <m:r>
              <m:rPr>
                <m:sty m:val="p"/>
              </m:rPr>
              <w:rPr>
                <w:rFonts w:ascii="Cambria Math" w:hAnsi="Cambria Math"/>
              </w:rPr>
              <m:t>min</m:t>
            </m:r>
          </m:e>
          <m:sub>
            <m:r>
              <w:rPr>
                <w:rFonts w:ascii="Cambria Math" w:hAnsi="Cambria Math"/>
              </w:rPr>
              <m:t>g</m:t>
            </m:r>
            <m:r>
              <m:rPr>
                <m:sty m:val="p"/>
              </m:rPr>
              <w:rPr>
                <w:rFonts w:ascii="Cambria Math" w:hAnsi="Cambria Math"/>
              </w:rPr>
              <m:t>∈</m:t>
            </m:r>
            <m:r>
              <w:rPr>
                <w:rFonts w:ascii="Cambria Math" w:hAnsi="Cambria Math"/>
              </w:rPr>
              <m:t>G</m:t>
            </m:r>
          </m:sub>
        </m:sSub>
        <m:r>
          <w:rPr>
            <w:rFonts w:ascii="Cambria Math" w:hAnsi="Cambria Math"/>
          </w:rPr>
          <m:t> </m:t>
        </m:r>
        <m:r>
          <w:rPr>
            <w:rFonts w:ascii="Cambria Math" w:hAnsi="Cambria Math"/>
          </w:rPr>
          <m:t>d</m:t>
        </m:r>
        <m:d>
          <m:dPr>
            <m:begChr m:val="("/>
            <m:sepChr m:val=""/>
            <m:endChr m:val=")"/>
            <m:grow/>
          </m:dPr>
          <m:e>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g</m:t>
            </m:r>
            <m:r>
              <m:rPr>
                <m:sty m:val="p"/>
              </m:rPr>
              <w:rPr>
                <w:rFonts w:ascii="Cambria Math" w:hAnsi="Cambria Math"/>
              </w:rPr>
              <m:t>⋅</m:t>
            </m:r>
            <m:r>
              <w:rPr>
                <w:rFonts w:ascii="Cambria Math" w:hAnsi="Cambria Math"/>
              </w:rPr>
              <m:t>y</m:t>
            </m:r>
          </m:e>
        </m:d>
        <m:r>
          <m:rPr>
            <m:sty m:val="p"/>
          </m:rPr>
          <w:rPr>
            <w:rFonts w:ascii="Cambria Math" w:hAnsi="Cambria Math"/>
          </w:rPr>
          <m:t>,</m:t>
        </m:r>
      </m:oMath>
      <w:r>
        <w:rPr>
          <w:sz w:val="22"/>
        </w:rPr>
        <w:tab/>
        <w:t>(21)</w:t>
      </w:r>
    </w:p>
    <w:p>
      <w:pPr>
        <w:pStyle w:val="BodyText"/>
        <w:jc w:val="both"/>
      </w:pPr>
      <w:r>
        <w:t xml:space="preserve">and averages should be formed after alignment. Historical markings in neuroevolution [25] and permutation alignment before weight averaging [26] address the same requirement in other settings.</w:t>
      </w:r>
    </w:p>
    <w:p>
      <w:pPr>
        <w:pStyle w:val="BodyText"/>
        <w:jc w:val="both"/>
      </w:pPr>
      <w:r>
        <w:t xml:space="preserve">For noncommuting transports (Section 5.2), alignment is not sufficient, because no global coordinate system turns group composition into addition. Averaging rotation vectors in one exponential chart depends on the chart. In Check H4, applying a common rotation to every member before averaging changed the result by a median of 0.079 rad, and by up to 3.13 rad where rotation vectors crossed the chart boundary. The Karcher mean for a bi-invariant metric [27] was unchanged to within</w:t>
      </w:r>
      <w:r>
        <w:t xml:space="preserve"> </w:t>
      </w:r>
      <m:oMath>
        <m:r>
          <w:rPr>
            <w:rFonts w:ascii="Cambria Math" w:hAnsi="Cambria Math"/>
          </w:rPr>
          <m:t>2</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16</m:t>
            </m:r>
          </m:sup>
        </m:sSup>
      </m:oMath>
      <w:r>
        <w:t xml:space="preserve"> </w:t>
      </w:r>
      <w:r>
        <w:t xml:space="preserve">rad. Recombination of noncommuting transports should therefore use group means, at the cost of an inner iteration for each average.</w:t>
      </w:r>
    </w:p>
    <w:p>
      <w:pPr>
        <w:pStyle w:val="BodyText"/>
        <w:jc w:val="both"/>
      </w:pPr>
      <w:r>
        <w:t xml:space="preserve">A learned proposer becomes useful once evaluations accumulate. HADES trains a diffusion model on curated evaluations from earlier generations, and its conditional variant steers sampling by classifier-free guidance on specified traits [17]. For homotopy learning, the conditioning would include the diagram, the observables to be preserved, structured failure records, and the remaining verification budget. The sampler’s training cost belongs to the total budget, and its outputs are stored coordinates, so the representation rules of Section 9.3 still apply.</w:t>
      </w:r>
    </w:p>
    <w:p>
      <w:pPr>
        <w:pStyle w:val="Heading2"/>
        <w:jc w:val="both"/>
      </w:pPr>
      <w:r>
        <w:t xml:space="preserve">9.3 Numerical genomes that carry the law</w:t>
      </w:r>
    </w:p>
    <w:p>
      <w:pPr>
        <w:pStyle w:val="FirstParagraph"/>
        <w:jc w:val="both"/>
      </w:pPr>
      <w:r>
        <w:t xml:space="preserve">A candidate is stored as a genome</w:t>
      </w:r>
      <w:r>
        <w:t xml:space="preserve"> </w:t>
      </w:r>
      <m:oMath>
        <m:r>
          <w:rPr>
            <w:rFonts w:ascii="Cambria Math" w:hAnsi="Cambria Math"/>
          </w:rPr>
          <m:t>γ</m:t>
        </m:r>
        <m:r>
          <m:rPr>
            <m:sty m:val="p"/>
          </m:rPr>
          <w:rPr>
            <w:rFonts w:ascii="Cambria Math" w:hAnsi="Cambria Math"/>
          </w:rPr>
          <m:t>=</m:t>
        </m:r>
        <m:d>
          <m:dPr>
            <m:begChr m:val="("/>
            <m:sepChr m:val=""/>
            <m:endChr m:val=")"/>
            <m:grow/>
          </m:dPr>
          <m:e>
            <m:r>
              <w:rPr>
                <w:rFonts w:ascii="Cambria Math" w:hAnsi="Cambria Math"/>
              </w:rPr>
              <m:t>s</m:t>
            </m:r>
            <m:r>
              <m:rPr>
                <m:sty m:val="p"/>
              </m:rPr>
              <w:rPr>
                <w:rFonts w:ascii="Cambria Math" w:hAnsi="Cambria Math"/>
              </w:rPr>
              <m:t>,</m:t>
            </m:r>
            <m:r>
              <w:rPr>
                <w:rFonts w:ascii="Cambria Math" w:hAnsi="Cambria Math"/>
              </w:rPr>
              <m:t>z</m:t>
            </m:r>
          </m:e>
        </m:d>
      </m:oMath>
      <w:r>
        <w:t xml:space="preserve">, consisting of a discrete schema</w:t>
      </w:r>
      <w:r>
        <w:t xml:space="preserve"> </w:t>
      </w:r>
      <m:oMath>
        <m:r>
          <w:rPr>
            <w:rFonts w:ascii="Cambria Math" w:hAnsi="Cambria Math"/>
          </w:rPr>
          <m:t>s</m:t>
        </m:r>
      </m:oMath>
      <w:r>
        <w:t xml:space="preserve"> </w:t>
      </w:r>
      <w:r>
        <w:t xml:space="preserve">and numerical genes</w:t>
      </w:r>
      <w:r>
        <w:t xml:space="preserve"> </w:t>
      </w:r>
      <m:oMath>
        <m:r>
          <w:rPr>
            <w:rFonts w:ascii="Cambria Math" w:hAnsi="Cambria Math"/>
          </w:rPr>
          <m:t>z</m:t>
        </m:r>
      </m:oMath>
      <w:r>
        <w:t xml:space="preserve">, and decoded as</w:t>
      </w:r>
      <w:r>
        <w:t xml:space="preserve"> </w:t>
      </w:r>
      <m:oMath>
        <m:r>
          <w:rPr>
            <w:rFonts w:ascii="Cambria Math" w:hAnsi="Cambria Math"/>
          </w:rPr>
          <m:t>θ</m:t>
        </m:r>
        <m:r>
          <m:rPr>
            <m:sty m:val="p"/>
          </m:rPr>
          <w:rPr>
            <w:rFonts w:ascii="Cambria Math" w:hAnsi="Cambria Math"/>
          </w:rPr>
          <m:t>=</m:t>
        </m:r>
        <m:sSub>
          <m:e>
            <m:r>
              <w:rPr>
                <w:rFonts w:ascii="Cambria Math" w:hAnsi="Cambria Math"/>
              </w:rPr>
              <m:t>D</m:t>
            </m:r>
          </m:e>
          <m:sub>
            <m:r>
              <w:rPr>
                <w:rFonts w:ascii="Cambria Math" w:hAnsi="Cambria Math"/>
              </w:rPr>
              <m:t>s</m:t>
            </m:r>
          </m:sub>
        </m:sSub>
        <m:d>
          <m:dPr>
            <m:begChr m:val="("/>
            <m:sepChr m:val=""/>
            <m:endChr m:val=")"/>
            <m:grow/>
          </m:dPr>
          <m:e>
            <m:r>
              <w:rPr>
                <w:rFonts w:ascii="Cambria Math" w:hAnsi="Cambria Math"/>
              </w:rPr>
              <m:t>z</m:t>
            </m:r>
          </m:e>
        </m:d>
      </m:oMath>
      <w:r>
        <w:t xml:space="preserve">. The analogy with a biological genome is useful only if it is precise about what the decoder guarantees. Table 3 states the correspondence used here. It lists design requirements suggested by molecular genetics; it is not evidence from them.</w:t>
      </w:r>
    </w:p>
    <w:p>
      <w:pPr>
        <w:pStyle w:val="Caption"/>
        <w:keepNext/>
        <w:spacing w:before="100" w:after="140"/>
        <w:jc w:val="both"/>
      </w:pPr>
      <w:r>
        <w:t xml:space="preserve">Table 3 Genetic mechanisms and the corresponding requirements on a theory genome</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3600"/>
        <w:gridCol w:w="6163"/>
      </w:tblGrid>
      <w:tr>
        <w:trPr>
          <w:cantSplit/>
          <w:tblHeader/>
          <w:jc w:val="center"/>
        </w:trPr>
        <w:tc>
          <w:tcPr>
            <w:tcW w:w="36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Genetic mechanism</w:t>
            </w:r>
          </w:p>
        </w:tc>
        <w:tc>
          <w:tcPr>
            <w:tcW w:w="6163"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Requirement on a theory genome</w:t>
            </w:r>
          </w:p>
        </w:tc>
      </w:tr>
      <w:tr>
        <w:trPr>
          <w:cantSplit/>
          <w:jc w:val="center"/>
        </w:trPr>
        <w:tc>
          <w:tcPr>
            <w:tcW w:w="36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 four letter alphabet read in codons</w:t>
            </w:r>
          </w:p>
        </w:tc>
        <w:tc>
          <w:tcPr>
            <w:tcW w:w="61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 small typed alphabet: sign and exchange bits, logarithmic magnitudes, and hierarchical digits</w:t>
            </w:r>
          </w:p>
        </w:tc>
      </w:tr>
      <w:tr>
        <w:trPr>
          <w:cantSplit/>
          <w:jc w:val="center"/>
        </w:trPr>
        <w:tc>
          <w:tcPr>
            <w:tcW w:w="36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Synonymous codons and neutral networks [28]</w:t>
            </w:r>
          </w:p>
        </w:tc>
        <w:tc>
          <w:tcPr>
            <w:tcW w:w="61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Declared convention fibres of the decoder; neutral moves are allowed, but candidates are compared only after alignment</w:t>
            </w:r>
          </w:p>
        </w:tc>
      </w:tr>
      <w:tr>
        <w:trPr>
          <w:cantSplit/>
          <w:jc w:val="center"/>
        </w:trPr>
        <w:tc>
          <w:tcPr>
            <w:tcW w:w="36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An error minimizing genetic code [29]</w:t>
            </w:r>
          </w:p>
        </w:tc>
        <w:tc>
          <w:tcPr>
            <w:tcW w:w="61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 Lipschitz decoder, so that a small change of gene gives a small change of transport in the verifier's metric</w:t>
            </w:r>
          </w:p>
        </w:tc>
      </w:tr>
      <w:tr>
        <w:trPr>
          <w:cantSplit/>
          <w:jc w:val="center"/>
        </w:trPr>
        <w:tc>
          <w:tcPr>
            <w:tcW w:w="36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Alignment of homologous sequences before crossover</w:t>
            </w:r>
          </w:p>
        </w:tc>
        <w:tc>
          <w:tcPr>
            <w:tcW w:w="61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Alignment under the declared convention group before averaging (Section 9.2)</w:t>
            </w:r>
          </w:p>
        </w:tc>
      </w:tr>
      <w:tr>
        <w:trPr>
          <w:cantSplit/>
          <w:jc w:val="center"/>
        </w:trPr>
        <w:tc>
          <w:tcPr>
            <w:tcW w:w="36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Development and regulatory hierarchy</w:t>
            </w:r>
          </w:p>
        </w:tc>
        <w:tc>
          <w:tcPr>
            <w:tcW w:w="61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Indirect decoders built from shared factors, such as Kronecker factors or hypercomplex layers [30]</w:t>
            </w:r>
          </w:p>
        </w:tc>
      </w:tr>
      <w:tr>
        <w:trPr>
          <w:cantSplit/>
          <w:jc w:val="center"/>
        </w:trPr>
        <w:tc>
          <w:tcPr>
            <w:tcW w:w="36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Selection acting on the phenotype</w:t>
            </w:r>
          </w:p>
        </w:tc>
        <w:tc>
          <w:tcPr>
            <w:tcW w:w="61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 verifier acting on decoded maps and their predictions, never on genes alone</w:t>
            </w:r>
          </w:p>
        </w:tc>
      </w:tr>
    </w:tbl>
    <w:p>
      <w:pPr>
        <w:pStyle w:val="BodyText"/>
        <w:spacing w:before="160"/>
        <w:jc w:val="both"/>
      </w:pPr>
      <w:r>
        <w:t xml:space="preserve">The decoder should make each protected law hold by construction. For the power observable</w:t>
      </w:r>
      <w:r>
        <w:t xml:space="preserve"> </w:t>
      </w:r>
      <m:oMath>
        <m:r>
          <w:rPr>
            <w:rFonts w:ascii="Cambria Math" w:hAnsi="Cambria Math"/>
          </w:rPr>
          <m:t>P</m:t>
        </m:r>
        <m:d>
          <m:dPr>
            <m:begChr m:val="("/>
            <m:sepChr m:val=""/>
            <m:endChr m:val=")"/>
            <m:grow/>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m:t>
        </m:r>
        <m:r>
          <w:rPr>
            <w:rFonts w:ascii="Cambria Math" w:hAnsi="Cambria Math"/>
          </w:rPr>
          <m:t>f</m:t>
        </m:r>
      </m:oMath>
      <w:r>
        <w:t xml:space="preserve"> </w:t>
      </w:r>
      <w:r>
        <w:t xml:space="preserve">of Section 10.2, the admissible linear transports have an explicit form.</w:t>
      </w:r>
    </w:p>
    <w:p>
      <w:pPr>
        <w:pStyle w:val="BodyText"/>
        <w:jc w:val="both"/>
      </w:pPr>
      <w:r>
        <w:rPr>
          <w:bCs/>
          <w:b/>
        </w:rPr>
        <w:t xml:space="preserve">Proposition 8 Power preserving transports.</w:t>
      </w:r>
      <w:r>
        <w:t xml:space="preserve"> </w:t>
      </w:r>
      <w:r>
        <w:t xml:space="preserve">A linear map of the effort and flow plane preserves</w:t>
      </w:r>
      <w:r>
        <w:t xml:space="preserve"> </w:t>
      </w:r>
      <m:oMath>
        <m:r>
          <w:rPr>
            <w:rFonts w:ascii="Cambria Math" w:hAnsi="Cambria Math"/>
          </w:rPr>
          <m:t>P</m:t>
        </m:r>
        <m:d>
          <m:dPr>
            <m:begChr m:val="("/>
            <m:sepChr m:val=""/>
            <m:endChr m:val=")"/>
            <m:grow/>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m:t>
        </m:r>
        <m:r>
          <w:rPr>
            <w:rFonts w:ascii="Cambria Math" w:hAnsi="Cambria Math"/>
          </w:rPr>
          <m:t>f</m:t>
        </m:r>
      </m:oMath>
      <w:r>
        <w:t xml:space="preserve"> </w:t>
      </w:r>
      <w:r>
        <w:t xml:space="preserve">for every input if and only if it equals</w:t>
      </w:r>
    </w:p>
    <w:p>
      <w:pPr>
        <w:pStyle w:val="BodyText"/>
        <w:keepLines/>
        <w:tabs>
          <w:tab w:val="center" w:pos="4810"/>
          <w:tab w:val="right" w:pos="9677"/>
        </w:tabs>
        <w:spacing w:before="100"/>
        <w:jc w:val="both"/>
      </w:pPr>
      <w:r>
        <w:tab/>
      </w:r>
      <m:oMath>
        <m:r>
          <w:rPr>
            <w:rFonts w:ascii="Cambria Math" w:hAnsi="Cambria Math"/>
          </w:rPr>
          <m:t>T</m:t>
        </m:r>
        <m:d>
          <m:dPr>
            <m:begChr m:val="("/>
            <m:sepChr m:val=""/>
            <m:endChr m:val=")"/>
            <m:grow/>
          </m:dPr>
          <m:e>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ε</m:t>
            </m:r>
          </m:e>
        </m:d>
        <m:r>
          <m:rPr>
            <m:sty m:val="p"/>
          </m:rPr>
          <w:rPr>
            <w:rFonts w:ascii="Cambria Math" w:hAnsi="Cambria Math"/>
          </w:rPr>
          <m:t>=</m:t>
        </m:r>
        <m:sSup>
          <m:e>
            <m:d>
              <m:dPr>
                <m:begChr m:val="("/>
                <m:sepChr m:val=""/>
                <m:endChr m:val=")"/>
                <m:grow/>
              </m:dPr>
              <m:e>
                <m:r>
                  <m:rPr>
                    <m:sty m:val="p"/>
                  </m:rPr>
                  <w:rPr>
                    <w:rFonts w:ascii="Cambria Math" w:hAnsi="Cambria Math"/>
                  </w:rPr>
                  <m:t>−</m:t>
                </m:r>
                <m:r>
                  <w:rPr>
                    <w:rFonts w:ascii="Cambria Math" w:hAnsi="Cambria Math"/>
                  </w:rPr>
                  <m:t>1</m:t>
                </m:r>
              </m:e>
            </m:d>
          </m:e>
          <m:sup>
            <m:r>
              <w:rPr>
                <w:rFonts w:ascii="Cambria Math" w:hAnsi="Cambria Math"/>
              </w:rPr>
              <m:t>σ</m:t>
            </m:r>
          </m:sup>
        </m:sSup>
        <m:d>
          <m:dPr>
            <m:begChr m:val="("/>
            <m:sepChr m:val=""/>
            <m:endChr m:val=")"/>
            <m:grow/>
          </m:dPr>
          <m:e>
            <m:m>
              <m:mPr>
                <m:baseJc m:val="center"/>
                <m:plcHide m:val="on"/>
                <m:mcs>
                  <m:mc>
                    <m:mcPr>
                      <m:count m:val="1"/>
                      <m:mcJc m:val="center"/>
                    </m:mcPr>
                  </m:mc>
                  <m:mc>
                    <m:mcPr>
                      <m:count m:val="1"/>
                      <m:mcJc m:val="center"/>
                    </m:mcPr>
                  </m:mc>
                </m:mcs>
              </m:mPr>
              <m:mr>
                <m:e>
                  <m:sSup>
                    <m:e>
                      <m:r>
                        <w:rPr>
                          <w:rFonts w:ascii="Cambria Math" w:hAnsi="Cambria Math"/>
                        </w:rPr>
                        <m:t>e</m:t>
                      </m:r>
                    </m:e>
                    <m:sup>
                      <m:r>
                        <w:rPr>
                          <w:rFonts w:ascii="Cambria Math" w:hAnsi="Cambria Math"/>
                        </w:rPr>
                        <m:t>s</m:t>
                      </m:r>
                    </m:sup>
                  </m:sSup>
                </m:e>
                <m:e>
                  <m:r>
                    <w:rPr>
                      <w:rFonts w:ascii="Cambria Math" w:hAnsi="Cambria Math"/>
                    </w:rPr>
                    <m:t>0</m:t>
                  </m:r>
                </m:e>
              </m:mr>
              <m:mr>
                <m:e>
                  <m:r>
                    <w:rPr>
                      <w:rFonts w:ascii="Cambria Math" w:hAnsi="Cambria Math"/>
                    </w:rPr>
                    <m:t>0</m:t>
                  </m:r>
                </m:e>
                <m:e>
                  <m:sSup>
                    <m:e>
                      <m:r>
                        <w:rPr>
                          <w:rFonts w:ascii="Cambria Math" w:hAnsi="Cambria Math"/>
                        </w:rPr>
                        <m:t>e</m:t>
                      </m:r>
                    </m:e>
                    <m:sup>
                      <m:r>
                        <m:rPr>
                          <m:sty m:val="p"/>
                        </m:rPr>
                        <w:rPr>
                          <w:rFonts w:ascii="Cambria Math" w:hAnsi="Cambria Math"/>
                        </w:rPr>
                        <m:t>−</m:t>
                      </m:r>
                      <m:r>
                        <w:rPr>
                          <w:rFonts w:ascii="Cambria Math" w:hAnsi="Cambria Math"/>
                        </w:rPr>
                        <m:t>s</m:t>
                      </m:r>
                    </m:sup>
                  </m:sSup>
                </m:e>
              </m:mr>
            </m:m>
          </m:e>
        </m:d>
        <m:sSup>
          <m:e>
            <m:r>
              <w:rPr>
                <w:rFonts w:ascii="Cambria Math" w:hAnsi="Cambria Math"/>
              </w:rPr>
              <m:t>S</m:t>
            </m:r>
          </m:e>
          <m:sup>
            <m:r>
              <w:rPr>
                <w:rFonts w:ascii="Cambria Math" w:hAnsi="Cambria Math"/>
              </w:rPr>
              <m:t>ε</m:t>
            </m:r>
          </m:sup>
        </m:sSup>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d>
          <m:dPr>
            <m:begChr m:val="("/>
            <m:sepChr m:val=""/>
            <m:endChr m:val=")"/>
            <m:grow/>
          </m:dPr>
          <m:e>
            <m:m>
              <m:mPr>
                <m:baseJc m:val="center"/>
                <m:plcHide m:val="on"/>
                <m:mcs>
                  <m:mc>
                    <m:mcPr>
                      <m:count m:val="1"/>
                      <m:mcJc m:val="center"/>
                    </m:mcPr>
                  </m:mc>
                  <m:mc>
                    <m:mcPr>
                      <m:count m:val="1"/>
                      <m:mcJc m:val="center"/>
                    </m:mcPr>
                  </m:mc>
                </m:mcs>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oMath>
      <w:r>
        <w:rPr>
          <w:sz w:val="22"/>
        </w:rPr>
        <w:tab/>
        <w:t>(22)</w:t>
      </w:r>
    </w:p>
    <w:p>
      <w:pPr>
        <w:pStyle w:val="BodyText"/>
        <w:jc w:val="both"/>
      </w:pPr>
      <w:r>
        <w:t xml:space="preserve">for a sign bit</w:t>
      </w:r>
      <w:r>
        <w:t xml:space="preserve"> </w:t>
      </w:r>
      <m:oMath>
        <m:r>
          <w:rPr>
            <w:rFonts w:ascii="Cambria Math" w:hAnsi="Cambria Math"/>
          </w:rPr>
          <m:t>σ</m:t>
        </m:r>
      </m:oMath>
      <w:r>
        <w:t xml:space="preserve">, a real logarithmic magnitude</w:t>
      </w:r>
      <w:r>
        <w:t xml:space="preserve"> </w:t>
      </w:r>
      <m:oMath>
        <m:r>
          <w:rPr>
            <w:rFonts w:ascii="Cambria Math" w:hAnsi="Cambria Math"/>
          </w:rPr>
          <m:t>s</m:t>
        </m:r>
      </m:oMath>
      <w:r>
        <w:t xml:space="preserve">, and an exchange bit</w:t>
      </w:r>
      <w:r>
        <w:t xml:space="preserve"> </w:t>
      </w:r>
      <m:oMath>
        <m:r>
          <w:rPr>
            <w:rFonts w:ascii="Cambria Math" w:hAnsi="Cambria Math"/>
          </w:rPr>
          <m:t>ε</m:t>
        </m:r>
      </m:oMath>
      <w:r>
        <w:t xml:space="preserve">. These maps form a group with four connected components, and</w:t>
      </w:r>
    </w:p>
    <w:p>
      <w:pPr>
        <w:pStyle w:val="BodyText"/>
        <w:keepLines/>
        <w:tabs>
          <w:tab w:val="center" w:pos="4810"/>
          <w:tab w:val="right" w:pos="9677"/>
        </w:tabs>
        <w:spacing w:before="100"/>
        <w:jc w:val="both"/>
      </w:pPr>
      <w:r>
        <w:tab/>
      </w:r>
      <m:oMath>
        <m:r>
          <w:rPr>
            <w:rFonts w:ascii="Cambria Math" w:hAnsi="Cambria Math"/>
          </w:rPr>
          <m:t>T</m:t>
        </m:r>
        <m:d>
          <m:dPr>
            <m:begChr m:val="("/>
            <m:sepChr m:val=""/>
            <m:endChr m:val=")"/>
            <m:grow/>
          </m:dPr>
          <m:e>
            <m:sSub>
              <m:e>
                <m:r>
                  <w:rPr>
                    <w:rFonts w:ascii="Cambria Math" w:hAnsi="Cambria Math"/>
                  </w:rPr>
                  <m:t>σ</m:t>
                </m:r>
              </m:e>
              <m:sub>
                <m:r>
                  <w:rPr>
                    <w:rFonts w:ascii="Cambria Math" w:hAnsi="Cambria Math"/>
                  </w:rPr>
                  <m:t>1</m:t>
                </m:r>
              </m:sub>
            </m:sSub>
            <m:r>
              <m:rPr>
                <m:sty m:val="p"/>
              </m:rPr>
              <w:rPr>
                <w:rFonts w:ascii="Cambria Math" w:hAnsi="Cambria Math"/>
              </w:rPr>
              <m:t>,</m:t>
            </m:r>
            <m:sSub>
              <m:e>
                <m:r>
                  <w:rPr>
                    <w:rFonts w:ascii="Cambria Math" w:hAnsi="Cambria Math"/>
                  </w:rPr>
                  <m:t>s</m:t>
                </m:r>
              </m:e>
              <m:sub>
                <m:r>
                  <w:rPr>
                    <w:rFonts w:ascii="Cambria Math" w:hAnsi="Cambria Math"/>
                  </w:rPr>
                  <m:t>1</m:t>
                </m:r>
              </m:sub>
            </m:sSub>
            <m:r>
              <m:rPr>
                <m:sty m:val="p"/>
              </m:rPr>
              <w:rPr>
                <w:rFonts w:ascii="Cambria Math" w:hAnsi="Cambria Math"/>
              </w:rPr>
              <m:t>,</m:t>
            </m:r>
            <m:sSub>
              <m:e>
                <m:r>
                  <w:rPr>
                    <w:rFonts w:ascii="Cambria Math" w:hAnsi="Cambria Math"/>
                  </w:rPr>
                  <m:t>ε</m:t>
                </m:r>
              </m:e>
              <m:sub>
                <m:r>
                  <w:rPr>
                    <w:rFonts w:ascii="Cambria Math" w:hAnsi="Cambria Math"/>
                  </w:rPr>
                  <m:t>1</m:t>
                </m:r>
              </m:sub>
            </m:sSub>
          </m:e>
        </m:d>
        <m:r>
          <w:rPr>
            <w:rFonts w:ascii="Cambria Math" w:hAnsi="Cambria Math"/>
          </w:rPr>
          <m:t> </m:t>
        </m:r>
        <m:r>
          <w:rPr>
            <w:rFonts w:ascii="Cambria Math" w:hAnsi="Cambria Math"/>
          </w:rPr>
          <m:t>T</m:t>
        </m:r>
        <m:d>
          <m:dPr>
            <m:begChr m:val="("/>
            <m:sepChr m:val=""/>
            <m:endChr m:val=")"/>
            <m:grow/>
          </m:dPr>
          <m:e>
            <m:sSub>
              <m:e>
                <m:r>
                  <w:rPr>
                    <w:rFonts w:ascii="Cambria Math" w:hAnsi="Cambria Math"/>
                  </w:rPr>
                  <m:t>σ</m:t>
                </m:r>
              </m:e>
              <m:sub>
                <m:r>
                  <w:rPr>
                    <w:rFonts w:ascii="Cambria Math" w:hAnsi="Cambria Math"/>
                  </w:rPr>
                  <m:t>2</m:t>
                </m:r>
              </m:sub>
            </m:sSub>
            <m:r>
              <m:rPr>
                <m:sty m:val="p"/>
              </m:rPr>
              <w:rPr>
                <w:rFonts w:ascii="Cambria Math" w:hAnsi="Cambria Math"/>
              </w:rPr>
              <m:t>,</m:t>
            </m:r>
            <m:sSub>
              <m:e>
                <m:r>
                  <w:rPr>
                    <w:rFonts w:ascii="Cambria Math" w:hAnsi="Cambria Math"/>
                  </w:rPr>
                  <m:t>s</m:t>
                </m:r>
              </m:e>
              <m:sub>
                <m:r>
                  <w:rPr>
                    <w:rFonts w:ascii="Cambria Math" w:hAnsi="Cambria Math"/>
                  </w:rPr>
                  <m:t>2</m:t>
                </m:r>
              </m:sub>
            </m:sSub>
            <m:r>
              <m:rPr>
                <m:sty m:val="p"/>
              </m:rPr>
              <w:rPr>
                <w:rFonts w:ascii="Cambria Math" w:hAnsi="Cambria Math"/>
              </w:rPr>
              <m:t>,</m:t>
            </m:r>
            <m:sSub>
              <m:e>
                <m:r>
                  <w:rPr>
                    <w:rFonts w:ascii="Cambria Math" w:hAnsi="Cambria Math"/>
                  </w:rPr>
                  <m:t>ε</m:t>
                </m:r>
              </m:e>
              <m:sub>
                <m:r>
                  <w:rPr>
                    <w:rFonts w:ascii="Cambria Math" w:hAnsi="Cambria Math"/>
                  </w:rPr>
                  <m:t>2</m:t>
                </m:r>
              </m:sub>
            </m:sSub>
          </m:e>
        </m:d>
        <m:r>
          <m:rPr>
            <m:sty m:val="p"/>
          </m:rPr>
          <w:rPr>
            <w:rFonts w:ascii="Cambria Math" w:hAnsi="Cambria Math"/>
          </w:rPr>
          <m:t>=</m:t>
        </m:r>
        <m:r>
          <w:rPr>
            <w:rFonts w:ascii="Cambria Math" w:hAnsi="Cambria Math"/>
          </w:rPr>
          <m:t>T</m:t>
        </m:r>
        <m:d>
          <m:dPr>
            <m:begChr m:val="("/>
            <m:sepChr m:val=""/>
            <m:endChr m:val=")"/>
            <m:grow/>
          </m:dPr>
          <m:e>
            <m:sSub>
              <m:e>
                <m:r>
                  <w:rPr>
                    <w:rFonts w:ascii="Cambria Math" w:hAnsi="Cambria Math"/>
                  </w:rPr>
                  <m:t>σ</m:t>
                </m:r>
              </m:e>
              <m:sub>
                <m:r>
                  <w:rPr>
                    <w:rFonts w:ascii="Cambria Math" w:hAnsi="Cambria Math"/>
                  </w:rPr>
                  <m:t>1</m:t>
                </m:r>
              </m:sub>
            </m:sSub>
            <m:r>
              <m:rPr>
                <m:sty m:val="p"/>
              </m:rPr>
              <w:rPr>
                <w:rFonts w:ascii="Cambria Math" w:hAnsi="Cambria Math"/>
              </w:rPr>
              <m:t>⊕</m:t>
            </m:r>
            <m:sSub>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 </m:t>
            </m:r>
            <m:sSub>
              <m:e>
                <m:r>
                  <w:rPr>
                    <w:rFonts w:ascii="Cambria Math" w:hAnsi="Cambria Math"/>
                  </w:rPr>
                  <m:t>s</m:t>
                </m:r>
              </m:e>
              <m:sub>
                <m:r>
                  <w:rPr>
                    <w:rFonts w:ascii="Cambria Math" w:hAnsi="Cambria Math"/>
                  </w:rPr>
                  <m:t>1</m:t>
                </m:r>
              </m:sub>
            </m:sSub>
            <m:r>
              <m:rPr>
                <m:sty m:val="p"/>
              </m:rPr>
              <w:rPr>
                <w:rFonts w:ascii="Cambria Math" w:hAnsi="Cambria Math"/>
              </w:rPr>
              <m:t>+</m:t>
            </m:r>
            <m:sSup>
              <m:e>
                <m:d>
                  <m:dPr>
                    <m:begChr m:val="("/>
                    <m:sepChr m:val=""/>
                    <m:endChr m:val=")"/>
                    <m:grow/>
                  </m:dPr>
                  <m:e>
                    <m:r>
                      <m:rPr>
                        <m:sty m:val="p"/>
                      </m:rPr>
                      <w:rPr>
                        <w:rFonts w:ascii="Cambria Math" w:hAnsi="Cambria Math"/>
                      </w:rPr>
                      <m:t>−</m:t>
                    </m:r>
                    <m:r>
                      <w:rPr>
                        <w:rFonts w:ascii="Cambria Math" w:hAnsi="Cambria Math"/>
                      </w:rPr>
                      <m:t>1</m:t>
                    </m:r>
                  </m:e>
                </m:d>
              </m:e>
              <m:sup>
                <m:sSub>
                  <m:e>
                    <m:r>
                      <w:rPr>
                        <w:rFonts w:ascii="Cambria Math" w:hAnsi="Cambria Math"/>
                      </w:rPr>
                      <m:t>ε</m:t>
                    </m:r>
                  </m:e>
                  <m:sub>
                    <m:r>
                      <w:rPr>
                        <w:rFonts w:ascii="Cambria Math" w:hAnsi="Cambria Math"/>
                      </w:rPr>
                      <m:t>1</m:t>
                    </m:r>
                  </m:sub>
                </m:sSub>
              </m:sup>
            </m:sSup>
            <m:sSub>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 </m:t>
            </m:r>
            <m:sSub>
              <m:e>
                <m:r>
                  <w:rPr>
                    <w:rFonts w:ascii="Cambria Math" w:hAnsi="Cambria Math"/>
                  </w:rPr>
                  <m:t>ε</m:t>
                </m:r>
              </m:e>
              <m:sub>
                <m:r>
                  <w:rPr>
                    <w:rFonts w:ascii="Cambria Math" w:hAnsi="Cambria Math"/>
                  </w:rPr>
                  <m:t>1</m:t>
                </m:r>
              </m:sub>
            </m:sSub>
            <m:r>
              <m:rPr>
                <m:sty m:val="p"/>
              </m:rPr>
              <w:rPr>
                <w:rFonts w:ascii="Cambria Math" w:hAnsi="Cambria Math"/>
              </w:rPr>
              <m:t>⊕</m:t>
            </m:r>
            <m:sSub>
              <m:e>
                <m:r>
                  <w:rPr>
                    <w:rFonts w:ascii="Cambria Math" w:hAnsi="Cambria Math"/>
                  </w:rPr>
                  <m:t>ε</m:t>
                </m:r>
              </m:e>
              <m:sub>
                <m:r>
                  <w:rPr>
                    <w:rFonts w:ascii="Cambria Math" w:hAnsi="Cambria Math"/>
                  </w:rPr>
                  <m:t>2</m:t>
                </m:r>
              </m:sub>
            </m:sSub>
          </m:e>
        </m:d>
        <m:r>
          <m:rPr>
            <m:sty m:val="p"/>
          </m:rPr>
          <w:rPr>
            <w:rFonts w:ascii="Cambria Math" w:hAnsi="Cambria Math"/>
          </w:rPr>
          <m:t>.</m:t>
        </m:r>
      </m:oMath>
      <w:r>
        <w:rPr>
          <w:sz w:val="22"/>
        </w:rPr>
        <w:tab/>
        <w:t>(23)</w:t>
      </w:r>
    </w:p>
    <w:p>
      <w:pPr>
        <w:pStyle w:val="BodyText"/>
        <w:jc w:val="both"/>
      </w:pPr>
      <w:r>
        <w:rPr>
          <w:bCs/>
          <w:b/>
        </w:rPr>
        <w:t xml:space="preserve">Proof.</w:t>
      </w:r>
      <w:r>
        <w:t xml:space="preserve"> </w:t>
      </w:r>
      <w:r>
        <w:t xml:space="preserve">By polarization, a map</w:t>
      </w:r>
      <w:r>
        <w:t xml:space="preserve"> </w:t>
      </w:r>
      <m:oMath>
        <m:r>
          <w:rPr>
            <w:rFonts w:ascii="Cambria Math" w:hAnsi="Cambria Math"/>
          </w:rPr>
          <m:t>M</m:t>
        </m:r>
      </m:oMath>
      <w:r>
        <w:t xml:space="preserve"> </w:t>
      </w:r>
      <w:r>
        <w:t xml:space="preserve">that preserves</w:t>
      </w:r>
      <w:r>
        <w:t xml:space="preserve"> </w:t>
      </w:r>
      <m:oMath>
        <m:r>
          <w:rPr>
            <w:rFonts w:ascii="Cambria Math" w:hAnsi="Cambria Math"/>
          </w:rPr>
          <m:t>P</m:t>
        </m:r>
      </m:oMath>
      <w:r>
        <w:t xml:space="preserve"> </w:t>
      </w:r>
      <w:r>
        <w:t xml:space="preserve">also preserves its symmetric bilinear form, so</w:t>
      </w:r>
      <w:r>
        <w:t xml:space="preserve"> </w:t>
      </w:r>
      <m:oMath>
        <m:sSup>
          <m:e>
            <m:r>
              <w:rPr>
                <w:rFonts w:ascii="Cambria Math" w:hAnsi="Cambria Math"/>
              </w:rPr>
              <m:t>M</m:t>
            </m:r>
          </m:e>
          <m:sup>
            <m:r>
              <m:rPr>
                <m:scr m:val="sans-serif"/>
                <m:sty m:val="p"/>
              </m:rPr>
              <w:rPr>
                <w:rFonts w:ascii="Cambria Math" w:hAnsi="Cambria Math"/>
              </w:rPr>
              <m:t>T</m:t>
            </m:r>
          </m:sup>
        </m:sSup>
        <m:r>
          <w:rPr>
            <w:rFonts w:ascii="Cambria Math" w:hAnsi="Cambria Math"/>
          </w:rPr>
          <m:t>J</m:t>
        </m:r>
        <m:r>
          <w:rPr>
            <w:rFonts w:ascii="Cambria Math" w:hAnsi="Cambria Math"/>
          </w:rPr>
          <m:t>M</m:t>
        </m:r>
        <m:r>
          <m:rPr>
            <m:sty m:val="p"/>
          </m:rPr>
          <w:rPr>
            <w:rFonts w:ascii="Cambria Math" w:hAnsi="Cambria Math"/>
          </w:rPr>
          <m:t>=</m:t>
        </m:r>
        <m:r>
          <w:rPr>
            <w:rFonts w:ascii="Cambria Math" w:hAnsi="Cambria Math"/>
          </w:rPr>
          <m:t>J</m:t>
        </m:r>
      </m:oMath>
      <w:r>
        <w:t xml:space="preserve"> </w:t>
      </w:r>
      <w:r>
        <w:t xml:space="preserve">with</w:t>
      </w:r>
      <w:r>
        <w:t xml:space="preserve"> </w:t>
      </w:r>
      <m:oMath>
        <m:r>
          <w:rPr>
            <w:rFonts w:ascii="Cambria Math" w:hAnsi="Cambria Math"/>
          </w:rPr>
          <m:t>J</m:t>
        </m:r>
      </m:oMath>
      <w:r>
        <w:t xml:space="preserve"> </w:t>
      </w:r>
      <w:r>
        <w:t xml:space="preserve">invertible, and</w:t>
      </w:r>
      <w:r>
        <w:t xml:space="preserve"> </w:t>
      </w:r>
      <m:oMath>
        <m:r>
          <w:rPr>
            <w:rFonts w:ascii="Cambria Math" w:hAnsi="Cambria Math"/>
          </w:rPr>
          <m:t>M</m:t>
        </m:r>
      </m:oMath>
      <w:r>
        <w:t xml:space="preserve"> </w:t>
      </w:r>
      <w:r>
        <w:t xml:space="preserve">is invertible. The zero set of</w:t>
      </w:r>
      <w:r>
        <w:t xml:space="preserve"> </w:t>
      </w:r>
      <m:oMath>
        <m:r>
          <w:rPr>
            <w:rFonts w:ascii="Cambria Math" w:hAnsi="Cambria Math"/>
          </w:rPr>
          <m:t>P</m:t>
        </m:r>
      </m:oMath>
      <w:r>
        <w:t xml:space="preserve"> </w:t>
      </w:r>
      <w:r>
        <w:t xml:space="preserve">is the union of the two coordinate axes, which an invertible map preserving</w:t>
      </w:r>
      <w:r>
        <w:t xml:space="preserve"> </w:t>
      </w:r>
      <m:oMath>
        <m:r>
          <w:rPr>
            <w:rFonts w:ascii="Cambria Math" w:hAnsi="Cambria Math"/>
          </w:rPr>
          <m:t>P</m:t>
        </m:r>
      </m:oMath>
      <w:r>
        <w:t xml:space="preserve"> </w:t>
      </w:r>
      <w:r>
        <w:t xml:space="preserve">must permute; hence</w:t>
      </w:r>
      <w:r>
        <w:t xml:space="preserve"> </w:t>
      </w:r>
      <m:oMath>
        <m:r>
          <w:rPr>
            <w:rFonts w:ascii="Cambria Math" w:hAnsi="Cambria Math"/>
          </w:rPr>
          <m:t>M</m:t>
        </m:r>
      </m:oMath>
      <w:r>
        <w:t xml:space="preserve"> </w:t>
      </w:r>
      <w:r>
        <w:t xml:space="preserve">is diagonal or antidiagonal. Preservation of the product then makes its two nonzero entries reciprocal, which gives Equation (22) with</w:t>
      </w:r>
      <w:r>
        <w:t xml:space="preserve"> </w:t>
      </w:r>
      <m:oMath>
        <m:sSup>
          <m:e>
            <m:d>
              <m:dPr>
                <m:begChr m:val="("/>
                <m:sepChr m:val=""/>
                <m:endChr m:val=")"/>
                <m:grow/>
              </m:dPr>
              <m:e>
                <m:r>
                  <m:rPr>
                    <m:sty m:val="p"/>
                  </m:rPr>
                  <w:rPr>
                    <w:rFonts w:ascii="Cambria Math" w:hAnsi="Cambria Math"/>
                  </w:rPr>
                  <m:t>−</m:t>
                </m:r>
                <m:r>
                  <w:rPr>
                    <w:rFonts w:ascii="Cambria Math" w:hAnsi="Cambria Math"/>
                  </w:rPr>
                  <m:t>1</m:t>
                </m:r>
              </m:e>
            </m:d>
          </m:e>
          <m:sup>
            <m:r>
              <w:rPr>
                <w:rFonts w:ascii="Cambria Math" w:hAnsi="Cambria Math"/>
              </w:rPr>
              <m:t>σ</m:t>
            </m:r>
          </m:sup>
        </m:sSup>
        <m:sSup>
          <m:e>
            <m:r>
              <w:rPr>
                <w:rFonts w:ascii="Cambria Math" w:hAnsi="Cambria Math"/>
              </w:rPr>
              <m:t>e</m:t>
            </m:r>
          </m:e>
          <m:sup>
            <m:r>
              <w:rPr>
                <w:rFonts w:ascii="Cambria Math" w:hAnsi="Cambria Math"/>
              </w:rPr>
              <m:t>s</m:t>
            </m:r>
          </m:sup>
        </m:sSup>
      </m:oMath>
      <w:r>
        <w:t xml:space="preserve"> </w:t>
      </w:r>
      <w:r>
        <w:t xml:space="preserve">ranging over the nonzero reals. Equation (23) follows from</w:t>
      </w:r>
      <w:r>
        <w:t xml:space="preserve"> </w:t>
      </w:r>
      <m:oMath>
        <m:r>
          <w:rPr>
            <w:rFonts w:ascii="Cambria Math" w:hAnsi="Cambria Math"/>
          </w:rPr>
          <m:t>S</m:t>
        </m:r>
        <m:r>
          <w:rPr>
            <w:rFonts w:ascii="Cambria Math" w:hAnsi="Cambria Math"/>
          </w:rPr>
          <m:t> </m:t>
        </m:r>
        <m:r>
          <m:rPr>
            <m:sty m:val="p"/>
          </m:rPr>
          <w:rPr>
            <w:rFonts w:ascii="Cambria Math" w:hAnsi="Cambria Math"/>
          </w:rPr>
          <m:t>d</m:t>
        </m:r>
        <m:r>
          <m:rPr>
            <m:sty m:val="p"/>
          </m:rPr>
          <w:rPr>
            <w:rFonts w:ascii="Cambria Math" w:hAnsi="Cambria Math"/>
          </w:rPr>
          <m:t>i</m:t>
        </m:r>
        <m:r>
          <m:rPr>
            <m:sty m:val="p"/>
          </m:rPr>
          <w:rPr>
            <w:rFonts w:ascii="Cambria Math" w:hAnsi="Cambria Math"/>
          </w:rPr>
          <m:t>a</m:t>
        </m:r>
        <m:r>
          <m:rPr>
            <m:sty m:val="p"/>
          </m:rPr>
          <w:rPr>
            <w:rFonts w:ascii="Cambria Math" w:hAnsi="Cambria Math"/>
          </w:rPr>
          <m:t>g</m:t>
        </m:r>
        <m:d>
          <m:dPr>
            <m:begChr m:val="("/>
            <m:sepChr m:val=""/>
            <m:endChr m:val=")"/>
            <m:grow/>
          </m:dPr>
          <m:e>
            <m:r>
              <w:rPr>
                <w:rFonts w:ascii="Cambria Math" w:hAnsi="Cambria Math"/>
              </w:rPr>
              <m:t>a</m:t>
            </m:r>
            <m:r>
              <m:rPr>
                <m:sty m:val="p"/>
              </m:rPr>
              <w:rPr>
                <w:rFonts w:ascii="Cambria Math" w:hAnsi="Cambria Math"/>
              </w:rPr>
              <m:t>,</m:t>
            </m:r>
            <m:sSup>
              <m:e>
                <m:r>
                  <w:rPr>
                    <w:rFonts w:ascii="Cambria Math" w:hAnsi="Cambria Math"/>
                  </w:rPr>
                  <m:t>a</m:t>
                </m:r>
              </m:e>
              <m:sup>
                <m:r>
                  <m:rPr>
                    <m:sty m:val="p"/>
                  </m:rPr>
                  <w:rPr>
                    <w:rFonts w:ascii="Cambria Math" w:hAnsi="Cambria Math"/>
                  </w:rPr>
                  <m:t>−</m:t>
                </m:r>
                <m:r>
                  <w:rPr>
                    <w:rFonts w:ascii="Cambria Math" w:hAnsi="Cambria Math"/>
                  </w:rPr>
                  <m:t>1</m:t>
                </m:r>
              </m:sup>
            </m:sSup>
          </m:e>
        </m:d>
        <m:r>
          <w:rPr>
            <w:rFonts w:ascii="Cambria Math" w:hAnsi="Cambria Math"/>
          </w:rPr>
          <m:t> </m:t>
        </m:r>
        <m:r>
          <w:rPr>
            <w:rFonts w:ascii="Cambria Math" w:hAnsi="Cambria Math"/>
          </w:rPr>
          <m:t>S</m:t>
        </m:r>
        <m:r>
          <m:rPr>
            <m:sty m:val="p"/>
          </m:rPr>
          <w:rPr>
            <w:rFonts w:ascii="Cambria Math" w:hAnsi="Cambria Math"/>
          </w:rPr>
          <m:t>=</m:t>
        </m:r>
        <m:r>
          <m:rPr>
            <m:sty m:val="p"/>
          </m:rPr>
          <w:rPr>
            <w:rFonts w:ascii="Cambria Math" w:hAnsi="Cambria Math"/>
          </w:rPr>
          <m:t>d</m:t>
        </m:r>
        <m:r>
          <m:rPr>
            <m:sty m:val="p"/>
          </m:rPr>
          <w:rPr>
            <w:rFonts w:ascii="Cambria Math" w:hAnsi="Cambria Math"/>
          </w:rPr>
          <m:t>i</m:t>
        </m:r>
        <m:r>
          <m:rPr>
            <m:sty m:val="p"/>
          </m:rPr>
          <w:rPr>
            <w:rFonts w:ascii="Cambria Math" w:hAnsi="Cambria Math"/>
          </w:rPr>
          <m:t>a</m:t>
        </m:r>
        <m:r>
          <m:rPr>
            <m:sty m:val="p"/>
          </m:rPr>
          <w:rPr>
            <w:rFonts w:ascii="Cambria Math" w:hAnsi="Cambria Math"/>
          </w:rPr>
          <m:t>g</m:t>
        </m:r>
        <m:d>
          <m:dPr>
            <m:begChr m:val="("/>
            <m:sepChr m:val=""/>
            <m:endChr m:val=")"/>
            <m:grow/>
          </m:dPr>
          <m:e>
            <m:sSup>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m:t>
            </m:r>
          </m:e>
        </m:d>
      </m:oMath>
      <w:r>
        <w:t xml:space="preserve">. The four components correspond to the four values of</w:t>
      </w:r>
      <w:r>
        <w:t xml:space="preserve"> </w:t>
      </w:r>
      <m:oMath>
        <m:d>
          <m:dPr>
            <m:begChr m:val="("/>
            <m:sepChr m:val=""/>
            <m:endChr m:val=")"/>
            <m:grow/>
          </m:dPr>
          <m:e>
            <m:r>
              <w:rPr>
                <w:rFonts w:ascii="Cambria Math" w:hAnsi="Cambria Math"/>
              </w:rPr>
              <m:t>σ</m:t>
            </m:r>
            <m:r>
              <m:rPr>
                <m:sty m:val="p"/>
              </m:rPr>
              <w:rPr>
                <w:rFonts w:ascii="Cambria Math" w:hAnsi="Cambria Math"/>
              </w:rPr>
              <m:t>,</m:t>
            </m:r>
            <m:r>
              <w:rPr>
                <w:rFonts w:ascii="Cambria Math" w:hAnsi="Cambria Math"/>
              </w:rPr>
              <m:t>ε</m:t>
            </m:r>
          </m:e>
        </m:d>
      </m:oMath>
      <w:r>
        <w:t xml:space="preserve">.</w:t>
      </w:r>
    </w:p>
    <w:p>
      <w:pPr>
        <w:pStyle w:val="BodyText"/>
        <w:jc w:val="both"/>
      </w:pPr>
      <w:r>
        <w:t xml:space="preserve">The genome</w:t>
      </w:r>
      <w:r>
        <w:t xml:space="preserve"> </w:t>
      </w:r>
      <m:oMath>
        <m:d>
          <m:dPr>
            <m:begChr m:val="("/>
            <m:sepChr m:val=""/>
            <m:endChr m:val=")"/>
            <m:grow/>
          </m:dPr>
          <m:e>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ε</m:t>
            </m:r>
          </m:e>
        </m:d>
      </m:oMath>
      <w:r>
        <w:t xml:space="preserve"> </w:t>
      </w:r>
      <w:r>
        <w:t xml:space="preserve">is a sign and logarithm number [31], the representation already used in logarithmic Kronecker networks [32, 33], extended by one exchange bit. Multiplication of magnitudes becomes addition of genes, and the exchange enters Equation (23) through the sign of</w:t>
      </w:r>
      <w:r>
        <w:t xml:space="preserve"> </w:t>
      </w:r>
      <m:oMath>
        <m:sSub>
          <m:e>
            <m:r>
              <w:rPr>
                <w:rFonts w:ascii="Cambria Math" w:hAnsi="Cambria Math"/>
              </w:rPr>
              <m:t>s</m:t>
            </m:r>
          </m:e>
          <m:sub>
            <m:r>
              <w:rPr>
                <w:rFonts w:ascii="Cambria Math" w:hAnsi="Cambria Math"/>
              </w:rPr>
              <m:t>2</m:t>
            </m:r>
          </m:sub>
        </m:sSub>
      </m:oMath>
      <w:r>
        <w:t xml:space="preserve">, so operation order is retained. Every genome decodes to a power preserving map, so the admissible set is the whole genome space and Proposition 7 guarantees exact preservation under Diffusion Evolution within a fixed pair of bits. A genome without the sign bit reaches only two of the four components and cannot represent the reversal of both port orientations,</w:t>
      </w:r>
      <w:r>
        <w:t xml:space="preserve"> </w:t>
      </w:r>
      <m:oMath>
        <m:r>
          <m:rPr>
            <m:sty m:val="p"/>
          </m:rPr>
          <w:rPr>
            <w:rFonts w:ascii="Cambria Math" w:hAnsi="Cambria Math"/>
          </w:rPr>
          <m:t>−</m:t>
        </m:r>
        <m:r>
          <w:rPr>
            <w:rFonts w:ascii="Cambria Math" w:hAnsi="Cambria Math"/>
          </w:rPr>
          <m:t>I</m:t>
        </m:r>
      </m:oMath>
      <w:r>
        <w:t xml:space="preserve"> </w:t>
      </w:r>
      <w:r>
        <w:t xml:space="preserve">(Check H1). The bits are discrete genes; they change only through typed proposals followed by verification.</w:t>
      </w:r>
    </w:p>
    <w:p>
      <w:pPr>
        <w:pStyle w:val="BodyText"/>
        <w:jc w:val="both"/>
      </w:pPr>
      <w:r>
        <w:t xml:space="preserve">The same principle extends to shared factors. For entrywise positive factors, the entrywise logarithm of a Kronecker product is an outer sum,</w:t>
      </w:r>
      <w:r>
        <w:t xml:space="preserve"> </w:t>
      </w:r>
      <m:oMath>
        <m:r>
          <m:rPr>
            <m:sty m:val="p"/>
          </m:rPr>
          <w:rPr>
            <w:rFonts w:ascii="Cambria Math" w:hAnsi="Cambria Math"/>
          </w:rPr>
          <m:t>log</m:t>
        </m:r>
        <m:d>
          <m:dPr>
            <m:begChr m:val="("/>
            <m:sepChr m:val=""/>
            <m:endChr m:val=")"/>
            <m:grow/>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sty m:val="p"/>
          </m:rPr>
          <w:rPr>
            <w:rFonts w:ascii="Cambria Math" w:hAnsi="Cambria Math"/>
          </w:rPr>
          <m:t>log</m:t>
        </m:r>
        <m:r>
          <w:rPr>
            <w:rFonts w:ascii="Cambria Math" w:hAnsi="Cambria Math"/>
          </w:rPr>
          <m:t> </m:t>
        </m:r>
        <m:r>
          <w:rPr>
            <w:rFonts w:ascii="Cambria Math" w:hAnsi="Cambria Math"/>
          </w:rPr>
          <m:t>A</m:t>
        </m:r>
        <m:r>
          <m:rPr>
            <m:sty m:val="p"/>
          </m:rPr>
          <w:rPr>
            <w:rFonts w:ascii="Cambria Math" w:hAnsi="Cambria Math"/>
          </w:rPr>
          <m:t>⊞</m:t>
        </m:r>
        <m:r>
          <m:rPr>
            <m:sty m:val="p"/>
          </m:rPr>
          <w:rPr>
            <w:rFonts w:ascii="Cambria Math" w:hAnsi="Cambria Math"/>
          </w:rPr>
          <m:t>log</m:t>
        </m:r>
        <m:r>
          <w:rPr>
            <w:rFonts w:ascii="Cambria Math" w:hAnsi="Cambria Math"/>
          </w:rPr>
          <m:t> </m:t>
        </m:r>
        <m:r>
          <w:rPr>
            <w:rFonts w:ascii="Cambria Math" w:hAnsi="Cambria Math"/>
          </w:rPr>
          <m:t>B</m:t>
        </m:r>
      </m:oMath>
      <w:r>
        <w:t xml:space="preserve">, where</w:t>
      </w:r>
      <w:r>
        <w:t xml:space="preserve"> </w:t>
      </w:r>
      <m:oMath>
        <m:sSub>
          <m:e>
            <m:d>
              <m:dPr>
                <m:begChr m:val="("/>
                <m:sepChr m:val=""/>
                <m:endChr m:val=")"/>
                <m:grow/>
              </m:dPr>
              <m:e>
                <m:r>
                  <m:rPr>
                    <m:sty m:val="p"/>
                  </m:rPr>
                  <w:rPr>
                    <w:rFonts w:ascii="Cambria Math" w:hAnsi="Cambria Math"/>
                  </w:rPr>
                  <m:t>log</m:t>
                </m:r>
                <m:r>
                  <w:rPr>
                    <w:rFonts w:ascii="Cambria Math" w:hAnsi="Cambria Math"/>
                  </w:rPr>
                  <m:t> </m:t>
                </m:r>
                <m:r>
                  <w:rPr>
                    <w:rFonts w:ascii="Cambria Math" w:hAnsi="Cambria Math"/>
                  </w:rPr>
                  <m:t>A</m:t>
                </m:r>
                <m:r>
                  <m:rPr>
                    <m:sty m:val="p"/>
                  </m:rPr>
                  <w:rPr>
                    <w:rFonts w:ascii="Cambria Math" w:hAnsi="Cambria Math"/>
                  </w:rPr>
                  <m:t>⊞</m:t>
                </m:r>
                <m:r>
                  <m:rPr>
                    <m:sty m:val="p"/>
                  </m:rPr>
                  <w:rPr>
                    <w:rFonts w:ascii="Cambria Math" w:hAnsi="Cambria Math"/>
                  </w:rPr>
                  <m:t>log</m:t>
                </m:r>
                <m:r>
                  <w:rPr>
                    <w:rFonts w:ascii="Cambria Math" w:hAnsi="Cambria Math"/>
                  </w:rPr>
                  <m:t> </m:t>
                </m:r>
                <m:r>
                  <w:rPr>
                    <w:rFonts w:ascii="Cambria Math" w:hAnsi="Cambria Math"/>
                  </w:rPr>
                  <m:t>B</m:t>
                </m:r>
              </m:e>
            </m:d>
          </m:e>
          <m:sub>
            <m:d>
              <m:dPr>
                <m:begChr m:val="("/>
                <m:sepChr m:val=""/>
                <m:endChr m:val=")"/>
                <m:grow/>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d>
              <m:dPr>
                <m:begChr m:val="("/>
                <m:sepChr m:val=""/>
                <m:endChr m:val=")"/>
                <m:grow/>
              </m:dPr>
              <m:e>
                <m:r>
                  <w:rPr>
                    <w:rFonts w:ascii="Cambria Math" w:hAnsi="Cambria Math"/>
                  </w:rPr>
                  <m:t>j</m:t>
                </m:r>
                <m:r>
                  <m:rPr>
                    <m:sty m:val="p"/>
                  </m:rPr>
                  <w:rPr>
                    <w:rFonts w:ascii="Cambria Math" w:hAnsi="Cambria Math"/>
                  </w:rPr>
                  <m:t>,</m:t>
                </m:r>
                <m:r>
                  <w:rPr>
                    <w:rFonts w:ascii="Cambria Math" w:hAnsi="Cambria Math"/>
                  </w:rPr>
                  <m:t>l</m:t>
                </m:r>
              </m:e>
            </m:d>
          </m:sub>
        </m:sSub>
        <m:r>
          <m:rPr>
            <m:sty m:val="p"/>
          </m:rPr>
          <w:rPr>
            <w:rFonts w:ascii="Cambria Math" w:hAnsi="Cambria Math"/>
          </w:rPr>
          <m:t>=</m:t>
        </m:r>
        <m:r>
          <m:rPr>
            <m:sty m:val="p"/>
          </m:rPr>
          <w:rPr>
            <w:rFonts w:ascii="Cambria Math" w:hAnsi="Cambria Math"/>
          </w:rPr>
          <m:t>log</m:t>
        </m:r>
        <m:r>
          <w:rPr>
            <w:rFonts w:ascii="Cambria Math" w:hAnsi="Cambria Math"/>
          </w:rPr>
          <m:t> </m:t>
        </m:r>
        <m:sSub>
          <m:e>
            <m:r>
              <w:rPr>
                <w:rFonts w:ascii="Cambria Math" w:hAnsi="Cambria Math"/>
              </w:rPr>
              <m:t>A</m:t>
            </m:r>
          </m:e>
          <m:sub>
            <m:r>
              <w:rPr>
                <w:rFonts w:ascii="Cambria Math" w:hAnsi="Cambria Math"/>
              </w:rPr>
              <m:t>i</m:t>
            </m:r>
            <m:r>
              <w:rPr>
                <w:rFonts w:ascii="Cambria Math" w:hAnsi="Cambria Math"/>
              </w:rPr>
              <m:t>j</m:t>
            </m:r>
          </m:sub>
        </m:sSub>
        <m:r>
          <m:rPr>
            <m:sty m:val="p"/>
          </m:rPr>
          <w:rPr>
            <w:rFonts w:ascii="Cambria Math" w:hAnsi="Cambria Math"/>
          </w:rPr>
          <m:t>+</m:t>
        </m:r>
        <m:r>
          <m:rPr>
            <m:sty m:val="p"/>
          </m:rPr>
          <w:rPr>
            <w:rFonts w:ascii="Cambria Math" w:hAnsi="Cambria Math"/>
          </w:rPr>
          <m:t>log</m:t>
        </m:r>
        <m:r>
          <w:rPr>
            <w:rFonts w:ascii="Cambria Math" w:hAnsi="Cambria Math"/>
          </w:rPr>
          <m:t> </m:t>
        </m:r>
        <m:sSub>
          <m:e>
            <m:r>
              <w:rPr>
                <w:rFonts w:ascii="Cambria Math" w:hAnsi="Cambria Math"/>
              </w:rPr>
              <m:t>B</m:t>
            </m:r>
          </m:e>
          <m:sub>
            <m:r>
              <w:rPr>
                <w:rFonts w:ascii="Cambria Math" w:hAnsi="Cambria Math"/>
              </w:rPr>
              <m:t>k</m:t>
            </m:r>
            <m:r>
              <w:rPr>
                <w:rFonts w:ascii="Cambria Math" w:hAnsi="Cambria Math"/>
              </w:rPr>
              <m:t>l</m:t>
            </m:r>
          </m:sub>
        </m:sSub>
      </m:oMath>
      <w:r>
        <w:t xml:space="preserve">. Positive Kronecker products of a fixed shape therefore form a linear subspace in logarithmic coordinates, and Proposition 7 applies to them. In Check H5, averaging six positive Kronecker products entrywise raised the Kronecker rank to six, whereas averaging their logarithms kept rank one. Parameter sharing through sums of Kronecker products in hypercomplex layers [30] is a related precedent for compact layers.</w:t>
      </w:r>
    </w:p>
    <w:p>
      <w:pPr>
        <w:pStyle w:val="BodyText"/>
        <w:jc w:val="both"/>
      </w:pPr>
      <w:r>
        <w:t xml:space="preserve">For rotations, unit quaternions or Clifford rotors [23, 24] give a compact representation in which every nonzero gene decodes, after normalization, to a valid rotation, but composition in that representation is not addition. Validity is then preserved by construction, while meaningful recombination still requires the group mean of Section 9.2.</w:t>
      </w:r>
    </w:p>
    <w:p>
      <w:pPr>
        <w:pStyle w:val="BodyText"/>
        <w:jc w:val="both"/>
      </w:pPr>
      <w:r>
        <w:t xml:space="preserve">Hierarchical identifiers form a different case. A</w:t>
      </w:r>
      <w:r>
        <w:t xml:space="preserve"> </w:t>
      </w:r>
      <m:oMath>
        <m:r>
          <w:rPr>
            <w:rFonts w:ascii="Cambria Math" w:hAnsi="Cambria Math"/>
          </w:rPr>
          <m:t>p</m:t>
        </m:r>
      </m:oMath>
      <w:r>
        <w:t xml:space="preserve">-adic code</w:t>
      </w:r>
      <w:r>
        <w:t xml:space="preserve"> </w:t>
      </w:r>
      <m:oMath>
        <m:r>
          <w:rPr>
            <w:rFonts w:ascii="Cambria Math" w:hAnsi="Cambria Math"/>
          </w:rPr>
          <m:t>c</m:t>
        </m:r>
        <m:r>
          <m:rPr>
            <m:sty m:val="p"/>
          </m:rPr>
          <w:rPr>
            <w:rFonts w:ascii="Cambria Math" w:hAnsi="Cambria Math"/>
          </w:rPr>
          <m:t>=</m:t>
        </m:r>
        <m:nary>
          <m:naryPr>
            <m:chr m:val="∑"/>
            <m:limLoc m:val="undOvr"/>
            <m:subHide m:val="off"/>
            <m:supHide m:val="on"/>
          </m:naryPr>
          <m:sub>
            <m:r>
              <w:rPr>
                <w:rFonts w:ascii="Cambria Math" w:hAnsi="Cambria Math"/>
              </w:rPr>
              <m:t>j</m:t>
            </m:r>
          </m:sub>
          <m:sup>
            <m:r>
              <w:rPr>
                <w:rFonts w:ascii="Cambria Math" w:hAnsi="Cambria Math"/>
              </w:rPr>
              <m:t>​</m:t>
            </m:r>
          </m:sup>
          <m:e>
            <m:sSub>
              <m:e>
                <m:r>
                  <w:rPr>
                    <w:rFonts w:ascii="Cambria Math" w:hAnsi="Cambria Math"/>
                  </w:rPr>
                  <m:t>a</m:t>
                </m:r>
              </m:e>
              <m:sub>
                <m:r>
                  <w:rPr>
                    <w:rFonts w:ascii="Cambria Math" w:hAnsi="Cambria Math"/>
                  </w:rPr>
                  <m:t>j</m:t>
                </m:r>
              </m:sub>
            </m:sSub>
          </m:e>
        </m:nary>
        <m:sSup>
          <m:e>
            <m:r>
              <w:rPr>
                <w:rFonts w:ascii="Cambria Math" w:hAnsi="Cambria Math"/>
              </w:rPr>
              <m:t>p</m:t>
            </m:r>
          </m:e>
          <m:sup>
            <m:r>
              <w:rPr>
                <w:rFonts w:ascii="Cambria Math" w:hAnsi="Cambria Math"/>
              </w:rPr>
              <m:t>j</m:t>
            </m:r>
          </m:sup>
        </m:sSup>
      </m:oMath>
      <w:r>
        <w:t xml:space="preserve"> </w:t>
      </w:r>
      <w:r>
        <w:t xml:space="preserve">places the candidates that share their first</w:t>
      </w:r>
      <w:r>
        <w:t xml:space="preserve"> </w:t>
      </w:r>
      <m:oMath>
        <m:r>
          <w:rPr>
            <w:rFonts w:ascii="Cambria Math" w:hAnsi="Cambria Math"/>
          </w:rPr>
          <m:t>k</m:t>
        </m:r>
      </m:oMath>
      <w:r>
        <w:t xml:space="preserve"> </w:t>
      </w:r>
      <w:r>
        <w:t xml:space="preserve">digits in one ball</w:t>
      </w:r>
      <w:r>
        <w:t xml:space="preserve"> </w:t>
      </w:r>
      <m:oMath>
        <m:r>
          <w:rPr>
            <w:rFonts w:ascii="Cambria Math" w:hAnsi="Cambria Math"/>
          </w:rPr>
          <m:t>c</m:t>
        </m:r>
        <m:r>
          <m:rPr>
            <m:sty m:val="p"/>
          </m:rPr>
          <w:rPr>
            <w:rFonts w:ascii="Cambria Math" w:hAnsi="Cambria Math"/>
          </w:rPr>
          <m:t>+</m:t>
        </m:r>
        <m:sSup>
          <m:e>
            <m:r>
              <w:rPr>
                <w:rFonts w:ascii="Cambria Math" w:hAnsi="Cambria Math"/>
              </w:rPr>
              <m:t>p</m:t>
            </m:r>
          </m:e>
          <m:sup>
            <m:r>
              <w:rPr>
                <w:rFonts w:ascii="Cambria Math" w:hAnsi="Cambria Math"/>
              </w:rPr>
              <m:t>k</m:t>
            </m:r>
          </m:sup>
        </m:sSup>
        <m:sSub>
          <m:e>
            <m:r>
              <m:rPr>
                <m:scr m:val="double-struck"/>
                <m:sty m:val="p"/>
              </m:rPr>
              <w:rPr>
                <w:rFonts w:ascii="Cambria Math" w:hAnsi="Cambria Math"/>
              </w:rPr>
              <m:t>Z</m:t>
            </m:r>
          </m:e>
          <m:sub>
            <m:r>
              <w:rPr>
                <w:rFonts w:ascii="Cambria Math" w:hAnsi="Cambria Math"/>
              </w:rPr>
              <m:t>p</m:t>
            </m:r>
          </m:sub>
        </m:sSub>
      </m:oMath>
      <w:r>
        <w:t xml:space="preserve">, so a mutation that adds an element of</w:t>
      </w:r>
      <w:r>
        <w:t xml:space="preserve"> </w:t>
      </w:r>
      <m:oMath>
        <m:sSup>
          <m:e>
            <m:r>
              <w:rPr>
                <w:rFonts w:ascii="Cambria Math" w:hAnsi="Cambria Math"/>
              </w:rPr>
              <m:t>p</m:t>
            </m:r>
          </m:e>
          <m:sup>
            <m:r>
              <w:rPr>
                <w:rFonts w:ascii="Cambria Math" w:hAnsi="Cambria Math"/>
              </w:rPr>
              <m:t>k</m:t>
            </m:r>
          </m:sup>
        </m:sSup>
        <m:sSub>
          <m:e>
            <m:r>
              <m:rPr>
                <m:scr m:val="double-struck"/>
                <m:sty m:val="p"/>
              </m:rPr>
              <w:rPr>
                <w:rFonts w:ascii="Cambria Math" w:hAnsi="Cambria Math"/>
              </w:rPr>
              <m:t>Z</m:t>
            </m:r>
          </m:e>
          <m:sub>
            <m:r>
              <w:rPr>
                <w:rFonts w:ascii="Cambria Math" w:hAnsi="Cambria Math"/>
              </w:rPr>
              <m:t>p</m:t>
            </m:r>
          </m:sub>
        </m:sSub>
      </m:oMath>
      <w:r>
        <w:t xml:space="preserve"> </w:t>
      </w:r>
      <w:r>
        <w:t xml:space="preserve">changes only refinements below level</w:t>
      </w:r>
      <w:r>
        <w:t xml:space="preserve"> </w:t>
      </w:r>
      <m:oMath>
        <m:r>
          <w:rPr>
            <w:rFonts w:ascii="Cambria Math" w:hAnsi="Cambria Math"/>
          </w:rPr>
          <m:t>k</m:t>
        </m:r>
      </m:oMath>
      <w:r>
        <w:t xml:space="preserve">. Tolerances also combine by maximum rather than by sum. In Check H9, a sum of 200 disks of radius</w:t>
      </w:r>
      <w:r>
        <w:t xml:space="preserve"> </w:t>
      </w:r>
      <m:oMath>
        <m:sSup>
          <m:e>
            <m:r>
              <w:rPr>
                <w:rFonts w:ascii="Cambria Math" w:hAnsi="Cambria Math"/>
              </w:rPr>
              <m:t>3</m:t>
            </m:r>
          </m:e>
          <m:sup>
            <m:r>
              <m:rPr>
                <m:sty m:val="p"/>
              </m:rPr>
              <w:rPr>
                <w:rFonts w:ascii="Cambria Math" w:hAnsi="Cambria Math"/>
              </w:rPr>
              <m:t>−</m:t>
            </m:r>
            <m:r>
              <w:rPr>
                <w:rFonts w:ascii="Cambria Math" w:hAnsi="Cambria Math"/>
              </w:rPr>
              <m:t>4</m:t>
            </m:r>
          </m:sup>
        </m:sSup>
      </m:oMath>
      <w:r>
        <w:t xml:space="preserve"> </w:t>
      </w:r>
      <w:r>
        <w:t xml:space="preserve">had radius</w:t>
      </w:r>
      <w:r>
        <w:t xml:space="preserve"> </w:t>
      </w:r>
      <m:oMath>
        <m:sSup>
          <m:e>
            <m:r>
              <w:rPr>
                <w:rFonts w:ascii="Cambria Math" w:hAnsi="Cambria Math"/>
              </w:rPr>
              <m:t>3</m:t>
            </m:r>
          </m:e>
          <m:sup>
            <m:r>
              <m:rPr>
                <m:sty m:val="p"/>
              </m:rPr>
              <w:rPr>
                <w:rFonts w:ascii="Cambria Math" w:hAnsi="Cambria Math"/>
              </w:rPr>
              <m:t>−</m:t>
            </m:r>
            <m:r>
              <w:rPr>
                <w:rFonts w:ascii="Cambria Math" w:hAnsi="Cambria Math"/>
              </w:rPr>
              <m:t>4</m:t>
            </m:r>
          </m:sup>
        </m:sSup>
      </m:oMath>
      <w:r>
        <w:t xml:space="preserve">, where real intervals of the same radius would accumulate two hundred times as much. The dependency problem of interval arithmetic remains, because two independent disks around the same centre differ by a disk of the same radius. Equation (19) forms averages with real weights, which are not defined on</w:t>
      </w:r>
      <w:r>
        <w:t xml:space="preserve"> </w:t>
      </w:r>
      <m:oMath>
        <m:sSub>
          <m:e>
            <m:r>
              <m:rPr>
                <m:scr m:val="double-struck"/>
                <m:sty m:val="p"/>
              </m:rPr>
              <w:rPr>
                <w:rFonts w:ascii="Cambria Math" w:hAnsi="Cambria Math"/>
              </w:rPr>
              <m:t>Q</m:t>
            </m:r>
          </m:e>
          <m:sub>
            <m:r>
              <w:rPr>
                <w:rFonts w:ascii="Cambria Math" w:hAnsi="Cambria Math"/>
              </w:rPr>
              <m:t>p</m:t>
            </m:r>
          </m:sub>
        </m:sSub>
      </m:oMath>
      <w:r>
        <w:t xml:space="preserve">, so</w:t>
      </w:r>
      <w:r>
        <w:t xml:space="preserve"> </w:t>
      </w:r>
      <m:oMath>
        <m:r>
          <w:rPr>
            <w:rFonts w:ascii="Cambria Math" w:hAnsi="Cambria Math"/>
          </w:rPr>
          <m:t>p</m:t>
        </m:r>
      </m:oMath>
      <w:r>
        <w:t xml:space="preserve">-adic genes need tree aware recombination or a continuous relaxation. Learning with</w:t>
      </w:r>
      <w:r>
        <w:t xml:space="preserve"> </w:t>
      </w:r>
      <m:oMath>
        <m:r>
          <w:rPr>
            <w:rFonts w:ascii="Cambria Math" w:hAnsi="Cambria Math"/>
          </w:rPr>
          <m:t>p</m:t>
        </m:r>
      </m:oMath>
      <w:r>
        <w:t xml:space="preserve">-adic parameters has recently been formulated [34], and optimization on the Berkovich affine line now provides gradient methods for such parameters [35]. We would use</w:t>
      </w:r>
      <w:r>
        <w:t xml:space="preserve"> </w:t>
      </w:r>
      <m:oMath>
        <m:r>
          <w:rPr>
            <w:rFonts w:ascii="Cambria Math" w:hAnsi="Cambria Math"/>
          </w:rPr>
          <m:t>p</m:t>
        </m:r>
      </m:oMath>
      <w:r>
        <w:t xml:space="preserve">-adic genes for schema and module addresses rather than for physical transports, with shuffled code controls to test whether the numerical hierarchy matches semantic structure.</w:t>
      </w:r>
    </w:p>
    <w:p>
      <w:pPr>
        <w:pStyle w:val="Heading2"/>
        <w:jc w:val="both"/>
      </w:pPr>
      <w:r>
        <w:t xml:space="preserve">9.4 Coherence by construction and a calibrated loop test</w:t>
      </w:r>
    </w:p>
    <w:p>
      <w:pPr>
        <w:pStyle w:val="FirstParagraph"/>
        <w:jc w:val="both"/>
      </w:pPr>
      <w:r>
        <w:t xml:space="preserve">Laws inside a single transport are one case; agreement between routes is another. On a connected comparison graph whose transports are invertible elements of a group</w:t>
      </w:r>
      <w:r>
        <w:t xml:space="preserve"> </w:t>
      </w:r>
      <m:oMath>
        <m:r>
          <w:rPr>
            <w:rFonts w:ascii="Cambria Math" w:hAnsi="Cambria Math"/>
          </w:rPr>
          <m:t>G</m:t>
        </m:r>
      </m:oMath>
      <w:r>
        <w:t xml:space="preserve">, the genome can store vertex genes</w:t>
      </w:r>
      <w:r>
        <w:t xml:space="preserve"> </w:t>
      </w:r>
      <m:oMath>
        <m:sSub>
          <m:e>
            <m:r>
              <w:rPr>
                <w:rFonts w:ascii="Cambria Math" w:hAnsi="Cambria Math"/>
              </w:rPr>
              <m:t>g</m:t>
            </m:r>
          </m:e>
          <m:sub>
            <m:r>
              <w:rPr>
                <w:rFonts w:ascii="Cambria Math" w:hAnsi="Cambria Math"/>
              </w:rPr>
              <m:t>v</m:t>
            </m:r>
          </m:sub>
        </m:sSub>
      </m:oMath>
      <w:r>
        <w:t xml:space="preserve"> </w:t>
      </w:r>
      <w:r>
        <w:t xml:space="preserve">instead of edge genes and decode</w:t>
      </w:r>
    </w:p>
    <w:p>
      <w:pPr>
        <w:pStyle w:val="BodyText"/>
        <w:keepLines/>
        <w:tabs>
          <w:tab w:val="center" w:pos="4810"/>
          <w:tab w:val="right" w:pos="9677"/>
        </w:tabs>
        <w:spacing w:before="100"/>
        <w:jc w:val="both"/>
      </w:pPr>
      <w:r>
        <w:tab/>
      </w:r>
      <m:oMath>
        <m:sSub>
          <m:e>
            <m:r>
              <w:rPr>
                <w:rFonts w:ascii="Cambria Math" w:hAnsi="Cambria Math"/>
              </w:rPr>
              <m:t>F</m:t>
            </m:r>
          </m:e>
          <m:sub>
            <m:r>
              <w:rPr>
                <w:rFonts w:ascii="Cambria Math" w:hAnsi="Cambria Math"/>
              </w:rPr>
              <m:t>e</m:t>
            </m:r>
          </m:sub>
        </m:sSub>
        <m:r>
          <m:rPr>
            <m:sty m:val="p"/>
          </m:rPr>
          <w:rPr>
            <w:rFonts w:ascii="Cambria Math" w:hAnsi="Cambria Math"/>
          </w:rPr>
          <m:t>=</m:t>
        </m:r>
        <m:sSub>
          <m:e>
            <m:r>
              <w:rPr>
                <w:rFonts w:ascii="Cambria Math" w:hAnsi="Cambria Math"/>
              </w:rPr>
              <m:t>g</m:t>
            </m:r>
          </m:e>
          <m:sub>
            <m:r>
              <w:rPr>
                <w:rFonts w:ascii="Cambria Math" w:hAnsi="Cambria Math"/>
              </w:rPr>
              <m:t>v</m:t>
            </m:r>
          </m:sub>
        </m:sSub>
        <m:r>
          <w:rPr>
            <w:rFonts w:ascii="Cambria Math" w:hAnsi="Cambria Math"/>
          </w:rPr>
          <m:t> </m:t>
        </m:r>
        <m:sSubSup>
          <m:e>
            <m:r>
              <w:rPr>
                <w:rFonts w:ascii="Cambria Math" w:hAnsi="Cambria Math"/>
              </w:rPr>
              <m:t>g</m:t>
            </m:r>
          </m:e>
          <m:sub>
            <m:r>
              <w:rPr>
                <w:rFonts w:ascii="Cambria Math" w:hAnsi="Cambria Math"/>
              </w:rPr>
              <m:t>u</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rPr>
          <w:sz w:val="22"/>
        </w:rPr>
        <w:tab/>
        <w:t>(24)</w:t>
      </w:r>
    </w:p>
    <w:p>
      <w:pPr>
        <w:pStyle w:val="BodyText"/>
        <w:jc w:val="both"/>
      </w:pPr>
      <w:r>
        <w:rPr>
          <w:bCs/>
          <w:b/>
        </w:rPr>
        <w:t xml:space="preserve">Proposition 9 Vertex genomes.</w:t>
      </w:r>
      <w:r>
        <w:t xml:space="preserve"> </w:t>
      </w:r>
      <w:r>
        <w:t xml:space="preserve">The transport systems obtained from Equation (24) are exactly those whose loop transports are all the identity. Two vertex families give the same system if and only if they differ by a common right factor. Coherent systems therefore have</w:t>
      </w:r>
      <w:r>
        <w:t xml:space="preserve"> </w:t>
      </w:r>
      <m:oMath>
        <m:d>
          <m:dPr>
            <m:begChr m:val="("/>
            <m:sepChr m:val=""/>
            <m:endChr m:val=")"/>
            <m:grow/>
          </m:dPr>
          <m:e>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1</m:t>
            </m:r>
          </m:e>
        </m:d>
        <m:r>
          <m:rPr>
            <m:sty m:val="p"/>
          </m:rPr>
          <w:rPr>
            <w:rFonts w:ascii="Cambria Math" w:hAnsi="Cambria Math"/>
          </w:rPr>
          <m:t>dim</m:t>
        </m:r>
        <m:r>
          <w:rPr>
            <w:rFonts w:ascii="Cambria Math" w:hAnsi="Cambria Math"/>
          </w:rPr>
          <m:t> </m:t>
        </m:r>
        <m:r>
          <w:rPr>
            <w:rFonts w:ascii="Cambria Math" w:hAnsi="Cambria Math"/>
          </w:rPr>
          <m:t>G</m:t>
        </m:r>
      </m:oMath>
      <w:r>
        <w:t xml:space="preserve"> </w:t>
      </w:r>
      <w:r>
        <w:t xml:space="preserve">free parameters, against</w:t>
      </w:r>
      <w:r>
        <w:t xml:space="preserve"> </w:t>
      </w:r>
      <m:oMath>
        <m:d>
          <m:dPr>
            <m:begChr m:val="|"/>
            <m:sepChr m:val=""/>
            <m:endChr m:val="|"/>
            <m:grow/>
          </m:dPr>
          <m:e>
            <m:r>
              <w:rPr>
                <w:rFonts w:ascii="Cambria Math" w:hAnsi="Cambria Math"/>
              </w:rPr>
              <m:t>E</m:t>
            </m:r>
          </m:e>
        </m:d>
        <m:r>
          <m:rPr>
            <m:sty m:val="p"/>
          </m:rPr>
          <w:rPr>
            <w:rFonts w:ascii="Cambria Math" w:hAnsi="Cambria Math"/>
          </w:rPr>
          <m:t>dim</m:t>
        </m:r>
        <m:r>
          <w:rPr>
            <w:rFonts w:ascii="Cambria Math" w:hAnsi="Cambria Math"/>
          </w:rPr>
          <m:t> </m:t>
        </m:r>
        <m:r>
          <w:rPr>
            <w:rFonts w:ascii="Cambria Math" w:hAnsi="Cambria Math"/>
          </w:rPr>
          <m:t>G</m:t>
        </m:r>
      </m:oMath>
      <w:r>
        <w:t xml:space="preserve"> </w:t>
      </w:r>
      <w:r>
        <w:t xml:space="preserve">for unrestricted edge genes, a saving of</w:t>
      </w:r>
      <w:r>
        <w:t xml:space="preserve"> </w:t>
      </w:r>
      <m:oMath>
        <m:sSub>
          <m:e>
            <m:r>
              <w:rPr>
                <w:rFonts w:ascii="Cambria Math" w:hAnsi="Cambria Math"/>
              </w:rPr>
              <m:t>β</m:t>
            </m:r>
          </m:e>
          <m:sub>
            <m:r>
              <w:rPr>
                <w:rFonts w:ascii="Cambria Math" w:hAnsi="Cambria Math"/>
              </w:rPr>
              <m:t>1</m:t>
            </m:r>
          </m:sub>
        </m:sSub>
        <m:r>
          <m:rPr>
            <m:sty m:val="p"/>
          </m:rPr>
          <w:rPr>
            <w:rFonts w:ascii="Cambria Math" w:hAnsi="Cambria Math"/>
          </w:rPr>
          <m:t>dim</m:t>
        </m:r>
        <m:r>
          <w:rPr>
            <w:rFonts w:ascii="Cambria Math" w:hAnsi="Cambria Math"/>
          </w:rPr>
          <m:t> </m:t>
        </m:r>
        <m:r>
          <w:rPr>
            <w:rFonts w:ascii="Cambria Math" w:hAnsi="Cambria Math"/>
          </w:rPr>
          <m:t>G</m:t>
        </m:r>
      </m:oMath>
      <w:r>
        <w:t xml:space="preserve">.</w:t>
      </w:r>
    </w:p>
    <w:p>
      <w:pPr>
        <w:pStyle w:val="BodyText"/>
        <w:jc w:val="both"/>
      </w:pPr>
      <w:r>
        <w:rPr>
          <w:bCs/>
          <w:b/>
        </w:rPr>
        <w:t xml:space="preserve">Proof.</w:t>
      </w:r>
      <w:r>
        <w:t xml:space="preserve"> </w:t>
      </w:r>
      <w:r>
        <w:t xml:space="preserve">Every loop product of Equation (24) telescopes to the identity. Conversely, Proposition 2 supplies vertex coordinates for every system whose fundamental loops are identities. If</w:t>
      </w:r>
      <w:r>
        <w:t xml:space="preserve"> </w:t>
      </w:r>
      <m:oMath>
        <m:sSub>
          <m:e>
            <m:r>
              <w:rPr>
                <w:rFonts w:ascii="Cambria Math" w:hAnsi="Cambria Math"/>
              </w:rPr>
              <m:t>g</m:t>
            </m:r>
          </m:e>
          <m:sub>
            <m:r>
              <w:rPr>
                <w:rFonts w:ascii="Cambria Math" w:hAnsi="Cambria Math"/>
              </w:rPr>
              <m:t>v</m:t>
            </m:r>
          </m:sub>
        </m:sSub>
        <m:sSubSup>
          <m:e>
            <m:r>
              <w:rPr>
                <w:rFonts w:ascii="Cambria Math" w:hAnsi="Cambria Math"/>
              </w:rPr>
              <m:t>g</m:t>
            </m:r>
          </m:e>
          <m:sub>
            <m:r>
              <w:rPr>
                <w:rFonts w:ascii="Cambria Math" w:hAnsi="Cambria Math"/>
              </w:rPr>
              <m:t>u</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e>
            <m:r>
              <w:rPr>
                <w:rFonts w:ascii="Cambria Math" w:hAnsi="Cambria Math"/>
              </w:rPr>
              <m:t>h</m:t>
            </m:r>
          </m:e>
          <m:sub>
            <m:r>
              <w:rPr>
                <w:rFonts w:ascii="Cambria Math" w:hAnsi="Cambria Math"/>
              </w:rPr>
              <m:t>v</m:t>
            </m:r>
          </m:sub>
        </m:sSub>
        <m:sSubSup>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1</m:t>
            </m:r>
          </m:sup>
        </m:sSubSup>
      </m:oMath>
      <w:r>
        <w:t xml:space="preserve"> </w:t>
      </w:r>
      <w:r>
        <w:t xml:space="preserve">on every edge, then</w:t>
      </w:r>
      <w:r>
        <w:t xml:space="preserve"> </w:t>
      </w:r>
      <m:oMath>
        <m:sSubSup>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1</m:t>
            </m:r>
          </m:sup>
        </m:sSubSup>
        <m:sSub>
          <m:e>
            <m:r>
              <w:rPr>
                <w:rFonts w:ascii="Cambria Math" w:hAnsi="Cambria Math"/>
              </w:rPr>
              <m:t>g</m:t>
            </m:r>
          </m:e>
          <m:sub>
            <m:r>
              <w:rPr>
                <w:rFonts w:ascii="Cambria Math" w:hAnsi="Cambria Math"/>
              </w:rPr>
              <m:t>v</m:t>
            </m:r>
          </m:sub>
        </m:sSub>
        <m:r>
          <m:rPr>
            <m:sty m:val="p"/>
          </m:rPr>
          <w:rPr>
            <w:rFonts w:ascii="Cambria Math" w:hAnsi="Cambria Math"/>
          </w:rPr>
          <m:t>=</m:t>
        </m:r>
        <m:sSubSup>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1</m:t>
            </m:r>
          </m:sup>
        </m:sSubSup>
        <m:sSub>
          <m:e>
            <m:r>
              <w:rPr>
                <w:rFonts w:ascii="Cambria Math" w:hAnsi="Cambria Math"/>
              </w:rPr>
              <m:t>g</m:t>
            </m:r>
          </m:e>
          <m:sub>
            <m:r>
              <w:rPr>
                <w:rFonts w:ascii="Cambria Math" w:hAnsi="Cambria Math"/>
              </w:rPr>
              <m:t>u</m:t>
            </m:r>
          </m:sub>
        </m:sSub>
      </m:oMath>
      <w:r>
        <w:t xml:space="preserve"> </w:t>
      </w:r>
      <w:r>
        <w:t xml:space="preserve">along every edge, and connectivity makes this element common to all vertices. Fixing the root gene removes the common factor.</w:t>
      </w:r>
    </w:p>
    <w:p>
      <w:pPr>
        <w:pStyle w:val="BodyText"/>
        <w:jc w:val="both"/>
      </w:pPr>
      <w:r>
        <w:t xml:space="preserve">Building coherence into the genome makes the internal loop test vacuous, as on a tree (Section 5.1). The test does not disappear; it moves into the residual between decoded and observed transports.</w:t>
      </w:r>
    </w:p>
    <w:p>
      <w:pPr>
        <w:pStyle w:val="BodyText"/>
        <w:jc w:val="both"/>
      </w:pPr>
      <w:r>
        <w:rPr>
          <w:bCs/>
          <w:b/>
        </w:rPr>
        <w:t xml:space="preserve">Proposition 10 A calibrated loop test.</w:t>
      </w:r>
      <w:r>
        <w:t xml:space="preserve"> </w:t>
      </w:r>
      <w:r>
        <w:t xml:space="preserve">Let</w:t>
      </w:r>
      <w:r>
        <w:t xml:space="preserve"> </w:t>
      </w:r>
      <m:oMath>
        <m:r>
          <w:rPr>
            <w:rFonts w:ascii="Cambria Math" w:hAnsi="Cambria Math"/>
          </w:rPr>
          <m:t>G</m:t>
        </m:r>
      </m:oMath>
      <w:r>
        <w:t xml:space="preserve"> </w:t>
      </w:r>
      <w:r>
        <w:t xml:space="preserve">be abelian and written additively. Suppose each edge supplies an observation</w:t>
      </w:r>
      <w:r>
        <w:t xml:space="preserve"> </w:t>
      </w:r>
      <m:oMath>
        <m:sSub>
          <m:e>
            <m:r>
              <w:rPr>
                <w:rFonts w:ascii="Cambria Math" w:hAnsi="Cambria Math"/>
              </w:rPr>
              <m:t>y</m:t>
            </m:r>
          </m:e>
          <m:sub>
            <m:r>
              <w:rPr>
                <w:rFonts w:ascii="Cambria Math" w:hAnsi="Cambria Math"/>
              </w:rPr>
              <m:t>e</m:t>
            </m:r>
          </m:sub>
        </m:sSub>
        <m:r>
          <m:rPr>
            <m:sty m:val="p"/>
          </m:rPr>
          <w:rPr>
            <w:rFonts w:ascii="Cambria Math" w:hAnsi="Cambria Math"/>
          </w:rPr>
          <m:t>=</m:t>
        </m:r>
        <m:sSub>
          <m:e>
            <m:r>
              <w:rPr>
                <w:rFonts w:ascii="Cambria Math" w:hAnsi="Cambria Math"/>
              </w:rPr>
              <m:t>ϕ</m:t>
            </m:r>
          </m:e>
          <m:sub>
            <m:r>
              <w:rPr>
                <w:rFonts w:ascii="Cambria Math" w:hAnsi="Cambria Math"/>
              </w:rPr>
              <m:t>v</m:t>
            </m:r>
          </m:sub>
        </m:sSub>
        <m:r>
          <m:rPr>
            <m:sty m:val="p"/>
          </m:rPr>
          <w:rPr>
            <w:rFonts w:ascii="Cambria Math" w:hAnsi="Cambria Math"/>
          </w:rPr>
          <m:t>−</m:t>
        </m:r>
        <m:sSub>
          <m:e>
            <m:r>
              <w:rPr>
                <w:rFonts w:ascii="Cambria Math" w:hAnsi="Cambria Math"/>
              </w:rPr>
              <m:t>ϕ</m:t>
            </m:r>
          </m:e>
          <m:sub>
            <m:r>
              <w:rPr>
                <w:rFonts w:ascii="Cambria Math" w:hAnsi="Cambria Math"/>
              </w:rPr>
              <m:t>u</m:t>
            </m:r>
          </m:sub>
        </m:sSub>
        <m:r>
          <m:rPr>
            <m:sty m:val="p"/>
          </m:rPr>
          <w:rPr>
            <w:rFonts w:ascii="Cambria Math" w:hAnsi="Cambria Math"/>
          </w:rPr>
          <m:t>+</m:t>
        </m:r>
        <m:sSub>
          <m:e>
            <m:r>
              <w:rPr>
                <w:rFonts w:ascii="Cambria Math" w:hAnsi="Cambria Math"/>
              </w:rPr>
              <m:t>ξ</m:t>
            </m:r>
          </m:e>
          <m:sub>
            <m:r>
              <w:rPr>
                <w:rFonts w:ascii="Cambria Math" w:hAnsi="Cambria Math"/>
              </w:rPr>
              <m:t>e</m:t>
            </m:r>
          </m:sub>
        </m:sSub>
      </m:oMath>
      <w:r>
        <w:t xml:space="preserve"> </w:t>
      </w:r>
      <w:r>
        <w:t xml:space="preserve">with independent</w:t>
      </w:r>
      <w:r>
        <w:t xml:space="preserve"> </w:t>
      </w:r>
      <m:oMath>
        <m:sSub>
          <m:e>
            <m:r>
              <w:rPr>
                <w:rFonts w:ascii="Cambria Math" w:hAnsi="Cambria Math"/>
              </w:rPr>
              <m:t>ξ</m:t>
            </m:r>
          </m:e>
          <m:sub>
            <m:r>
              <w:rPr>
                <w:rFonts w:ascii="Cambria Math" w:hAnsi="Cambria Math"/>
              </w:rPr>
              <m:t>e</m:t>
            </m:r>
          </m:sub>
        </m:sSub>
        <m:r>
          <m:rPr>
            <m:sty m:val="p"/>
          </m:rPr>
          <w:rPr>
            <w:rFonts w:ascii="Cambria Math" w:hAnsi="Cambria Math"/>
          </w:rPr>
          <m:t>∼</m:t>
        </m:r>
        <m:r>
          <m:rPr>
            <m:scr m:val="script"/>
            <m:sty m:val="p"/>
          </m:rPr>
          <w:rPr>
            <w:rFonts w:ascii="Cambria Math" w:hAnsi="Cambria Math"/>
          </w:rPr>
          <m:t>N</m:t>
        </m:r>
        <m:d>
          <m:dPr>
            <m:begChr m:val="("/>
            <m:sepChr m:val=""/>
            <m:endChr m:val=")"/>
            <m:grow/>
          </m:dPr>
          <m:e>
            <m:r>
              <w:rPr>
                <w:rFonts w:ascii="Cambria Math" w:hAnsi="Cambria Math"/>
              </w:rPr>
              <m:t>0</m:t>
            </m:r>
            <m:r>
              <m:rPr>
                <m:sty m:val="p"/>
              </m:rPr>
              <w:rPr>
                <w:rFonts w:ascii="Cambria Math" w:hAnsi="Cambria Math"/>
              </w:rPr>
              <m:t>,</m:t>
            </m:r>
            <m:sSup>
              <m:e>
                <m:r>
                  <w:rPr>
                    <w:rFonts w:ascii="Cambria Math" w:hAnsi="Cambria Math"/>
                  </w:rPr>
                  <m:t>σ</m:t>
                </m:r>
              </m:e>
              <m:sup>
                <m:r>
                  <w:rPr>
                    <w:rFonts w:ascii="Cambria Math" w:hAnsi="Cambria Math"/>
                  </w:rPr>
                  <m:t>2</m:t>
                </m:r>
              </m:sup>
            </m:sSup>
          </m:e>
        </m:d>
      </m:oMath>
      <w:r>
        <w:t xml:space="preserve">, and the vertex genes are fitted by least squares with the root fixed. If the true transports are coherent, then</w:t>
      </w:r>
    </w:p>
    <w:p>
      <w:pPr>
        <w:pStyle w:val="BodyText"/>
        <w:keepLines/>
        <w:tabs>
          <w:tab w:val="center" w:pos="4810"/>
          <w:tab w:val="right" w:pos="9677"/>
        </w:tabs>
        <w:spacing w:before="100"/>
        <w:jc w:val="both"/>
      </w:pPr>
      <w:r>
        <w:tab/>
      </w:r>
      <m:oMath>
        <m:r>
          <m:rPr>
            <m:sty m:val="p"/>
          </m:rPr>
          <w:rPr>
            <w:rFonts w:ascii="Cambria Math" w:hAnsi="Cambria Math"/>
          </w:rPr>
          <m:t>R</m:t>
        </m:r>
        <m:r>
          <m:rPr>
            <m:sty m:val="p"/>
          </m:rPr>
          <w:rPr>
            <w:rFonts w:ascii="Cambria Math" w:hAnsi="Cambria Math"/>
          </w:rPr>
          <m:t>S</m:t>
        </m:r>
        <m:r>
          <m:rPr>
            <m:sty m:val="p"/>
          </m:rPr>
          <w:rPr>
            <w:rFonts w:ascii="Cambria Math" w:hAnsi="Cambria Math"/>
          </w:rPr>
          <m:t>S</m:t>
        </m:r>
        <m:r>
          <m:rPr>
            <m:sty m:val="p"/>
          </m:rPr>
          <w:rPr>
            <w:rFonts w:ascii="Cambria Math" w:hAnsi="Cambria Math"/>
          </w:rPr>
          <m:t>/</m:t>
        </m:r>
        <m:sSup>
          <m:e>
            <m:r>
              <w:rPr>
                <w:rFonts w:ascii="Cambria Math" w:hAnsi="Cambria Math"/>
              </w:rPr>
              <m:t>σ</m:t>
            </m:r>
          </m:e>
          <m:sup>
            <m:r>
              <w:rPr>
                <w:rFonts w:ascii="Cambria Math" w:hAnsi="Cambria Math"/>
              </w:rPr>
              <m:t>2</m:t>
            </m:r>
          </m:sup>
        </m:sSup>
        <m:r>
          <m:rPr>
            <m:sty m:val="p"/>
          </m:rPr>
          <w:rPr>
            <w:rFonts w:ascii="Cambria Math" w:hAnsi="Cambria Math"/>
          </w:rPr>
          <m:t>∼</m:t>
        </m:r>
        <m:sSubSup>
          <m:e>
            <m:r>
              <w:rPr>
                <w:rFonts w:ascii="Cambria Math" w:hAnsi="Cambria Math"/>
              </w:rPr>
              <m:t>χ</m:t>
            </m:r>
          </m:e>
          <m:sub>
            <m:sSub>
              <m:e>
                <m:r>
                  <w:rPr>
                    <w:rFonts w:ascii="Cambria Math" w:hAnsi="Cambria Math"/>
                  </w:rPr>
                  <m:t>β</m:t>
                </m:r>
              </m:e>
              <m:sub>
                <m:r>
                  <w:rPr>
                    <w:rFonts w:ascii="Cambria Math" w:hAnsi="Cambria Math"/>
                  </w:rPr>
                  <m:t>1</m:t>
                </m:r>
              </m:sub>
            </m:sSub>
          </m:sub>
          <m:sup>
            <m:r>
              <w:rPr>
                <w:rFonts w:ascii="Cambria Math" w:hAnsi="Cambria Math"/>
              </w:rPr>
              <m:t>2</m:t>
            </m:r>
          </m:sup>
        </m:sSubSup>
        <m:r>
          <m:rPr>
            <m:sty m:val="p"/>
          </m:rPr>
          <w:rPr>
            <w:rFonts w:ascii="Cambria Math" w:hAnsi="Cambria Math"/>
          </w:rPr>
          <m:t>.</m:t>
        </m:r>
      </m:oMath>
      <w:r>
        <w:rPr>
          <w:sz w:val="22"/>
        </w:rPr>
        <w:tab/>
        <w:t>(25)</w:t>
      </w:r>
    </w:p>
    <w:p>
      <w:pPr>
        <w:pStyle w:val="BodyText"/>
        <w:jc w:val="both"/>
      </w:pPr>
      <w:r>
        <w:rPr>
          <w:bCs/>
          <w:b/>
        </w:rPr>
        <w:t xml:space="preserve">Proof.</w:t>
      </w:r>
      <w:r>
        <w:t xml:space="preserve"> </w:t>
      </w:r>
      <w:r>
        <w:t xml:space="preserve">The fitted vector is the orthogonal projection of</w:t>
      </w:r>
      <w:r>
        <w:t xml:space="preserve"> </w:t>
      </w:r>
      <m:oMath>
        <m:r>
          <w:rPr>
            <w:rFonts w:ascii="Cambria Math" w:hAnsi="Cambria Math"/>
          </w:rPr>
          <m:t>y</m:t>
        </m:r>
      </m:oMath>
      <w:r>
        <w:t xml:space="preserve"> </w:t>
      </w:r>
      <w:r>
        <w:t xml:space="preserve">onto the image of the reduced incidence matrix, whose rank is</w:t>
      </w:r>
      <w:r>
        <w:t xml:space="preserve"> </w:t>
      </w:r>
      <m:oMath>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1</m:t>
        </m:r>
      </m:oMath>
      <w:r>
        <w:t xml:space="preserve"> </w:t>
      </w:r>
      <w:r>
        <w:t xml:space="preserve">for a connected graph. The residual is the projection of the noise onto the orthogonal complement, the cycle space, whose dimension is</w:t>
      </w:r>
      <w:r>
        <w:t xml:space="preserve"> </w:t>
      </w:r>
      <m:oMath>
        <m:d>
          <m:dPr>
            <m:begChr m:val="|"/>
            <m:sepChr m:val=""/>
            <m:endChr m:val="|"/>
            <m:grow/>
          </m:dPr>
          <m:e>
            <m:r>
              <w:rPr>
                <w:rFonts w:ascii="Cambria Math" w:hAnsi="Cambria Math"/>
              </w:rPr>
              <m:t>E</m:t>
            </m:r>
          </m:e>
        </m:d>
        <m:r>
          <m:rPr>
            <m:sty m:val="p"/>
          </m:rPr>
          <w:rPr>
            <w:rFonts w:ascii="Cambria Math" w:hAnsi="Cambria Math"/>
          </w:rPr>
          <m:t>−</m:t>
        </m:r>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1</m:t>
        </m:r>
        <m:r>
          <m:rPr>
            <m:sty m:val="p"/>
          </m:rPr>
          <w:rPr>
            <w:rFonts w:ascii="Cambria Math" w:hAnsi="Cambria Math"/>
          </w:rPr>
          <m:t>=</m:t>
        </m:r>
        <m:sSub>
          <m:e>
            <m:r>
              <w:rPr>
                <w:rFonts w:ascii="Cambria Math" w:hAnsi="Cambria Math"/>
              </w:rPr>
              <m:t>β</m:t>
            </m:r>
          </m:e>
          <m:sub>
            <m:r>
              <w:rPr>
                <w:rFonts w:ascii="Cambria Math" w:hAnsi="Cambria Math"/>
              </w:rPr>
              <m:t>1</m:t>
            </m:r>
          </m:sub>
        </m:sSub>
      </m:oMath>
      <w:r>
        <w:t xml:space="preserve">. A spherical Gaussian vector projected onto a subspace of that dimension has squared norm distributed as</w:t>
      </w:r>
      <w:r>
        <w:t xml:space="preserve"> </w:t>
      </w:r>
      <m:oMath>
        <m:sSup>
          <m:e>
            <m:r>
              <w:rPr>
                <w:rFonts w:ascii="Cambria Math" w:hAnsi="Cambria Math"/>
              </w:rPr>
              <m:t>σ</m:t>
            </m:r>
          </m:e>
          <m:sup>
            <m:r>
              <w:rPr>
                <w:rFonts w:ascii="Cambria Math" w:hAnsi="Cambria Math"/>
              </w:rPr>
              <m:t>2</m:t>
            </m:r>
          </m:sup>
        </m:sSup>
        <m:sSubSup>
          <m:e>
            <m:r>
              <w:rPr>
                <w:rFonts w:ascii="Cambria Math" w:hAnsi="Cambria Math"/>
              </w:rPr>
              <m:t>χ</m:t>
            </m:r>
          </m:e>
          <m:sub>
            <m:sSub>
              <m:e>
                <m:r>
                  <w:rPr>
                    <w:rFonts w:ascii="Cambria Math" w:hAnsi="Cambria Math"/>
                  </w:rPr>
                  <m:t>β</m:t>
                </m:r>
              </m:e>
              <m:sub>
                <m:r>
                  <w:rPr>
                    <w:rFonts w:ascii="Cambria Math" w:hAnsi="Cambria Math"/>
                  </w:rPr>
                  <m:t>1</m:t>
                </m:r>
              </m:sub>
            </m:sSub>
          </m:sub>
          <m:sup>
            <m:r>
              <w:rPr>
                <w:rFonts w:ascii="Cambria Math" w:hAnsi="Cambria Math"/>
              </w:rPr>
              <m:t>2</m:t>
            </m:r>
          </m:sup>
        </m:sSubSup>
      </m:oMath>
      <w:r>
        <w:t xml:space="preserve">.</w:t>
      </w:r>
    </w:p>
    <w:p>
      <w:pPr>
        <w:pStyle w:val="BodyText"/>
        <w:jc w:val="both"/>
      </w:pPr>
      <w:r>
        <w:t xml:space="preserve">Equation (25) turns route agreement into a test with a declared false alarm rate. It applies directly to logarithmic scale genes, and for small noise on noncommuting groups it holds approximately with</w:t>
      </w:r>
      <w:r>
        <w:t xml:space="preserve"> </w:t>
      </w:r>
      <m:oMath>
        <m:sSub>
          <m:e>
            <m:r>
              <w:rPr>
                <w:rFonts w:ascii="Cambria Math" w:hAnsi="Cambria Math"/>
              </w:rPr>
              <m:t>β</m:t>
            </m:r>
          </m:e>
          <m:sub>
            <m:r>
              <w:rPr>
                <w:rFonts w:ascii="Cambria Math" w:hAnsi="Cambria Math"/>
              </w:rPr>
              <m:t>1</m:t>
            </m:r>
          </m:sub>
        </m:sSub>
        <m:r>
          <m:rPr>
            <m:sty m:val="p"/>
          </m:rPr>
          <w:rPr>
            <w:rFonts w:ascii="Cambria Math" w:hAnsi="Cambria Math"/>
          </w:rPr>
          <m:t>dim</m:t>
        </m:r>
        <m:r>
          <w:rPr>
            <w:rFonts w:ascii="Cambria Math" w:hAnsi="Cambria Math"/>
          </w:rPr>
          <m:t> </m:t>
        </m:r>
        <m:r>
          <w:rPr>
            <w:rFonts w:ascii="Cambria Math" w:hAnsi="Cambria Math"/>
          </w:rPr>
          <m:t>G</m:t>
        </m:r>
      </m:oMath>
      <w:r>
        <w:t xml:space="preserve"> </w:t>
      </w:r>
      <w:r>
        <w:t xml:space="preserve">degrees of freedom. In Check H6, on a graph with</w:t>
      </w:r>
      <w:r>
        <w:t xml:space="preserve"> </w:t>
      </w:r>
      <m:oMath>
        <m:sSub>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19</m:t>
        </m:r>
      </m:oMath>
      <w:r>
        <w:t xml:space="preserve">, the abelian statistic had mean 18.92 and passed a Kolmogorov–Smirnov test against</w:t>
      </w:r>
      <w:r>
        <w:t xml:space="preserve"> </w:t>
      </w:r>
      <m:oMath>
        <m:sSubSup>
          <m:e>
            <m:r>
              <w:rPr>
                <w:rFonts w:ascii="Cambria Math" w:hAnsi="Cambria Math"/>
              </w:rPr>
              <m:t>χ</m:t>
            </m:r>
          </m:e>
          <m:sub>
            <m:r>
              <w:rPr>
                <w:rFonts w:ascii="Cambria Math" w:hAnsi="Cambria Math"/>
              </w:rPr>
              <m:t>19</m:t>
            </m:r>
          </m:sub>
          <m:sup>
            <m:r>
              <w:rPr>
                <w:rFonts w:ascii="Cambria Math" w:hAnsi="Cambria Math"/>
              </w:rPr>
              <m:t>2</m:t>
            </m:r>
          </m:sup>
        </m:sSubSup>
      </m:oMath>
      <w:r>
        <w:t xml:space="preserve"> </w:t>
      </w:r>
      <w:r>
        <w:t xml:space="preserve">with</w:t>
      </w:r>
      <w:r>
        <w:t xml:space="preserve"> </w:t>
      </w:r>
      <m:oMath>
        <m:r>
          <w:rPr>
            <w:rFonts w:ascii="Cambria Math" w:hAnsi="Cambria Math"/>
          </w:rPr>
          <m:t>p</m:t>
        </m:r>
        <m:r>
          <m:rPr>
            <m:sty m:val="p"/>
          </m:rPr>
          <w:rPr>
            <w:rFonts w:ascii="Cambria Math" w:hAnsi="Cambria Math"/>
          </w:rPr>
          <m:t>=</m:t>
        </m:r>
        <m:r>
          <w:rPr>
            <w:rFonts w:ascii="Cambria Math" w:hAnsi="Cambria Math"/>
          </w:rPr>
          <m:t>0.76</m:t>
        </m:r>
      </m:oMath>
      <w:r>
        <w:t xml:space="preserve">. A planted holonomy of 1.0 produced a statistic of 100, against a 99.9 percent point of 44. For rotations the mean was 56.6, against</w:t>
      </w:r>
      <w:r>
        <w:t xml:space="preserve"> </w:t>
      </w:r>
      <m:oMath>
        <m:r>
          <w:rPr>
            <w:rFonts w:ascii="Cambria Math" w:hAnsi="Cambria Math"/>
          </w:rPr>
          <m:t>3</m:t>
        </m:r>
        <m:sSub>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57</m:t>
        </m:r>
      </m:oMath>
      <w:r>
        <w:t xml:space="preserve">. The calibration presumes independent edge noise of known scale. Correlated or misspecified noise invalidates it, and coordinated semantic errors of the kind discussed in Section 7.1 can pass it.</w:t>
      </w:r>
    </w:p>
    <w:p>
      <w:pPr>
        <w:pStyle w:val="BodyText"/>
        <w:jc w:val="both"/>
      </w:pPr>
      <w:r>
        <w:t xml:space="preserve">A law built into a genome is an assumption of that candidate, not a finding. It becomes a finding when the constrained genome outperforms an unconstrained rival on the code length of Equation (16) and on withheld prediction. In Check H7, the genome of Equation (22) was selected in 97 of 100 runs when the data conserved power, and in 4 of 100 runs when the transport lost 20 percent of its effort; a genome with one additional loss gene was then selected in 90 runs. Both candidates must remain in the carrier until such a comparison has been made.</w:t>
      </w:r>
    </w:p>
    <w:p>
      <w:pPr>
        <w:pStyle w:val="Heading2"/>
        <w:jc w:val="both"/>
      </w:pPr>
      <w:r>
        <w:t xml:space="preserve">9.5 Observables in a sheaf backbone</w:t>
      </w:r>
    </w:p>
    <w:p>
      <w:pPr>
        <w:pStyle w:val="FirstParagraph"/>
        <w:jc w:val="both"/>
      </w:pPr>
      <w:r>
        <w:t xml:space="preserve">A sheaf layer that propagates states converges toward compatible states. Under a rotation holonomy the compatible state space is zero, although the norm is invariant (Proposition 5). Lifting each stalk to symmetric matrices, on which a rotation acts by</w:t>
      </w:r>
      <w:r>
        <w:t xml:space="preserve"> </w:t>
      </w:r>
      <m:oMath>
        <m:r>
          <w:rPr>
            <w:rFonts w:ascii="Cambria Math" w:hAnsi="Cambria Math"/>
          </w:rPr>
          <m:t>Q</m:t>
        </m:r>
        <m:r>
          <m:rPr>
            <m:sty m:val="p"/>
          </m:rPr>
          <w:rPr>
            <w:rFonts w:ascii="Cambria Math" w:hAnsi="Cambria Math"/>
          </w:rPr>
          <m:t>↦</m:t>
        </m:r>
        <m:r>
          <w:rPr>
            <w:rFonts w:ascii="Cambria Math" w:hAnsi="Cambria Math"/>
          </w:rPr>
          <m:t>R</m:t>
        </m:r>
        <m:r>
          <w:rPr>
            <w:rFonts w:ascii="Cambria Math" w:hAnsi="Cambria Math"/>
          </w:rPr>
          <m:t>Q</m:t>
        </m:r>
        <m:sSup>
          <m:e>
            <m:r>
              <w:rPr>
                <w:rFonts w:ascii="Cambria Math" w:hAnsi="Cambria Math"/>
              </w:rPr>
              <m:t>R</m:t>
            </m:r>
          </m:e>
          <m:sup>
            <m:r>
              <m:rPr>
                <m:scr m:val="sans-serif"/>
                <m:sty m:val="p"/>
              </m:rPr>
              <w:rPr>
                <w:rFonts w:ascii="Cambria Math" w:hAnsi="Cambria Math"/>
              </w:rPr>
              <m:t>T</m:t>
            </m:r>
          </m:sup>
        </m:sSup>
      </m:oMath>
      <w:r>
        <w:t xml:space="preserve">, turns the quadratic invariant of Equation (13) into a compatible state. For orthogonal</w:t>
      </w:r>
      <w:r>
        <w:t xml:space="preserve"> </w:t>
      </w:r>
      <m:oMath>
        <m:r>
          <w:rPr>
            <w:rFonts w:ascii="Cambria Math" w:hAnsi="Cambria Math"/>
          </w:rPr>
          <m:t>R</m:t>
        </m:r>
      </m:oMath>
      <w:r>
        <w:t xml:space="preserve"> </w:t>
      </w:r>
      <w:r>
        <w:t xml:space="preserve">this fixed point condition coincides with Equation (13); for general invertible transports the lift must use the dual action</w:t>
      </w:r>
      <w:r>
        <w:t xml:space="preserve"> </w:t>
      </w:r>
      <m:oMath>
        <m:r>
          <w:rPr>
            <w:rFonts w:ascii="Cambria Math" w:hAnsi="Cambria Math"/>
          </w:rPr>
          <m:t>Q</m:t>
        </m:r>
        <m:r>
          <m:rPr>
            <m:sty m:val="p"/>
          </m:rPr>
          <w:rPr>
            <w:rFonts w:ascii="Cambria Math" w:hAnsi="Cambria Math"/>
          </w:rPr>
          <m:t>↦</m:t>
        </m:r>
        <m:sSup>
          <m:e>
            <m:r>
              <w:rPr>
                <w:rFonts w:ascii="Cambria Math" w:hAnsi="Cambria Math"/>
              </w:rPr>
              <m:t>R</m:t>
            </m:r>
          </m:e>
          <m:sup>
            <m:r>
              <m:rPr>
                <m:sty m:val="p"/>
              </m:rPr>
              <w:rPr>
                <w:rFonts w:ascii="Cambria Math" w:hAnsi="Cambria Math"/>
              </w:rPr>
              <m:t>−</m:t>
            </m:r>
            <m:r>
              <m:rPr>
                <m:scr m:val="sans-serif"/>
                <m:sty m:val="p"/>
              </m:rPr>
              <w:rPr>
                <w:rFonts w:ascii="Cambria Math" w:hAnsi="Cambria Math"/>
              </w:rPr>
              <m:t>T</m:t>
            </m:r>
          </m:sup>
        </m:sSup>
        <m:r>
          <w:rPr>
            <w:rFonts w:ascii="Cambria Math" w:hAnsi="Cambria Math"/>
          </w:rPr>
          <m:t>Q</m:t>
        </m:r>
        <m:sSup>
          <m:e>
            <m:r>
              <w:rPr>
                <w:rFonts w:ascii="Cambria Math" w:hAnsi="Cambria Math"/>
              </w:rPr>
              <m:t>R</m:t>
            </m:r>
          </m:e>
          <m:sup>
            <m:r>
              <m:rPr>
                <m:sty m:val="p"/>
              </m:rPr>
              <w:rPr>
                <w:rFonts w:ascii="Cambria Math" w:hAnsi="Cambria Math"/>
              </w:rPr>
              <m:t>−</m:t>
            </m:r>
            <m:r>
              <w:rPr>
                <w:rFonts w:ascii="Cambria Math" w:hAnsi="Cambria Math"/>
              </w:rPr>
              <m:t>1</m:t>
            </m:r>
          </m:sup>
        </m:sSup>
      </m:oMath>
      <w:r>
        <w:t xml:space="preserve">. In Check H8 the lifted complex has a one dimensional compatible space spanned by the identity matrix, that is, by the squared norm. A sheaf backbone should therefore carry a bounded lift, beginning at degree two, with its size charged to the model and checking budget. Deep neural sheaf diffusion replaces the disagreement operator with sheaf adjacency in order to train deeper stacks [20]. That change may suit an encoder, but the critic must still report the disagreement</w:t>
      </w:r>
      <w:r>
        <w:t xml:space="preserve"> </w:t>
      </w:r>
      <m:oMath>
        <m:r>
          <w:rPr>
            <w:rFonts w:ascii="Cambria Math" w:hAnsi="Cambria Math"/>
          </w:rPr>
          <m:t>δ</m:t>
        </m:r>
        <m:r>
          <w:rPr>
            <w:rFonts w:ascii="Cambria Math" w:hAnsi="Cambria Math"/>
          </w:rPr>
          <m:t>x</m:t>
        </m:r>
      </m:oMath>
      <w:r>
        <w:t xml:space="preserve"> </w:t>
      </w:r>
      <w:r>
        <w:t xml:space="preserve">of Equation (7), because that is the quantity Sections 5 and 6 evaluate.</w:t>
      </w:r>
    </w:p>
    <w:p>
      <w:pPr>
        <w:pStyle w:val="Heading2"/>
        <w:jc w:val="both"/>
      </w:pPr>
      <w:r>
        <w:t xml:space="preserve">9.6 How the parameters are optimized</w:t>
      </w:r>
    </w:p>
    <w:p>
      <w:pPr>
        <w:pStyle w:val="FirstParagraph"/>
        <w:jc w:val="both"/>
      </w:pPr>
      <w:r>
        <w:t xml:space="preserve">Parameters are updated by different mechanisms according to their responsibility, as summarized in Table 4. For real valued genes within a fixed schema, gradients pass through the decoder,</w:t>
      </w:r>
    </w:p>
    <w:p>
      <w:pPr>
        <w:pStyle w:val="BodyText"/>
        <w:keepLines/>
        <w:tabs>
          <w:tab w:val="center" w:pos="4810"/>
          <w:tab w:val="right" w:pos="9677"/>
        </w:tabs>
        <w:spacing w:before="100"/>
        <w:jc w:val="both"/>
      </w:pPr>
      <w:r>
        <w:tab/>
      </w:r>
      <m:oMath>
        <m:sSub>
          <m:e>
            <m:r>
              <m:rPr>
                <m:sty m:val="p"/>
              </m:rPr>
              <w:rPr>
                <w:rFonts w:ascii="Cambria Math" w:hAnsi="Cambria Math"/>
              </w:rPr>
              <m:t>∇</m:t>
            </m:r>
          </m:e>
          <m:sub>
            <m:r>
              <w:rPr>
                <w:rFonts w:ascii="Cambria Math" w:hAnsi="Cambria Math"/>
              </w:rPr>
              <m:t>z</m:t>
            </m:r>
          </m:sub>
        </m:sSub>
        <m:r>
          <m:rPr>
            <m:scr m:val="script"/>
            <m:sty m:val="p"/>
          </m:rPr>
          <w:rPr>
            <w:rFonts w:ascii="Cambria Math" w:hAnsi="Cambria Math"/>
          </w:rPr>
          <m:t>J</m:t>
        </m:r>
        <m:d>
          <m:dPr>
            <m:begChr m:val="("/>
            <m:sepChr m:val=""/>
            <m:endChr m:val=")"/>
            <m:grow/>
          </m:dPr>
          <m:e>
            <m:sSub>
              <m:e>
                <m:r>
                  <w:rPr>
                    <w:rFonts w:ascii="Cambria Math" w:hAnsi="Cambria Math"/>
                  </w:rPr>
                  <m:t>D</m:t>
                </m:r>
              </m:e>
              <m:sub>
                <m:r>
                  <w:rPr>
                    <w:rFonts w:ascii="Cambria Math" w:hAnsi="Cambria Math"/>
                  </w:rPr>
                  <m:t>s</m:t>
                </m:r>
              </m:sub>
            </m:sSub>
            <m:d>
              <m:dPr>
                <m:begChr m:val="("/>
                <m:sepChr m:val=""/>
                <m:endChr m:val=")"/>
                <m:grow/>
              </m:dPr>
              <m:e>
                <m:r>
                  <w:rPr>
                    <w:rFonts w:ascii="Cambria Math" w:hAnsi="Cambria Math"/>
                  </w:rPr>
                  <m:t>z</m:t>
                </m:r>
              </m:e>
            </m:d>
          </m:e>
        </m:d>
        <m:r>
          <m:rPr>
            <m:sty m:val="p"/>
          </m:rPr>
          <w:rPr>
            <w:rFonts w:ascii="Cambria Math" w:hAnsi="Cambria Math"/>
          </w:rPr>
          <m:t>=</m:t>
        </m:r>
        <m:sSub>
          <m:e>
            <m:r>
              <w:rPr>
                <w:rFonts w:ascii="Cambria Math" w:hAnsi="Cambria Math"/>
              </w:rPr>
              <m:t>J</m:t>
            </m:r>
          </m:e>
          <m:sub>
            <m:sSub>
              <m:e>
                <m:r>
                  <w:rPr>
                    <w:rFonts w:ascii="Cambria Math" w:hAnsi="Cambria Math"/>
                  </w:rPr>
                  <m:t>D</m:t>
                </m:r>
              </m:e>
              <m:sub>
                <m:r>
                  <w:rPr>
                    <w:rFonts w:ascii="Cambria Math" w:hAnsi="Cambria Math"/>
                  </w:rPr>
                  <m:t>s</m:t>
                </m:r>
              </m:sub>
            </m:sSub>
          </m:sub>
        </m:sSub>
        <m:sSup>
          <m:e>
            <m:d>
              <m:dPr>
                <m:begChr m:val="("/>
                <m:sepChr m:val=""/>
                <m:endChr m:val=")"/>
                <m:grow/>
              </m:dPr>
              <m:e>
                <m:r>
                  <w:rPr>
                    <w:rFonts w:ascii="Cambria Math" w:hAnsi="Cambria Math"/>
                  </w:rPr>
                  <m:t>z</m:t>
                </m:r>
              </m:e>
            </m:d>
          </m:e>
          <m:sup>
            <m:r>
              <m:rPr>
                <m:scr m:val="sans-serif"/>
                <m:sty m:val="p"/>
              </m:rPr>
              <w:rPr>
                <w:rFonts w:ascii="Cambria Math" w:hAnsi="Cambria Math"/>
              </w:rPr>
              <m:t>T</m:t>
            </m:r>
          </m:sup>
        </m:sSup>
        <m:r>
          <w:rPr>
            <w:rFonts w:ascii="Cambria Math" w:hAnsi="Cambria Math"/>
          </w:rPr>
          <m:t> </m:t>
        </m:r>
        <m:sSub>
          <m:e>
            <m:r>
              <m:rPr>
                <m:sty m:val="p"/>
              </m:rPr>
              <w:rPr>
                <w:rFonts w:ascii="Cambria Math" w:hAnsi="Cambria Math"/>
              </w:rPr>
              <m:t>∇</m:t>
            </m:r>
          </m:e>
          <m:sub>
            <m:r>
              <w:rPr>
                <w:rFonts w:ascii="Cambria Math" w:hAnsi="Cambria Math"/>
              </w:rPr>
              <m:t>θ</m:t>
            </m:r>
          </m:sub>
        </m:sSub>
        <m:r>
          <m:rPr>
            <m:scr m:val="script"/>
            <m:sty m:val="p"/>
          </m:rPr>
          <w:rPr>
            <w:rFonts w:ascii="Cambria Math" w:hAnsi="Cambria Math"/>
          </w:rPr>
          <m:t>J</m:t>
        </m:r>
        <m:d>
          <m:dPr>
            <m:begChr m:val="("/>
            <m:sepChr m:val=""/>
            <m:endChr m:val=")"/>
            <m:grow/>
          </m:dPr>
          <m:e>
            <m:r>
              <w:rPr>
                <w:rFonts w:ascii="Cambria Math" w:hAnsi="Cambria Math"/>
              </w:rPr>
              <m:t>θ</m:t>
            </m:r>
          </m:e>
        </m:d>
        <m:r>
          <m:rPr>
            <m:sty m:val="p"/>
          </m:rPr>
          <w:rPr>
            <w:rFonts w:ascii="Cambria Math" w:hAnsi="Cambria Math"/>
          </w:rPr>
          <m:t>,</m:t>
        </m:r>
      </m:oMath>
      <w:r>
        <w:rPr>
          <w:sz w:val="22"/>
        </w:rPr>
        <w:tab/>
        <w:t>(26)</w:t>
      </w:r>
    </w:p>
    <w:p>
      <w:pPr>
        <w:pStyle w:val="BodyText"/>
        <w:jc w:val="both"/>
      </w:pPr>
      <w:r>
        <w:t xml:space="preserve">so the decoder’s laws hold along every gradient step. Learning functors through differentiable generator maps and composition constraints [4] is a precedent for this part.</w:t>
      </w:r>
    </w:p>
    <w:p>
      <w:pPr>
        <w:pStyle w:val="Caption"/>
        <w:keepNext/>
        <w:spacing w:before="100" w:after="140"/>
        <w:jc w:val="both"/>
      </w:pPr>
      <w:r>
        <w:t xml:space="preserve">Table 4 Parameter families and their update mechanisms</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050"/>
        <w:gridCol w:w="2250"/>
        <w:gridCol w:w="3000"/>
        <w:gridCol w:w="2463"/>
      </w:tblGrid>
      <w:tr>
        <w:trPr>
          <w:cantSplit/>
          <w:tblHeader/>
          <w:jc w:val="center"/>
        </w:trPr>
        <w:tc>
          <w:tcPr>
            <w:tcW w:w="205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Parameter family</w:t>
            </w:r>
          </w:p>
        </w:tc>
        <w:tc>
          <w:tcPr>
            <w:tcW w:w="225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Representation</w:t>
            </w:r>
          </w:p>
        </w:tc>
        <w:tc>
          <w:tcPr>
            <w:tcW w:w="30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Update</w:t>
            </w:r>
          </w:p>
        </w:tc>
        <w:tc>
          <w:tcPr>
            <w:tcW w:w="2463"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Training signal</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Vertex frames and compatible states</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Group elements with the root fixed</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Spectral initialization and Riemannian least squares [21, 22, 36]</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Edge observations; residual statistic of Equation (25)</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Continuous genes within a schema</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Logarithmic magnitudes; rotor or Lie algebra coordinates</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Gradient correction through the decoder, Equation (26)</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Relation, prediction, and intervention terms of Equation (15)</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Discrete genes and schema edits</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Sign and exchange bits; typed edits</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Local enumeration, typed mutation, or discrete diffusion [18], fixed along a spanning tree</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Verified benefit of the edit</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Rival candidates</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Aligned genomes</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Diffusion Evolution with aligned kernels and group means [16]</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Gibbs weights from verifier outcomes</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Proposer</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Conditional diffusion model</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Weighted denoising on the verified archive [17]</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Evaluated candidates and failure records</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Encoder</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Sheaf or graph network with lifted stalks</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Differentiable training [19]</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Grounded domain evidence</w:t>
            </w:r>
          </w:p>
        </w:tc>
      </w:tr>
      <w:tr>
        <w:trPr>
          <w:cantSplit/>
          <w:jc w:val="center"/>
        </w:trPr>
        <w:tc>
          <w:tcPr>
            <w:tcW w:w="20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Decoder and law</w:t>
            </w:r>
          </w:p>
        </w:tc>
        <w:tc>
          <w:tcPr>
            <w:tcW w:w="22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Competing decoders</w:t>
            </w:r>
          </w:p>
        </w:tc>
        <w:tc>
          <w:tcPr>
            <w:tcW w:w="3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Selection by Equation (16) and withheld prediction</w:t>
            </w:r>
          </w:p>
        </w:tc>
        <w:tc>
          <w:tcPr>
            <w:tcW w:w="24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Code length and prediction</w:t>
            </w:r>
          </w:p>
        </w:tc>
      </w:tr>
    </w:tbl>
    <w:p>
      <w:pPr>
        <w:pStyle w:val="BodyText"/>
        <w:spacing w:before="160"/>
        <w:jc w:val="both"/>
      </w:pPr>
      <w:r>
        <w:t xml:space="preserve">The order of operations matters. Population search locates the region of a solution, and local correction reaches it. In the experiment of Section 9.7, Diffusion Evolution alone stopped well above the noise floor for every genome, and a bounded least squares correction starting from its result reached the floor. Hard constraints are never traded against code length (Section 7.2), and any change to a decoder, schema, or encoder triggers revalidation of the records that depend on it (Section 8). One iteration proceeds as follows.</w:t>
      </w:r>
    </w:p>
    <w:p>
      <w:pPr>
        <w:pStyle w:val="SourceCode"/>
        <w:keepLines/>
        <w:spacing w:after="0" w:line="240" w:lineRule="auto"/>
      </w:pPr>
      <w:r>
        <w:rPr>
          <w:rFonts w:ascii="DejaVu Sans Mono" w:hAnsi="DejaVu Sans Mono"/>
          <w:sz w:val="18"/>
        </w:rPr>
        <w:t xml:space="preserve">One iteration of the proposed backbone</w:t>
      </w:r>
      <w:r>
        <w:rPr>
          <w:rFonts w:ascii="DejaVu Sans Mono" w:hAnsi="DejaVu Sans Mono"/>
          <w:sz w:val="18"/>
        </w:rPr>
        <w:br/>
      </w:r>
      <w:r>
        <w:rPr>
          <w:rFonts w:ascii="DejaVu Sans Mono" w:hAnsi="DejaVu Sans Mono"/>
          <w:sz w:val="18"/>
        </w:rPr>
        <w:t xml:space="preserve"> 1  Sample a comparison diagram, its independent evidence, and the verification budget.</w:t>
      </w:r>
      <w:r>
        <w:rPr>
          <w:rFonts w:ascii="DejaVu Sans Mono" w:hAnsi="DejaVu Sans Mono"/>
          <w:sz w:val="18"/>
        </w:rPr>
        <w:br/>
      </w:r>
      <w:r>
        <w:rPr>
          <w:rFonts w:ascii="DejaVu Sans Mono" w:hAnsi="DejaVu Sans Mono"/>
          <w:sz w:val="18"/>
        </w:rPr>
        <w:t xml:space="preserve"> 2  Propose schemas and discrete genes; fix discrete genes along a spanning tree.</w:t>
      </w:r>
      <w:r>
        <w:rPr>
          <w:rFonts w:ascii="DejaVu Sans Mono" w:hAnsi="DejaVu Sans Mono"/>
          <w:sz w:val="18"/>
        </w:rPr>
        <w:br/>
      </w:r>
      <w:r>
        <w:rPr>
          <w:rFonts w:ascii="DejaVu Sans Mono" w:hAnsi="DejaVu Sans Mono"/>
          <w:sz w:val="18"/>
        </w:rPr>
        <w:t xml:space="preserve"> 3  Initialize vertex frames by synchronization and record the residual statistic.</w:t>
      </w:r>
      <w:r>
        <w:rPr>
          <w:rFonts w:ascii="DejaVu Sans Mono" w:hAnsi="DejaVu Sans Mono"/>
          <w:sz w:val="18"/>
        </w:rPr>
        <w:br/>
      </w:r>
      <w:r>
        <w:rPr>
          <w:rFonts w:ascii="DejaVu Sans Mono" w:hAnsi="DejaVu Sans Mono"/>
          <w:sz w:val="18"/>
        </w:rPr>
        <w:t xml:space="preserve"> 4  Run aligned Diffusion Evolution, with group means, on the continuous genes.</w:t>
      </w:r>
      <w:r>
        <w:rPr>
          <w:rFonts w:ascii="DejaVu Sans Mono" w:hAnsi="DejaVu Sans Mono"/>
          <w:sz w:val="18"/>
        </w:rPr>
        <w:br/>
      </w:r>
      <w:r>
        <w:rPr>
          <w:rFonts w:ascii="DejaVu Sans Mono" w:hAnsi="DejaVu Sans Mono"/>
          <w:sz w:val="18"/>
        </w:rPr>
        <w:t xml:space="preserve"> 5  Correct each surviving candidate locally through its decoder.</w:t>
      </w:r>
      <w:r>
        <w:rPr>
          <w:rFonts w:ascii="DejaVu Sans Mono" w:hAnsi="DejaVu Sans Mono"/>
          <w:sz w:val="18"/>
        </w:rPr>
        <w:br/>
      </w:r>
      <w:r>
        <w:rPr>
          <w:rFonts w:ascii="DejaVu Sans Mono" w:hAnsi="DejaVu Sans Mono"/>
          <w:sz w:val="18"/>
        </w:rPr>
        <w:t xml:space="preserve"> 6  Verify relations, routes, predictions, interventions, and protected laws.</w:t>
      </w:r>
      <w:r>
        <w:rPr>
          <w:rFonts w:ascii="DejaVu Sans Mono" w:hAnsi="DejaVu Sans Mono"/>
          <w:sz w:val="18"/>
        </w:rPr>
        <w:br/>
      </w:r>
      <w:r>
        <w:rPr>
          <w:rFonts w:ascii="DejaVu Sans Mono" w:hAnsi="DejaVu Sans Mono"/>
          <w:sz w:val="18"/>
        </w:rPr>
        <w:t xml:space="preserve"> 7  Commit candidates that pass; store failures with their evidence.</w:t>
      </w:r>
      <w:r>
        <w:rPr>
          <w:rFonts w:ascii="DejaVu Sans Mono" w:hAnsi="DejaVu Sans Mono"/>
          <w:sz w:val="18"/>
        </w:rPr>
        <w:br/>
      </w:r>
      <w:r>
        <w:rPr>
          <w:rFonts w:ascii="DejaVu Sans Mono" w:hAnsi="DejaVu Sans Mono"/>
          <w:sz w:val="18"/>
        </w:rPr>
        <w:t xml:space="preserve"> 8  Compare decoders, and hence laws, by code length and withheld prediction.</w:t>
      </w:r>
      <w:r>
        <w:rPr>
          <w:rFonts w:ascii="DejaVu Sans Mono" w:hAnsi="DejaVu Sans Mono"/>
          <w:sz w:val="18"/>
        </w:rPr>
        <w:br/>
      </w:r>
      <w:r>
        <w:rPr>
          <w:rFonts w:ascii="DejaVu Sans Mono" w:hAnsi="DejaVu Sans Mono"/>
          <w:sz w:val="18"/>
        </w:rPr>
        <w:t xml:space="preserve"> 9  Retrain the conditional proposer on the archive when its cost is justified.</w:t>
      </w:r>
      <w:r>
        <w:rPr>
          <w:rFonts w:ascii="DejaVu Sans Mono" w:hAnsi="DejaVu Sans Mono"/>
          <w:sz w:val="18"/>
        </w:rPr>
        <w:br/>
      </w:r>
      <w:r>
        <w:rPr>
          <w:rFonts w:ascii="DejaVu Sans Mono" w:hAnsi="DejaVu Sans Mono"/>
          <w:sz w:val="18"/>
        </w:rPr>
        <w:t xml:space="preserve">10  Revalidate records affected by any change to a decoder, schema, or encoder.</w:t>
      </w:r>
    </w:p>
    <w:p>
      <w:pPr>
        <w:pStyle w:val="Heading2"/>
        <w:jc w:val="both"/>
      </w:pPr>
      <w:r>
        <w:t xml:space="preserve">9.7 A small diffusion evolution experiment</w:t>
      </w:r>
    </w:p>
    <w:p>
      <w:pPr>
        <w:pStyle w:val="FirstParagraph"/>
        <w:jc w:val="both"/>
      </w:pPr>
      <w:r>
        <w:t xml:space="preserve">We tested the encoding and optimizer claims on a three domain comparison triangle with power preserving transports. Each edge supplied 20 noisy paired observations with noise standard deviation 0.05, so the mean squared error floor is 0.0025, and 400 further pairs per edge were held out. Three genomes received the same Diffusion Evolution budget of about 2,000 evaluations: dense</w:t>
      </w:r>
      <w:r>
        <w:t xml:space="preserve"> </w:t>
      </w:r>
      <m:oMath>
        <m:r>
          <w:rPr>
            <w:rFonts w:ascii="Cambria Math" w:hAnsi="Cambria Math"/>
          </w:rPr>
          <m:t>2</m:t>
        </m:r>
        <m:r>
          <m:rPr>
            <m:sty m:val="p"/>
          </m:rPr>
          <w:rPr>
            <w:rFonts w:ascii="Cambria Math" w:hAnsi="Cambria Math"/>
          </w:rPr>
          <m:t>×</m:t>
        </m:r>
        <m:r>
          <w:rPr>
            <w:rFonts w:ascii="Cambria Math" w:hAnsi="Cambria Math"/>
          </w:rPr>
          <m:t>2</m:t>
        </m:r>
      </m:oMath>
      <w:r>
        <w:t xml:space="preserve"> </w:t>
      </w:r>
      <w:r>
        <w:t xml:space="preserve">edge matrices with 12 real genes, logarithmic edge genes with 3 real genes and 6 bits, and logarithmic vertex genes with 2 real genes and 4 bits. Discrete genes were chosen by local fits and fixed along a spanning tree, and a bounded least squares correction followed the search. In a second case, one edge carried an additional scaling, so that the true loop transport was not the identity. Table 5 reports the results.</w:t>
      </w:r>
    </w:p>
    <w:p>
      <w:pPr>
        <w:pStyle w:val="Caption"/>
        <w:keepNext/>
        <w:spacing w:before="100" w:after="140"/>
        <w:jc w:val="both"/>
      </w:pPr>
      <w:r>
        <w:t xml:space="preserve">Table 5 Diffusion Evolution and correction on a three domain power preserving diagram</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150"/>
        <w:gridCol w:w="1900"/>
        <w:gridCol w:w="900"/>
        <w:gridCol w:w="1400"/>
        <w:gridCol w:w="1500"/>
        <w:gridCol w:w="1400"/>
        <w:gridCol w:w="1513"/>
      </w:tblGrid>
      <w:tr>
        <w:trPr>
          <w:cantSplit/>
          <w:tblHeader/>
          <w:jc w:val="center"/>
        </w:trPr>
        <w:tc>
          <w:tcPr>
            <w:tcW w:w="115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Case</w:t>
            </w:r>
          </w:p>
        </w:tc>
        <w:tc>
          <w:tcPr>
            <w:tcW w:w="19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Genome</w:t>
            </w:r>
          </w:p>
        </w:tc>
        <w:tc>
          <w:tcPr>
            <w:tcW w:w="9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Real genes</w:t>
            </w:r>
          </w:p>
        </w:tc>
        <w:tc>
          <w:tcPr>
            <w:tcW w:w="14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Search only</w:t>
            </w:r>
          </w:p>
        </w:tc>
        <w:tc>
          <w:tcPr>
            <w:tcW w:w="15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After correction</w:t>
            </w:r>
          </w:p>
        </w:tc>
        <w:tc>
          <w:tcPr>
            <w:tcW w:w="14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Law defect</w:t>
            </w:r>
          </w:p>
        </w:tc>
        <w:tc>
          <w:tcPr>
            <w:tcW w:w="1513"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Loop defect</w:t>
            </w:r>
          </w:p>
        </w:tc>
      </w:tr>
      <w:tr>
        <w:trPr>
          <w:cantSplit/>
          <w:jc w:val="center"/>
        </w:trPr>
        <w:tc>
          <w:tcPr>
            <w:tcW w:w="11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Coherent</w:t>
            </w:r>
          </w:p>
        </w:tc>
        <w:tc>
          <w:tcPr>
            <w:tcW w:w="1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Dense edges</w:t>
            </w:r>
          </w:p>
        </w:tc>
        <w:tc>
          <w:tcPr>
            <w:tcW w:w="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12</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2.463</w:t>
            </w:r>
          </w:p>
        </w:tc>
        <w:tc>
          <w:tcPr>
            <w:tcW w:w="15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0.00271</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2.2 × 10⁻²</w:t>
            </w:r>
          </w:p>
        </w:tc>
        <w:tc>
          <w:tcPr>
            <w:tcW w:w="151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3.9 × 10⁻²</w:t>
            </w:r>
          </w:p>
        </w:tc>
      </w:tr>
      <w:tr>
        <w:trPr>
          <w:cantSplit/>
          <w:jc w:val="center"/>
        </w:trPr>
        <w:tc>
          <w:tcPr>
            <w:tcW w:w="11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Coherent</w:t>
            </w:r>
          </w:p>
        </w:tc>
        <w:tc>
          <w:tcPr>
            <w:tcW w:w="1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Logarithmic edges</w:t>
            </w:r>
          </w:p>
        </w:tc>
        <w:tc>
          <w:tcPr>
            <w:tcW w:w="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3</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0.105</w:t>
            </w:r>
          </w:p>
        </w:tc>
        <w:tc>
          <w:tcPr>
            <w:tcW w:w="15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0.00261</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below 10⁻¹⁵</w:t>
            </w:r>
          </w:p>
        </w:tc>
        <w:tc>
          <w:tcPr>
            <w:tcW w:w="151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6.9 × 10⁻³</w:t>
            </w:r>
          </w:p>
        </w:tc>
      </w:tr>
      <w:tr>
        <w:trPr>
          <w:cantSplit/>
          <w:jc w:val="center"/>
        </w:trPr>
        <w:tc>
          <w:tcPr>
            <w:tcW w:w="11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Coherent</w:t>
            </w:r>
          </w:p>
        </w:tc>
        <w:tc>
          <w:tcPr>
            <w:tcW w:w="1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Logarithmic vertices</w:t>
            </w:r>
          </w:p>
        </w:tc>
        <w:tc>
          <w:tcPr>
            <w:tcW w:w="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2</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0.058</w:t>
            </w:r>
          </w:p>
        </w:tc>
        <w:tc>
          <w:tcPr>
            <w:tcW w:w="15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0.00259</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below 10⁻¹⁵</w:t>
            </w:r>
          </w:p>
        </w:tc>
        <w:tc>
          <w:tcPr>
            <w:tcW w:w="151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below 10⁻¹⁵</w:t>
            </w:r>
          </w:p>
        </w:tc>
      </w:tr>
      <w:tr>
        <w:trPr>
          <w:cantSplit/>
          <w:jc w:val="center"/>
        </w:trPr>
        <w:tc>
          <w:tcPr>
            <w:tcW w:w="11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Holonomy</w:t>
            </w:r>
          </w:p>
        </w:tc>
        <w:tc>
          <w:tcPr>
            <w:tcW w:w="1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Dense edges</w:t>
            </w:r>
          </w:p>
        </w:tc>
        <w:tc>
          <w:tcPr>
            <w:tcW w:w="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12</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1.505</w:t>
            </w:r>
          </w:p>
        </w:tc>
        <w:tc>
          <w:tcPr>
            <w:tcW w:w="15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0.00283</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6.0 × 10⁻²</w:t>
            </w:r>
          </w:p>
        </w:tc>
        <w:tc>
          <w:tcPr>
            <w:tcW w:w="151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0.79</w:t>
            </w:r>
          </w:p>
        </w:tc>
      </w:tr>
      <w:tr>
        <w:trPr>
          <w:cantSplit/>
          <w:jc w:val="center"/>
        </w:trPr>
        <w:tc>
          <w:tcPr>
            <w:tcW w:w="11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Holonomy</w:t>
            </w:r>
          </w:p>
        </w:tc>
        <w:tc>
          <w:tcPr>
            <w:tcW w:w="1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Logarithmic edges</w:t>
            </w:r>
          </w:p>
        </w:tc>
        <w:tc>
          <w:tcPr>
            <w:tcW w:w="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3</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0.179</w:t>
            </w:r>
          </w:p>
        </w:tc>
        <w:tc>
          <w:tcPr>
            <w:tcW w:w="15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0.00256</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below 10⁻¹⁵</w:t>
            </w:r>
          </w:p>
        </w:tc>
        <w:tc>
          <w:tcPr>
            <w:tcW w:w="151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0.74</w:t>
            </w:r>
          </w:p>
        </w:tc>
      </w:tr>
      <w:tr>
        <w:trPr>
          <w:cantSplit/>
          <w:jc w:val="center"/>
        </w:trPr>
        <w:tc>
          <w:tcPr>
            <w:tcW w:w="115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Holonomy</w:t>
            </w:r>
          </w:p>
        </w:tc>
        <w:tc>
          <w:tcPr>
            <w:tcW w:w="1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Logarithmic vertices</w:t>
            </w:r>
          </w:p>
        </w:tc>
        <w:tc>
          <w:tcPr>
            <w:tcW w:w="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2</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0.067</w:t>
            </w:r>
          </w:p>
        </w:tc>
        <w:tc>
          <w:tcPr>
            <w:tcW w:w="15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0.05226</w:t>
            </w:r>
          </w:p>
        </w:tc>
        <w:tc>
          <w:tcPr>
            <w:tcW w:w="14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below 10⁻¹⁵</w:t>
            </w:r>
          </w:p>
        </w:tc>
        <w:tc>
          <w:tcPr>
            <w:tcW w:w="151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below 10⁻¹⁵</w:t>
            </w:r>
          </w:p>
        </w:tc>
      </w:tr>
    </w:tbl>
    <w:p>
      <w:pPr>
        <w:pStyle w:val="BodyText"/>
        <w:spacing w:before="160"/>
        <w:jc w:val="both"/>
      </w:pPr>
      <w:r>
        <w:t xml:space="preserve">Three results follow. The dense genome reached the noise floor only after correction, and in the coherent case it still violated both the power law and the loop. The logarithmic genomes kept the law exactly; the vertex genome also closed the loop exactly and had the lowest test error in the coherent case. With a true holonomy the vertex genome could not fit: its training error was 0.0425, against 0.0022 for the edge genome, and its test error remained about twenty times the floor. That residual is the evidence that the coherence assumption is wrong for this diagram, while the edge genome reports the loop defect of 0.74 directly. The experiment uses a supplied algebra, three domains, and exact bit selection. It does not show that the backbone learns a shared theory; it shows that the encoding and the ordering of search and correction behave as Propositions 7 to 10 predict.</w:t>
      </w:r>
    </w:p>
    <w:p w14:paraId="0AF7E30F" w14:textId="77777777" w:rsidR="0012657B" w:rsidRDefault="00000000" w:rsidP="00B04090">
      <w:pPr>
        <w:pStyle w:val="Heading1"/>
        <w:jc w:val="both"/>
      </w:pPr>
      <w:bookmarkStart w:id="27" w:name="engineering-examples"/>
      <w:bookmarkEnd w:id="26"/>
      <w:r>
        <w:t>10 Engineering examples</w:t>
      </w:r>
    </w:p>
    <w:p w14:paraId="62CE7B75" w14:textId="77777777" w:rsidR="0012657B" w:rsidRDefault="00000000" w:rsidP="00B04090">
      <w:pPr>
        <w:pStyle w:val="Heading2"/>
        <w:jc w:val="both"/>
      </w:pPr>
      <w:bookmarkStart w:id="28" w:name="transport-of-an-oscillator-equation"/>
      <w:r>
        <w:t>10.1 Transport of an oscillator equation</w:t>
      </w:r>
    </w:p>
    <w:p w14:paraId="26631C82" w14:textId="77777777" w:rsidR="0012657B" w:rsidRDefault="00000000" w:rsidP="00B04090">
      <w:pPr>
        <w:pStyle w:val="FirstParagraph"/>
        <w:jc w:val="both"/>
      </w:pPr>
      <w:r>
        <w:t>A single mechanical oscillator and a series electrical circuit obey corresponding linear equations:</w:t>
      </w:r>
    </w:p>
    <w:p w14:paraId="43497B5F"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  L</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oMath>
      <w:r>
        <w:rPr>
          <w:sz w:val="22"/>
        </w:rPr>
        <w:tab/>
        <w:t>(27)</w:t>
      </w:r>
    </w:p>
    <w:p w14:paraId="750EC4AC" w14:textId="77777777" w:rsidR="0012657B" w:rsidRDefault="00000000" w:rsidP="00B04090">
      <w:pPr>
        <w:pStyle w:val="FirstParagraph"/>
        <w:jc w:val="both"/>
      </w:pPr>
      <w:r>
        <w:t>In the force to voltage convention, the parameter correspondence is mass to inductance, damping to resistance, and stiffness to inverse capacitance, with state and source scales declared. The comparison preserves a second order linear response law. A candidate trained only on numeric trajectories must additionally show that interventions on parameters and recombinations of operations obey the mapping.</w:t>
      </w:r>
    </w:p>
    <w:p w14:paraId="529C0088" w14:textId="77777777" w:rsidR="0012657B" w:rsidRDefault="00000000" w:rsidP="00B04090">
      <w:pPr>
        <w:pStyle w:val="BodyText"/>
        <w:jc w:val="both"/>
      </w:pPr>
      <w:r>
        <w:t>For example, the predicted frequency change after a stiffness intervention must agree with the corresponding capacitance intervention. Introducing a nonlinear spring requires a corresponding nonlinear electrical constitutive law; retaining a fixed linear mapping would be an invalid extension of scope. A held out structural mode is an admissible transfer target only when the selected modal approximation and damping assumptions justify the same scalar equation.</w:t>
      </w:r>
    </w:p>
    <w:p w14:paraId="45CD3999" w14:textId="77777777" w:rsidR="0012657B" w:rsidRDefault="00000000" w:rsidP="00B04090">
      <w:pPr>
        <w:pStyle w:val="BodyText"/>
        <w:jc w:val="both"/>
      </w:pPr>
      <w:r>
        <w:t>This example supplies a tractable test of interpretation learning. It does not establish that the two domains are equivalent in all physical respects, nor does it make a quantum oscillator a classically invertible state translation. Quantum transport requires a separately specified algebra and approximation scope.</w:t>
      </w:r>
    </w:p>
    <w:p w14:paraId="6D277467" w14:textId="77777777" w:rsidR="0012657B" w:rsidRDefault="00000000" w:rsidP="00B04090">
      <w:pPr>
        <w:pStyle w:val="Heading2"/>
        <w:jc w:val="both"/>
      </w:pPr>
      <w:bookmarkStart w:id="29" w:name="power-survives-a-change-of-analogy"/>
      <w:bookmarkEnd w:id="28"/>
      <w:r>
        <w:t>10.2 Power survives a change of analogy</w:t>
      </w:r>
    </w:p>
    <w:p w14:paraId="1DA97ABF" w14:textId="77777777" w:rsidR="0012657B" w:rsidRDefault="00000000" w:rsidP="00B04090">
      <w:pPr>
        <w:pStyle w:val="FirstParagraph"/>
        <w:jc w:val="both"/>
      </w:pPr>
      <w:r>
        <w:t xml:space="preserve">Mechanical and electrical network analogies can exchange the interpretation of effort and flow. For a consistently scaled exchange with positive modulus </w:t>
      </w:r>
      <m:oMath>
        <m:r>
          <w:rPr>
            <w:rFonts w:ascii="Cambria Math" w:hAnsi="Cambria Math"/>
          </w:rPr>
          <m:t>r</m:t>
        </m:r>
      </m:oMath>
      <w:r>
        <w:t>, consider</w:t>
      </w:r>
    </w:p>
    <w:p w14:paraId="09D6B773"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d>
          <m:dPr>
            <m:ctrlPr>
              <w:rPr>
                <w:rFonts w:ascii="Cambria Math" w:hAnsi="Cambria Math"/>
              </w:rPr>
            </m:ctrlPr>
          </m:dPr>
          <m:e>
            <m:r>
              <w:rPr>
                <w:rFonts w:ascii="Cambria Math" w:hAnsi="Cambria Math"/>
              </w:rPr>
              <m:t>rf</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ef</m:t>
        </m:r>
        <m:r>
          <m:rPr>
            <m:sty m:val="p"/>
          </m:rPr>
          <w:rPr>
            <w:rFonts w:ascii="Cambria Math" w:hAnsi="Cambria Math"/>
          </w:rPr>
          <m:t>,</m:t>
        </m:r>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oMath>
      <w:r>
        <w:rPr>
          <w:sz w:val="22"/>
        </w:rPr>
        <w:tab/>
        <w:t>(28)</w:t>
      </w:r>
    </w:p>
    <w:p w14:paraId="0D4863E3" w14:textId="77777777" w:rsidR="0012657B" w:rsidRDefault="00000000" w:rsidP="00B04090">
      <w:pPr>
        <w:pStyle w:val="FirstParagraph"/>
        <w:jc w:val="both"/>
      </w:pPr>
      <w:r>
        <w:t xml:space="preserve">The input coordinates transform, while power is preserved under this convention. Among homogeneous quadratic polynomials invariant under this exchange for every positive modulus, the only nonconstant direction is the product term. Indeed, transforming </w:t>
      </w: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bef</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yields </w:t>
      </w:r>
      <m:oMath>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bef</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equality for every modulus forces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w:t>
      </w:r>
    </w:p>
    <w:p w14:paraId="2D2CBC47" w14:textId="77777777" w:rsidR="0012657B" w:rsidRDefault="00000000" w:rsidP="00B04090">
      <w:pPr>
        <w:pStyle w:val="BodyText"/>
        <w:jc w:val="both"/>
      </w:pPr>
      <w:r>
        <w:t>This is an observable abstraction. It illustrates why the shared concept should not be restricted to fixed coordinates. Port Hamiltonian theory provides an established framework for interconnection and analysis through energy and power variables [13]. The present interpretation identifies a potential training signal; it does not claim to discover that framework anew.</w:t>
      </w:r>
    </w:p>
    <w:p w14:paraId="283FCE34" w14:textId="77777777" w:rsidR="0012657B" w:rsidRDefault="00000000" w:rsidP="00B04090">
      <w:pPr>
        <w:pStyle w:val="BodyText"/>
        <w:jc w:val="both"/>
      </w:pPr>
      <w:r>
        <w:t>In a device such as a gyrator, power signs depend on the chosen port orientations. Equation (28) describes the specified coordinate exchange. Device conservation must use the full signed port balance and cannot be inferred from notation alone.</w:t>
      </w:r>
    </w:p>
    <w:p w14:paraId="32D675A3" w14:textId="77777777" w:rsidR="0012657B" w:rsidRDefault="00000000" w:rsidP="00B04090">
      <w:pPr>
        <w:pStyle w:val="Heading2"/>
        <w:jc w:val="both"/>
      </w:pPr>
      <w:bookmarkStart w:id="30" w:name="behaviour-and-network-realization"/>
      <w:bookmarkEnd w:id="29"/>
      <w:r>
        <w:lastRenderedPageBreak/>
        <w:t>10.3 Behaviour and network realization</w:t>
      </w:r>
    </w:p>
    <w:p w14:paraId="686BB266" w14:textId="77777777" w:rsidR="0012657B" w:rsidRDefault="00000000" w:rsidP="00B04090">
      <w:pPr>
        <w:pStyle w:val="FirstParagraph"/>
        <w:jc w:val="both"/>
      </w:pPr>
      <w:r>
        <w:t>Matching a response function and preserving a network’s allowed element structure are different obligations. Smith’s inerter addresses a limitation of the force to current analogy: an ordinary mass is referenced to an inertial ground, whereas a general electrical capacitor need not have a grounded terminal. The inerter provides a relative acceleration relation between two mechanical terminals and enables a broader mechanical network synthesis [15].</w:t>
      </w:r>
    </w:p>
    <w:p w14:paraId="06A7D823" w14:textId="77777777" w:rsidR="0012657B" w:rsidRDefault="00000000" w:rsidP="00B04090">
      <w:pPr>
        <w:pStyle w:val="BodyText"/>
        <w:jc w:val="both"/>
      </w:pPr>
      <w:r>
        <w:t>This gives a concrete model of admissible theory enlargement. Adding a generator can enable verified transfer of results that were unavailable in the restricted presentation. The example also warns against inferring element by element realizability from a matched transfer function. Our checker must state which obligation it tests.</w:t>
      </w:r>
    </w:p>
    <w:p w14:paraId="701B6B76" w14:textId="77777777" w:rsidR="0012657B" w:rsidRDefault="00000000" w:rsidP="00B04090">
      <w:pPr>
        <w:pStyle w:val="Heading2"/>
        <w:jc w:val="both"/>
      </w:pPr>
      <w:bookmarkStart w:id="31" w:name="similarity-laws-with-an-honest-residual"/>
      <w:bookmarkEnd w:id="30"/>
      <w:r>
        <w:t>10.4 Similarity laws with an honest residual</w:t>
      </w:r>
    </w:p>
    <w:p w14:paraId="66F68946" w14:textId="77777777" w:rsidR="0012657B" w:rsidRDefault="00000000" w:rsidP="00B04090">
      <w:pPr>
        <w:pStyle w:val="FirstParagraph"/>
        <w:jc w:val="both"/>
      </w:pPr>
      <w:r>
        <w:t xml:space="preserve">For a prototype and a geometrically scaled model in the same fluid, define the scale ratio by </w:t>
      </w:r>
      <m:oMath>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λ</m:t>
        </m:r>
      </m:oMath>
      <w:r>
        <w:t>. Froude and Reynolds matching prescribe different model velocities:</w:t>
      </w:r>
    </w:p>
    <w:p w14:paraId="1AFD2291" w14:textId="77777777" w:rsidR="0012657B" w:rsidRDefault="00000000" w:rsidP="00B04090">
      <w:pPr>
        <w:pStyle w:val="BodyText"/>
        <w:keepLines/>
        <w:tabs>
          <w:tab w:val="center" w:pos="4810"/>
          <w:tab w:val="right" w:pos="9677"/>
        </w:tabs>
        <w:spacing w:before="100"/>
        <w:jc w:val="both"/>
      </w:pPr>
      <w:r>
        <w:tab/>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Fr</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λ</m:t>
            </m:r>
          </m:e>
        </m:ra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Re</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oMath>
      <w:r>
        <w:rPr>
          <w:sz w:val="22"/>
        </w:rPr>
        <w:tab/>
        <w:t>(29)</w:t>
      </w:r>
    </w:p>
    <w:p w14:paraId="7C23C9DF" w14:textId="77777777" w:rsidR="0012657B" w:rsidRDefault="00000000" w:rsidP="00B04090">
      <w:pPr>
        <w:pStyle w:val="FirstParagraph"/>
        <w:jc w:val="both"/>
      </w:pPr>
      <w:r>
        <w:t xml:space="preserve">This follows directly from </w:t>
      </w:r>
      <m:oMath>
        <m:r>
          <w:rPr>
            <w:rFonts w:ascii="Cambria Math" w:hAnsi="Cambria Math"/>
          </w:rPr>
          <m:t>Fr</m:t>
        </m:r>
        <m:r>
          <m:rPr>
            <m:sty m:val="p"/>
          </m:rPr>
          <w:rPr>
            <w:rFonts w:ascii="Cambria Math" w:hAnsi="Cambria Math"/>
          </w:rPr>
          <m:t>=</m:t>
        </m:r>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gL</m:t>
            </m:r>
          </m:e>
        </m:rad>
      </m:oMath>
      <w:r>
        <w:t xml:space="preserve"> and </w:t>
      </w:r>
      <m:oMath>
        <m:r>
          <w:rPr>
            <w:rFonts w:ascii="Cambria Math" w:hAnsi="Cambria Math"/>
          </w:rPr>
          <m:t>Re</m:t>
        </m:r>
        <m:r>
          <m:rPr>
            <m:sty m:val="p"/>
          </m:rPr>
          <w:rPr>
            <w:rFonts w:ascii="Cambria Math" w:hAnsi="Cambria Math"/>
          </w:rPr>
          <m:t>=</m:t>
        </m:r>
        <m:r>
          <w:rPr>
            <w:rFonts w:ascii="Cambria Math" w:hAnsi="Cambria Math"/>
          </w:rPr>
          <m:t>VL</m:t>
        </m:r>
        <m:r>
          <m:rPr>
            <m:sty m:val="p"/>
          </m:rPr>
          <w:rPr>
            <w:rFonts w:ascii="Cambria Math" w:hAnsi="Cambria Math"/>
          </w:rPr>
          <m:t>/</m:t>
        </m:r>
        <m:r>
          <w:rPr>
            <w:rFonts w:ascii="Cambria Math" w:hAnsi="Cambria Math"/>
          </w:rPr>
          <m:t>ν</m:t>
        </m:r>
      </m:oMath>
      <w:r>
        <w:t xml:space="preserve">. For </w:t>
      </w:r>
      <m:oMath>
        <m:r>
          <w:rPr>
            <w:rFonts w:ascii="Cambria Math" w:hAnsi="Cambria Math"/>
          </w:rPr>
          <m:t>λ</m:t>
        </m:r>
        <m:r>
          <m:rPr>
            <m:sty m:val="p"/>
          </m:rPr>
          <w:rPr>
            <w:rFonts w:ascii="Cambria Math" w:hAnsi="Cambria Math"/>
          </w:rPr>
          <m:t>≠</m:t>
        </m:r>
        <m:r>
          <w:rPr>
            <w:rFonts w:ascii="Cambria Math" w:hAnsi="Cambria Math"/>
          </w:rPr>
          <m:t>1</m:t>
        </m:r>
      </m:oMath>
      <w:r>
        <w:t xml:space="preserve">, the two velocities disagree. At a fixed model length and fluid, their ratio dilates both dimensionless coordinates by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The ratio of those coordinates is speed independent:</w:t>
      </w:r>
    </w:p>
    <w:p w14:paraId="04046EDF" w14:textId="77777777" w:rsidR="0012657B" w:rsidRDefault="00000000" w:rsidP="00B04090">
      <w:pPr>
        <w:pStyle w:val="BodyText"/>
        <w:keepLines/>
        <w:tabs>
          <w:tab w:val="center" w:pos="4810"/>
          <w:tab w:val="right" w:pos="9677"/>
        </w:tabs>
        <w:spacing w:before="100"/>
        <w:jc w:val="both"/>
      </w:pPr>
      <w:r>
        <w:tab/>
      </w:r>
      <m:oMath>
        <m:f>
          <m:fPr>
            <m:ctrlPr>
              <w:rPr>
                <w:rFonts w:ascii="Cambria Math" w:hAnsi="Cambria Math"/>
              </w:rPr>
            </m:ctrlPr>
          </m:fPr>
          <m:num>
            <m:r>
              <w:rPr>
                <w:rFonts w:ascii="Cambria Math" w:hAnsi="Cambria Math"/>
              </w:rPr>
              <m:t>Re</m:t>
            </m:r>
          </m:num>
          <m:den>
            <m:r>
              <w:rPr>
                <w:rFonts w:ascii="Cambria Math" w:hAnsi="Cambria Math"/>
              </w:rPr>
              <m:t>Fr</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g</m:t>
                </m:r>
                <m:sSup>
                  <m:sSupPr>
                    <m:ctrlPr>
                      <w:rPr>
                        <w:rFonts w:ascii="Cambria Math" w:hAnsi="Cambria Math"/>
                      </w:rPr>
                    </m:ctrlPr>
                  </m:sSupPr>
                  <m:e>
                    <m:r>
                      <w:rPr>
                        <w:rFonts w:ascii="Cambria Math" w:hAnsi="Cambria Math"/>
                      </w:rPr>
                      <m:t>L</m:t>
                    </m:r>
                  </m:e>
                  <m:sup>
                    <m:r>
                      <w:rPr>
                        <w:rFonts w:ascii="Cambria Math" w:hAnsi="Cambria Math"/>
                      </w:rPr>
                      <m:t>3</m:t>
                    </m:r>
                  </m:sup>
                </m:sSup>
              </m:e>
            </m:rad>
          </m:num>
          <m:den>
            <m:r>
              <w:rPr>
                <w:rFonts w:ascii="Cambria Math" w:hAnsi="Cambria Math"/>
              </w:rPr>
              <m:t>ν</m:t>
            </m:r>
          </m:den>
        </m:f>
        <m:r>
          <m:rPr>
            <m:sty m:val="p"/>
          </m:rPr>
          <w:rPr>
            <w:rFonts w:ascii="Cambria Math" w:hAnsi="Cambria Math"/>
          </w:rPr>
          <m:t>.</m:t>
        </m:r>
      </m:oMath>
      <w:r>
        <w:rPr>
          <w:sz w:val="22"/>
        </w:rPr>
        <w:tab/>
        <w:t>(30)</w:t>
      </w:r>
    </w:p>
    <w:p w14:paraId="391E020E" w14:textId="77777777" w:rsidR="0012657B" w:rsidRDefault="00000000" w:rsidP="00B04090">
      <w:pPr>
        <w:pStyle w:val="FirstParagraph"/>
        <w:jc w:val="both"/>
      </w:pPr>
      <w:r>
        <w:t xml:space="preserve">Requiring both similarities by changing fluid properties gives </w:t>
      </w:r>
      <m:oMath>
        <m:sSub>
          <m:sSubPr>
            <m:ctrlPr>
              <w:rPr>
                <w:rFonts w:ascii="Cambria Math" w:hAnsi="Cambria Math"/>
              </w:rPr>
            </m:ctrlPr>
          </m:sSubPr>
          <m:e>
            <m:r>
              <w:rPr>
                <w:rFonts w:ascii="Cambria Math" w:hAnsi="Cambria Math"/>
              </w:rPr>
              <m:t>ν</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assuming equal gravitational acceleration. At a length ratio of 25, this is 1/125. These are algebraic constraints. Whether a suitable fluid and operating range are practically available requires a separate physical assessment.</w:t>
      </w:r>
    </w:p>
    <w:p w14:paraId="4F41B0E5" w14:textId="77777777" w:rsidR="0012657B" w:rsidRDefault="00000000" w:rsidP="00B04090">
      <w:pPr>
        <w:pStyle w:val="BodyText"/>
        <w:jc w:val="both"/>
      </w:pPr>
      <w:r>
        <w:t>A learner may propose a decomposition of a target response into parts governed by different similarity laws. Such factorization must retain and evaluate the coupling residual. Removing the comparison that exposed the disagreement cannot by itself count as verified resolution.</w:t>
      </w:r>
    </w:p>
    <w:p w14:paraId="262C2AEB" w14:textId="77777777" w:rsidR="0012657B" w:rsidRDefault="00000000" w:rsidP="00B04090">
      <w:pPr>
        <w:pStyle w:val="Heading1"/>
        <w:jc w:val="both"/>
      </w:pPr>
      <w:bookmarkStart w:id="32" w:name="X8e6cccaaeb6430893a674772d9a5721990a3dcb"/>
      <w:bookmarkEnd w:id="27"/>
      <w:bookmarkEnd w:id="31"/>
      <w:r>
        <w:t>11 Experiments that can falsify the proposal</w:t>
      </w:r>
    </w:p>
    <w:p w14:paraId="0777382A" w14:textId="77777777" w:rsidR="0012657B" w:rsidRDefault="00000000" w:rsidP="00B04090">
      <w:pPr>
        <w:pStyle w:val="Heading2"/>
        <w:jc w:val="both"/>
      </w:pPr>
      <w:bookmarkStart w:id="33" w:name="a-finite-noncommuting-benchmark"/>
      <w:r>
        <w:t>11.1 A finite noncommuting benchmark</w:t>
      </w:r>
    </w:p>
    <w:p w14:paraId="03B25EFB" w14:textId="77777777" w:rsidR="0012657B" w:rsidRDefault="00000000" w:rsidP="00B04090">
      <w:pPr>
        <w:pStyle w:val="FirstParagraph"/>
        <w:jc w:val="both"/>
      </w:pPr>
      <w:r>
        <w:t>The first experiment uses multiple invertible encodings of a known finite state system, rather than unrestricted natural language domains. Begin with three states and two adjacent transpositions. Their operation order differs: one swaps the first and second states, and the other swaps the second and third states. Generate independent domain encodings and expose only selected generator actions and paired observations. The ground truth translations and relations are exact.</w:t>
      </w:r>
    </w:p>
    <w:p w14:paraId="6CF26DBE" w14:textId="77777777" w:rsidR="0012657B" w:rsidRDefault="00000000" w:rsidP="00B04090">
      <w:pPr>
        <w:pStyle w:val="BodyText"/>
        <w:jc w:val="both"/>
      </w:pPr>
      <w:r>
        <w:t>Train four conditions with the same domain data, architecture budget, and total verifier budget: task reward; task reward with relation checks; relation checks with pairwise round trips; and the full diagram objective with observation and transfer terms. Hold out operation words, encodings, and selected comparison edges. Repeat with larger finite systems before interpreting a result as more than a toy demonstration.</w:t>
      </w:r>
    </w:p>
    <w:p w14:paraId="2B68F275" w14:textId="77777777" w:rsidR="0012657B" w:rsidRDefault="00000000" w:rsidP="00B04090">
      <w:pPr>
        <w:pStyle w:val="BodyText"/>
        <w:jc w:val="both"/>
      </w:pPr>
      <w:r>
        <w:lastRenderedPageBreak/>
        <w:t>The primary endpoint is transfer to a new encoding under a fixed interpretation budget. Secondary endpoints are unseen composition accuracy, order sensitive predictions, grounded correspondence accuracy, and correct refusal under injected invalid relations. A full diagram advantage that disappears after equalizing compute would not support the proposed mechanism.</w:t>
      </w:r>
    </w:p>
    <w:p w14:paraId="742A43A6" w14:textId="77777777" w:rsidR="0012657B" w:rsidRDefault="00000000" w:rsidP="00B04090">
      <w:pPr>
        <w:pStyle w:val="Heading2"/>
        <w:jc w:val="both"/>
      </w:pPr>
      <w:bookmarkStart w:id="34" w:name="graph-and-objective-controls"/>
      <w:bookmarkEnd w:id="33"/>
      <w:r>
        <w:t>11.2 Graph and objective controls</w:t>
      </w:r>
    </w:p>
    <w:p w14:paraId="14722CA5" w14:textId="77777777" w:rsidR="0012657B" w:rsidRDefault="00000000" w:rsidP="00B04090">
      <w:pPr>
        <w:pStyle w:val="FirstParagraph"/>
        <w:jc w:val="both"/>
      </w:pPr>
      <w:r>
        <w:t>For a connected graph, fixing vertex and edge counts fixes its cycle rank. We therefore use the same graph and data for coherence ablation. To test topology separately, keep the same number of vertices, edges, and paired observations while varying bridge coverage, loop length, and the distribution of independent cycles. Graphs with the same counts can have different coverage and localization properties. A comparison of a tree and a cyclic graph with different domain counts cannot isolate cycle structure without additional controls.</w:t>
      </w:r>
    </w:p>
    <w:p w14:paraId="7B277ACC" w14:textId="77777777" w:rsidR="0012657B" w:rsidRDefault="00000000" w:rsidP="00B04090">
      <w:pPr>
        <w:pStyle w:val="BodyText"/>
        <w:jc w:val="both"/>
      </w:pPr>
      <w:r>
        <w:t>Injected errors are evaluated both with and without independent edge anchors. The benchmark also includes compatible encodings with coordinated wrong semantics, so that internally consistent but ungrounded solutions are penalized. The symmetry vocabulary is fixed before evaluation; it cannot expand after observing a failed probe.</w:t>
      </w:r>
    </w:p>
    <w:p w14:paraId="349EE18A" w14:textId="77777777" w:rsidR="0012657B" w:rsidRDefault="00000000" w:rsidP="00B04090">
      <w:pPr>
        <w:pStyle w:val="Heading2"/>
        <w:jc w:val="both"/>
      </w:pPr>
      <w:bookmarkStart w:id="35" w:name="observable-and-loss-tests"/>
      <w:bookmarkEnd w:id="34"/>
      <w:r>
        <w:t>11.3 Observable and loss tests</w:t>
      </w:r>
    </w:p>
    <w:p w14:paraId="4E3F47AB" w14:textId="77777777" w:rsidR="0012657B" w:rsidRDefault="00000000" w:rsidP="00B04090">
      <w:pPr>
        <w:pStyle w:val="FirstParagraph"/>
        <w:jc w:val="both"/>
      </w:pPr>
      <w:r>
        <w:t>A separate benchmark presents rotated observations of a two dimensional system. The common fixed state space is zero, while a nonconstant norm observable is preserved. Compare state only objectives with a bounded quadratic observation head. The endpoint is verified prediction of the retained quantity after withheld rotations, accompanied by correct reporting that orientation is not retained.</w:t>
      </w:r>
    </w:p>
    <w:p w14:paraId="6CAD5179" w14:textId="77777777" w:rsidR="0012657B" w:rsidRDefault="00000000" w:rsidP="00B04090">
      <w:pPr>
        <w:pStyle w:val="BodyText"/>
        <w:jc w:val="both"/>
      </w:pPr>
      <w:r>
        <w:t>Lossy encodings deliberately merge states. Evaluate parallel route agreement only for declared surviving observables. The learner must report which queries cease to be answerable. Prediction on erased information is not demanded, but falsely claiming its preservation counts as failure.</w:t>
      </w:r>
    </w:p>
    <w:p w14:paraId="501B6D71" w14:textId="77777777" w:rsidR="0012657B" w:rsidRDefault="00000000" w:rsidP="00B04090">
      <w:pPr>
        <w:pStyle w:val="Heading2"/>
        <w:jc w:val="both"/>
      </w:pPr>
      <w:bookmarkStart w:id="36" w:name="engineering-transfer"/>
      <w:bookmarkEnd w:id="35"/>
      <w:r>
        <w:t>11.4 Engineering transfer</w:t>
      </w:r>
    </w:p>
    <w:p w14:paraId="474263D6" w14:textId="77777777" w:rsidR="0012657B" w:rsidRDefault="00000000" w:rsidP="00B04090">
      <w:pPr>
        <w:pStyle w:val="FirstParagraph"/>
        <w:jc w:val="both"/>
      </w:pPr>
      <w:r>
        <w:t>Use simulated oscillator and network families with known parameter and constitutive maps. Independent numerical solvers generate training and final test observations. Hold out parameter combinations, network motifs, and one realization family. Register the permissible approximation scope before training. Evaluate intervention transport, sample cost of a new interpretation, and detection of a nonlinear or element realization mismatch.</w:t>
      </w:r>
    </w:p>
    <w:p w14:paraId="58FCF623" w14:textId="77777777" w:rsidR="0012657B" w:rsidRDefault="00000000" w:rsidP="00B04090">
      <w:pPr>
        <w:pStyle w:val="BodyText"/>
        <w:jc w:val="both"/>
      </w:pPr>
      <w:r>
        <w:t>Table 6 summarizes the proposed falsification criteria. None of these learner experiments has been executed for this paper.</w:t>
      </w:r>
    </w:p>
    <w:p w14:paraId="7B7B7E0B" w14:textId="77777777" w:rsidR="0012657B" w:rsidRDefault="00000000" w:rsidP="00B04090">
      <w:pPr>
        <w:pStyle w:val="Caption"/>
        <w:keepNext/>
        <w:spacing w:before="100" w:after="140"/>
        <w:jc w:val="both"/>
      </w:pPr>
      <w:r>
        <w:t>Table 6 Registered comparisons for a future empirical study</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664"/>
        <w:gridCol w:w="3672"/>
        <w:gridCol w:w="3427"/>
      </w:tblGrid>
      <w:tr w:rsidR="0012657B" w14:paraId="78F42F4E" w14:textId="77777777">
        <w:trPr>
          <w:cantSplit/>
          <w:tblHeader/>
          <w:jc w:val="center"/>
        </w:trPr>
        <w:tc>
          <w:tcPr>
            <w:tcW w:w="2664" w:type="dxa"/>
            <w:shd w:val="clear" w:color="auto" w:fill="E7E7E7"/>
            <w:tcMar>
              <w:top w:w="90" w:type="dxa"/>
              <w:left w:w="110" w:type="dxa"/>
              <w:bottom w:w="90" w:type="dxa"/>
              <w:right w:w="110" w:type="dxa"/>
            </w:tcMar>
            <w:vAlign w:val="center"/>
          </w:tcPr>
          <w:p w14:paraId="4B9F6A53" w14:textId="77777777" w:rsidR="0012657B" w:rsidRDefault="00000000" w:rsidP="00B04090">
            <w:pPr>
              <w:keepLines/>
              <w:spacing w:after="20" w:line="250" w:lineRule="auto"/>
              <w:jc w:val="both"/>
            </w:pPr>
            <w:r>
              <w:rPr>
                <w:b/>
                <w:sz w:val="21"/>
              </w:rPr>
              <w:t>Claim</w:t>
            </w:r>
          </w:p>
        </w:tc>
        <w:tc>
          <w:tcPr>
            <w:tcW w:w="3672" w:type="dxa"/>
            <w:shd w:val="clear" w:color="auto" w:fill="E7E7E7"/>
            <w:tcMar>
              <w:top w:w="90" w:type="dxa"/>
              <w:left w:w="110" w:type="dxa"/>
              <w:bottom w:w="90" w:type="dxa"/>
              <w:right w:w="110" w:type="dxa"/>
            </w:tcMar>
            <w:vAlign w:val="center"/>
          </w:tcPr>
          <w:p w14:paraId="3DBED595" w14:textId="77777777" w:rsidR="0012657B" w:rsidRDefault="00000000" w:rsidP="00B04090">
            <w:pPr>
              <w:keepLines/>
              <w:spacing w:after="20" w:line="250" w:lineRule="auto"/>
              <w:jc w:val="both"/>
            </w:pPr>
            <w:r>
              <w:rPr>
                <w:b/>
                <w:sz w:val="21"/>
              </w:rPr>
              <w:t>Controlled test</w:t>
            </w:r>
          </w:p>
        </w:tc>
        <w:tc>
          <w:tcPr>
            <w:tcW w:w="3427" w:type="dxa"/>
            <w:shd w:val="clear" w:color="auto" w:fill="E7E7E7"/>
            <w:tcMar>
              <w:top w:w="90" w:type="dxa"/>
              <w:left w:w="110" w:type="dxa"/>
              <w:bottom w:w="90" w:type="dxa"/>
              <w:right w:w="110" w:type="dxa"/>
            </w:tcMar>
            <w:vAlign w:val="center"/>
          </w:tcPr>
          <w:p w14:paraId="5D149064" w14:textId="77777777" w:rsidR="0012657B" w:rsidRDefault="00000000" w:rsidP="00B04090">
            <w:pPr>
              <w:keepLines/>
              <w:spacing w:after="20" w:line="250" w:lineRule="auto"/>
              <w:jc w:val="both"/>
            </w:pPr>
            <w:r>
              <w:rPr>
                <w:b/>
                <w:sz w:val="21"/>
              </w:rPr>
              <w:t>Evidence against the claim</w:t>
            </w:r>
          </w:p>
        </w:tc>
      </w:tr>
      <w:tr w:rsidR="0012657B" w14:paraId="268967F9" w14:textId="77777777">
        <w:trPr>
          <w:cantSplit/>
          <w:jc w:val="center"/>
        </w:trPr>
        <w:tc>
          <w:tcPr>
            <w:tcW w:w="2664" w:type="dxa"/>
            <w:shd w:val="clear" w:color="auto" w:fill="FFFFFF"/>
            <w:tcMar>
              <w:top w:w="90" w:type="dxa"/>
              <w:left w:w="110" w:type="dxa"/>
              <w:bottom w:w="90" w:type="dxa"/>
              <w:right w:w="110" w:type="dxa"/>
            </w:tcMar>
            <w:vAlign w:val="center"/>
          </w:tcPr>
          <w:p w14:paraId="4AC7C184" w14:textId="77777777" w:rsidR="0012657B" w:rsidRDefault="00000000" w:rsidP="00B04090">
            <w:pPr>
              <w:keepLines/>
              <w:spacing w:after="20" w:line="250" w:lineRule="auto"/>
              <w:jc w:val="both"/>
            </w:pPr>
            <w:r>
              <w:rPr>
                <w:sz w:val="21"/>
              </w:rPr>
              <w:t>Diagram credit improves abstraction</w:t>
            </w:r>
          </w:p>
        </w:tc>
        <w:tc>
          <w:tcPr>
            <w:tcW w:w="3672" w:type="dxa"/>
            <w:shd w:val="clear" w:color="auto" w:fill="FFFFFF"/>
            <w:tcMar>
              <w:top w:w="90" w:type="dxa"/>
              <w:left w:w="110" w:type="dxa"/>
              <w:bottom w:w="90" w:type="dxa"/>
              <w:right w:w="110" w:type="dxa"/>
            </w:tcMar>
            <w:vAlign w:val="center"/>
          </w:tcPr>
          <w:p w14:paraId="6C57BA4B" w14:textId="77777777" w:rsidR="0012657B" w:rsidRDefault="00000000" w:rsidP="00B04090">
            <w:pPr>
              <w:keepLines/>
              <w:spacing w:after="20" w:line="250" w:lineRule="auto"/>
              <w:jc w:val="both"/>
            </w:pPr>
            <w:r>
              <w:rPr>
                <w:sz w:val="21"/>
              </w:rPr>
              <w:t>Same graph and data with coherence ablated</w:t>
            </w:r>
          </w:p>
        </w:tc>
        <w:tc>
          <w:tcPr>
            <w:tcW w:w="3427" w:type="dxa"/>
            <w:shd w:val="clear" w:color="auto" w:fill="FFFFFF"/>
            <w:tcMar>
              <w:top w:w="90" w:type="dxa"/>
              <w:left w:w="110" w:type="dxa"/>
              <w:bottom w:w="90" w:type="dxa"/>
              <w:right w:w="110" w:type="dxa"/>
            </w:tcMar>
            <w:vAlign w:val="center"/>
          </w:tcPr>
          <w:p w14:paraId="7C92CB2D" w14:textId="77777777" w:rsidR="0012657B" w:rsidRDefault="00000000" w:rsidP="00B04090">
            <w:pPr>
              <w:keepLines/>
              <w:spacing w:after="20" w:line="250" w:lineRule="auto"/>
              <w:jc w:val="both"/>
            </w:pPr>
            <w:r>
              <w:rPr>
                <w:sz w:val="21"/>
              </w:rPr>
              <w:t>No transfer advantage across independent seeds</w:t>
            </w:r>
          </w:p>
        </w:tc>
      </w:tr>
      <w:tr w:rsidR="0012657B" w14:paraId="26919E35" w14:textId="77777777">
        <w:trPr>
          <w:cantSplit/>
          <w:jc w:val="center"/>
        </w:trPr>
        <w:tc>
          <w:tcPr>
            <w:tcW w:w="2664" w:type="dxa"/>
            <w:shd w:val="clear" w:color="auto" w:fill="F6F6F6"/>
            <w:tcMar>
              <w:top w:w="90" w:type="dxa"/>
              <w:left w:w="110" w:type="dxa"/>
              <w:bottom w:w="90" w:type="dxa"/>
              <w:right w:w="110" w:type="dxa"/>
            </w:tcMar>
            <w:vAlign w:val="center"/>
          </w:tcPr>
          <w:p w14:paraId="00668138" w14:textId="77777777" w:rsidR="0012657B" w:rsidRDefault="00000000" w:rsidP="00B04090">
            <w:pPr>
              <w:keepLines/>
              <w:spacing w:after="20" w:line="250" w:lineRule="auto"/>
              <w:jc w:val="both"/>
            </w:pPr>
            <w:r>
              <w:rPr>
                <w:sz w:val="21"/>
              </w:rPr>
              <w:t>Relations support compositional transfer</w:t>
            </w:r>
          </w:p>
        </w:tc>
        <w:tc>
          <w:tcPr>
            <w:tcW w:w="3672" w:type="dxa"/>
            <w:shd w:val="clear" w:color="auto" w:fill="F6F6F6"/>
            <w:tcMar>
              <w:top w:w="90" w:type="dxa"/>
              <w:left w:w="110" w:type="dxa"/>
              <w:bottom w:w="90" w:type="dxa"/>
              <w:right w:w="110" w:type="dxa"/>
            </w:tcMar>
            <w:vAlign w:val="center"/>
          </w:tcPr>
          <w:p w14:paraId="7777F8F0" w14:textId="77777777" w:rsidR="0012657B" w:rsidRDefault="00000000" w:rsidP="00B04090">
            <w:pPr>
              <w:keepLines/>
              <w:spacing w:after="20" w:line="250" w:lineRule="auto"/>
              <w:jc w:val="both"/>
            </w:pPr>
            <w:r>
              <w:rPr>
                <w:sz w:val="21"/>
              </w:rPr>
              <w:t>Withheld operation words and changed encodings</w:t>
            </w:r>
          </w:p>
        </w:tc>
        <w:tc>
          <w:tcPr>
            <w:tcW w:w="3427" w:type="dxa"/>
            <w:shd w:val="clear" w:color="auto" w:fill="F6F6F6"/>
            <w:tcMar>
              <w:top w:w="90" w:type="dxa"/>
              <w:left w:w="110" w:type="dxa"/>
              <w:bottom w:w="90" w:type="dxa"/>
              <w:right w:w="110" w:type="dxa"/>
            </w:tcMar>
            <w:vAlign w:val="center"/>
          </w:tcPr>
          <w:p w14:paraId="509606D9" w14:textId="77777777" w:rsidR="0012657B" w:rsidRDefault="00000000" w:rsidP="00B04090">
            <w:pPr>
              <w:keepLines/>
              <w:spacing w:after="20" w:line="250" w:lineRule="auto"/>
              <w:jc w:val="both"/>
            </w:pPr>
            <w:r>
              <w:rPr>
                <w:sz w:val="21"/>
              </w:rPr>
              <w:t>Performance limited to trained words</w:t>
            </w:r>
          </w:p>
        </w:tc>
      </w:tr>
      <w:tr w:rsidR="0012657B" w14:paraId="47463777" w14:textId="77777777">
        <w:trPr>
          <w:cantSplit/>
          <w:jc w:val="center"/>
        </w:trPr>
        <w:tc>
          <w:tcPr>
            <w:tcW w:w="2664" w:type="dxa"/>
            <w:shd w:val="clear" w:color="auto" w:fill="FFFFFF"/>
            <w:tcMar>
              <w:top w:w="90" w:type="dxa"/>
              <w:left w:w="110" w:type="dxa"/>
              <w:bottom w:w="90" w:type="dxa"/>
              <w:right w:w="110" w:type="dxa"/>
            </w:tcMar>
            <w:vAlign w:val="center"/>
          </w:tcPr>
          <w:p w14:paraId="3B6F15E5" w14:textId="77777777" w:rsidR="0012657B" w:rsidRDefault="00000000" w:rsidP="00B04090">
            <w:pPr>
              <w:keepLines/>
              <w:spacing w:after="20" w:line="250" w:lineRule="auto"/>
              <w:jc w:val="both"/>
            </w:pPr>
            <w:r>
              <w:rPr>
                <w:sz w:val="21"/>
              </w:rPr>
              <w:lastRenderedPageBreak/>
              <w:t>Observables improve useful retention</w:t>
            </w:r>
          </w:p>
        </w:tc>
        <w:tc>
          <w:tcPr>
            <w:tcW w:w="3672" w:type="dxa"/>
            <w:shd w:val="clear" w:color="auto" w:fill="FFFFFF"/>
            <w:tcMar>
              <w:top w:w="90" w:type="dxa"/>
              <w:left w:w="110" w:type="dxa"/>
              <w:bottom w:w="90" w:type="dxa"/>
              <w:right w:w="110" w:type="dxa"/>
            </w:tcMar>
            <w:vAlign w:val="center"/>
          </w:tcPr>
          <w:p w14:paraId="2FA7C656" w14:textId="77777777" w:rsidR="0012657B" w:rsidRDefault="00000000" w:rsidP="00B04090">
            <w:pPr>
              <w:keepLines/>
              <w:spacing w:after="20" w:line="250" w:lineRule="auto"/>
              <w:jc w:val="both"/>
            </w:pPr>
            <w:r>
              <w:rPr>
                <w:sz w:val="21"/>
              </w:rPr>
              <w:t>Zero fixed states with a nonconstant invariant</w:t>
            </w:r>
          </w:p>
        </w:tc>
        <w:tc>
          <w:tcPr>
            <w:tcW w:w="3427" w:type="dxa"/>
            <w:shd w:val="clear" w:color="auto" w:fill="FFFFFF"/>
            <w:tcMar>
              <w:top w:w="90" w:type="dxa"/>
              <w:left w:w="110" w:type="dxa"/>
              <w:bottom w:w="90" w:type="dxa"/>
              <w:right w:w="110" w:type="dxa"/>
            </w:tcMar>
            <w:vAlign w:val="center"/>
          </w:tcPr>
          <w:p w14:paraId="5270AA68" w14:textId="77777777" w:rsidR="0012657B" w:rsidRDefault="00000000" w:rsidP="00B04090">
            <w:pPr>
              <w:keepLines/>
              <w:spacing w:after="20" w:line="250" w:lineRule="auto"/>
              <w:jc w:val="both"/>
            </w:pPr>
            <w:r>
              <w:rPr>
                <w:sz w:val="21"/>
              </w:rPr>
              <w:t>No gain over the matched state only learner</w:t>
            </w:r>
          </w:p>
        </w:tc>
      </w:tr>
      <w:tr w:rsidR="0012657B" w14:paraId="7EFE4928" w14:textId="77777777">
        <w:trPr>
          <w:cantSplit/>
          <w:jc w:val="center"/>
        </w:trPr>
        <w:tc>
          <w:tcPr>
            <w:tcW w:w="2664" w:type="dxa"/>
            <w:shd w:val="clear" w:color="auto" w:fill="F6F6F6"/>
            <w:tcMar>
              <w:top w:w="90" w:type="dxa"/>
              <w:left w:w="110" w:type="dxa"/>
              <w:bottom w:w="90" w:type="dxa"/>
              <w:right w:w="110" w:type="dxa"/>
            </w:tcMar>
            <w:vAlign w:val="center"/>
          </w:tcPr>
          <w:p w14:paraId="6BCAA858" w14:textId="77777777" w:rsidR="0012657B" w:rsidRDefault="00000000" w:rsidP="00B04090">
            <w:pPr>
              <w:keepLines/>
              <w:spacing w:after="20" w:line="250" w:lineRule="auto"/>
              <w:jc w:val="both"/>
            </w:pPr>
            <w:r>
              <w:rPr>
                <w:sz w:val="21"/>
              </w:rPr>
              <w:t>Independent anchors resolve coordinated errors</w:t>
            </w:r>
          </w:p>
        </w:tc>
        <w:tc>
          <w:tcPr>
            <w:tcW w:w="3672" w:type="dxa"/>
            <w:shd w:val="clear" w:color="auto" w:fill="F6F6F6"/>
            <w:tcMar>
              <w:top w:w="90" w:type="dxa"/>
              <w:left w:w="110" w:type="dxa"/>
              <w:bottom w:w="90" w:type="dxa"/>
              <w:right w:w="110" w:type="dxa"/>
            </w:tcMar>
            <w:vAlign w:val="center"/>
          </w:tcPr>
          <w:p w14:paraId="58A9292F" w14:textId="77777777" w:rsidR="0012657B" w:rsidRDefault="00000000" w:rsidP="00B04090">
            <w:pPr>
              <w:keepLines/>
              <w:spacing w:after="20" w:line="250" w:lineRule="auto"/>
              <w:jc w:val="both"/>
            </w:pPr>
            <w:r>
              <w:rPr>
                <w:sz w:val="21"/>
              </w:rPr>
              <w:t>Add separately grounded correspondences</w:t>
            </w:r>
          </w:p>
        </w:tc>
        <w:tc>
          <w:tcPr>
            <w:tcW w:w="3427" w:type="dxa"/>
            <w:shd w:val="clear" w:color="auto" w:fill="F6F6F6"/>
            <w:tcMar>
              <w:top w:w="90" w:type="dxa"/>
              <w:left w:w="110" w:type="dxa"/>
              <w:bottom w:w="90" w:type="dxa"/>
              <w:right w:w="110" w:type="dxa"/>
            </w:tcMar>
            <w:vAlign w:val="center"/>
          </w:tcPr>
          <w:p w14:paraId="6C9DDB98" w14:textId="77777777" w:rsidR="0012657B" w:rsidRDefault="00000000" w:rsidP="00B04090">
            <w:pPr>
              <w:keepLines/>
              <w:spacing w:after="20" w:line="250" w:lineRule="auto"/>
              <w:jc w:val="both"/>
            </w:pPr>
            <w:r>
              <w:rPr>
                <w:sz w:val="21"/>
              </w:rPr>
              <w:t>False coherent translations remain accepted</w:t>
            </w:r>
          </w:p>
        </w:tc>
      </w:tr>
      <w:tr w:rsidR="0012657B" w14:paraId="25EB52BA" w14:textId="77777777">
        <w:trPr>
          <w:cantSplit/>
          <w:jc w:val="center"/>
        </w:trPr>
        <w:tc>
          <w:tcPr>
            <w:tcW w:w="2664" w:type="dxa"/>
            <w:shd w:val="clear" w:color="auto" w:fill="FFFFFF"/>
            <w:tcMar>
              <w:top w:w="90" w:type="dxa"/>
              <w:left w:w="110" w:type="dxa"/>
              <w:bottom w:w="90" w:type="dxa"/>
              <w:right w:w="110" w:type="dxa"/>
            </w:tcMar>
            <w:vAlign w:val="center"/>
          </w:tcPr>
          <w:p w14:paraId="7C4975F2" w14:textId="77777777" w:rsidR="0012657B" w:rsidRDefault="00000000" w:rsidP="00B04090">
            <w:pPr>
              <w:keepLines/>
              <w:spacing w:after="20" w:line="250" w:lineRule="auto"/>
              <w:jc w:val="both"/>
            </w:pPr>
            <w:r>
              <w:rPr>
                <w:sz w:val="21"/>
              </w:rPr>
              <w:t>Revision can restore missing structure</w:t>
            </w:r>
          </w:p>
        </w:tc>
        <w:tc>
          <w:tcPr>
            <w:tcW w:w="3672" w:type="dxa"/>
            <w:shd w:val="clear" w:color="auto" w:fill="FFFFFF"/>
            <w:tcMar>
              <w:top w:w="90" w:type="dxa"/>
              <w:left w:w="110" w:type="dxa"/>
              <w:bottom w:w="90" w:type="dxa"/>
              <w:right w:w="110" w:type="dxa"/>
            </w:tcMar>
            <w:vAlign w:val="center"/>
          </w:tcPr>
          <w:p w14:paraId="293EACD7" w14:textId="77777777" w:rsidR="0012657B" w:rsidRDefault="00000000" w:rsidP="00B04090">
            <w:pPr>
              <w:keepLines/>
              <w:spacing w:after="20" w:line="250" w:lineRule="auto"/>
              <w:jc w:val="both"/>
            </w:pPr>
            <w:r>
              <w:rPr>
                <w:sz w:val="21"/>
              </w:rPr>
              <w:t>Delete a known relation and permit bounded edits</w:t>
            </w:r>
          </w:p>
        </w:tc>
        <w:tc>
          <w:tcPr>
            <w:tcW w:w="3427" w:type="dxa"/>
            <w:shd w:val="clear" w:color="auto" w:fill="FFFFFF"/>
            <w:tcMar>
              <w:top w:w="90" w:type="dxa"/>
              <w:left w:w="110" w:type="dxa"/>
              <w:bottom w:w="90" w:type="dxa"/>
              <w:right w:w="110" w:type="dxa"/>
            </w:tcMar>
            <w:vAlign w:val="center"/>
          </w:tcPr>
          <w:p w14:paraId="64798B8B" w14:textId="77777777" w:rsidR="0012657B" w:rsidRDefault="00000000" w:rsidP="00B04090">
            <w:pPr>
              <w:keepLines/>
              <w:spacing w:after="20" w:line="250" w:lineRule="auto"/>
              <w:jc w:val="both"/>
            </w:pPr>
            <w:r>
              <w:rPr>
                <w:sz w:val="21"/>
              </w:rPr>
              <w:t>Repair gives no gain over matched search</w:t>
            </w:r>
          </w:p>
        </w:tc>
      </w:tr>
      <w:tr w:rsidR="0012657B" w14:paraId="05D5B90B" w14:textId="77777777">
        <w:trPr>
          <w:cantSplit/>
          <w:jc w:val="center"/>
        </w:trPr>
        <w:tc>
          <w:tcPr>
            <w:tcW w:w="2664" w:type="dxa"/>
            <w:shd w:val="clear" w:color="auto" w:fill="F6F6F6"/>
            <w:tcMar>
              <w:top w:w="90" w:type="dxa"/>
              <w:left w:w="110" w:type="dxa"/>
              <w:bottom w:w="90" w:type="dxa"/>
              <w:right w:w="110" w:type="dxa"/>
            </w:tcMar>
            <w:vAlign w:val="center"/>
          </w:tcPr>
          <w:p w14:paraId="4FD16D61" w14:textId="77777777" w:rsidR="0012657B" w:rsidRDefault="00000000" w:rsidP="00B04090">
            <w:pPr>
              <w:keepLines/>
              <w:spacing w:after="20" w:line="250" w:lineRule="auto"/>
              <w:jc w:val="both"/>
            </w:pPr>
            <w:r>
              <w:rPr>
                <w:sz w:val="21"/>
              </w:rPr>
              <w:t>Scope declarations improve reliability</w:t>
            </w:r>
          </w:p>
        </w:tc>
        <w:tc>
          <w:tcPr>
            <w:tcW w:w="3672" w:type="dxa"/>
            <w:shd w:val="clear" w:color="auto" w:fill="F6F6F6"/>
            <w:tcMar>
              <w:top w:w="90" w:type="dxa"/>
              <w:left w:w="110" w:type="dxa"/>
              <w:bottom w:w="90" w:type="dxa"/>
              <w:right w:w="110" w:type="dxa"/>
            </w:tcMar>
            <w:vAlign w:val="center"/>
          </w:tcPr>
          <w:p w14:paraId="305E0AD7" w14:textId="77777777" w:rsidR="0012657B" w:rsidRDefault="00000000" w:rsidP="00B04090">
            <w:pPr>
              <w:keepLines/>
              <w:spacing w:after="20" w:line="250" w:lineRule="auto"/>
              <w:jc w:val="both"/>
            </w:pPr>
            <w:r>
              <w:rPr>
                <w:sz w:val="21"/>
              </w:rPr>
              <w:t>Nonlinear and lossy test cases</w:t>
            </w:r>
          </w:p>
        </w:tc>
        <w:tc>
          <w:tcPr>
            <w:tcW w:w="3427" w:type="dxa"/>
            <w:shd w:val="clear" w:color="auto" w:fill="F6F6F6"/>
            <w:tcMar>
              <w:top w:w="90" w:type="dxa"/>
              <w:left w:w="110" w:type="dxa"/>
              <w:bottom w:w="90" w:type="dxa"/>
              <w:right w:w="110" w:type="dxa"/>
            </w:tcMar>
            <w:vAlign w:val="center"/>
          </w:tcPr>
          <w:p w14:paraId="22D2A376" w14:textId="77777777" w:rsidR="0012657B" w:rsidRDefault="00000000" w:rsidP="00B04090">
            <w:pPr>
              <w:keepLines/>
              <w:spacing w:after="20" w:line="250" w:lineRule="auto"/>
              <w:jc w:val="both"/>
            </w:pPr>
            <w:r>
              <w:rPr>
                <w:sz w:val="21"/>
              </w:rPr>
              <w:t>Invalid inheritance is accepted at the same rate</w:t>
            </w:r>
          </w:p>
        </w:tc>
      </w:tr>
      <w:tr w:rsidR="0012657B">
        <w:trPr>
          <w:cantSplit/>
          <w:jc w:val="center"/>
        </w:trPr>
        <w:tc>
          <w:tcPr>
            <w:tcW w:w="2664"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Aligned recombination preserves content</w:t>
            </w:r>
          </w:p>
        </w:tc>
        <w:tc>
          <w:tcPr>
            <w:tcW w:w="3672"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Populations mixing exchanged conventions, with and without alignment</w:t>
            </w:r>
          </w:p>
        </w:tc>
        <w:tc>
          <w:tcPr>
            <w:tcW w:w="3427"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No difference in recovered transports</w:t>
            </w:r>
          </w:p>
        </w:tc>
      </w:tr>
      <w:tr w:rsidR="0012657B">
        <w:trPr>
          <w:cantSplit/>
          <w:jc w:val="center"/>
        </w:trPr>
        <w:tc>
          <w:tcPr>
            <w:tcW w:w="2664"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Built in laws help only where they hold</w:t>
            </w:r>
          </w:p>
        </w:tc>
        <w:tc>
          <w:tcPr>
            <w:tcW w:w="3672"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Power preserving and unrestricted genomes on conserving and lossy data</w:t>
            </w:r>
          </w:p>
        </w:tc>
        <w:tc>
          <w:tcPr>
            <w:tcW w:w="3427"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The constrained genome is preferred on lossy data</w:t>
            </w:r>
          </w:p>
        </w:tc>
      </w:tr>
      <w:tr w:rsidR="0012657B">
        <w:trPr>
          <w:cantSplit/>
          <w:jc w:val="center"/>
        </w:trPr>
        <w:tc>
          <w:tcPr>
            <w:tcW w:w="2664"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Vertex genomes expose holonomy</w:t>
            </w:r>
          </w:p>
        </w:tc>
        <w:tc>
          <w:tcPr>
            <w:tcW w:w="3672"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Coherent and planted holonomy diagrams with the statistic of Equation (25)</w:t>
            </w:r>
          </w:p>
        </w:tc>
        <w:tc>
          <w:tcPr>
            <w:tcW w:w="3427" w:type="dxa"/>
            <w:shd w:val="clear" w:color="auto" w:fill="F6F6F6"/>
            <w:tcMar>
              <w:top w:w="90" w:type="dxa"/>
              <w:left w:w="110" w:type="dxa"/>
              <w:bottom w:w="90" w:type="dxa"/>
              <w:right w:w="110" w:type="dxa"/>
            </w:tcMar>
            <w:vAlign w:val="center"/>
          </w:tcPr>
          <w:p w:rsidR="0012657B" w:rsidRDefault="00000000" w:rsidP="00B04090">
            <w:pPr>
              <w:keepLines/>
              <w:spacing w:after="20" w:line="250" w:lineRule="auto"/>
              <w:jc w:val="both"/>
            </w:pPr>
            <w:r>
              <w:rPr>
                <w:sz w:val="21"/>
              </w:rPr>
              <w:t xml:space="preserve">Miscalibrated false alarms, or planted holonomy accepted</w:t>
            </w:r>
          </w:p>
        </w:tc>
      </w:tr>
    </w:tbl>
    <w:p w14:paraId="73287FEF" w14:textId="77777777" w:rsidR="0012657B" w:rsidRDefault="00000000" w:rsidP="00B04090">
      <w:pPr>
        <w:pStyle w:val="BodyText"/>
        <w:spacing w:before="160"/>
        <w:jc w:val="both"/>
      </w:pPr>
      <w:r>
        <w:t>Report all seeds, all probe domains, confidence intervals, failed runs, and verifier costs. Choose thresholds using development data and freeze them before final testing. A successful benchmark supports the specified mechanism and task family; it does not establish AGI.</w:t>
      </w:r>
    </w:p>
    <w:p w14:paraId="73C0E2B7" w14:textId="77777777" w:rsidR="0012657B" w:rsidRDefault="00000000" w:rsidP="00B04090">
      <w:pPr>
        <w:pStyle w:val="Heading1"/>
        <w:jc w:val="both"/>
      </w:pPr>
      <w:bookmarkStart w:id="37" w:name="computational-verification"/>
      <w:bookmarkEnd w:id="32"/>
      <w:bookmarkEnd w:id="36"/>
      <w:r>
        <w:t>12 Computational verification</w:t>
      </w:r>
    </w:p>
    <w:p w14:paraId="49C68017" w14:textId="77777777" w:rsidR="0012657B" w:rsidRDefault="00000000" w:rsidP="00B04090">
      <w:pPr>
        <w:pStyle w:val="FirstParagraph"/>
        <w:jc w:val="both"/>
      </w:pPr>
      <w:r>
        <w:t xml:space="preserve">The supplied draft was accompanied by a script containing 38 reported checks. For the version of 5 October 2026, the nineteen checks that depend only on NumPy and SciPy were rerun and passed, while the other nineteen could not be run because that environment lacked NetworkX and SymPy. For the present revision the complete script was rerun with Python 3.13, NumPy 2.5.3, SciPy 1.18.1, SymPy 1.14.0, and NetworkX 3.6.1, and all 38 checks passed, including the graph, symbolic, and group enumeration checks. Table 7 reports selected values.</w:t>
      </w:r>
    </w:p>
    <w:p w14:paraId="5F2CC4B3" w14:textId="77777777" w:rsidR="0012657B" w:rsidRDefault="00000000" w:rsidP="00B04090">
      <w:pPr>
        <w:pStyle w:val="Caption"/>
        <w:keepNext/>
        <w:spacing w:before="100" w:after="140"/>
        <w:jc w:val="both"/>
      </w:pPr>
      <w:r>
        <w:t>Table 7 Selected reproduced mathematical and numerical checks</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3816"/>
        <w:gridCol w:w="3197"/>
        <w:gridCol w:w="2750"/>
      </w:tblGrid>
      <w:tr w:rsidR="0012657B" w14:paraId="127B009F" w14:textId="77777777">
        <w:trPr>
          <w:cantSplit/>
          <w:tblHeader/>
          <w:jc w:val="center"/>
        </w:trPr>
        <w:tc>
          <w:tcPr>
            <w:tcW w:w="3816" w:type="dxa"/>
            <w:shd w:val="clear" w:color="auto" w:fill="E7E7E7"/>
            <w:tcMar>
              <w:top w:w="90" w:type="dxa"/>
              <w:left w:w="110" w:type="dxa"/>
              <w:bottom w:w="90" w:type="dxa"/>
              <w:right w:w="110" w:type="dxa"/>
            </w:tcMar>
            <w:vAlign w:val="center"/>
          </w:tcPr>
          <w:p w14:paraId="5382F8C5" w14:textId="77777777" w:rsidR="0012657B" w:rsidRDefault="00000000" w:rsidP="00B04090">
            <w:pPr>
              <w:keepLines/>
              <w:spacing w:after="20" w:line="250" w:lineRule="auto"/>
              <w:jc w:val="both"/>
            </w:pPr>
            <w:r>
              <w:rPr>
                <w:b/>
                <w:sz w:val="21"/>
              </w:rPr>
              <w:t>Quantity</w:t>
            </w:r>
          </w:p>
        </w:tc>
        <w:tc>
          <w:tcPr>
            <w:tcW w:w="3197" w:type="dxa"/>
            <w:shd w:val="clear" w:color="auto" w:fill="E7E7E7"/>
            <w:tcMar>
              <w:top w:w="90" w:type="dxa"/>
              <w:left w:w="110" w:type="dxa"/>
              <w:bottom w:w="90" w:type="dxa"/>
              <w:right w:w="110" w:type="dxa"/>
            </w:tcMar>
            <w:vAlign w:val="center"/>
          </w:tcPr>
          <w:p w14:paraId="628E6D10" w14:textId="77777777" w:rsidR="0012657B" w:rsidRDefault="00000000" w:rsidP="00B04090">
            <w:pPr>
              <w:keepLines/>
              <w:spacing w:after="20" w:line="250" w:lineRule="auto"/>
              <w:jc w:val="both"/>
            </w:pPr>
            <w:r>
              <w:rPr>
                <w:b/>
                <w:sz w:val="21"/>
              </w:rPr>
              <w:t>Predicted or bounded</w:t>
            </w:r>
          </w:p>
        </w:tc>
        <w:tc>
          <w:tcPr>
            <w:tcW w:w="2750" w:type="dxa"/>
            <w:shd w:val="clear" w:color="auto" w:fill="E7E7E7"/>
            <w:tcMar>
              <w:top w:w="90" w:type="dxa"/>
              <w:left w:w="110" w:type="dxa"/>
              <w:bottom w:w="90" w:type="dxa"/>
              <w:right w:w="110" w:type="dxa"/>
            </w:tcMar>
            <w:vAlign w:val="center"/>
          </w:tcPr>
          <w:p w14:paraId="0CFAF44E" w14:textId="77777777" w:rsidR="0012657B" w:rsidRDefault="00000000" w:rsidP="00B04090">
            <w:pPr>
              <w:keepLines/>
              <w:spacing w:after="20" w:line="250" w:lineRule="auto"/>
              <w:jc w:val="both"/>
            </w:pPr>
            <w:r>
              <w:rPr>
                <w:b/>
                <w:sz w:val="21"/>
              </w:rPr>
              <w:t>Reproduced value</w:t>
            </w:r>
          </w:p>
        </w:tc>
      </w:tr>
      <w:tr w:rsidR="0012657B" w14:paraId="1C999C17" w14:textId="77777777">
        <w:trPr>
          <w:cantSplit/>
          <w:jc w:val="center"/>
        </w:trPr>
        <w:tc>
          <w:tcPr>
            <w:tcW w:w="3816" w:type="dxa"/>
            <w:shd w:val="clear" w:color="auto" w:fill="FFFFFF"/>
            <w:tcMar>
              <w:top w:w="90" w:type="dxa"/>
              <w:left w:w="110" w:type="dxa"/>
              <w:bottom w:w="90" w:type="dxa"/>
              <w:right w:w="110" w:type="dxa"/>
            </w:tcMar>
            <w:vAlign w:val="center"/>
          </w:tcPr>
          <w:p w14:paraId="13D394A7" w14:textId="77777777" w:rsidR="0012657B" w:rsidRDefault="00000000" w:rsidP="00B04090">
            <w:pPr>
              <w:keepLines/>
              <w:spacing w:after="20" w:line="250" w:lineRule="auto"/>
              <w:jc w:val="both"/>
            </w:pPr>
            <w:r>
              <w:rPr>
                <w:sz w:val="21"/>
              </w:rPr>
              <w:t>Quartic oscillator frequency</w:t>
            </w:r>
          </w:p>
        </w:tc>
        <w:tc>
          <w:tcPr>
            <w:tcW w:w="3197" w:type="dxa"/>
            <w:shd w:val="clear" w:color="auto" w:fill="FFFFFF"/>
            <w:tcMar>
              <w:top w:w="90" w:type="dxa"/>
              <w:left w:w="110" w:type="dxa"/>
              <w:bottom w:w="90" w:type="dxa"/>
              <w:right w:w="110" w:type="dxa"/>
            </w:tcMar>
            <w:vAlign w:val="center"/>
          </w:tcPr>
          <w:p w14:paraId="36FA89AF" w14:textId="77777777" w:rsidR="0012657B" w:rsidRDefault="00000000" w:rsidP="00B04090">
            <w:pPr>
              <w:keepLines/>
              <w:spacing w:after="20" w:line="250" w:lineRule="auto"/>
              <w:jc w:val="both"/>
            </w:pPr>
            <w:r>
              <w:rPr>
                <w:sz w:val="21"/>
              </w:rPr>
              <w:t>1.003750 at the stated perturbative order</w:t>
            </w:r>
          </w:p>
        </w:tc>
        <w:tc>
          <w:tcPr>
            <w:tcW w:w="2750" w:type="dxa"/>
            <w:shd w:val="clear" w:color="auto" w:fill="FFFFFF"/>
            <w:tcMar>
              <w:top w:w="90" w:type="dxa"/>
              <w:left w:w="110" w:type="dxa"/>
              <w:bottom w:w="90" w:type="dxa"/>
              <w:right w:w="110" w:type="dxa"/>
            </w:tcMar>
            <w:vAlign w:val="center"/>
          </w:tcPr>
          <w:p w14:paraId="4480CF32" w14:textId="77777777" w:rsidR="0012657B" w:rsidRDefault="00000000" w:rsidP="00B04090">
            <w:pPr>
              <w:keepLines/>
              <w:spacing w:after="20" w:line="250" w:lineRule="auto"/>
              <w:jc w:val="both"/>
            </w:pPr>
            <w:r>
              <w:rPr>
                <w:sz w:val="21"/>
              </w:rPr>
              <w:t>1.003742</w:t>
            </w:r>
          </w:p>
        </w:tc>
      </w:tr>
      <w:tr w:rsidR="0012657B" w14:paraId="207C01A6" w14:textId="77777777">
        <w:trPr>
          <w:cantSplit/>
          <w:jc w:val="center"/>
        </w:trPr>
        <w:tc>
          <w:tcPr>
            <w:tcW w:w="3816" w:type="dxa"/>
            <w:shd w:val="clear" w:color="auto" w:fill="F6F6F6"/>
            <w:tcMar>
              <w:top w:w="90" w:type="dxa"/>
              <w:left w:w="110" w:type="dxa"/>
              <w:bottom w:w="90" w:type="dxa"/>
              <w:right w:w="110" w:type="dxa"/>
            </w:tcMar>
            <w:vAlign w:val="center"/>
          </w:tcPr>
          <w:p w14:paraId="4C05D98C" w14:textId="77777777" w:rsidR="0012657B" w:rsidRDefault="00000000" w:rsidP="00B04090">
            <w:pPr>
              <w:keepLines/>
              <w:spacing w:after="20" w:line="250" w:lineRule="auto"/>
              <w:jc w:val="both"/>
            </w:pPr>
            <w:r>
              <w:rPr>
                <w:sz w:val="21"/>
              </w:rPr>
              <w:t>Pendulum frequency</w:t>
            </w:r>
          </w:p>
        </w:tc>
        <w:tc>
          <w:tcPr>
            <w:tcW w:w="3197" w:type="dxa"/>
            <w:shd w:val="clear" w:color="auto" w:fill="F6F6F6"/>
            <w:tcMar>
              <w:top w:w="90" w:type="dxa"/>
              <w:left w:w="110" w:type="dxa"/>
              <w:bottom w:w="90" w:type="dxa"/>
              <w:right w:w="110" w:type="dxa"/>
            </w:tcMar>
            <w:vAlign w:val="center"/>
          </w:tcPr>
          <w:p w14:paraId="1777BCBC" w14:textId="77777777" w:rsidR="0012657B" w:rsidRDefault="00000000" w:rsidP="00B04090">
            <w:pPr>
              <w:keepLines/>
              <w:spacing w:after="20" w:line="250" w:lineRule="auto"/>
              <w:jc w:val="both"/>
            </w:pPr>
            <w:r>
              <w:rPr>
                <w:sz w:val="21"/>
              </w:rPr>
              <w:t>0.9975000 at the stated perturbative order</w:t>
            </w:r>
          </w:p>
        </w:tc>
        <w:tc>
          <w:tcPr>
            <w:tcW w:w="2750" w:type="dxa"/>
            <w:shd w:val="clear" w:color="auto" w:fill="F6F6F6"/>
            <w:tcMar>
              <w:top w:w="90" w:type="dxa"/>
              <w:left w:w="110" w:type="dxa"/>
              <w:bottom w:w="90" w:type="dxa"/>
              <w:right w:w="110" w:type="dxa"/>
            </w:tcMar>
            <w:vAlign w:val="center"/>
          </w:tcPr>
          <w:p w14:paraId="679028D9" w14:textId="77777777" w:rsidR="0012657B" w:rsidRDefault="00000000" w:rsidP="00B04090">
            <w:pPr>
              <w:keepLines/>
              <w:spacing w:after="20" w:line="250" w:lineRule="auto"/>
              <w:jc w:val="both"/>
            </w:pPr>
            <w:r>
              <w:rPr>
                <w:sz w:val="21"/>
              </w:rPr>
              <w:t>0.9975005</w:t>
            </w:r>
          </w:p>
        </w:tc>
      </w:tr>
      <w:tr w:rsidR="0012657B" w14:paraId="1CF9B1F6" w14:textId="77777777">
        <w:trPr>
          <w:cantSplit/>
          <w:jc w:val="center"/>
        </w:trPr>
        <w:tc>
          <w:tcPr>
            <w:tcW w:w="3816" w:type="dxa"/>
            <w:shd w:val="clear" w:color="auto" w:fill="FFFFFF"/>
            <w:tcMar>
              <w:top w:w="90" w:type="dxa"/>
              <w:left w:w="110" w:type="dxa"/>
              <w:bottom w:w="90" w:type="dxa"/>
              <w:right w:w="110" w:type="dxa"/>
            </w:tcMar>
            <w:vAlign w:val="center"/>
          </w:tcPr>
          <w:p w14:paraId="5057F799" w14:textId="77777777" w:rsidR="0012657B" w:rsidRDefault="00000000" w:rsidP="00B04090">
            <w:pPr>
              <w:keepLines/>
              <w:spacing w:after="20" w:line="250" w:lineRule="auto"/>
              <w:jc w:val="both"/>
            </w:pPr>
            <w:r>
              <w:rPr>
                <w:sz w:val="21"/>
              </w:rPr>
              <w:t>Random rotation error slope</w:t>
            </w:r>
          </w:p>
        </w:tc>
        <w:tc>
          <w:tcPr>
            <w:tcW w:w="3197" w:type="dxa"/>
            <w:shd w:val="clear" w:color="auto" w:fill="FFFFFF"/>
            <w:tcMar>
              <w:top w:w="90" w:type="dxa"/>
              <w:left w:w="110" w:type="dxa"/>
              <w:bottom w:w="90" w:type="dxa"/>
              <w:right w:w="110" w:type="dxa"/>
            </w:tcMar>
            <w:vAlign w:val="center"/>
          </w:tcPr>
          <w:p w14:paraId="59C28E8F" w14:textId="77777777" w:rsidR="0012657B" w:rsidRDefault="00000000" w:rsidP="00B04090">
            <w:pPr>
              <w:keepLines/>
              <w:spacing w:after="20" w:line="250" w:lineRule="auto"/>
              <w:jc w:val="both"/>
            </w:pPr>
            <w:r>
              <w:rPr>
                <w:sz w:val="21"/>
              </w:rPr>
              <w:t>Approximately 0.5 in the small error regime</w:t>
            </w:r>
          </w:p>
        </w:tc>
        <w:tc>
          <w:tcPr>
            <w:tcW w:w="2750" w:type="dxa"/>
            <w:shd w:val="clear" w:color="auto" w:fill="FFFFFF"/>
            <w:tcMar>
              <w:top w:w="90" w:type="dxa"/>
              <w:left w:w="110" w:type="dxa"/>
              <w:bottom w:w="90" w:type="dxa"/>
              <w:right w:w="110" w:type="dxa"/>
            </w:tcMar>
            <w:vAlign w:val="center"/>
          </w:tcPr>
          <w:p w14:paraId="17E3E5F5" w14:textId="77777777" w:rsidR="0012657B" w:rsidRDefault="00000000" w:rsidP="00B04090">
            <w:pPr>
              <w:keepLines/>
              <w:spacing w:after="20" w:line="250" w:lineRule="auto"/>
              <w:jc w:val="both"/>
            </w:pPr>
            <w:r>
              <w:rPr>
                <w:sz w:val="21"/>
              </w:rPr>
              <w:t>0.504</w:t>
            </w:r>
          </w:p>
        </w:tc>
      </w:tr>
      <w:tr w:rsidR="0012657B" w14:paraId="2F071DD1" w14:textId="77777777">
        <w:trPr>
          <w:cantSplit/>
          <w:jc w:val="center"/>
        </w:trPr>
        <w:tc>
          <w:tcPr>
            <w:tcW w:w="3816" w:type="dxa"/>
            <w:shd w:val="clear" w:color="auto" w:fill="F6F6F6"/>
            <w:tcMar>
              <w:top w:w="90" w:type="dxa"/>
              <w:left w:w="110" w:type="dxa"/>
              <w:bottom w:w="90" w:type="dxa"/>
              <w:right w:w="110" w:type="dxa"/>
            </w:tcMar>
            <w:vAlign w:val="center"/>
          </w:tcPr>
          <w:p w14:paraId="322CE88F" w14:textId="77777777" w:rsidR="0012657B" w:rsidRDefault="00000000" w:rsidP="00B04090">
            <w:pPr>
              <w:keepLines/>
              <w:spacing w:after="20" w:line="250" w:lineRule="auto"/>
              <w:jc w:val="both"/>
            </w:pPr>
            <w:r>
              <w:rPr>
                <w:sz w:val="21"/>
              </w:rPr>
              <w:t>Aligned rotation error slope</w:t>
            </w:r>
          </w:p>
        </w:tc>
        <w:tc>
          <w:tcPr>
            <w:tcW w:w="3197" w:type="dxa"/>
            <w:shd w:val="clear" w:color="auto" w:fill="F6F6F6"/>
            <w:tcMar>
              <w:top w:w="90" w:type="dxa"/>
              <w:left w:w="110" w:type="dxa"/>
              <w:bottom w:w="90" w:type="dxa"/>
              <w:right w:w="110" w:type="dxa"/>
            </w:tcMar>
            <w:vAlign w:val="center"/>
          </w:tcPr>
          <w:p w14:paraId="7FE286A5" w14:textId="77777777" w:rsidR="0012657B" w:rsidRDefault="00000000" w:rsidP="00B04090">
            <w:pPr>
              <w:keepLines/>
              <w:spacing w:after="20" w:line="250" w:lineRule="auto"/>
              <w:jc w:val="both"/>
            </w:pPr>
            <w:r>
              <w:rPr>
                <w:sz w:val="21"/>
              </w:rPr>
              <w:t>1 in the tested small angle range</w:t>
            </w:r>
          </w:p>
        </w:tc>
        <w:tc>
          <w:tcPr>
            <w:tcW w:w="2750" w:type="dxa"/>
            <w:shd w:val="clear" w:color="auto" w:fill="F6F6F6"/>
            <w:tcMar>
              <w:top w:w="90" w:type="dxa"/>
              <w:left w:w="110" w:type="dxa"/>
              <w:bottom w:w="90" w:type="dxa"/>
              <w:right w:w="110" w:type="dxa"/>
            </w:tcMar>
            <w:vAlign w:val="center"/>
          </w:tcPr>
          <w:p w14:paraId="305459D5" w14:textId="77777777" w:rsidR="0012657B" w:rsidRDefault="00000000" w:rsidP="00B04090">
            <w:pPr>
              <w:keepLines/>
              <w:spacing w:after="20" w:line="250" w:lineRule="auto"/>
              <w:jc w:val="both"/>
            </w:pPr>
            <w:r>
              <w:rPr>
                <w:sz w:val="21"/>
              </w:rPr>
              <w:t>1.000</w:t>
            </w:r>
          </w:p>
        </w:tc>
      </w:tr>
      <w:tr w:rsidR="0012657B" w14:paraId="41D5A021" w14:textId="77777777">
        <w:trPr>
          <w:cantSplit/>
          <w:jc w:val="center"/>
        </w:trPr>
        <w:tc>
          <w:tcPr>
            <w:tcW w:w="3816" w:type="dxa"/>
            <w:shd w:val="clear" w:color="auto" w:fill="FFFFFF"/>
            <w:tcMar>
              <w:top w:w="90" w:type="dxa"/>
              <w:left w:w="110" w:type="dxa"/>
              <w:bottom w:w="90" w:type="dxa"/>
              <w:right w:w="110" w:type="dxa"/>
            </w:tcMar>
            <w:vAlign w:val="center"/>
          </w:tcPr>
          <w:p w14:paraId="3F0FA1CF" w14:textId="77777777" w:rsidR="0012657B" w:rsidRDefault="00000000" w:rsidP="00B04090">
            <w:pPr>
              <w:keepLines/>
              <w:spacing w:after="20" w:line="250" w:lineRule="auto"/>
              <w:jc w:val="both"/>
            </w:pPr>
            <w:r>
              <w:rPr>
                <w:sz w:val="21"/>
              </w:rPr>
              <w:t>New edge accounting</w:t>
            </w:r>
          </w:p>
        </w:tc>
        <w:tc>
          <w:tcPr>
            <w:tcW w:w="3197" w:type="dxa"/>
            <w:shd w:val="clear" w:color="auto" w:fill="FFFFFF"/>
            <w:tcMar>
              <w:top w:w="90" w:type="dxa"/>
              <w:left w:w="110" w:type="dxa"/>
              <w:bottom w:w="90" w:type="dxa"/>
              <w:right w:w="110" w:type="dxa"/>
            </w:tcMar>
            <w:vAlign w:val="center"/>
          </w:tcPr>
          <w:p w14:paraId="55BF5598" w14:textId="77777777" w:rsidR="0012657B" w:rsidRDefault="00000000" w:rsidP="00B04090">
            <w:pPr>
              <w:keepLines/>
              <w:spacing w:after="20" w:line="250" w:lineRule="auto"/>
              <w:jc w:val="both"/>
            </w:pPr>
            <w:r>
              <w:rPr>
                <w:sz w:val="21"/>
              </w:rPr>
              <w:t>Equation (9)</w:t>
            </w:r>
          </w:p>
        </w:tc>
        <w:tc>
          <w:tcPr>
            <w:tcW w:w="2750" w:type="dxa"/>
            <w:shd w:val="clear" w:color="auto" w:fill="FFFFFF"/>
            <w:tcMar>
              <w:top w:w="90" w:type="dxa"/>
              <w:left w:w="110" w:type="dxa"/>
              <w:bottom w:w="90" w:type="dxa"/>
              <w:right w:w="110" w:type="dxa"/>
            </w:tcMar>
            <w:vAlign w:val="center"/>
          </w:tcPr>
          <w:p w14:paraId="2843886E" w14:textId="77777777" w:rsidR="0012657B" w:rsidRDefault="00000000" w:rsidP="00B04090">
            <w:pPr>
              <w:keepLines/>
              <w:spacing w:after="20" w:line="250" w:lineRule="auto"/>
              <w:jc w:val="both"/>
            </w:pPr>
            <w:r>
              <w:rPr>
                <w:sz w:val="21"/>
              </w:rPr>
              <w:t>Passed for 969 edge additions</w:t>
            </w:r>
          </w:p>
        </w:tc>
      </w:tr>
      <w:tr w:rsidR="0012657B" w14:paraId="768497F0" w14:textId="77777777">
        <w:trPr>
          <w:cantSplit/>
          <w:jc w:val="center"/>
        </w:trPr>
        <w:tc>
          <w:tcPr>
            <w:tcW w:w="3816" w:type="dxa"/>
            <w:shd w:val="clear" w:color="auto" w:fill="F6F6F6"/>
            <w:tcMar>
              <w:top w:w="90" w:type="dxa"/>
              <w:left w:w="110" w:type="dxa"/>
              <w:bottom w:w="90" w:type="dxa"/>
              <w:right w:w="110" w:type="dxa"/>
            </w:tcMar>
            <w:vAlign w:val="center"/>
          </w:tcPr>
          <w:p w14:paraId="3B6CE65C" w14:textId="77777777" w:rsidR="0012657B" w:rsidRDefault="00000000" w:rsidP="00B04090">
            <w:pPr>
              <w:keepLines/>
              <w:spacing w:after="20" w:line="250" w:lineRule="auto"/>
              <w:jc w:val="both"/>
            </w:pPr>
            <w:r>
              <w:rPr>
                <w:sz w:val="21"/>
              </w:rPr>
              <w:t>One rotation loop</w:t>
            </w:r>
          </w:p>
        </w:tc>
        <w:tc>
          <w:tcPr>
            <w:tcW w:w="3197" w:type="dxa"/>
            <w:shd w:val="clear" w:color="auto" w:fill="F6F6F6"/>
            <w:tcMar>
              <w:top w:w="90" w:type="dxa"/>
              <w:left w:w="110" w:type="dxa"/>
              <w:bottom w:w="90" w:type="dxa"/>
              <w:right w:w="110" w:type="dxa"/>
            </w:tcMar>
            <w:vAlign w:val="center"/>
          </w:tcPr>
          <w:p w14:paraId="5BCE1F20" w14:textId="77777777" w:rsidR="0012657B" w:rsidRDefault="00000000" w:rsidP="00B04090">
            <w:pPr>
              <w:keepLines/>
              <w:spacing w:after="20" w:line="250" w:lineRule="auto"/>
              <w:jc w:val="both"/>
            </w:pPr>
            <w:r>
              <w:rPr>
                <w:sz w:val="21"/>
              </w:rPr>
              <w:t>Compatible and discrepancy dimensions 1 and 1</w:t>
            </w:r>
          </w:p>
        </w:tc>
        <w:tc>
          <w:tcPr>
            <w:tcW w:w="2750" w:type="dxa"/>
            <w:shd w:val="clear" w:color="auto" w:fill="F6F6F6"/>
            <w:tcMar>
              <w:top w:w="90" w:type="dxa"/>
              <w:left w:w="110" w:type="dxa"/>
              <w:bottom w:w="90" w:type="dxa"/>
              <w:right w:w="110" w:type="dxa"/>
            </w:tcMar>
            <w:vAlign w:val="center"/>
          </w:tcPr>
          <w:p w14:paraId="0D8D0850" w14:textId="77777777" w:rsidR="0012657B" w:rsidRDefault="00000000" w:rsidP="00B04090">
            <w:pPr>
              <w:keepLines/>
              <w:spacing w:after="20" w:line="250" w:lineRule="auto"/>
              <w:jc w:val="both"/>
            </w:pPr>
            <w:r>
              <w:rPr>
                <w:sz w:val="21"/>
              </w:rPr>
              <w:t>1 and 1</w:t>
            </w:r>
          </w:p>
        </w:tc>
      </w:tr>
      <w:tr w:rsidR="0012657B" w14:paraId="29BA7631" w14:textId="77777777">
        <w:trPr>
          <w:cantSplit/>
          <w:jc w:val="center"/>
        </w:trPr>
        <w:tc>
          <w:tcPr>
            <w:tcW w:w="3816" w:type="dxa"/>
            <w:shd w:val="clear" w:color="auto" w:fill="FFFFFF"/>
            <w:tcMar>
              <w:top w:w="90" w:type="dxa"/>
              <w:left w:w="110" w:type="dxa"/>
              <w:bottom w:w="90" w:type="dxa"/>
              <w:right w:w="110" w:type="dxa"/>
            </w:tcMar>
            <w:vAlign w:val="center"/>
          </w:tcPr>
          <w:p w14:paraId="57C5B8D7" w14:textId="77777777" w:rsidR="0012657B" w:rsidRDefault="00000000" w:rsidP="00B04090">
            <w:pPr>
              <w:keepLines/>
              <w:spacing w:after="20" w:line="250" w:lineRule="auto"/>
              <w:jc w:val="both"/>
            </w:pPr>
            <w:r>
              <w:rPr>
                <w:sz w:val="21"/>
              </w:rPr>
              <w:t>Two independent rotation axes</w:t>
            </w:r>
          </w:p>
        </w:tc>
        <w:tc>
          <w:tcPr>
            <w:tcW w:w="3197" w:type="dxa"/>
            <w:shd w:val="clear" w:color="auto" w:fill="FFFFFF"/>
            <w:tcMar>
              <w:top w:w="90" w:type="dxa"/>
              <w:left w:w="110" w:type="dxa"/>
              <w:bottom w:w="90" w:type="dxa"/>
              <w:right w:w="110" w:type="dxa"/>
            </w:tcMar>
            <w:vAlign w:val="center"/>
          </w:tcPr>
          <w:p w14:paraId="5750E440" w14:textId="77777777" w:rsidR="0012657B" w:rsidRDefault="00000000" w:rsidP="00B04090">
            <w:pPr>
              <w:keepLines/>
              <w:spacing w:after="20" w:line="250" w:lineRule="auto"/>
              <w:jc w:val="both"/>
            </w:pPr>
            <w:r>
              <w:rPr>
                <w:sz w:val="21"/>
              </w:rPr>
              <w:t>Zero compatible state dimension</w:t>
            </w:r>
          </w:p>
        </w:tc>
        <w:tc>
          <w:tcPr>
            <w:tcW w:w="2750" w:type="dxa"/>
            <w:shd w:val="clear" w:color="auto" w:fill="FFFFFF"/>
            <w:tcMar>
              <w:top w:w="90" w:type="dxa"/>
              <w:left w:w="110" w:type="dxa"/>
              <w:bottom w:w="90" w:type="dxa"/>
              <w:right w:w="110" w:type="dxa"/>
            </w:tcMar>
            <w:vAlign w:val="center"/>
          </w:tcPr>
          <w:p w14:paraId="5551446A" w14:textId="77777777" w:rsidR="0012657B" w:rsidRDefault="00000000" w:rsidP="00B04090">
            <w:pPr>
              <w:keepLines/>
              <w:spacing w:after="20" w:line="250" w:lineRule="auto"/>
              <w:jc w:val="both"/>
            </w:pPr>
            <w:r>
              <w:rPr>
                <w:sz w:val="21"/>
              </w:rPr>
              <w:t>0 with discrepancy dimension 3</w:t>
            </w:r>
          </w:p>
        </w:tc>
      </w:tr>
      <w:tr w:rsidR="0012657B" w14:paraId="49625503" w14:textId="77777777">
        <w:trPr>
          <w:cantSplit/>
          <w:jc w:val="center"/>
        </w:trPr>
        <w:tc>
          <w:tcPr>
            <w:tcW w:w="3816" w:type="dxa"/>
            <w:shd w:val="clear" w:color="auto" w:fill="F6F6F6"/>
            <w:tcMar>
              <w:top w:w="90" w:type="dxa"/>
              <w:left w:w="110" w:type="dxa"/>
              <w:bottom w:w="90" w:type="dxa"/>
              <w:right w:w="110" w:type="dxa"/>
            </w:tcMar>
            <w:vAlign w:val="center"/>
          </w:tcPr>
          <w:p w14:paraId="71550DEA" w14:textId="77777777" w:rsidR="0012657B" w:rsidRDefault="00000000" w:rsidP="00B04090">
            <w:pPr>
              <w:keepLines/>
              <w:spacing w:after="20" w:line="250" w:lineRule="auto"/>
              <w:jc w:val="both"/>
            </w:pPr>
            <w:r>
              <w:rPr>
                <w:sz w:val="21"/>
              </w:rPr>
              <w:t>Wrong temperature offset</w:t>
            </w:r>
          </w:p>
        </w:tc>
        <w:tc>
          <w:tcPr>
            <w:tcW w:w="3197" w:type="dxa"/>
            <w:shd w:val="clear" w:color="auto" w:fill="F6F6F6"/>
            <w:tcMar>
              <w:top w:w="90" w:type="dxa"/>
              <w:left w:w="110" w:type="dxa"/>
              <w:bottom w:w="90" w:type="dxa"/>
              <w:right w:w="110" w:type="dxa"/>
            </w:tcMar>
            <w:vAlign w:val="center"/>
          </w:tcPr>
          <w:p w14:paraId="6703BB39" w14:textId="77777777" w:rsidR="0012657B" w:rsidRDefault="00000000" w:rsidP="00B04090">
            <w:pPr>
              <w:keepLines/>
              <w:spacing w:after="20" w:line="250" w:lineRule="auto"/>
              <w:jc w:val="both"/>
            </w:pPr>
            <w:r>
              <w:rPr>
                <w:sz w:val="21"/>
              </w:rPr>
              <w:t>0.15 K residual</w:t>
            </w:r>
          </w:p>
        </w:tc>
        <w:tc>
          <w:tcPr>
            <w:tcW w:w="2750" w:type="dxa"/>
            <w:shd w:val="clear" w:color="auto" w:fill="F6F6F6"/>
            <w:tcMar>
              <w:top w:w="90" w:type="dxa"/>
              <w:left w:w="110" w:type="dxa"/>
              <w:bottom w:w="90" w:type="dxa"/>
              <w:right w:w="110" w:type="dxa"/>
            </w:tcMar>
            <w:vAlign w:val="center"/>
          </w:tcPr>
          <w:p w14:paraId="1532653B" w14:textId="77777777" w:rsidR="0012657B" w:rsidRDefault="00000000" w:rsidP="00B04090">
            <w:pPr>
              <w:keepLines/>
              <w:spacing w:after="20" w:line="250" w:lineRule="auto"/>
              <w:jc w:val="both"/>
            </w:pPr>
            <w:r>
              <w:rPr>
                <w:sz w:val="21"/>
              </w:rPr>
              <w:t>0.15 K</w:t>
            </w:r>
          </w:p>
        </w:tc>
      </w:tr>
      <w:tr w:rsidR="0012657B" w14:paraId="05BBCB8A" w14:textId="77777777">
        <w:trPr>
          <w:cantSplit/>
          <w:jc w:val="center"/>
        </w:trPr>
        <w:tc>
          <w:tcPr>
            <w:tcW w:w="3816" w:type="dxa"/>
            <w:shd w:val="clear" w:color="auto" w:fill="FFFFFF"/>
            <w:tcMar>
              <w:top w:w="90" w:type="dxa"/>
              <w:left w:w="110" w:type="dxa"/>
              <w:bottom w:w="90" w:type="dxa"/>
              <w:right w:w="110" w:type="dxa"/>
            </w:tcMar>
            <w:vAlign w:val="center"/>
          </w:tcPr>
          <w:p w14:paraId="5C641FFE" w14:textId="77777777" w:rsidR="0012657B" w:rsidRDefault="00000000" w:rsidP="00B04090">
            <w:pPr>
              <w:keepLines/>
              <w:spacing w:after="20" w:line="250" w:lineRule="auto"/>
              <w:jc w:val="both"/>
            </w:pPr>
            <w:r>
              <w:rPr>
                <w:sz w:val="21"/>
              </w:rPr>
              <w:t>Filled annulus</w:t>
            </w:r>
          </w:p>
        </w:tc>
        <w:tc>
          <w:tcPr>
            <w:tcW w:w="3197" w:type="dxa"/>
            <w:shd w:val="clear" w:color="auto" w:fill="FFFFFF"/>
            <w:tcMar>
              <w:top w:w="90" w:type="dxa"/>
              <w:left w:w="110" w:type="dxa"/>
              <w:bottom w:w="90" w:type="dxa"/>
              <w:right w:w="110" w:type="dxa"/>
            </w:tcMar>
            <w:vAlign w:val="center"/>
          </w:tcPr>
          <w:p w14:paraId="082C2D31" w14:textId="77777777" w:rsidR="0012657B" w:rsidRDefault="00000000" w:rsidP="00B04090">
            <w:pPr>
              <w:keepLines/>
              <w:spacing w:after="20" w:line="250" w:lineRule="auto"/>
              <w:jc w:val="both"/>
            </w:pPr>
            <w:r>
              <w:rPr>
                <w:sz w:val="21"/>
              </w:rPr>
              <w:t>Zero local action with nonzero global transport</w:t>
            </w:r>
          </w:p>
        </w:tc>
        <w:tc>
          <w:tcPr>
            <w:tcW w:w="2750" w:type="dxa"/>
            <w:shd w:val="clear" w:color="auto" w:fill="FFFFFF"/>
            <w:tcMar>
              <w:top w:w="90" w:type="dxa"/>
              <w:left w:w="110" w:type="dxa"/>
              <w:bottom w:w="90" w:type="dxa"/>
              <w:right w:w="110" w:type="dxa"/>
            </w:tcMar>
            <w:vAlign w:val="center"/>
          </w:tcPr>
          <w:p w14:paraId="21CE6314" w14:textId="77777777" w:rsidR="0012657B" w:rsidRDefault="00000000" w:rsidP="00B04090">
            <w:pPr>
              <w:keepLines/>
              <w:spacing w:after="20" w:line="250" w:lineRule="auto"/>
              <w:jc w:val="both"/>
            </w:pPr>
            <w:r>
              <w:rPr>
                <w:sz w:val="21"/>
              </w:rPr>
              <w:t>0 local action and 0.9 rad</w:t>
            </w:r>
          </w:p>
        </w:tc>
      </w:tr>
      <w:tr w:rsidR="0012657B" w14:paraId="63F0C03C" w14:textId="77777777">
        <w:trPr>
          <w:cantSplit/>
          <w:jc w:val="center"/>
        </w:trPr>
        <w:tc>
          <w:tcPr>
            <w:tcW w:w="3816" w:type="dxa"/>
            <w:shd w:val="clear" w:color="auto" w:fill="F6F6F6"/>
            <w:tcMar>
              <w:top w:w="90" w:type="dxa"/>
              <w:left w:w="110" w:type="dxa"/>
              <w:bottom w:w="90" w:type="dxa"/>
              <w:right w:w="110" w:type="dxa"/>
            </w:tcMar>
            <w:vAlign w:val="center"/>
          </w:tcPr>
          <w:p w14:paraId="107C155F" w14:textId="77777777" w:rsidR="0012657B" w:rsidRDefault="00000000" w:rsidP="00B04090">
            <w:pPr>
              <w:keepLines/>
              <w:spacing w:after="20" w:line="250" w:lineRule="auto"/>
              <w:jc w:val="both"/>
            </w:pPr>
            <w:r>
              <w:rPr>
                <w:sz w:val="21"/>
              </w:rPr>
              <w:lastRenderedPageBreak/>
              <w:t>Cesaro round trip projection</w:t>
            </w:r>
          </w:p>
        </w:tc>
        <w:tc>
          <w:tcPr>
            <w:tcW w:w="3197" w:type="dxa"/>
            <w:shd w:val="clear" w:color="auto" w:fill="F6F6F6"/>
            <w:tcMar>
              <w:top w:w="90" w:type="dxa"/>
              <w:left w:w="110" w:type="dxa"/>
              <w:bottom w:w="90" w:type="dxa"/>
              <w:right w:w="110" w:type="dxa"/>
            </w:tcMar>
            <w:vAlign w:val="center"/>
          </w:tcPr>
          <w:p w14:paraId="034CA5BF" w14:textId="77777777" w:rsidR="0012657B" w:rsidRDefault="00000000" w:rsidP="00B04090">
            <w:pPr>
              <w:keepLines/>
              <w:spacing w:after="20" w:line="250" w:lineRule="auto"/>
              <w:jc w:val="both"/>
            </w:pPr>
            <w:r>
              <w:rPr>
                <w:sz w:val="21"/>
              </w:rPr>
              <w:t>Convergence to the fixed space</w:t>
            </w:r>
          </w:p>
        </w:tc>
        <w:tc>
          <w:tcPr>
            <w:tcW w:w="2750" w:type="dxa"/>
            <w:shd w:val="clear" w:color="auto" w:fill="F6F6F6"/>
            <w:tcMar>
              <w:top w:w="90" w:type="dxa"/>
              <w:left w:w="110" w:type="dxa"/>
              <w:bottom w:w="90" w:type="dxa"/>
              <w:right w:w="110" w:type="dxa"/>
            </w:tcMar>
            <w:vAlign w:val="center"/>
          </w:tcPr>
          <w:p w14:paraId="2E7F47C3" w14:textId="77777777" w:rsidR="0012657B" w:rsidRDefault="00000000" w:rsidP="00B04090">
            <w:pPr>
              <w:keepLines/>
              <w:spacing w:after="20" w:line="250" w:lineRule="auto"/>
              <w:jc w:val="both"/>
            </w:pPr>
            <w:r>
              <w:rPr>
                <w:sz w:val="21"/>
              </w:rPr>
              <w:t>Error approximately 0.00010 at 20000 steps</w:t>
            </w:r>
          </w:p>
        </w:tc>
      </w:tr>
    </w:tbl>
    <w:p w14:paraId="260B97B6" w14:textId="77777777" w:rsidR="0012657B" w:rsidRDefault="00000000" w:rsidP="00B04090">
      <w:pPr>
        <w:pStyle w:val="BodyText"/>
        <w:spacing w:before="160"/>
        <w:jc w:val="both"/>
      </w:pPr>
      <w:r>
        <w:t>The quartic oscillator uses unit base frequency, quartic potential coefficient 0.01, and initial amplitude 0.5. The pendulum uses unit small angle frequency and amplitude 0.2 radians. The rotation slope tests use per step angle 0.001 radians and lengths from 1 to 128. The Cesaro example is a seven dimensional linear endomorphism with a two dimensional fixed space, one rotating pair, one nilpotent pair, and one contracting direction. The projection error is measured in operator norm.</w:t>
      </w:r>
    </w:p>
    <w:p w14:paraId="25C7F9C2" w14:textId="77777777" w:rsidR="0012657B" w:rsidRDefault="00000000" w:rsidP="00B04090">
      <w:pPr>
        <w:pStyle w:val="BodyText"/>
        <w:jc w:val="both"/>
      </w:pPr>
      <w:r>
        <w:t xml:space="preserve">Four additional construction checks were executed for the version of 5 October 2026. They verify the zero fixed space with a preserved quadratic norm, the distinction between noncommuting permutations, invariance of power under several coordinate exchanges, and the existence of a globally coherent but independently misanchored set of translations. All four passed, and they passed again for the present revision. Appendix A gives the complete small program for these checks. A further 29 checks, listed in Appendix C, cover the backbone and genome results of Section 9. None of these checks trains a category level learner.</w:t>
      </w:r>
    </w:p>
    <w:p w14:paraId="03C55CC0" w14:textId="77777777" w:rsidR="0012657B" w:rsidRDefault="00000000" w:rsidP="00B04090">
      <w:pPr>
        <w:pStyle w:val="Heading1"/>
        <w:jc w:val="both"/>
      </w:pPr>
      <w:bookmarkStart w:id="38" w:name="limitations-and-conclusion"/>
      <w:bookmarkEnd w:id="37"/>
      <w:r>
        <w:t>13 Limitations and conclusion</w:t>
      </w:r>
    </w:p>
    <w:p w14:paraId="4583D9FD" w14:textId="77777777" w:rsidR="0012657B" w:rsidRDefault="00000000" w:rsidP="00B04090">
      <w:pPr>
        <w:pStyle w:val="FirstParagraph"/>
        <w:jc w:val="both"/>
      </w:pPr>
      <w:r>
        <w:t>The proposed carrier depends on a declared vocabulary of structures, morphisms, observations, and admissible repairs. These choices constrain the abstraction that can be found. A theory may be economical and correct for the checked domains while failing on an unexamined intervention. Independent evidence reduces coordinated error but cannot remove all shared bias. Approximate map defects require length and scope controls, and the cost of checking may dominate learning.</w:t>
      </w:r>
    </w:p>
    <w:p w14:paraId="6E4E8723" w14:textId="77777777" w:rsidR="0012657B" w:rsidRDefault="00000000" w:rsidP="00B04090">
      <w:pPr>
        <w:pStyle w:val="BodyText"/>
        <w:jc w:val="both"/>
      </w:pPr>
      <w:r>
        <w:t>The formal graph results assume exact invertible linear maps where stated. The general architecture also permits lossy and approximate translations, for which those theorems do not apply unchanged. Natural transformations, universality, and reflectivity are stronger claims than numerical alignment and require their own witnesses. We have not established a universal convergence theorem, a finite complete coherence test for arbitrary programs, or a biological implementation of the proposed mechanism.</w:t>
      </w:r>
    </w:p>
    <w:p>
      <w:pPr>
        <w:pStyle w:val="BodyText"/>
        <w:jc w:val="both"/>
      </w:pPr>
      <w:r>
        <w:t xml:space="preserve">For the learning machinery, no existing backbone suffices alone. A synchronization or sheaf core makes transports and compatible states explicit, aligned Diffusion Evolution searches among rival candidates, a program model proposes structure, and an independent verifier commits results. The numerical genome should make each protected law the arithmetic of the search, so that recombination cannot break it, and every built in law must still win against a rival that omits it.</w:t>
      </w:r>
    </w:p>
    <w:p w14:paraId="55A34DD0" w14:textId="77777777" w:rsidR="0012657B" w:rsidRDefault="00000000" w:rsidP="00B04090">
      <w:pPr>
        <w:pStyle w:val="BodyText"/>
        <w:jc w:val="both"/>
      </w:pPr>
      <w:r>
        <w:t>The four rung ladder is a hypothesis about explicit training targets. Its fourth rung becomes testable when a learner must produce and use relationships between structures, retain observables that those relationships preserve, and declare the limits of inheritance. GHO organizes the search and revision of these candidate theories. The next empirical question is whether this organization improves independently verified transfer under equal data and compute budgets. The experimental programme in Section 11 states how that claim can fail.</w:t>
      </w:r>
    </w:p>
    <w:p w14:paraId="74ED0764" w14:textId="77777777" w:rsidR="0012657B" w:rsidRDefault="00000000" w:rsidP="00B04090">
      <w:pPr>
        <w:pStyle w:val="Heading1"/>
        <w:pageBreakBefore/>
        <w:jc w:val="both"/>
      </w:pPr>
      <w:bookmarkStart w:id="39" w:name="appendix-a-four-additional-checks"/>
      <w:bookmarkEnd w:id="38"/>
      <w:r>
        <w:lastRenderedPageBreak/>
        <w:t>Appendix A Four additional checks</w:t>
      </w:r>
    </w:p>
    <w:p w14:paraId="44417792" w14:textId="77777777" w:rsidR="0012657B" w:rsidRDefault="00000000" w:rsidP="00B04090">
      <w:pPr>
        <w:pStyle w:val="FirstParagraph"/>
        <w:jc w:val="both"/>
      </w:pPr>
      <w:r>
        <w:t>The following NumPy program tests explicit constructions. It reports four successful construction checks. It is a mathematical verification program, not a training experiment. Matrix composition acts on column vectors from right to left.</w:t>
      </w:r>
    </w:p>
    <w:p w14:paraId="1E94F9C7" w14:textId="77777777" w:rsidR="0012657B" w:rsidRDefault="00000000" w:rsidP="00B04090">
      <w:pPr>
        <w:pStyle w:val="SourceCode"/>
        <w:spacing w:after="0" w:line="240" w:lineRule="auto"/>
      </w:pPr>
      <w:r>
        <w:rPr>
          <w:rStyle w:val="ImportTok"/>
          <w:rFonts w:ascii="DejaVu Sans Mono" w:hAnsi="DejaVu Sans Mono"/>
          <w:sz w:val="18"/>
        </w:rPr>
        <w:t>import</w:t>
      </w:r>
      <w:r>
        <w:rPr>
          <w:rStyle w:val="NormalTok"/>
          <w:rFonts w:ascii="DejaVu Sans Mono" w:hAnsi="DejaVu Sans Mono"/>
          <w:sz w:val="18"/>
        </w:rPr>
        <w:t xml:space="preserve"> numpy </w:t>
      </w:r>
      <w:r>
        <w:rPr>
          <w:rStyle w:val="ImportTok"/>
          <w:rFonts w:ascii="DejaVu Sans Mono" w:hAnsi="DejaVu Sans Mono"/>
          <w:sz w:val="18"/>
        </w:rPr>
        <w:t>as</w:t>
      </w:r>
      <w:r>
        <w:rPr>
          <w:rStyle w:val="NormalTok"/>
          <w:rFonts w:ascii="DejaVu Sans Mono" w:hAnsi="DejaVu Sans Mono"/>
          <w:sz w:val="18"/>
        </w:rPr>
        <w:t xml:space="preserve"> np</w:t>
      </w:r>
      <w:r>
        <w:rPr>
          <w:rFonts w:ascii="DejaVu Sans Mono" w:hAnsi="DejaVu Sans Mono"/>
          <w:sz w:val="18"/>
        </w:rPr>
        <w:br/>
        <w:br/>
      </w:r>
      <w:r>
        <w:rPr>
          <w:rStyle w:val="CommentTok"/>
          <w:rFonts w:ascii="DejaVu Sans Mono" w:hAnsi="DejaVu Sans Mono"/>
          <w:sz w:val="18"/>
        </w:rPr>
        <w:t># No nonzero fixed state, but a preserved norm.</w:t>
      </w:r>
      <w:r>
        <w:rPr>
          <w:rFonts w:ascii="DejaVu Sans Mono" w:hAnsi="DejaVu Sans Mono"/>
          <w:sz w:val="18"/>
        </w:rPr>
        <w:br/>
      </w:r>
      <w:r>
        <w:rPr>
          <w:rStyle w:val="NormalTok"/>
          <w:rFonts w:ascii="DejaVu Sans Mono" w:hAnsi="DejaVu Sans Mono"/>
          <w:sz w:val="18"/>
        </w:rPr>
        <w:t xml:space="preserve">R </w:t>
      </w:r>
      <w:r>
        <w:rPr>
          <w:rStyle w:val="OperatorTok"/>
          <w:rFonts w:ascii="DejaVu Sans Mono" w:hAnsi="DejaVu Sans Mono"/>
          <w:sz w:val="18"/>
        </w:rPr>
        <w:t>=</w:t>
      </w:r>
      <w:r>
        <w:rPr>
          <w:rStyle w:val="NormalTok"/>
          <w:rFonts w:ascii="DejaVu Sans Mono" w:hAnsi="DejaVu Sans Mono"/>
          <w:sz w:val="18"/>
        </w:rPr>
        <w:t xml:space="preserve"> np.array([[</w:t>
      </w:r>
      <w:r>
        <w:rPr>
          <w:rStyle w:val="FloatTok"/>
          <w:rFonts w:ascii="DejaVu Sans Mono" w:hAnsi="DejaVu Sans Mono"/>
          <w:sz w:val="18"/>
        </w:rPr>
        <w:t>0.</w:t>
      </w:r>
      <w:r>
        <w:rPr>
          <w:rStyle w:val="NormalTok"/>
          <w:rFonts w:ascii="DejaVu Sans Mono" w:hAnsi="DejaVu Sans Mono"/>
          <w:sz w:val="18"/>
        </w:rPr>
        <w:t xml:space="preserve">, </w:t>
      </w:r>
      <w:r>
        <w:rPr>
          <w:rStyle w:val="OperatorTok"/>
          <w:rFonts w:ascii="DejaVu Sans Mono" w:hAnsi="DejaVu Sans Mono"/>
          <w:sz w:val="18"/>
        </w:rPr>
        <w:t>-</w:t>
      </w:r>
      <w:r>
        <w:rPr>
          <w:rStyle w:val="FloatTok"/>
          <w:rFonts w:ascii="DejaVu Sans Mono" w:hAnsi="DejaVu Sans Mono"/>
          <w:sz w:val="18"/>
        </w:rPr>
        <w:t>1.</w:t>
      </w:r>
      <w:r>
        <w:rPr>
          <w:rStyle w:val="NormalTok"/>
          <w:rFonts w:ascii="DejaVu Sans Mono" w:hAnsi="DejaVu Sans Mono"/>
          <w:sz w:val="18"/>
        </w:rPr>
        <w:t>], [</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np.linalg.matrix_rank(R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2</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w:t>
      </w:r>
      <w:r>
        <w:rPr>
          <w:rStyle w:val="DecValTok"/>
          <w:rFonts w:ascii="DejaVu Sans Mono" w:hAnsi="DejaVu Sans Mono"/>
          <w:sz w:val="18"/>
        </w:rPr>
        <w:t>2</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np.allclose(R.T </w:t>
      </w:r>
      <w:r>
        <w:rPr>
          <w:rStyle w:val="OperatorTok"/>
          <w:rFonts w:ascii="DejaVu Sans Mono" w:hAnsi="DejaVu Sans Mono"/>
          <w:sz w:val="18"/>
        </w:rPr>
        <w:t>@</w:t>
      </w:r>
      <w:r>
        <w:rPr>
          <w:rStyle w:val="NormalTok"/>
          <w:rFonts w:ascii="DejaVu Sans Mono" w:hAnsi="DejaVu Sans Mono"/>
          <w:sz w:val="18"/>
        </w:rPr>
        <w:t xml:space="preserve"> R, np.eye(</w:t>
      </w:r>
      <w:r>
        <w:rPr>
          <w:rStyle w:val="DecValTok"/>
          <w:rFonts w:ascii="DejaVu Sans Mono" w:hAnsi="DejaVu Sans Mono"/>
          <w:sz w:val="18"/>
        </w:rPr>
        <w:t>2</w:t>
      </w:r>
      <w:r>
        <w:rPr>
          <w:rStyle w:val="NormalTok"/>
          <w:rFonts w:ascii="DejaVu Sans Mono" w:hAnsi="DejaVu Sans Mono"/>
          <w:sz w:val="18"/>
        </w:rPr>
        <w:t>))</w:t>
      </w:r>
      <w:r>
        <w:rPr>
          <w:rFonts w:ascii="DejaVu Sans Mono" w:hAnsi="DejaVu Sans Mono"/>
          <w:sz w:val="18"/>
        </w:rPr>
        <w:br/>
        <w:br/>
      </w:r>
      <w:r>
        <w:rPr>
          <w:rStyle w:val="CommentTok"/>
          <w:rFonts w:ascii="DejaVu Sans Mono" w:hAnsi="DejaVu Sans Mono"/>
          <w:sz w:val="18"/>
        </w:rPr>
        <w:t># Adjacent transpositions have different orders of action.</w:t>
      </w:r>
      <w:r>
        <w:rPr>
          <w:rFonts w:ascii="DejaVu Sans Mono" w:hAnsi="DejaVu Sans Mono"/>
          <w:sz w:val="18"/>
        </w:rPr>
        <w:br/>
      </w:r>
      <w:r>
        <w:rPr>
          <w:rStyle w:val="NormalTok"/>
          <w:rFonts w:ascii="DejaVu Sans Mono" w:hAnsi="DejaVu Sans Mono"/>
          <w:sz w:val="18"/>
        </w:rPr>
        <w:t xml:space="preserve">A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w:t>
      </w:r>
      <w:r>
        <w:rPr>
          <w:rStyle w:val="DecValTok"/>
          <w:rFonts w:ascii="DejaVu Sans Mono" w:hAnsi="DejaVu Sans Mono"/>
          <w:sz w:val="18"/>
        </w:rPr>
        <w:t>1</w:t>
      </w:r>
      <w:r>
        <w:rPr>
          <w:rStyle w:val="NormalTok"/>
          <w:rFonts w:ascii="DejaVu Sans Mono" w:hAnsi="DejaVu Sans Mono"/>
          <w:sz w:val="18"/>
        </w:rPr>
        <w:t xml:space="preserve">, </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B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w:t>
      </w:r>
      <w:r>
        <w:rPr>
          <w:rStyle w:val="KeywordTok"/>
          <w:rFonts w:ascii="DejaVu Sans Mono" w:hAnsi="DejaVu Sans Mono"/>
          <w:sz w:val="18"/>
        </w:rPr>
        <w:t>not</w:t>
      </w:r>
      <w:r>
        <w:rPr>
          <w:rStyle w:val="NormalTok"/>
          <w:rFonts w:ascii="DejaVu Sans Mono" w:hAnsi="DejaVu Sans Mono"/>
          <w:sz w:val="18"/>
        </w:rPr>
        <w:t xml:space="preserve"> np.allclose(A </w:t>
      </w:r>
      <w:r>
        <w:rPr>
          <w:rStyle w:val="OperatorTok"/>
          <w:rFonts w:ascii="DejaVu Sans Mono" w:hAnsi="DejaVu Sans Mono"/>
          <w:sz w:val="18"/>
        </w:rPr>
        <w:t>@</w:t>
      </w:r>
      <w:r>
        <w:rPr>
          <w:rStyle w:val="NormalTok"/>
          <w:rFonts w:ascii="DejaVu Sans Mono" w:hAnsi="DejaVu Sans Mono"/>
          <w:sz w:val="18"/>
        </w:rPr>
        <w:t xml:space="preserve"> B, B </w:t>
      </w:r>
      <w:r>
        <w:rPr>
          <w:rStyle w:val="OperatorTok"/>
          <w:rFonts w:ascii="DejaVu Sans Mono" w:hAnsi="DejaVu Sans Mono"/>
          <w:sz w:val="18"/>
        </w:rPr>
        <w:t>@</w:t>
      </w:r>
      <w:r>
        <w:rPr>
          <w:rStyle w:val="NormalTok"/>
          <w:rFonts w:ascii="DejaVu Sans Mono" w:hAnsi="DejaVu Sans Mono"/>
          <w:sz w:val="18"/>
        </w:rPr>
        <w:t xml:space="preserve"> A)</w:t>
      </w:r>
      <w:r>
        <w:rPr>
          <w:rFonts w:ascii="DejaVu Sans Mono" w:hAnsi="DejaVu Sans Mono"/>
          <w:sz w:val="18"/>
        </w:rPr>
        <w:br/>
        <w:br/>
      </w:r>
      <w:r>
        <w:rPr>
          <w:rStyle w:val="CommentTok"/>
          <w:rFonts w:ascii="DejaVu Sans Mono" w:hAnsi="DejaVu Sans Mono"/>
          <w:sz w:val="18"/>
        </w:rPr>
        <w:t># A coordinate exchange preserves the power observable.</w:t>
      </w:r>
      <w:r>
        <w:rPr>
          <w:rFonts w:ascii="DejaVu Sans Mono" w:hAnsi="DejaVu Sans Mono"/>
          <w:sz w:val="18"/>
        </w:rPr>
        <w:br/>
      </w:r>
      <w:r>
        <w:rPr>
          <w:rStyle w:val="ControlFlowTok"/>
          <w:rFonts w:ascii="DejaVu Sans Mono" w:hAnsi="DejaVu Sans Mono"/>
          <w:sz w:val="18"/>
        </w:rPr>
        <w:t>for</w:t>
      </w:r>
      <w:r>
        <w:rPr>
          <w:rStyle w:val="NormalTok"/>
          <w:rFonts w:ascii="DejaVu Sans Mono" w:hAnsi="DejaVu Sans Mono"/>
          <w:sz w:val="18"/>
        </w:rPr>
        <w:t xml:space="preserve"> r </w:t>
      </w:r>
      <w:r>
        <w:rPr>
          <w:rStyle w:val="KeywordTok"/>
          <w:rFonts w:ascii="DejaVu Sans Mono" w:hAnsi="DejaVu Sans Mono"/>
          <w:sz w:val="18"/>
        </w:rPr>
        <w:t>in</w:t>
      </w:r>
      <w:r>
        <w:rPr>
          <w:rStyle w:val="NormalTok"/>
          <w:rFonts w:ascii="DejaVu Sans Mono" w:hAnsi="DejaVu Sans Mono"/>
          <w:sz w:val="18"/>
        </w:rPr>
        <w:t xml:space="preserve"> [</w:t>
      </w:r>
      <w:r>
        <w:rPr>
          <w:rStyle w:val="FloatTok"/>
          <w:rFonts w:ascii="DejaVu Sans Mono" w:hAnsi="DejaVu Sans Mono"/>
          <w:sz w:val="18"/>
        </w:rPr>
        <w:t>0.25</w:t>
      </w:r>
      <w:r>
        <w:rPr>
          <w:rStyle w:val="NormalTok"/>
          <w:rFonts w:ascii="DejaVu Sans Mono" w:hAnsi="DejaVu Sans Mono"/>
          <w:sz w:val="18"/>
        </w:rPr>
        <w:t xml:space="preserve">, </w:t>
      </w:r>
      <w:r>
        <w:rPr>
          <w:rStyle w:val="FloatTok"/>
          <w:rFonts w:ascii="DejaVu Sans Mono" w:hAnsi="DejaVu Sans Mono"/>
          <w:sz w:val="18"/>
        </w:rPr>
        <w:t>0.5</w:t>
      </w:r>
      <w:r>
        <w:rPr>
          <w:rStyle w:val="NormalTok"/>
          <w:rFonts w:ascii="DejaVu Sans Mono" w:hAnsi="DejaVu Sans Mono"/>
          <w:sz w:val="18"/>
        </w:rPr>
        <w:t xml:space="preserve">, </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2.</w:t>
      </w:r>
      <w:r>
        <w:rPr>
          <w:rStyle w:val="NormalTok"/>
          <w:rFonts w:ascii="DejaVu Sans Mono" w:hAnsi="DejaVu Sans Mono"/>
          <w:sz w:val="18"/>
        </w:rPr>
        <w:t xml:space="preserve">, </w:t>
      </w:r>
      <w:r>
        <w:rPr>
          <w:rStyle w:val="FloatTok"/>
          <w:rFonts w:ascii="DejaVu Sans Mono" w:hAnsi="DejaVu Sans Mono"/>
          <w:sz w:val="18"/>
        </w:rPr>
        <w:t>4.</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    e, f </w:t>
      </w:r>
      <w:r>
        <w:rPr>
          <w:rStyle w:val="OperatorTok"/>
          <w:rFonts w:ascii="DejaVu Sans Mono" w:hAnsi="DejaVu Sans Mono"/>
          <w:sz w:val="18"/>
        </w:rPr>
        <w:t>=</w:t>
      </w:r>
      <w:r>
        <w:rPr>
          <w:rStyle w:val="NormalTok"/>
          <w:rFonts w:ascii="DejaVu Sans Mono" w:hAnsi="DejaVu Sans Mono"/>
          <w:sz w:val="18"/>
        </w:rPr>
        <w:t xml:space="preserve"> </w:t>
      </w:r>
      <w:r>
        <w:rPr>
          <w:rStyle w:val="FloatTok"/>
          <w:rFonts w:ascii="DejaVu Sans Mono" w:hAnsi="DejaVu Sans Mono"/>
          <w:sz w:val="18"/>
        </w:rPr>
        <w:t>2.</w:t>
      </w:r>
      <w:r>
        <w:rPr>
          <w:rStyle w:val="NormalTok"/>
          <w:rFonts w:ascii="DejaVu Sans Mono" w:hAnsi="DejaVu Sans Mono"/>
          <w:sz w:val="18"/>
        </w:rPr>
        <w:t xml:space="preserve">, </w:t>
      </w:r>
      <w:r>
        <w:rPr>
          <w:rStyle w:val="FloatTok"/>
          <w:rFonts w:ascii="DejaVu Sans Mono" w:hAnsi="DejaVu Sans Mono"/>
          <w:sz w:val="18"/>
        </w:rPr>
        <w:t>3.</w:t>
      </w:r>
      <w:r>
        <w:rPr>
          <w:rFonts w:ascii="DejaVu Sans Mono" w:hAnsi="DejaVu Sans Mono"/>
          <w:sz w:val="18"/>
        </w:rPr>
        <w:br/>
      </w:r>
      <w:r>
        <w:rPr>
          <w:rStyle w:val="NormalTok"/>
          <w:rFonts w:ascii="DejaVu Sans Mono" w:hAnsi="DejaVu Sans Mono"/>
          <w:sz w:val="18"/>
        </w:rPr>
        <w:t xml:space="preserve">    </w:t>
      </w:r>
      <w:r>
        <w:rPr>
          <w:rStyle w:val="ControlFlowTok"/>
          <w:rFonts w:ascii="DejaVu Sans Mono" w:hAnsi="DejaVu Sans Mono"/>
          <w:sz w:val="18"/>
        </w:rPr>
        <w:t>assert</w:t>
      </w:r>
      <w:r>
        <w:rPr>
          <w:rStyle w:val="NormalTok"/>
          <w:rFonts w:ascii="DejaVu Sans Mono" w:hAnsi="DejaVu Sans Mono"/>
          <w:sz w:val="18"/>
        </w:rPr>
        <w:t xml:space="preserve"> np.isclose((r </w:t>
      </w:r>
      <w:r>
        <w:rPr>
          <w:rStyle w:val="OperatorTok"/>
          <w:rFonts w:ascii="DejaVu Sans Mono" w:hAnsi="DejaVu Sans Mono"/>
          <w:sz w:val="18"/>
        </w:rPr>
        <w:t>*</w:t>
      </w:r>
      <w:r>
        <w:rPr>
          <w:rStyle w:val="NormalTok"/>
          <w:rFonts w:ascii="DejaVu Sans Mono" w:hAnsi="DejaVu Sans Mono"/>
          <w:sz w:val="18"/>
        </w:rPr>
        <w:t xml:space="preserve"> f) </w:t>
      </w:r>
      <w:r>
        <w:rPr>
          <w:rStyle w:val="OperatorTok"/>
          <w:rFonts w:ascii="DejaVu Sans Mono" w:hAnsi="DejaVu Sans Mono"/>
          <w:sz w:val="18"/>
        </w:rPr>
        <w:t>*</w:t>
      </w:r>
      <w:r>
        <w:rPr>
          <w:rStyle w:val="NormalTok"/>
          <w:rFonts w:ascii="DejaVu Sans Mono" w:hAnsi="DejaVu Sans Mono"/>
          <w:sz w:val="18"/>
        </w:rPr>
        <w:t xml:space="preserve"> (e </w:t>
      </w:r>
      <w:r>
        <w:rPr>
          <w:rStyle w:val="OperatorTok"/>
          <w:rFonts w:ascii="DejaVu Sans Mono" w:hAnsi="DejaVu Sans Mono"/>
          <w:sz w:val="18"/>
        </w:rPr>
        <w:t>/</w:t>
      </w:r>
      <w:r>
        <w:rPr>
          <w:rStyle w:val="NormalTok"/>
          <w:rFonts w:ascii="DejaVu Sans Mono" w:hAnsi="DejaVu Sans Mono"/>
          <w:sz w:val="18"/>
        </w:rPr>
        <w:t xml:space="preserve"> r), e </w:t>
      </w:r>
      <w:r>
        <w:rPr>
          <w:rStyle w:val="OperatorTok"/>
          <w:rFonts w:ascii="DejaVu Sans Mono" w:hAnsi="DejaVu Sans Mono"/>
          <w:sz w:val="18"/>
        </w:rPr>
        <w:t>*</w:t>
      </w:r>
      <w:r>
        <w:rPr>
          <w:rStyle w:val="NormalTok"/>
          <w:rFonts w:ascii="DejaVu Sans Mono" w:hAnsi="DejaVu Sans Mono"/>
          <w:sz w:val="18"/>
        </w:rPr>
        <w:t xml:space="preserve"> f)</w:t>
      </w:r>
      <w:r>
        <w:rPr>
          <w:rFonts w:ascii="DejaVu Sans Mono" w:hAnsi="DejaVu Sans Mono"/>
          <w:sz w:val="18"/>
        </w:rPr>
        <w:br/>
        <w:br/>
      </w:r>
      <w:r>
        <w:rPr>
          <w:rStyle w:val="CommentTok"/>
          <w:rFonts w:ascii="DejaVu Sans Mono" w:hAnsi="DejaVu Sans Mono"/>
          <w:sz w:val="18"/>
        </w:rPr>
        <w:t># Coherent maps can violate an independent correspondence.</w:t>
      </w:r>
      <w:r>
        <w:rPr>
          <w:rFonts w:ascii="DejaVu Sans Mono" w:hAnsi="DejaVu Sans Mono"/>
          <w:sz w:val="18"/>
        </w:rPr>
        <w:br/>
      </w:r>
      <w:r>
        <w:rPr>
          <w:rStyle w:val="NormalTok"/>
          <w:rFonts w:ascii="DejaVu Sans Mono" w:hAnsi="DejaVu Sans Mono"/>
          <w:sz w:val="18"/>
        </w:rPr>
        <w:t xml:space="preserve">P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A, B]</w:t>
      </w:r>
      <w:r>
        <w:rPr>
          <w:rFonts w:ascii="DejaVu Sans Mono" w:hAnsi="DejaVu Sans Mono"/>
          <w:sz w:val="18"/>
        </w:rPr>
        <w:br/>
      </w:r>
      <w:r>
        <w:rPr>
          <w:rStyle w:val="NormalTok"/>
          <w:rFonts w:ascii="DejaVu Sans Mono" w:hAnsi="DejaVu Sans Mono"/>
          <w:sz w:val="18"/>
        </w:rPr>
        <w:t xml:space="preserve">F </w:t>
      </w:r>
      <w:r>
        <w:rPr>
          <w:rStyle w:val="OperatorTok"/>
          <w:rFonts w:ascii="DejaVu Sans Mono" w:hAnsi="DejaVu Sans Mono"/>
          <w:sz w:val="18"/>
        </w:rPr>
        <w:t>=</w:t>
      </w:r>
      <w:r>
        <w:rPr>
          <w:rStyle w:val="NormalTok"/>
          <w:rFonts w:ascii="DejaVu Sans Mono" w:hAnsi="DejaVu Sans Mono"/>
          <w:sz w:val="18"/>
        </w:rPr>
        <w:t xml:space="preserve"> </w:t>
      </w:r>
      <w:r>
        <w:rPr>
          <w:rStyle w:val="KeywordTok"/>
          <w:rFonts w:ascii="DejaVu Sans Mono" w:hAnsi="DejaVu Sans Mono"/>
          <w:sz w:val="18"/>
        </w:rPr>
        <w:t>lambda</w:t>
      </w:r>
      <w:r>
        <w:rPr>
          <w:rStyle w:val="NormalTok"/>
          <w:rFonts w:ascii="DejaVu Sans Mono" w:hAnsi="DejaVu Sans Mono"/>
          <w:sz w:val="18"/>
        </w:rPr>
        <w:t xml:space="preserve"> u, v: P[v] </w:t>
      </w:r>
      <w:r>
        <w:rPr>
          <w:rStyle w:val="OperatorTok"/>
          <w:rFonts w:ascii="DejaVu Sans Mono" w:hAnsi="DejaVu Sans Mono"/>
          <w:sz w:val="18"/>
        </w:rPr>
        <w:t>@</w:t>
      </w:r>
      <w:r>
        <w:rPr>
          <w:rStyle w:val="NormalTok"/>
          <w:rFonts w:ascii="DejaVu Sans Mono" w:hAnsi="DejaVu Sans Mono"/>
          <w:sz w:val="18"/>
        </w:rPr>
        <w:t xml:space="preserve"> P[u].T</w:t>
      </w:r>
      <w:r>
        <w:rPr>
          <w:rFonts w:ascii="DejaVu Sans Mono" w:hAnsi="DejaVu Sans Mono"/>
          <w:sz w:val="18"/>
        </w:rPr>
        <w:br/>
      </w:r>
      <w:r>
        <w:rPr>
          <w:rStyle w:val="NormalTok"/>
          <w:rFonts w:ascii="DejaVu Sans Mono" w:hAnsi="DejaVu Sans Mono"/>
          <w:sz w:val="18"/>
        </w:rPr>
        <w:t xml:space="preserve">loop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2</w:t>
      </w:r>
      <w:r>
        <w:rPr>
          <w:rStyle w:val="NormalTok"/>
          <w:rFonts w:ascii="DejaVu Sans Mono" w:hAnsi="DejaVu Sans Mono"/>
          <w:sz w:val="18"/>
        </w:rPr>
        <w:t xml:space="preserve">, </w:t>
      </w:r>
      <w:r>
        <w:rPr>
          <w:rStyle w:val="DecValTok"/>
          <w:rFonts w:ascii="DejaVu Sans Mono" w:hAnsi="DejaVu Sans Mono"/>
          <w:sz w:val="18"/>
        </w:rPr>
        <w:t>0</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1</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np.allclose(loop, np.eye(</w:t>
      </w:r>
      <w:r>
        <w:rPr>
          <w:rStyle w:val="DecValTok"/>
          <w:rFonts w:ascii="DejaVu Sans Mono" w:hAnsi="DejaVu Sans Mono"/>
          <w:sz w:val="18"/>
        </w:rPr>
        <w:t>3</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x </w:t>
      </w:r>
      <w:r>
        <w:rPr>
          <w:rStyle w:val="OperatorTok"/>
          <w:rFonts w:ascii="DejaVu Sans Mono" w:hAnsi="DejaVu Sans Mono"/>
          <w:sz w:val="18"/>
        </w:rPr>
        <w:t>=</w:t>
      </w:r>
      <w:r>
        <w:rPr>
          <w:rStyle w:val="NormalTok"/>
          <w:rFonts w:ascii="DejaVu Sans Mono" w:hAnsi="DejaVu Sans Mono"/>
          <w:sz w:val="18"/>
        </w:rPr>
        <w:t xml:space="preserve"> np.array([</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w:t>
      </w:r>
      <w:r>
        <w:rPr>
          <w:rStyle w:val="KeywordTok"/>
          <w:rFonts w:ascii="DejaVu Sans Mono" w:hAnsi="DejaVu Sans Mono"/>
          <w:sz w:val="18"/>
        </w:rPr>
        <w:t>not</w:t>
      </w:r>
      <w:r>
        <w:rPr>
          <w:rStyle w:val="NormalTok"/>
          <w:rFonts w:ascii="DejaVu Sans Mono" w:hAnsi="DejaVu Sans Mono"/>
          <w:sz w:val="18"/>
        </w:rPr>
        <w:t xml:space="preserve"> np.allclose(F(</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x, x)</w:t>
      </w:r>
      <w:r>
        <w:rPr>
          <w:rFonts w:ascii="DejaVu Sans Mono" w:hAnsi="DejaVu Sans Mono"/>
          <w:sz w:val="18"/>
        </w:rPr>
        <w:br/>
      </w:r>
      <w:r>
        <w:rPr>
          <w:rStyle w:val="BuiltInTok"/>
          <w:rFonts w:ascii="DejaVu Sans Mono" w:hAnsi="DejaVu Sans Mono"/>
          <w:sz w:val="18"/>
        </w:rPr>
        <w:t>print</w:t>
      </w:r>
      <w:r>
        <w:rPr>
          <w:rStyle w:val="NormalTok"/>
          <w:rFonts w:ascii="DejaVu Sans Mono" w:hAnsi="DejaVu Sans Mono"/>
          <w:sz w:val="18"/>
        </w:rPr>
        <w:t>(</w:t>
      </w:r>
      <w:r>
        <w:rPr>
          <w:rStyle w:val="StringTok"/>
          <w:rFonts w:ascii="DejaVu Sans Mono" w:hAnsi="DejaVu Sans Mono"/>
          <w:sz w:val="18"/>
        </w:rPr>
        <w:t>"4/4 construction checks passed"</w:t>
      </w:r>
      <w:r>
        <w:rPr>
          <w:rStyle w:val="NormalTok"/>
          <w:rFonts w:ascii="DejaVu Sans Mono" w:hAnsi="DejaVu Sans Mono"/>
          <w:sz w:val="18"/>
        </w:rPr>
        <w:t>)</w:t>
      </w:r>
    </w:p>
    <w:p w14:paraId="543F03AF" w14:textId="77777777" w:rsidR="0012657B" w:rsidRDefault="00000000" w:rsidP="00B04090">
      <w:pPr>
        <w:pStyle w:val="FirstParagraph"/>
        <w:jc w:val="both"/>
      </w:pPr>
      <w:r>
        <w:t>The final assertion assumes an independently known identity correspondence between the domains. The chosen maps preserve their own loop equations while violating that correspondence. This is precisely the information omitted by a consistency only checker.</w:t>
      </w:r>
    </w:p>
    <w:p w14:paraId="107D39DA" w14:textId="77777777" w:rsidR="0012657B" w:rsidRDefault="00000000" w:rsidP="00B04090">
      <w:pPr>
        <w:pStyle w:val="Heading1"/>
        <w:jc w:val="both"/>
      </w:pPr>
      <w:bookmarkStart w:id="40" w:name="X28e36caf0d147e8bcebd555b2cab2adb56ed8ab"/>
      <w:bookmarkEnd w:id="39"/>
      <w:r>
        <w:t>Appendix B Reproducible verification scope</w:t>
      </w:r>
    </w:p>
    <w:p w14:paraId="2F211B8A" w14:textId="77777777" w:rsidR="0012657B" w:rsidRDefault="00000000" w:rsidP="00B04090">
      <w:pPr>
        <w:pStyle w:val="FirstParagraph"/>
        <w:jc w:val="both"/>
      </w:pPr>
      <w:r>
        <w:t>The nineteen executed checks were selected from the supplied script by their NumPy and SciPy dependencies. They comprise two Gibbs and support checks, four oscillator checks, three chain error checks, one collapse check, five compatibility checks, two local and global coherence checks, and two linear round trip checks. Their definitions and numerical constants were retained. The dependency dependent graph, symbolic, group enumeration, and remaining engineering checks were not replaced with invented results. For the present revision the complete script, including those checks, was executed in an environment with all its dependencies, and all 38 checks passed.</w:t>
      </w:r>
    </w:p>
    <w:p w14:paraId="242A5194" w14:textId="77777777" w:rsidR="0012657B" w:rsidRDefault="00000000" w:rsidP="00B04090">
      <w:pPr>
        <w:pStyle w:val="BodyText"/>
        <w:jc w:val="both"/>
      </w:pPr>
      <w:r>
        <w:t>A future supplement should package the complete script, environment versions, output, and training implementation together. It should distinguish theorem proofs, numerical approximation checks, and learned model evaluations. The present Word manuscript contains the additional small verification program in Appendix A and reports the exact boundary of rerun evidence.</w:t>
      </w:r>
    </w:p>
    <w:p>
      <w:pPr>
        <w:pStyle w:val="Heading1"/>
        <w:jc w:val="both"/>
      </w:pPr>
      <w:r>
        <w:t xml:space="preserve">Appendix C Backbone and genome checks</w:t>
      </w:r>
    </w:p>
    <w:p>
      <w:pPr>
        <w:pStyle w:val="FirstParagraph"/>
        <w:jc w:val="both"/>
      </w:pPr>
      <w:r>
        <w:t xml:space="preserve">The program backbone_genome_checks.py reproduces every value cited in Section 9. It uses NumPy, SciPy, and NetworkX, is deterministic, and runs in about one minute. All 29 checks pass. Table 8 groups them; each group corresponds to a labelled check cited in the text.</w:t>
      </w:r>
    </w:p>
    <w:p>
      <w:pPr>
        <w:pStyle w:val="Caption"/>
        <w:keepNext/>
        <w:spacing w:before="100" w:after="140"/>
        <w:jc w:val="both"/>
      </w:pPr>
      <w:r>
        <w:t xml:space="preserve">Table 8 Checks for Section 9</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000"/>
        <w:gridCol w:w="4900"/>
        <w:gridCol w:w="3863"/>
      </w:tblGrid>
      <w:tr>
        <w:trPr>
          <w:cantSplit/>
          <w:tblHeader/>
          <w:jc w:val="center"/>
        </w:trPr>
        <w:tc>
          <w:tcPr>
            <w:tcW w:w="10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Check</w:t>
            </w:r>
          </w:p>
        </w:tc>
        <w:tc>
          <w:tcPr>
            <w:tcW w:w="4900"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Content</w:t>
            </w:r>
          </w:p>
        </w:tc>
        <w:tc>
          <w:tcPr>
            <w:tcW w:w="3863" w:type="dxa"/>
            <w:shd w:val="clear" w:color="auto" w:fill="E7E7E7"/>
            <w:tcMar>
              <w:top w:w="90" w:type="dxa"/>
              <w:left w:w="110" w:type="dxa"/>
              <w:bottom w:w="90" w:type="dxa"/>
              <w:right w:w="110" w:type="dxa"/>
            </w:tcMar>
            <w:vAlign w:val="center"/>
          </w:tcPr>
          <w:p>
            <w:pPr>
              <w:keepLines/>
              <w:spacing w:after="20" w:line="250" w:lineRule="auto"/>
              <w:jc w:val="left"/>
            </w:pPr>
            <w:r>
              <w:rPr>
                <w:b/>
                <w:sz w:val="21"/>
              </w:rPr>
              <w:t xml:space="preserve">Key result</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H1</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Sign and logarithm genome: composition law, power preservation, four components, invertible decoding</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Composition error 3.2 × 10⁻¹²; −I unreachable without the sign bit</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H2</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Convexity of the Diffusion Evolution estimate; dense and logarithmic genomes</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Dense defect up to 0.20; logarithmic defect 1.6 × 10⁻¹⁶</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H3</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One transport in exchanged conventions, averaged with and without alignment</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Gain 1.000 without alignment; 4.000 with alignment</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H4</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Exponential chart averages and Karcher means on rotations</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Median change 0.079 rad against 1.5 × 10⁻¹⁶ rad</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H5</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Kronecker rank after entrywise and logarithmic averaging</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Rank 6 against rank 1</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H6</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Vertex genome size and the residual statistic</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Mean 18.92 for β₁ = 19 (KS p = 0.76); planted holonomy 100 against 44; rotations 56.6 against 57</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H7</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Selection among power preserving, lossy, and unrestricted genomes</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97 of 100 runs against 4 of 100</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H8</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Compatible states before and after the quadratic lift</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Dimension 0, then 1</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H9</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Ultrametric disk sums and the dependency problem</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Radius 3⁻⁴ after 200 sums</w:t>
            </w:r>
          </w:p>
        </w:tc>
      </w:tr>
      <w:tr>
        <w:trPr>
          <w:cantSplit/>
          <w:jc w:val="center"/>
        </w:trPr>
        <w:tc>
          <w:tcPr>
            <w:tcW w:w="10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H10</w:t>
            </w:r>
          </w:p>
        </w:tc>
        <w:tc>
          <w:tcPr>
            <w:tcW w:w="4900"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The experiment of Section 9.7</w:t>
            </w:r>
          </w:p>
        </w:tc>
        <w:tc>
          <w:tcPr>
            <w:tcW w:w="3863" w:type="dxa"/>
            <w:shd w:val="clear" w:color="auto" w:fill="FFFFFF"/>
            <w:tcMar>
              <w:top w:w="90" w:type="dxa"/>
              <w:left w:w="110" w:type="dxa"/>
              <w:bottom w:w="90" w:type="dxa"/>
              <w:right w:w="110" w:type="dxa"/>
            </w:tcMar>
            <w:vAlign w:val="center"/>
          </w:tcPr>
          <w:p>
            <w:pPr>
              <w:keepLines/>
              <w:spacing w:after="20" w:line="250" w:lineRule="auto"/>
              <w:jc w:val="left"/>
            </w:pPr>
            <w:r>
              <w:rPr>
                <w:sz w:val="21"/>
              </w:rPr>
              <w:t xml:space="preserve">Table 5</w:t>
            </w:r>
          </w:p>
        </w:tc>
      </w:tr>
    </w:tbl>
    <w:p w14:paraId="06886972" w14:textId="77777777" w:rsidR="0012657B" w:rsidRDefault="00000000" w:rsidP="00B04090">
      <w:pPr>
        <w:pStyle w:val="Heading1"/>
        <w:pageBreakBefore/>
        <w:jc w:val="both"/>
      </w:pPr>
      <w:bookmarkStart w:id="41" w:name="references"/>
      <w:bookmarkEnd w:id="40"/>
      <w:r>
        <w:lastRenderedPageBreak/>
        <w:t>References</w:t>
      </w:r>
    </w:p>
    <w:p w14:paraId="3A41E340" w14:textId="77777777" w:rsidR="0012657B" w:rsidRDefault="00000000" w:rsidP="00B04090">
      <w:pPr>
        <w:pStyle w:val="FirstParagraph"/>
        <w:keepLines/>
        <w:spacing w:after="140" w:line="245" w:lineRule="auto"/>
        <w:ind w:left="360" w:hanging="360"/>
        <w:jc w:val="both"/>
      </w:pPr>
      <w:r>
        <w:rPr>
          <w:sz w:val="21"/>
        </w:rPr>
        <w:t xml:space="preserve">[1] Ghosh, D. P. (2026). </w:t>
      </w:r>
      <w:r>
        <w:rPr>
          <w:i/>
          <w:iCs/>
          <w:sz w:val="21"/>
        </w:rPr>
        <w:t>Generalized Homotopy Optimization: An Abstract Evolutionary Framework for the Transport of Structured Solution Carriers</w:t>
      </w:r>
      <w:r>
        <w:rPr>
          <w:sz w:val="21"/>
        </w:rPr>
        <w:t>. ResearchGate preprint. https://doi.org/10.13140/RG.2.2.20272.52484</w:t>
      </w:r>
    </w:p>
    <w:p w14:paraId="0CB7E7DE" w14:textId="77777777" w:rsidR="0012657B" w:rsidRDefault="00000000" w:rsidP="00B04090">
      <w:pPr>
        <w:pStyle w:val="BodyText"/>
        <w:keepLines/>
        <w:spacing w:after="140" w:line="245" w:lineRule="auto"/>
        <w:ind w:left="360" w:hanging="360"/>
        <w:jc w:val="both"/>
      </w:pPr>
      <w:r>
        <w:rPr>
          <w:sz w:val="21"/>
        </w:rPr>
        <w:t xml:space="preserve">[2] Rafailov, R., Sharma, A., Mitchell, E., Ermon, S., Manning, C. D., and Finn, C. (2023). Direct Preference Optimization: Your Language Model is Secretly a Reward Model. </w:t>
      </w:r>
      <w:r>
        <w:rPr>
          <w:i/>
          <w:iCs/>
          <w:sz w:val="21"/>
        </w:rPr>
        <w:t>Advances in Neural Information Processing Systems, 36</w:t>
      </w:r>
      <w:r>
        <w:rPr>
          <w:sz w:val="21"/>
        </w:rPr>
        <w:t>. https://arxiv.org/abs/2305.18290</w:t>
      </w:r>
    </w:p>
    <w:p w14:paraId="0646EC6B" w14:textId="77777777" w:rsidR="0012657B" w:rsidRDefault="00000000" w:rsidP="00B04090">
      <w:pPr>
        <w:pStyle w:val="BodyText"/>
        <w:keepLines/>
        <w:spacing w:after="140" w:line="245" w:lineRule="auto"/>
        <w:ind w:left="360" w:hanging="360"/>
        <w:jc w:val="both"/>
      </w:pPr>
      <w:r>
        <w:rPr>
          <w:sz w:val="21"/>
        </w:rPr>
        <w:t>[3] TypeSafe AI (2026). RLCD and System One Models. Company description and product documentation. Accessed 5 October 2026. https://typesafe.ai/ and https://docs.typesafe.ai/introduction</w:t>
      </w:r>
    </w:p>
    <w:p w14:paraId="69E88442" w14:textId="77777777" w:rsidR="0012657B" w:rsidRDefault="00000000" w:rsidP="00B04090">
      <w:pPr>
        <w:pStyle w:val="BodyText"/>
        <w:keepLines/>
        <w:spacing w:after="140" w:line="245" w:lineRule="auto"/>
        <w:ind w:left="360" w:hanging="360"/>
        <w:jc w:val="both"/>
      </w:pPr>
      <w:r>
        <w:rPr>
          <w:sz w:val="21"/>
        </w:rPr>
        <w:t xml:space="preserve">[4] Gavranović, B. (2020). Learning Functors using Gradient Descent. </w:t>
      </w:r>
      <w:r>
        <w:rPr>
          <w:i/>
          <w:iCs/>
          <w:sz w:val="21"/>
        </w:rPr>
        <w:t>Electronic Proceedings in Theoretical Computer Science, 323</w:t>
      </w:r>
      <w:r>
        <w:rPr>
          <w:sz w:val="21"/>
        </w:rPr>
        <w:t>, 230–245. https://arxiv.org/abs/2009.06837</w:t>
      </w:r>
    </w:p>
    <w:p w14:paraId="1826CB72" w14:textId="77777777" w:rsidR="0012657B" w:rsidRDefault="00000000" w:rsidP="00B04090">
      <w:pPr>
        <w:pStyle w:val="BodyText"/>
        <w:keepLines/>
        <w:spacing w:after="140" w:line="245" w:lineRule="auto"/>
        <w:ind w:left="360" w:hanging="360"/>
        <w:jc w:val="both"/>
      </w:pPr>
      <w:r>
        <w:rPr>
          <w:sz w:val="21"/>
        </w:rPr>
        <w:t xml:space="preserve">[5] Zhu, J. Y., Park, T., Isola, P., and Efros, A. A. (2017). Unpaired Image-to-Image Translation using Cycle-Consistent Adversarial Networks. </w:t>
      </w:r>
      <w:r>
        <w:rPr>
          <w:i/>
          <w:iCs/>
          <w:sz w:val="21"/>
        </w:rPr>
        <w:t>Proceedings of ICCV</w:t>
      </w:r>
      <w:r>
        <w:rPr>
          <w:sz w:val="21"/>
        </w:rPr>
        <w:t>, 2223–2232. https://arxiv.org/abs/1703.10593</w:t>
      </w:r>
    </w:p>
    <w:p w14:paraId="2357845F" w14:textId="77777777" w:rsidR="0012657B" w:rsidRDefault="00000000" w:rsidP="00B04090">
      <w:pPr>
        <w:pStyle w:val="BodyText"/>
        <w:keepLines/>
        <w:spacing w:after="140" w:line="245" w:lineRule="auto"/>
        <w:ind w:left="360" w:hanging="360"/>
        <w:jc w:val="both"/>
      </w:pPr>
      <w:r>
        <w:rPr>
          <w:sz w:val="21"/>
        </w:rPr>
        <w:t xml:space="preserve">[6] Gavranović, B., Lessard, P., Dudzik, A. J., von Glehn, T., Araújo, J. G. M., and Veličković, P. (2024). Position: Categorical Deep Learning is an Algebraic Theory of All Architectures. </w:t>
      </w:r>
      <w:r>
        <w:rPr>
          <w:i/>
          <w:iCs/>
          <w:sz w:val="21"/>
        </w:rPr>
        <w:t>Proceedings of the 41st International Conference on Machine Learning, PMLR 235</w:t>
      </w:r>
      <w:r>
        <w:rPr>
          <w:sz w:val="21"/>
        </w:rPr>
        <w:t>, 15209–15241. https://proceedings.mlr.press/v235/gavranovic24a.html</w:t>
      </w:r>
    </w:p>
    <w:p w14:paraId="6F7DED93" w14:textId="77777777" w:rsidR="0012657B" w:rsidRDefault="00000000" w:rsidP="00B04090">
      <w:pPr>
        <w:pStyle w:val="BodyText"/>
        <w:keepLines/>
        <w:spacing w:after="140" w:line="245" w:lineRule="auto"/>
        <w:ind w:left="360" w:hanging="360"/>
        <w:jc w:val="both"/>
      </w:pPr>
      <w:r>
        <w:rPr>
          <w:sz w:val="21"/>
        </w:rPr>
        <w:t xml:space="preserve">[7] Geiger, A., Lu, H., Icard, T., and Potts, C. (2021). Causal Abstractions of Neural Networks. </w:t>
      </w:r>
      <w:r>
        <w:rPr>
          <w:i/>
          <w:iCs/>
          <w:sz w:val="21"/>
        </w:rPr>
        <w:t>Advances in Neural Information Processing Systems, 34</w:t>
      </w:r>
      <w:r>
        <w:rPr>
          <w:sz w:val="21"/>
        </w:rPr>
        <w:t>. https://arxiv.org/abs/2106.02997</w:t>
      </w:r>
    </w:p>
    <w:p w14:paraId="4D102207" w14:textId="77777777" w:rsidR="0012657B" w:rsidRDefault="00000000" w:rsidP="00B04090">
      <w:pPr>
        <w:pStyle w:val="BodyText"/>
        <w:keepLines/>
        <w:spacing w:after="140" w:line="245" w:lineRule="auto"/>
        <w:ind w:left="360" w:hanging="360"/>
        <w:jc w:val="both"/>
      </w:pPr>
      <w:r>
        <w:rPr>
          <w:sz w:val="21"/>
        </w:rPr>
        <w:t xml:space="preserve">[8] Bardes, A., Ponce, J., and LeCun, Y. (2022). VICReg: Variance-Invariance-Covariance Regularization for Self-Supervised Learning. </w:t>
      </w:r>
      <w:r>
        <w:rPr>
          <w:i/>
          <w:iCs/>
          <w:sz w:val="21"/>
        </w:rPr>
        <w:t>International Conference on Learning Representations</w:t>
      </w:r>
      <w:r>
        <w:rPr>
          <w:sz w:val="21"/>
        </w:rPr>
        <w:t>. https://arxiv.org/abs/2105.04906</w:t>
      </w:r>
    </w:p>
    <w:p w14:paraId="7EF649AB" w14:textId="77777777" w:rsidR="0012657B" w:rsidRDefault="00000000" w:rsidP="00B04090">
      <w:pPr>
        <w:pStyle w:val="BodyText"/>
        <w:keepLines/>
        <w:spacing w:after="140" w:line="245" w:lineRule="auto"/>
        <w:ind w:left="360" w:hanging="360"/>
        <w:jc w:val="both"/>
      </w:pPr>
      <w:r>
        <w:rPr>
          <w:sz w:val="21"/>
        </w:rPr>
        <w:t xml:space="preserve">[9] Ellis, K., Wong, C., Nye, M., Sablé-Meyer, M., Morales, L., Hewitt, L., Cary, L., Solar-Lezama, A., and Tenenbaum, J. B. (2021). DreamCoder: Bootstrapping Inductive Program Synthesis with Wake-Sleep Library Learning. </w:t>
      </w:r>
      <w:r>
        <w:rPr>
          <w:i/>
          <w:iCs/>
          <w:sz w:val="21"/>
        </w:rPr>
        <w:t>Proceedings of PLDI</w:t>
      </w:r>
      <w:r>
        <w:rPr>
          <w:sz w:val="21"/>
        </w:rPr>
        <w:t>, 835–850. https://doi.org/10.1145/3453483.3454080</w:t>
      </w:r>
    </w:p>
    <w:p w14:paraId="4975313D" w14:textId="77777777" w:rsidR="0012657B" w:rsidRDefault="00000000" w:rsidP="00B04090">
      <w:pPr>
        <w:pStyle w:val="BodyText"/>
        <w:keepLines/>
        <w:spacing w:after="140" w:line="245" w:lineRule="auto"/>
        <w:ind w:left="360" w:hanging="360"/>
        <w:jc w:val="both"/>
      </w:pPr>
      <w:r>
        <w:rPr>
          <w:sz w:val="21"/>
        </w:rPr>
        <w:t xml:space="preserve">[10] Hansen, J., and Ghrist, R. (2019). Toward a Spectral Theory of Cellular Sheaves. </w:t>
      </w:r>
      <w:r>
        <w:rPr>
          <w:i/>
          <w:iCs/>
          <w:sz w:val="21"/>
        </w:rPr>
        <w:t>Journal of Applied and Computational Topology, 3</w:t>
      </w:r>
      <w:r>
        <w:rPr>
          <w:sz w:val="21"/>
        </w:rPr>
        <w:t>, 315–358. https://doi.org/10.1007/s41468-019-00038-7</w:t>
      </w:r>
    </w:p>
    <w:p w14:paraId="2FEEBE6A" w14:textId="77777777" w:rsidR="0012657B" w:rsidRDefault="00000000" w:rsidP="00B04090">
      <w:pPr>
        <w:pStyle w:val="BodyText"/>
        <w:keepLines/>
        <w:spacing w:after="140" w:line="245" w:lineRule="auto"/>
        <w:ind w:left="360" w:hanging="360"/>
        <w:jc w:val="both"/>
      </w:pPr>
      <w:r>
        <w:rPr>
          <w:sz w:val="21"/>
        </w:rPr>
        <w:t xml:space="preserve">[11] Riehl, E. (2016). </w:t>
      </w:r>
      <w:r>
        <w:rPr>
          <w:i/>
          <w:iCs/>
          <w:sz w:val="21"/>
        </w:rPr>
        <w:t>Category Theory in Context</w:t>
      </w:r>
      <w:r>
        <w:rPr>
          <w:sz w:val="21"/>
        </w:rPr>
        <w:t>. Dover Publications. Author hosted text. https://emilyriehl.github.io/files/context.pdf</w:t>
      </w:r>
    </w:p>
    <w:p w14:paraId="750BA665" w14:textId="77777777" w:rsidR="0012657B" w:rsidRDefault="00000000" w:rsidP="00B04090">
      <w:pPr>
        <w:pStyle w:val="BodyText"/>
        <w:keepLines/>
        <w:spacing w:after="140" w:line="245" w:lineRule="auto"/>
        <w:ind w:left="360" w:hanging="360"/>
        <w:jc w:val="both"/>
      </w:pPr>
      <w:r>
        <w:rPr>
          <w:sz w:val="21"/>
        </w:rPr>
        <w:t xml:space="preserve">[12] Grünwald, P. D. (2007). </w:t>
      </w:r>
      <w:r>
        <w:rPr>
          <w:i/>
          <w:iCs/>
          <w:sz w:val="21"/>
        </w:rPr>
        <w:t>The Minimum Description Length Principle</w:t>
      </w:r>
      <w:r>
        <w:rPr>
          <w:sz w:val="21"/>
        </w:rPr>
        <w:t>. MIT Press. https://mitpress.mit.edu/9780262072816/the-minimum-description-length-principle/</w:t>
      </w:r>
    </w:p>
    <w:p w14:paraId="5AFB723E" w14:textId="77777777" w:rsidR="0012657B" w:rsidRDefault="00000000" w:rsidP="00B04090">
      <w:pPr>
        <w:pStyle w:val="BodyText"/>
        <w:keepLines/>
        <w:spacing w:after="140" w:line="245" w:lineRule="auto"/>
        <w:ind w:left="360" w:hanging="360"/>
        <w:jc w:val="both"/>
      </w:pPr>
      <w:r>
        <w:rPr>
          <w:sz w:val="21"/>
        </w:rPr>
        <w:t xml:space="preserve">[13] van der Schaft, A., and Jeltsema, D. (2014). Port-Hamiltonian Systems Theory: An Introductory Overview. </w:t>
      </w:r>
      <w:r>
        <w:rPr>
          <w:i/>
          <w:iCs/>
          <w:sz w:val="21"/>
        </w:rPr>
        <w:t>Foundations and Trends in Systems and Control, 1</w:t>
      </w:r>
      <w:r>
        <w:rPr>
          <w:sz w:val="21"/>
        </w:rPr>
        <w:t>(2–3), 173–378. https://doi.org/10.1561/2600000002</w:t>
      </w:r>
    </w:p>
    <w:p w14:paraId="7B5A909B" w14:textId="77777777" w:rsidR="0012657B" w:rsidRDefault="00000000" w:rsidP="00B04090">
      <w:pPr>
        <w:pStyle w:val="BodyText"/>
        <w:keepLines/>
        <w:spacing w:after="140" w:line="245" w:lineRule="auto"/>
        <w:ind w:left="360" w:hanging="360"/>
        <w:jc w:val="both"/>
      </w:pPr>
      <w:r>
        <w:rPr>
          <w:sz w:val="21"/>
        </w:rPr>
        <w:t xml:space="preserve">[14] Yang, K., Klein, D., Celikyilmaz, A., Peng, N., and Tian, Y. (2024). RLCD: Reinforcement Learning from Contrastive Distillation for Language Model Alignment. </w:t>
      </w:r>
      <w:r>
        <w:rPr>
          <w:i/>
          <w:iCs/>
          <w:sz w:val="21"/>
        </w:rPr>
        <w:t>International Conference on Learning Representations</w:t>
      </w:r>
      <w:r>
        <w:rPr>
          <w:sz w:val="21"/>
        </w:rPr>
        <w:t>. https://arxiv.org/abs/2307.12950</w:t>
      </w:r>
    </w:p>
    <w:p w14:paraId="5C6A9393" w14:textId="77777777" w:rsidR="0012657B" w:rsidRDefault="00000000" w:rsidP="00B04090">
      <w:pPr>
        <w:pStyle w:val="BodyText"/>
        <w:keepLines/>
        <w:spacing w:after="140" w:line="245" w:lineRule="auto"/>
        <w:ind w:left="360" w:hanging="360"/>
        <w:jc w:val="both"/>
      </w:pPr>
      <w:r>
        <w:rPr>
          <w:sz w:val="21"/>
        </w:rPr>
        <w:t xml:space="preserve">[15] Smith, M. C. (2002). Synthesis of Mechanical Networks: The Inerter. </w:t>
      </w:r>
      <w:r>
        <w:rPr>
          <w:i/>
          <w:iCs/>
          <w:sz w:val="21"/>
        </w:rPr>
        <w:t>IEEE Transactions on Automatic Control, 47</w:t>
      </w:r>
      <w:r>
        <w:rPr>
          <w:sz w:val="21"/>
        </w:rPr>
        <w:t>(10), 1648–1662. https://doi.org/10.1109/TAC.2002.803532</w:t>
      </w:r>
      <w:bookmarkEnd w:id="41"/>
    </w:p>
    <w:p>
      <w:pPr>
        <w:pStyle w:val="BodyText"/>
        <w:keepLines/>
        <w:spacing w:after="140" w:line="245" w:lineRule="auto"/>
        <w:ind w:left="360" w:hanging="360"/>
        <w:jc w:val="both"/>
      </w:pPr>
      <w:r>
        <w:rPr>
          <w:sz w:val="21"/>
        </w:rPr>
        <w:t xml:space="preserve">[16] Zhang, Y., Hartl, B., Hazan, H., and Levin, M. (2025). Diffusion Models are Evolutionary Algorithms. </w:t>
      </w:r>
      <w:r>
        <w:rPr>
          <w:i/>
          <w:iCs/>
          <w:sz w:val="21"/>
        </w:rPr>
        <w:t xml:space="preserve">International Conference on Learning Representations</w:t>
      </w:r>
      <w:r>
        <w:rPr>
          <w:sz w:val="21"/>
        </w:rPr>
        <w:t xml:space="preserve">. https://arxiv.org/abs/2410.02543</w:t>
      </w:r>
    </w:p>
    <w:p>
      <w:pPr>
        <w:pStyle w:val="BodyText"/>
        <w:keepLines/>
        <w:spacing w:after="140" w:line="245" w:lineRule="auto"/>
        <w:ind w:left="360" w:hanging="360"/>
        <w:jc w:val="both"/>
      </w:pPr>
      <w:r>
        <w:rPr>
          <w:sz w:val="21"/>
        </w:rPr>
        <w:t xml:space="preserve">[17] Hartl, B., Zhang, Y., Hazan, H., and Levin, M. (2026). Heuristically Adaptive Diffusion-Model Evolutionary Strategy. </w:t>
      </w:r>
      <w:r>
        <w:rPr>
          <w:i/>
          <w:iCs/>
          <w:sz w:val="21"/>
        </w:rPr>
        <w:t xml:space="preserve">Advanced Science</w:t>
      </w:r>
      <w:r>
        <w:rPr>
          <w:sz w:val="21"/>
        </w:rPr>
        <w:t xml:space="preserve">. https://doi.org/10.1002/advs.202511537</w:t>
      </w:r>
    </w:p>
    <w:p>
      <w:pPr>
        <w:pStyle w:val="BodyText"/>
        <w:keepLines/>
        <w:spacing w:after="140" w:line="245" w:lineRule="auto"/>
        <w:ind w:left="360" w:hanging="360"/>
        <w:jc w:val="both"/>
      </w:pPr>
      <w:r>
        <w:rPr>
          <w:sz w:val="21"/>
        </w:rPr>
        <w:t xml:space="preserve">[18] Vignac, C., Krawczuk, I., Siraudin, A., Wang, B., Cevher, V., and Frossard, P. (2023). DiGress: Discrete Denoising Diffusion for Graph Generation. </w:t>
      </w:r>
      <w:r>
        <w:rPr>
          <w:i/>
          <w:iCs/>
          <w:sz w:val="21"/>
        </w:rPr>
        <w:t xml:space="preserve">International Conference on Learning Representations</w:t>
      </w:r>
      <w:r>
        <w:rPr>
          <w:sz w:val="21"/>
        </w:rPr>
        <w:t xml:space="preserve">. https://arxiv.org/abs/2209.14734</w:t>
      </w:r>
    </w:p>
    <w:p>
      <w:pPr>
        <w:pStyle w:val="BodyText"/>
        <w:keepLines/>
        <w:spacing w:after="140" w:line="245" w:lineRule="auto"/>
        <w:ind w:left="360" w:hanging="360"/>
        <w:jc w:val="both"/>
      </w:pPr>
      <w:r>
        <w:rPr>
          <w:sz w:val="21"/>
        </w:rPr>
        <w:t xml:space="preserve">[19] Bodnar, C., Di Giovanni, F., Chamberlain, B. P., Liò, P., and Bronstein, M. M. (2022). Neural Sheaf Diffusion: A Topological Perspective on Heterophily and Oversmoothing in GNNs. </w:t>
      </w:r>
      <w:r>
        <w:rPr>
          <w:i/>
          <w:iCs/>
          <w:sz w:val="21"/>
        </w:rPr>
        <w:t xml:space="preserve">Advances in Neural Information Processing Systems, 35</w:t>
      </w:r>
      <w:r>
        <w:rPr>
          <w:sz w:val="21"/>
        </w:rPr>
        <w:t xml:space="preserve">. https://arxiv.org/abs/2202.04579</w:t>
      </w:r>
    </w:p>
    <w:p>
      <w:pPr>
        <w:pStyle w:val="BodyText"/>
        <w:keepLines/>
        <w:spacing w:after="140" w:line="245" w:lineRule="auto"/>
        <w:ind w:left="360" w:hanging="360"/>
        <w:jc w:val="both"/>
      </w:pPr>
      <w:r>
        <w:rPr>
          <w:sz w:val="21"/>
        </w:rPr>
        <w:t xml:space="preserve">[20] Bourgerie, R., Girdzijauskas, Š., and Fodor, V. (2026). Deep Neural Sheaf Diffusion. </w:t>
      </w:r>
      <w:r>
        <w:rPr>
          <w:i/>
          <w:iCs/>
          <w:sz w:val="21"/>
        </w:rPr>
        <w:t xml:space="preserve">arXiv preprint</w:t>
      </w:r>
      <w:r>
        <w:rPr>
          <w:sz w:val="21"/>
        </w:rPr>
        <w:t xml:space="preserve"> 2605.19021. https://arxiv.org/abs/2605.19021</w:t>
      </w:r>
    </w:p>
    <w:p>
      <w:pPr>
        <w:pStyle w:val="BodyText"/>
        <w:keepLines/>
        <w:spacing w:after="140" w:line="245" w:lineRule="auto"/>
        <w:ind w:left="360" w:hanging="360"/>
        <w:jc w:val="both"/>
      </w:pPr>
      <w:r>
        <w:rPr>
          <w:sz w:val="21"/>
        </w:rPr>
        <w:t xml:space="preserve">[21] Singer, A. (2011). Angular Synchronization by Eigenvectors and Semidefinite Programming. </w:t>
      </w:r>
      <w:r>
        <w:rPr>
          <w:i/>
          <w:iCs/>
          <w:sz w:val="21"/>
        </w:rPr>
        <w:t xml:space="preserve">Applied and Computational Harmonic Analysis, 30</w:t>
      </w:r>
      <w:r>
        <w:rPr>
          <w:sz w:val="21"/>
        </w:rPr>
        <w:t xml:space="preserve">(1), 20–36. https://doi.org/10.1016/j.acha.2010.02.001</w:t>
      </w:r>
    </w:p>
    <w:p>
      <w:pPr>
        <w:pStyle w:val="BodyText"/>
        <w:keepLines/>
        <w:spacing w:after="140" w:line="245" w:lineRule="auto"/>
        <w:ind w:left="360" w:hanging="360"/>
        <w:jc w:val="both"/>
      </w:pPr>
      <w:r>
        <w:rPr>
          <w:sz w:val="21"/>
        </w:rPr>
        <w:t xml:space="preserve">[22] Bandeira, A. S., Singer, A., and Spielman, D. A. (2013). A Cheeger Inequality for the Graph Connection Laplacian. </w:t>
      </w:r>
      <w:r>
        <w:rPr>
          <w:i/>
          <w:iCs/>
          <w:sz w:val="21"/>
        </w:rPr>
        <w:t xml:space="preserve">SIAM Journal on Matrix Analysis and Applications, 34</w:t>
      </w:r>
      <w:r>
        <w:rPr>
          <w:sz w:val="21"/>
        </w:rPr>
        <w:t xml:space="preserve">(4), 1611–1630. https://doi.org/10.1137/120875338</w:t>
      </w:r>
    </w:p>
    <w:p>
      <w:pPr>
        <w:pStyle w:val="BodyText"/>
        <w:keepLines/>
        <w:spacing w:after="140" w:line="245" w:lineRule="auto"/>
        <w:ind w:left="360" w:hanging="360"/>
        <w:jc w:val="both"/>
      </w:pPr>
      <w:r>
        <w:rPr>
          <w:sz w:val="21"/>
        </w:rPr>
        <w:t xml:space="preserve">[23] Brehmer, J., de Haan, P., Behrends, S., and Cohen, T. (2023). Geometric Algebra Transformer. </w:t>
      </w:r>
      <w:r>
        <w:rPr>
          <w:i/>
          <w:iCs/>
          <w:sz w:val="21"/>
        </w:rPr>
        <w:t xml:space="preserve">Advances in Neural Information Processing Systems, 36</w:t>
      </w:r>
      <w:r>
        <w:rPr>
          <w:sz w:val="21"/>
        </w:rPr>
        <w:t xml:space="preserve">. https://arxiv.org/abs/2305.18415</w:t>
      </w:r>
    </w:p>
    <w:p>
      <w:pPr>
        <w:pStyle w:val="BodyText"/>
        <w:keepLines/>
        <w:spacing w:after="140" w:line="245" w:lineRule="auto"/>
        <w:ind w:left="360" w:hanging="360"/>
        <w:jc w:val="both"/>
      </w:pPr>
      <w:r>
        <w:rPr>
          <w:sz w:val="21"/>
        </w:rPr>
        <w:t xml:space="preserve">[24] Ruhe, D., Brandstetter, J., and Forré, P. (2023). Clifford Group Equivariant Neural Networks. </w:t>
      </w:r>
      <w:r>
        <w:rPr>
          <w:i/>
          <w:iCs/>
          <w:sz w:val="21"/>
        </w:rPr>
        <w:t xml:space="preserve">Advances in Neural Information Processing Systems, 36</w:t>
      </w:r>
      <w:r>
        <w:rPr>
          <w:sz w:val="21"/>
        </w:rPr>
        <w:t xml:space="preserve">. https://arxiv.org/abs/2305.11141</w:t>
      </w:r>
    </w:p>
    <w:p>
      <w:pPr>
        <w:pStyle w:val="BodyText"/>
        <w:keepLines/>
        <w:spacing w:after="140" w:line="245" w:lineRule="auto"/>
        <w:ind w:left="360" w:hanging="360"/>
        <w:jc w:val="both"/>
      </w:pPr>
      <w:r>
        <w:rPr>
          <w:sz w:val="21"/>
        </w:rPr>
        <w:t xml:space="preserve">[25] Stanley, K. O., and Miikkulainen, R. (2002). Evolving Neural Networks through Augmenting Topologies. </w:t>
      </w:r>
      <w:r>
        <w:rPr>
          <w:i/>
          <w:iCs/>
          <w:sz w:val="21"/>
        </w:rPr>
        <w:t xml:space="preserve">Evolutionary Computation, 10</w:t>
      </w:r>
      <w:r>
        <w:rPr>
          <w:sz w:val="21"/>
        </w:rPr>
        <w:t xml:space="preserve">(2), 99–127. https://doi.org/10.1162/106365602320169811</w:t>
      </w:r>
    </w:p>
    <w:p>
      <w:pPr>
        <w:pStyle w:val="BodyText"/>
        <w:keepLines/>
        <w:spacing w:after="140" w:line="245" w:lineRule="auto"/>
        <w:ind w:left="360" w:hanging="360"/>
        <w:jc w:val="both"/>
      </w:pPr>
      <w:r>
        <w:rPr>
          <w:sz w:val="21"/>
        </w:rPr>
        <w:t xml:space="preserve">[26] Ainsworth, S. K., Hayase, J., and Srinivasa, S. (2023). Git Re-Basin: Merging Models modulo Permutation Symmetries. </w:t>
      </w:r>
      <w:r>
        <w:rPr>
          <w:i/>
          <w:iCs/>
          <w:sz w:val="21"/>
        </w:rPr>
        <w:t xml:space="preserve">International Conference on Learning Representations</w:t>
      </w:r>
      <w:r>
        <w:rPr>
          <w:sz w:val="21"/>
        </w:rPr>
        <w:t xml:space="preserve">. https://arxiv.org/abs/2209.04836</w:t>
      </w:r>
    </w:p>
    <w:p>
      <w:pPr>
        <w:pStyle w:val="BodyText"/>
        <w:keepLines/>
        <w:spacing w:after="140" w:line="245" w:lineRule="auto"/>
        <w:ind w:left="360" w:hanging="360"/>
        <w:jc w:val="both"/>
      </w:pPr>
      <w:r>
        <w:rPr>
          <w:sz w:val="21"/>
        </w:rPr>
        <w:t xml:space="preserve">[27] Moakher, M. (2002). Means and Averaging in the Group of Rotations. </w:t>
      </w:r>
      <w:r>
        <w:rPr>
          <w:i/>
          <w:iCs/>
          <w:sz w:val="21"/>
        </w:rPr>
        <w:t xml:space="preserve">SIAM Journal on Matrix Analysis and Applications, 24</w:t>
      </w:r>
      <w:r>
        <w:rPr>
          <w:sz w:val="21"/>
        </w:rPr>
        <w:t xml:space="preserve">(1), 1–16. https://doi.org/10.1137/S0895479801383877</w:t>
      </w:r>
    </w:p>
    <w:p>
      <w:pPr>
        <w:pStyle w:val="BodyText"/>
        <w:keepLines/>
        <w:spacing w:after="140" w:line="245" w:lineRule="auto"/>
        <w:ind w:left="360" w:hanging="360"/>
        <w:jc w:val="both"/>
      </w:pPr>
      <w:r>
        <w:rPr>
          <w:sz w:val="21"/>
        </w:rPr>
        <w:t xml:space="preserve">[28] Wagner, A. (2008). Robustness and Evolvability: A Paradox Resolved. </w:t>
      </w:r>
      <w:r>
        <w:rPr>
          <w:i/>
          <w:iCs/>
          <w:sz w:val="21"/>
        </w:rPr>
        <w:t xml:space="preserve">Proceedings of the Royal Society B, 275</w:t>
      </w:r>
      <w:r>
        <w:rPr>
          <w:sz w:val="21"/>
        </w:rPr>
        <w:t xml:space="preserve">(1630), 91–100. https://doi.org/10.1098/rspb.2007.1137</w:t>
      </w:r>
    </w:p>
    <w:p>
      <w:pPr>
        <w:pStyle w:val="BodyText"/>
        <w:keepLines/>
        <w:spacing w:after="140" w:line="245" w:lineRule="auto"/>
        <w:ind w:left="360" w:hanging="360"/>
        <w:jc w:val="both"/>
      </w:pPr>
      <w:r>
        <w:rPr>
          <w:sz w:val="21"/>
        </w:rPr>
        <w:t xml:space="preserve">[29] Freeland, S. J., and Hurst, L. D. (1998). The Genetic Code Is One in a Million. </w:t>
      </w:r>
      <w:r>
        <w:rPr>
          <w:i/>
          <w:iCs/>
          <w:sz w:val="21"/>
        </w:rPr>
        <w:t xml:space="preserve">Journal of Molecular Evolution, 47</w:t>
      </w:r>
      <w:r>
        <w:rPr>
          <w:sz w:val="21"/>
        </w:rPr>
        <w:t xml:space="preserve">(3), 238–248. https://doi.org/10.1007/PL00006381</w:t>
      </w:r>
    </w:p>
    <w:p>
      <w:pPr>
        <w:pStyle w:val="BodyText"/>
        <w:keepLines/>
        <w:spacing w:after="140" w:line="245" w:lineRule="auto"/>
        <w:ind w:left="360" w:hanging="360"/>
        <w:jc w:val="both"/>
      </w:pPr>
      <w:r>
        <w:rPr>
          <w:sz w:val="21"/>
        </w:rPr>
        <w:t xml:space="preserve">[30] Zhang, A., Tay, Y., Zhang, S., Chan, A., Luu, A. T., Hui, S. C., and Fu, J. (2021). Beyond Fully-Connected Layers with Quaternions: Parameterization of Hypercomplex Multiplications with 1/n Parameters. </w:t>
      </w:r>
      <w:r>
        <w:rPr>
          <w:i/>
          <w:iCs/>
          <w:sz w:val="21"/>
        </w:rPr>
        <w:t xml:space="preserve">International Conference on Learning Representations</w:t>
      </w:r>
      <w:r>
        <w:rPr>
          <w:sz w:val="21"/>
        </w:rPr>
        <w:t xml:space="preserve">. https://arxiv.org/abs/2102.08597</w:t>
      </w:r>
    </w:p>
    <w:p>
      <w:pPr>
        <w:pStyle w:val="BodyText"/>
        <w:keepLines/>
        <w:spacing w:after="140" w:line="245" w:lineRule="auto"/>
        <w:ind w:left="360" w:hanging="360"/>
        <w:jc w:val="both"/>
      </w:pPr>
      <w:r>
        <w:rPr>
          <w:sz w:val="21"/>
        </w:rPr>
        <w:t xml:space="preserve">[31] Swartzlander, E. E., and Alexopoulos, A. G. (1975). The Sign/Logarithm Number System. </w:t>
      </w:r>
      <w:r>
        <w:rPr>
          <w:i/>
          <w:iCs/>
          <w:sz w:val="21"/>
        </w:rPr>
        <w:t xml:space="preserve">IEEE Transactions on Computers, C-24</w:t>
      </w:r>
      <w:r>
        <w:rPr>
          <w:sz w:val="21"/>
        </w:rPr>
        <w:t xml:space="preserve">(12), 1238–1242. https://doi.org/10.1109/T-C.1975.224172</w:t>
      </w:r>
    </w:p>
    <w:p>
      <w:pPr>
        <w:pStyle w:val="BodyText"/>
        <w:keepLines/>
        <w:spacing w:after="140" w:line="245" w:lineRule="auto"/>
        <w:ind w:left="360" w:hanging="360"/>
        <w:jc w:val="both"/>
      </w:pPr>
      <w:r>
        <w:rPr>
          <w:sz w:val="21"/>
        </w:rPr>
        <w:t xml:space="preserve">[32] Ghosh, D. P., Ghosh, D., and Ghosh, D. (2025). Kronecker Product Logarithmic Neural Networks (KP-LNN): An Addition-Free, Signless Architecture for Matrix-Native Computation. ResearchGate preprint. https://doi.org/10.13140/RG.2.2.28337.85604</w:t>
      </w:r>
    </w:p>
    <w:p>
      <w:pPr>
        <w:pStyle w:val="BodyText"/>
        <w:keepLines/>
        <w:spacing w:after="140" w:line="245" w:lineRule="auto"/>
        <w:ind w:left="360" w:hanging="360"/>
        <w:jc w:val="both"/>
      </w:pPr>
      <w:r>
        <w:rPr>
          <w:sz w:val="21"/>
        </w:rPr>
        <w:t xml:space="preserve">[33] Ghosh, D. P., Ghosh, D., and Ghosh, D. (2025). Sleep-Consolidated Non-Backprop Learning with Logarithmic Long-Term Memory and Kronecker-Structured Weights. ResearchGate preprint. https://doi.org/10.13140/RG.2.2.20326.89925</w:t>
      </w:r>
    </w:p>
    <w:p>
      <w:pPr>
        <w:pStyle w:val="BodyText"/>
        <w:keepLines/>
        <w:spacing w:after="140" w:line="245" w:lineRule="auto"/>
        <w:ind w:left="360" w:hanging="360"/>
        <w:jc w:val="both"/>
      </w:pPr>
      <w:r>
        <w:rPr>
          <w:sz w:val="21"/>
        </w:rPr>
        <w:t xml:space="preserve">[34] Martins, A. F. T. (2025). Learning with the p-adics. </w:t>
      </w:r>
      <w:r>
        <w:rPr>
          <w:i/>
          <w:iCs/>
          <w:sz w:val="21"/>
        </w:rPr>
        <w:t xml:space="preserve">arXiv preprint</w:t>
      </w:r>
      <w:r>
        <w:rPr>
          <w:sz w:val="21"/>
        </w:rPr>
        <w:t xml:space="preserve"> 2512.22692. https://arxiv.org/abs/2512.22692</w:t>
      </w:r>
    </w:p>
    <w:p>
      <w:pPr>
        <w:pStyle w:val="BodyText"/>
        <w:keepLines/>
        <w:spacing w:after="140" w:line="245" w:lineRule="auto"/>
        <w:ind w:left="360" w:hanging="360"/>
        <w:jc w:val="both"/>
      </w:pPr>
      <w:r>
        <w:rPr>
          <w:sz w:val="21"/>
        </w:rPr>
        <w:t xml:space="preserve">[35] Salazar, J., Kanevsky, D., Harvey, M., Getreuer, P., and Dixon, L. (2026). Continuous Optimization for p-adic Models. </w:t>
      </w:r>
      <w:r>
        <w:rPr>
          <w:i/>
          <w:iCs/>
          <w:sz w:val="21"/>
        </w:rPr>
        <w:t xml:space="preserve">arXiv preprint</w:t>
      </w:r>
      <w:r>
        <w:rPr>
          <w:sz w:val="21"/>
        </w:rPr>
        <w:t xml:space="preserve"> 2609.25501. https://arxiv.org/abs/2609.25501</w:t>
      </w:r>
    </w:p>
    <w:p>
      <w:pPr>
        <w:pStyle w:val="BodyText"/>
        <w:keepLines/>
        <w:spacing w:after="140" w:line="245" w:lineRule="auto"/>
        <w:ind w:left="360" w:hanging="360"/>
        <w:jc w:val="both"/>
      </w:pPr>
      <w:r>
        <w:rPr>
          <w:sz w:val="21"/>
        </w:rPr>
        <w:t xml:space="preserve">[36] Absil, P.-A., Mahony, R., and Sepulchre, R. (2008). </w:t>
      </w:r>
      <w:r>
        <w:rPr>
          <w:i/>
          <w:iCs/>
          <w:sz w:val="21"/>
        </w:rPr>
        <w:t xml:space="preserve">Optimization Algorithms on Matrix Manifolds</w:t>
      </w:r>
      <w:r>
        <w:rPr>
          <w:sz w:val="21"/>
        </w:rPr>
        <w:t xml:space="preserve">. Princeton University Press.</w:t>
      </w:r>
    </w:p>
    <w:sectPr w:rsidR="0012657B" w:rsidSect="00034616">
      <w:headerReference w:type="default" r:id="rId8"/>
      <w:footerReference w:type="default" r:id="rId9"/>
      <w:footerReference w:type="first" r:id="rId10"/>
      <w:pgSz w:w="12240" w:h="15840"/>
      <w:pgMar w:top="1094" w:right="1238" w:bottom="1094" w:left="1238"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BA58" w14:textId="77777777" w:rsidR="00182907" w:rsidRDefault="00182907">
      <w:pPr>
        <w:spacing w:after="0" w:line="240" w:lineRule="auto"/>
      </w:pPr>
      <w:r>
        <w:separator/>
      </w:r>
    </w:p>
  </w:endnote>
  <w:endnote w:type="continuationSeparator" w:id="0">
    <w:p w14:paraId="6A13599A" w14:textId="77777777" w:rsidR="00182907" w:rsidRDefault="00182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AD65" w14:textId="77777777" w:rsidR="0012657B"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36A1" w14:textId="77777777" w:rsidR="0012657B"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7EAFD" w14:textId="77777777" w:rsidR="00182907" w:rsidRDefault="00182907">
      <w:r>
        <w:separator/>
      </w:r>
    </w:p>
  </w:footnote>
  <w:footnote w:type="continuationSeparator" w:id="0">
    <w:p w14:paraId="2D8BBB90" w14:textId="77777777" w:rsidR="00182907" w:rsidRDefault="00182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8F84" w14:textId="77777777" w:rsidR="0012657B" w:rsidRDefault="00000000">
    <w:pPr>
      <w:pStyle w:val="Header"/>
      <w:jc w:val="right"/>
    </w:pPr>
    <w:r>
      <w:t>Homotopy Learning for Category Level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E1CB6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17306946">
    <w:abstractNumId w:val="8"/>
  </w:num>
  <w:num w:numId="2" w16cid:durableId="1905211571">
    <w:abstractNumId w:val="6"/>
  </w:num>
  <w:num w:numId="3" w16cid:durableId="2119833684">
    <w:abstractNumId w:val="5"/>
  </w:num>
  <w:num w:numId="4" w16cid:durableId="1926767787">
    <w:abstractNumId w:val="4"/>
  </w:num>
  <w:num w:numId="5" w16cid:durableId="1561288053">
    <w:abstractNumId w:val="7"/>
  </w:num>
  <w:num w:numId="6" w16cid:durableId="673266564">
    <w:abstractNumId w:val="3"/>
  </w:num>
  <w:num w:numId="7" w16cid:durableId="1989245553">
    <w:abstractNumId w:val="2"/>
  </w:num>
  <w:num w:numId="8" w16cid:durableId="130252296">
    <w:abstractNumId w:val="1"/>
  </w:num>
  <w:num w:numId="9" w16cid:durableId="1183058823">
    <w:abstractNumId w:val="0"/>
  </w:num>
  <w:num w:numId="10" w16cid:durableId="1139495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657B"/>
    <w:rsid w:val="0012657B"/>
    <w:rsid w:val="00182907"/>
    <w:rsid w:val="001B19C2"/>
    <w:rsid w:val="00B04090"/>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4550"/>
  <w15:docId w15:val="{8C0D04C1-B9E2-4780-9284-2DE611AF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0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8003</Words>
  <Characters>45621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Homotopy Learning for Category Level Training</dc:title>
  <dc:subject>Verified transfer between structures through Generalized Homotopy Optimization</dc:subject>
  <dc:creator>Debi Prasad Ghosh</dc:creator>
  <cp:keywords>category level training, GHO, invariant observables, holonomy, verified transfer</cp:keywords>
  <cp:lastModifiedBy>Debiprasad Ghosh</cp:lastModifiedBy>
  <cp:revision>2</cp:revision>
  <dcterms:created xsi:type="dcterms:W3CDTF">2026-10-05T18:26:00Z</dcterms:created>
  <dcterms:modified xsi:type="dcterms:W3CDTF">2026-10-05T18:48:00Z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subtitle">
    <vt:lpwstr>A Generalized Homotopy Optimization Framework for Verified Transfer Between Structures</vt:lpwstr>
  </property>
</Properties>
</file>