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Canonicalization as Causal Identification:</w:t>
        <w:br/>
        <w:t>A Framework for Mathematical AGI Beyond Proof Generation</w:t>
      </w:r>
    </w:p>
    <w:p>
      <w:pPr>
        <w:pStyle w:val="Subtitle"/>
        <w:jc w:val="center"/>
      </w:pPr>
      <w:r>
        <w:t>A conceptual and testable theory of performative mathematical development, invariant environments, and language revision</w:t>
      </w:r>
    </w:p>
    <w:p>
      <w:pPr>
        <w:jc w:val="center"/>
      </w:pPr>
      <w:r>
        <w:rPr>
          <w:sz w:val="20"/>
        </w:rPr>
        <w:t>Research paper · August 2026</w:t>
      </w:r>
    </w:p>
    <w:tbl>
      <w:tblPr>
        <w:tblW w:type="auto" w:w="0"/>
        <w:jc w:val="center"/>
        <w:tblLayout w:type="fixed"/>
        <w:tblLook w:firstColumn="1" w:firstRow="1" w:lastColumn="0" w:lastRow="0" w:noHBand="0" w:noVBand="1" w:val="04A0"/>
      </w:tblPr>
      <w:tblGrid>
        <w:gridCol w:w="9504"/>
      </w:tblGrid>
      <w:tr>
        <w:trPr>
          <w:trHeight w:hRule="atLeast"/>
        </w:trPr>
        <w:tc>
          <w:tcPr>
            <w:tcW w:type="dxa" w:w="9792"/>
            <w:shd w:fill="F2F2F2"/>
            <w:tcMar>
              <w:top w:w="120" w:type="dxa"/>
              <w:start w:w="160" w:type="dxa"/>
              <w:bottom w:w="120" w:type="dxa"/>
              <w:end w:w="160" w:type="dxa"/>
            </w:tcMar>
          </w:tcPr>
          <w:p>
            <w:r>
              <w:rPr>
                <w:rFonts w:ascii="Times New Roman" w:hAnsi="Times New Roman"/>
                <w:b/>
                <w:sz w:val="18"/>
              </w:rPr>
              <w:t>Abstract</w:t>
            </w:r>
          </w:p>
          <w:p>
            <w:pPr>
              <w:spacing w:after="40"/>
              <w:jc w:val="both"/>
            </w:pPr>
            <w:r>
              <w:rPr>
                <w:rFonts w:ascii="Times New Roman" w:hAnsi="Times New Roman"/>
                <w:sz w:val="18"/>
              </w:rPr>
              <w:t>Recent advances in automated theorem proving shift the bottleneck of mathematical progress away from proof generation and toward what Terence Tao has called proof digestion and canonicalization: the incorporation of results into the definitive theory of a field. This paper argues that canonicalization is not merely slower consolidation. The decisive separator is exogeneity. Storage preserves observed instances; consolidation estimates parameters inside a fixed model class under a fixed or exchangeable data-generating distribution; canonicalization changes the mathematical language itself, and thereby changes which questions are natural and which future results are generated. The resulting objective is performative: the representation D induces a future problem distribution P(D). Consequently, success on a self-induced corpus cannot identify canonicality. We develop this claim through five ideas. First, performatively stable mathematical 'schools' can be internally compressive without being globally canonical. Second, multi-environment invariance supplies a cheaper identification route than full cross-play, while remaining vulnerable to substrates shared by all environments. Third, mathematical exceptions should be treated as environments that perturb candidate theories, not as residual noise. Fourth, versioned formal libraries such as Mathlib make part of the proposal empirically measurable through cross-domain invariance tests on definition changes and refactorings. Fifth, mathematical AGI therefore requires exogenous problem streams and a mechanism that treats cross-environment disagreement as a trigger for language revision. The resulting criterion moves mathematical AGI beyond proof search: a system must be able to escape a performatively stable coordinate system rather than merely optimize within it.</w:t>
            </w:r>
          </w:p>
          <w:p>
            <w:r>
              <w:rPr>
                <w:rFonts w:ascii="Times New Roman" w:hAnsi="Times New Roman"/>
                <w:b/>
                <w:sz w:val="18"/>
              </w:rPr>
              <w:t xml:space="preserve">Keywords: </w:t>
            </w:r>
            <w:r>
              <w:rPr>
                <w:rFonts w:ascii="Times New Roman" w:hAnsi="Times New Roman"/>
                <w:sz w:val="18"/>
              </w:rPr>
              <w:t>mathematical AGI; canonicalization; performative prediction; invariant causal prediction; formal mathematics; Mathlib; model-class revision; proof digestion; complementary learning systems</w:t>
            </w:r>
          </w:p>
        </w:tc>
      </w:tr>
    </w:tbl>
    <w:p/>
    <w:p>
      <w:pPr>
        <w:pStyle w:val="Heading1"/>
        <w:keepNext/>
        <w:keepLines/>
      </w:pPr>
      <w:r>
        <w:t>1. Introduction: from proof abundance to canonical structure</w:t>
      </w:r>
    </w:p>
    <w:p>
      <w:pPr>
        <w:spacing w:line="259" w:lineRule="auto" w:after="100"/>
        <w:ind w:firstLine="317"/>
        <w:jc w:val="both"/>
      </w:pPr>
      <w:r>
        <w:t>The rapid improvement of AI-assisted theorem proving makes a previously secondary question central: what counts as mathematical progress when producing candidate proofs is no longer scarce? In his 2026 ICM public lecture, Terence Tao explicitly separated proof generation, verification, exposition, publication, digestion, and canonicalization, describing canonicalization as the slowest, least AI-amenable, and yet most valuable stage of the process [1]. The endpoint is not a merely correct proof but a result incorporated into the definitive theory of a subject, teachable to the next generation and reusable as infrastructure for further mathematics.</w:t>
      </w:r>
    </w:p>
    <w:p>
      <w:pPr>
        <w:spacing w:line="259" w:lineRule="auto" w:after="100"/>
        <w:ind w:firstLine="317"/>
        <w:jc w:val="both"/>
      </w:pPr>
      <w:r>
        <w:t>That formulation suggests that the central unsolved problem for mathematical AI is not sequence generation and not even formal verification. It is the transformation of a growing body of particular results into a smaller and more powerful language: definitions, equivalences, invariants, universal constructions, proof patterns, and structural relations. This paper calls that transformation canonicalization. The term is used in Tao's sociological and epistemic sense, not in the narrow sense of selecting a unique canonical form.</w:t>
      </w:r>
    </w:p>
    <w:p>
      <w:pPr>
        <w:spacing w:line="259" w:lineRule="auto" w:after="100"/>
        <w:ind w:firstLine="317"/>
        <w:jc w:val="both"/>
      </w:pPr>
      <w:r>
        <w:t>A first temptation is to model canonicalization as slow memory consolidation. The analogy to complementary learning systems is useful but incomplete. In classical accounts, the hippocampal system supports rapid acquisition of particular experiences while neocortical learning gradually extracts distributed structure and integrates it with prior knowledge [6]. That is a useful architectural analogy for mathematics: preserve exceptional instances while constructing reusable regularities. But timescale is not the decisive separator. A process can be slow and still be ordinary estimation; a process can be fast and still revise its language. The sharper distinction is whether the test distribution is exogenous to the representation being learned.</w:t>
      </w:r>
    </w:p>
    <w:p>
      <w:pPr>
        <w:spacing w:line="259" w:lineRule="auto" w:after="100"/>
        <w:ind w:firstLine="317"/>
        <w:jc w:val="both"/>
      </w:pPr>
      <w:r>
        <w:t>The thesis of this paper is therefore: canonicalization is performative model-class revision under endogenous problem generation. Once a mathematical representation helps determine the questions subsequently asked, internal predictive success is insufficient evidence that the representation is canonical. Canonicality becomes an identification problem requiring environmental variation. This connects Tao's canonicalization bottleneck, performative prediction, invariant causal prediction, formal-library maintenance, and the architecture of mathematical AGI in a single framework.</w:t>
      </w:r>
    </w:p>
    <w:p>
      <w:pPr>
        <w:pStyle w:val="Heading1"/>
        <w:keepNext/>
        <w:keepLines/>
      </w:pPr>
      <w:r>
        <w:t>2. Tao’s flow network and the location of the bottleneck</w:t>
      </w:r>
    </w:p>
    <w:p>
      <w:pPr>
        <w:spacing w:line="259" w:lineRule="auto" w:after="100"/>
        <w:ind w:firstLine="317"/>
        <w:jc w:val="both"/>
      </w:pPr>
      <w:r>
        <w:t>Tao's lecture begins by refusing to identify mathematics with problem solving alone. The goals of mathematics include understanding, theory building, training, community, shared knowledge, aesthetic value, and further objectives that cannot safely be collapsed into one metric [1]. This is a Goodhart warning: if proof count becomes the dominant measured target, AI may improve the proxy while degrading unmeasured objectives. Tao then traces a flow network from open problems to unverified solutions, verified solutions, well-written solutions, accepted solutions, and finally definitive solutions [1].</w:t>
      </w:r>
    </w:p>
    <w:tbl>
      <w:tblPr>
        <w:tblStyle w:val="TableGrid"/>
        <w:tblW w:type="auto" w:w="0"/>
        <w:jc w:val="center"/>
        <w:tblLook w:firstColumn="1" w:firstRow="1" w:lastColumn="0" w:lastRow="0" w:noHBand="0" w:noVBand="1" w:val="04A0"/>
      </w:tblPr>
      <w:tblGrid>
        <w:gridCol w:w="2448"/>
        <w:gridCol w:w="2448"/>
        <w:gridCol w:w="2448"/>
        <w:gridCol w:w="2448"/>
      </w:tblGrid>
      <w:tr>
        <w:trPr>
          <w:trHeight w:hRule="atLeast"/>
        </w:trPr>
        <w:tc>
          <w:tcPr>
            <w:tcW w:type="dxa" w:w="2448"/>
            <w:shd w:fill="D9EAF7"/>
            <w:vAlign w:val="center"/>
          </w:tcPr>
          <w:p>
            <w:r>
              <w:rPr>
                <w:rFonts w:ascii="Times New Roman" w:hAnsi="Times New Roman"/>
                <w:sz w:val="18"/>
              </w:rPr>
              <w:t>Stage</w:t>
            </w:r>
          </w:p>
        </w:tc>
        <w:tc>
          <w:tcPr>
            <w:tcW w:type="dxa" w:w="2448"/>
            <w:shd w:fill="D9EAF7"/>
            <w:vAlign w:val="center"/>
          </w:tcPr>
          <w:p>
            <w:r>
              <w:rPr>
                <w:rFonts w:ascii="Times New Roman" w:hAnsi="Times New Roman"/>
                <w:sz w:val="18"/>
              </w:rPr>
              <w:t>Mathematical operation</w:t>
            </w:r>
          </w:p>
        </w:tc>
        <w:tc>
          <w:tcPr>
            <w:tcW w:type="dxa" w:w="2448"/>
            <w:shd w:fill="D9EAF7"/>
            <w:vAlign w:val="center"/>
          </w:tcPr>
          <w:p>
            <w:r>
              <w:rPr>
                <w:rFonts w:ascii="Times New Roman" w:hAnsi="Times New Roman"/>
                <w:sz w:val="18"/>
              </w:rPr>
              <w:t>Typical success signal</w:t>
            </w:r>
          </w:p>
        </w:tc>
        <w:tc>
          <w:tcPr>
            <w:tcW w:type="dxa" w:w="2448"/>
            <w:shd w:fill="D9EAF7"/>
            <w:vAlign w:val="center"/>
          </w:tcPr>
          <w:p>
            <w:r>
              <w:rPr>
                <w:rFonts w:ascii="Times New Roman" w:hAnsi="Times New Roman"/>
                <w:sz w:val="18"/>
              </w:rPr>
              <w:t>AI-era risk</w:t>
            </w:r>
          </w:p>
        </w:tc>
      </w:tr>
      <w:tr>
        <w:trPr>
          <w:trHeight w:hRule="atLeast"/>
        </w:trPr>
        <w:tc>
          <w:tcPr>
            <w:tcW w:type="dxa" w:w="2448"/>
            <w:tcMar>
              <w:top w:w="80" w:type="dxa"/>
              <w:start w:w="80" w:type="dxa"/>
              <w:bottom w:w="80" w:type="dxa"/>
              <w:end w:w="80" w:type="dxa"/>
            </w:tcMar>
          </w:tcPr>
          <w:p>
            <w:r>
              <w:rPr>
                <w:rFonts w:ascii="Times New Roman" w:hAnsi="Times New Roman"/>
                <w:sz w:val="18"/>
              </w:rPr>
              <w:t>Generation</w:t>
            </w:r>
          </w:p>
        </w:tc>
        <w:tc>
          <w:tcPr>
            <w:tcW w:type="dxa" w:w="2448"/>
            <w:tcMar>
              <w:top w:w="80" w:type="dxa"/>
              <w:start w:w="80" w:type="dxa"/>
              <w:bottom w:w="80" w:type="dxa"/>
              <w:end w:w="80" w:type="dxa"/>
            </w:tcMar>
          </w:tcPr>
          <w:p>
            <w:r>
              <w:rPr>
                <w:rFonts w:ascii="Times New Roman" w:hAnsi="Times New Roman"/>
                <w:sz w:val="18"/>
              </w:rPr>
              <w:t>Search for a proof p of T</w:t>
            </w:r>
          </w:p>
        </w:tc>
        <w:tc>
          <w:tcPr>
            <w:tcW w:type="dxa" w:w="2448"/>
            <w:tcMar>
              <w:top w:w="80" w:type="dxa"/>
              <w:start w:w="80" w:type="dxa"/>
              <w:bottom w:w="80" w:type="dxa"/>
              <w:end w:w="80" w:type="dxa"/>
            </w:tcMar>
          </w:tcPr>
          <w:p>
            <w:r>
              <w:rPr>
                <w:rFonts w:ascii="Times New Roman" w:hAnsi="Times New Roman"/>
                <w:sz w:val="18"/>
              </w:rPr>
              <w:t>A candidate proof is produced</w:t>
            </w:r>
          </w:p>
        </w:tc>
        <w:tc>
          <w:tcPr>
            <w:tcW w:type="dxa" w:w="2448"/>
            <w:tcMar>
              <w:top w:w="80" w:type="dxa"/>
              <w:start w:w="80" w:type="dxa"/>
              <w:bottom w:w="80" w:type="dxa"/>
              <w:end w:w="80" w:type="dxa"/>
            </w:tcMar>
          </w:tcPr>
          <w:p>
            <w:r>
              <w:rPr>
                <w:rFonts w:ascii="Times New Roman" w:hAnsi="Times New Roman"/>
                <w:sz w:val="18"/>
              </w:rPr>
              <w:t>Candidate volume explodes</w:t>
            </w:r>
          </w:p>
        </w:tc>
      </w:tr>
      <w:tr>
        <w:trPr>
          <w:trHeight w:hRule="atLeast"/>
        </w:trPr>
        <w:tc>
          <w:tcPr>
            <w:tcW w:type="dxa" w:w="2448"/>
            <w:tcMar>
              <w:top w:w="80" w:type="dxa"/>
              <w:start w:w="80" w:type="dxa"/>
              <w:bottom w:w="80" w:type="dxa"/>
              <w:end w:w="80" w:type="dxa"/>
            </w:tcMar>
          </w:tcPr>
          <w:p>
            <w:r>
              <w:rPr>
                <w:rFonts w:ascii="Times New Roman" w:hAnsi="Times New Roman"/>
                <w:sz w:val="18"/>
              </w:rPr>
              <w:t>Verification</w:t>
            </w:r>
          </w:p>
        </w:tc>
        <w:tc>
          <w:tcPr>
            <w:tcW w:type="dxa" w:w="2448"/>
            <w:tcMar>
              <w:top w:w="80" w:type="dxa"/>
              <w:start w:w="80" w:type="dxa"/>
              <w:bottom w:w="80" w:type="dxa"/>
              <w:end w:w="80" w:type="dxa"/>
            </w:tcMar>
          </w:tcPr>
          <w:p>
            <w:r>
              <w:rPr>
                <w:rFonts w:ascii="Times New Roman" w:hAnsi="Times New Roman"/>
                <w:sz w:val="18"/>
              </w:rPr>
              <w:t>Check p : T</w:t>
            </w:r>
          </w:p>
        </w:tc>
        <w:tc>
          <w:tcPr>
            <w:tcW w:type="dxa" w:w="2448"/>
            <w:tcMar>
              <w:top w:w="80" w:type="dxa"/>
              <w:start w:w="80" w:type="dxa"/>
              <w:bottom w:w="80" w:type="dxa"/>
              <w:end w:w="80" w:type="dxa"/>
            </w:tcMar>
          </w:tcPr>
          <w:p>
            <w:r>
              <w:rPr>
                <w:rFonts w:ascii="Times New Roman" w:hAnsi="Times New Roman"/>
                <w:sz w:val="18"/>
              </w:rPr>
              <w:t>Binary/structured formal certificate</w:t>
            </w:r>
          </w:p>
        </w:tc>
        <w:tc>
          <w:tcPr>
            <w:tcW w:type="dxa" w:w="2448"/>
            <w:tcMar>
              <w:top w:w="80" w:type="dxa"/>
              <w:start w:w="80" w:type="dxa"/>
              <w:bottom w:w="80" w:type="dxa"/>
              <w:end w:w="80" w:type="dxa"/>
            </w:tcMar>
          </w:tcPr>
          <w:p>
            <w:r>
              <w:rPr>
                <w:rFonts w:ascii="Times New Roman" w:hAnsi="Times New Roman"/>
                <w:sz w:val="18"/>
              </w:rPr>
              <w:t>Verification queue, formalization cost</w:t>
            </w:r>
          </w:p>
        </w:tc>
      </w:tr>
      <w:tr>
        <w:trPr>
          <w:trHeight w:hRule="atLeast"/>
        </w:trPr>
        <w:tc>
          <w:tcPr>
            <w:tcW w:type="dxa" w:w="2448"/>
            <w:tcMar>
              <w:top w:w="80" w:type="dxa"/>
              <w:start w:w="80" w:type="dxa"/>
              <w:bottom w:w="80" w:type="dxa"/>
              <w:end w:w="80" w:type="dxa"/>
            </w:tcMar>
          </w:tcPr>
          <w:p>
            <w:r>
              <w:rPr>
                <w:rFonts w:ascii="Times New Roman" w:hAnsi="Times New Roman"/>
                <w:sz w:val="18"/>
              </w:rPr>
              <w:t>Exposition</w:t>
            </w:r>
          </w:p>
        </w:tc>
        <w:tc>
          <w:tcPr>
            <w:tcW w:type="dxa" w:w="2448"/>
            <w:tcMar>
              <w:top w:w="80" w:type="dxa"/>
              <w:start w:w="80" w:type="dxa"/>
              <w:bottom w:w="80" w:type="dxa"/>
              <w:end w:w="80" w:type="dxa"/>
            </w:tcMar>
          </w:tcPr>
          <w:p>
            <w:r>
              <w:rPr>
                <w:rFonts w:ascii="Times New Roman" w:hAnsi="Times New Roman"/>
                <w:sz w:val="18"/>
              </w:rPr>
              <w:t>Explain the proof and its key ideas</w:t>
            </w:r>
          </w:p>
        </w:tc>
        <w:tc>
          <w:tcPr>
            <w:tcW w:type="dxa" w:w="2448"/>
            <w:tcMar>
              <w:top w:w="80" w:type="dxa"/>
              <w:start w:w="80" w:type="dxa"/>
              <w:bottom w:w="80" w:type="dxa"/>
              <w:end w:w="80" w:type="dxa"/>
            </w:tcMar>
          </w:tcPr>
          <w:p>
            <w:r>
              <w:rPr>
                <w:rFonts w:ascii="Times New Roman" w:hAnsi="Times New Roman"/>
                <w:sz w:val="18"/>
              </w:rPr>
              <w:t>Human comprehension and communicability</w:t>
            </w:r>
          </w:p>
        </w:tc>
        <w:tc>
          <w:tcPr>
            <w:tcW w:type="dxa" w:w="2448"/>
            <w:tcMar>
              <w:top w:w="80" w:type="dxa"/>
              <w:start w:w="80" w:type="dxa"/>
              <w:bottom w:w="80" w:type="dxa"/>
              <w:end w:w="80" w:type="dxa"/>
            </w:tcMar>
          </w:tcPr>
          <w:p>
            <w:r>
              <w:rPr>
                <w:rFonts w:ascii="Times New Roman" w:hAnsi="Times New Roman"/>
                <w:sz w:val="18"/>
              </w:rPr>
              <w:t>Polished text without structural understanding</w:t>
            </w:r>
          </w:p>
        </w:tc>
      </w:tr>
      <w:tr>
        <w:trPr>
          <w:trHeight w:hRule="atLeast"/>
        </w:trPr>
        <w:tc>
          <w:tcPr>
            <w:tcW w:type="dxa" w:w="2448"/>
            <w:tcMar>
              <w:top w:w="80" w:type="dxa"/>
              <w:start w:w="80" w:type="dxa"/>
              <w:bottom w:w="80" w:type="dxa"/>
              <w:end w:w="80" w:type="dxa"/>
            </w:tcMar>
          </w:tcPr>
          <w:p>
            <w:r>
              <w:rPr>
                <w:rFonts w:ascii="Times New Roman" w:hAnsi="Times New Roman"/>
                <w:sz w:val="18"/>
              </w:rPr>
              <w:t>Acceptance</w:t>
            </w:r>
          </w:p>
        </w:tc>
        <w:tc>
          <w:tcPr>
            <w:tcW w:type="dxa" w:w="2448"/>
            <w:tcMar>
              <w:top w:w="80" w:type="dxa"/>
              <w:start w:w="80" w:type="dxa"/>
              <w:bottom w:w="80" w:type="dxa"/>
              <w:end w:w="80" w:type="dxa"/>
            </w:tcMar>
          </w:tcPr>
          <w:p>
            <w:r>
              <w:rPr>
                <w:rFonts w:ascii="Times New Roman" w:hAnsi="Times New Roman"/>
                <w:sz w:val="18"/>
              </w:rPr>
              <w:t>Community evaluation and reuse</w:t>
            </w:r>
          </w:p>
        </w:tc>
        <w:tc>
          <w:tcPr>
            <w:tcW w:type="dxa" w:w="2448"/>
            <w:tcMar>
              <w:top w:w="80" w:type="dxa"/>
              <w:start w:w="80" w:type="dxa"/>
              <w:bottom w:w="80" w:type="dxa"/>
              <w:end w:w="80" w:type="dxa"/>
            </w:tcMar>
          </w:tcPr>
          <w:p>
            <w:r>
              <w:rPr>
                <w:rFonts w:ascii="Times New Roman" w:hAnsi="Times New Roman"/>
                <w:sz w:val="18"/>
              </w:rPr>
              <w:t>Independent uptake</w:t>
            </w:r>
          </w:p>
        </w:tc>
        <w:tc>
          <w:tcPr>
            <w:tcW w:type="dxa" w:w="2448"/>
            <w:tcMar>
              <w:top w:w="80" w:type="dxa"/>
              <w:start w:w="80" w:type="dxa"/>
              <w:bottom w:w="80" w:type="dxa"/>
              <w:end w:w="80" w:type="dxa"/>
            </w:tcMar>
          </w:tcPr>
          <w:p>
            <w:r>
              <w:rPr>
                <w:rFonts w:ascii="Times New Roman" w:hAnsi="Times New Roman"/>
                <w:sz w:val="18"/>
              </w:rPr>
              <w:t>Peer-review overload</w:t>
            </w:r>
          </w:p>
        </w:tc>
      </w:tr>
      <w:tr>
        <w:trPr>
          <w:trHeight w:hRule="atLeast"/>
        </w:trPr>
        <w:tc>
          <w:tcPr>
            <w:tcW w:type="dxa" w:w="2448"/>
            <w:tcMar>
              <w:top w:w="80" w:type="dxa"/>
              <w:start w:w="80" w:type="dxa"/>
              <w:bottom w:w="80" w:type="dxa"/>
              <w:end w:w="80" w:type="dxa"/>
            </w:tcMar>
          </w:tcPr>
          <w:p>
            <w:r>
              <w:rPr>
                <w:rFonts w:ascii="Times New Roman" w:hAnsi="Times New Roman"/>
                <w:sz w:val="18"/>
              </w:rPr>
              <w:t>Canonicalization</w:t>
            </w:r>
          </w:p>
        </w:tc>
        <w:tc>
          <w:tcPr>
            <w:tcW w:type="dxa" w:w="2448"/>
            <w:tcMar>
              <w:top w:w="80" w:type="dxa"/>
              <w:start w:w="80" w:type="dxa"/>
              <w:bottom w:w="80" w:type="dxa"/>
              <w:end w:w="80" w:type="dxa"/>
            </w:tcMar>
          </w:tcPr>
          <w:p>
            <w:r>
              <w:rPr>
                <w:rFonts w:ascii="Times New Roman" w:hAnsi="Times New Roman"/>
                <w:sz w:val="18"/>
              </w:rPr>
              <w:t>Reorganize results into definitive theory</w:t>
            </w:r>
          </w:p>
        </w:tc>
        <w:tc>
          <w:tcPr>
            <w:tcW w:type="dxa" w:w="2448"/>
            <w:tcMar>
              <w:top w:w="80" w:type="dxa"/>
              <w:start w:w="80" w:type="dxa"/>
              <w:bottom w:w="80" w:type="dxa"/>
              <w:end w:w="80" w:type="dxa"/>
            </w:tcMar>
          </w:tcPr>
          <w:p>
            <w:r>
              <w:rPr>
                <w:rFonts w:ascii="Times New Roman" w:hAnsi="Times New Roman"/>
                <w:sz w:val="18"/>
              </w:rPr>
              <w:t>Stable reuse across contexts and generations</w:t>
            </w:r>
          </w:p>
        </w:tc>
        <w:tc>
          <w:tcPr>
            <w:tcW w:type="dxa" w:w="2448"/>
            <w:tcMar>
              <w:top w:w="80" w:type="dxa"/>
              <w:start w:w="80" w:type="dxa"/>
              <w:bottom w:w="80" w:type="dxa"/>
              <w:end w:w="80" w:type="dxa"/>
            </w:tcMar>
          </w:tcPr>
          <w:p>
            <w:r>
              <w:rPr>
                <w:rFonts w:ascii="Times New Roman" w:hAnsi="Times New Roman"/>
                <w:sz w:val="18"/>
              </w:rPr>
              <w:t>Backlog of correct but non-compounding results</w:t>
            </w:r>
          </w:p>
        </w:tc>
      </w:tr>
    </w:tbl>
    <w:p>
      <w:pPr>
        <w:spacing w:line="259" w:lineRule="auto" w:after="100"/>
        <w:ind w:firstLine="317"/>
        <w:jc w:val="both"/>
      </w:pPr>
      <w:r>
        <w:t>A throughput model alone would write Φ ≤ min_i C_i, with C_i the capacities of the stages. That is useful but incomplete. The more revealing quantity is the growing delay between a correct result and its integration into a reusable theory. AI can increase the arrival rate of verified results while the effective rate of canonical integration remains approximately fixed. The observable pathology is therefore not fewer theorems but increasing sojourn time before a theorem matters.</w:t>
      </w:r>
    </w:p>
    <w:p>
      <w:pPr>
        <w:spacing w:before="80" w:after="100"/>
        <w:jc w:val="center"/>
      </w:pPr>
      <w:r>
        <w:rPr>
          <w:rFonts w:ascii="Cambria Math" w:hAnsi="Cambria Math"/>
          <w:sz w:val="22"/>
        </w:rPr>
        <w:t>L = λW</w:t>
      </w:r>
      <w:r>
        <w:rPr>
          <w:rFonts w:ascii="Times New Roman" w:hAnsi="Times New Roman"/>
          <w:sz w:val="20"/>
        </w:rPr>
        <w:t xml:space="preserve">    (1)</w:t>
      </w:r>
    </w:p>
    <w:p>
      <w:pPr>
        <w:spacing w:line="259" w:lineRule="auto" w:after="100"/>
        <w:ind w:firstLine="317"/>
        <w:jc w:val="both"/>
      </w:pPr>
      <w:r>
        <w:t>Little's law suggests that if the arrival rate λ rises against a relatively fixed service capacity for digestion, the queue length L and waiting time W grow even when canonicalization throughput remains constant. Tao's 'proof indigestion' is therefore naturally interpreted as a queueing phenomenon. The remaining question is why canonicalization capacity is intrinsically difficult to scale. The answer developed below is not merely that canonicalization is slow or human. It is that its target is endogenous.</w:t>
      </w:r>
    </w:p>
    <w:p>
      <w:pPr>
        <w:pStyle w:val="Heading1"/>
        <w:keepNext/>
        <w:keepLines/>
      </w:pPr>
      <w:r>
        <w:t>3. Exogeneity separates storage, consolidation, and canonicalization</w:t>
      </w:r>
    </w:p>
    <w:p>
      <w:pPr>
        <w:spacing w:line="259" w:lineRule="auto" w:after="100"/>
        <w:ind w:firstLine="317"/>
        <w:jc w:val="both"/>
      </w:pPr>
      <w:r>
        <w:t>The three operations can be written as distinct statistical problems. Storage asks for fidelity to observed instances. Consolidation estimates parameters inside a fixed hypothesis class M, evaluated on fresh observations drawn from a distribution P that is treated as exogenous. Canonicalization searches over the model class or language itself. In mathematics, that means adding or replacing definitions, primitives, equivalence notions, admissible constructions, or proof interfaces.</w:t>
      </w:r>
    </w:p>
    <w:p>
      <w:pPr>
        <w:spacing w:before="80" w:after="100"/>
        <w:jc w:val="center"/>
      </w:pPr>
      <w:r>
        <w:rPr>
          <w:rFonts w:ascii="Cambria Math" w:hAnsi="Cambria Math"/>
          <w:sz w:val="22"/>
        </w:rPr>
        <w:t>Storage:      xᵢ → x̂ᵢ</w:t>
      </w:r>
      <w:r>
        <w:rPr>
          <w:rFonts w:ascii="Times New Roman" w:hAnsi="Times New Roman"/>
          <w:sz w:val="20"/>
        </w:rPr>
        <w:t xml:space="preserve">    (2)</w:t>
      </w:r>
    </w:p>
    <w:p>
      <w:pPr>
        <w:spacing w:before="80" w:after="100"/>
        <w:jc w:val="center"/>
      </w:pPr>
      <w:r>
        <w:rPr>
          <w:rFonts w:ascii="Cambria Math" w:hAnsi="Cambria Math"/>
          <w:sz w:val="22"/>
        </w:rPr>
        <w:t>Consolidation:      θ̂ = arg min_{θ ∈ M}  E_{x ∼ P}[ℓ(θ, x)]</w:t>
      </w:r>
      <w:r>
        <w:rPr>
          <w:rFonts w:ascii="Times New Roman" w:hAnsi="Times New Roman"/>
          <w:sz w:val="20"/>
        </w:rPr>
        <w:t xml:space="preserve">    (3)</w:t>
      </w:r>
    </w:p>
    <w:p>
      <w:pPr>
        <w:spacing w:before="80" w:after="100"/>
        <w:jc w:val="center"/>
      </w:pPr>
      <w:r>
        <w:rPr>
          <w:rFonts w:ascii="Cambria Math" w:hAnsi="Cambria Math"/>
          <w:sz w:val="22"/>
        </w:rPr>
        <w:t>Canonicalization:      D̂ = arg min_D { |D| + E_{p ∼ P(D)}[ |pᴰ| ] }</w:t>
      </w:r>
      <w:r>
        <w:rPr>
          <w:rFonts w:ascii="Times New Roman" w:hAnsi="Times New Roman"/>
          <w:sz w:val="20"/>
        </w:rPr>
        <w:t xml:space="preserve">    (4)</w:t>
      </w:r>
    </w:p>
    <w:p>
      <w:pPr>
        <w:spacing w:line="259" w:lineRule="auto" w:after="100"/>
        <w:ind w:firstLine="317"/>
        <w:jc w:val="both"/>
      </w:pPr>
      <w:r>
        <w:t>Equation (4) differs qualitatively from ordinary held-out evaluation because P depends on D. A language affects which similarities are visible, which questions are easy to state, what constitutes an elegant problem, what students learn, what tools are built, and which research programs attract attention. The corpus is therefore partly generated by the representation. The objective is performative in the sense of Perdomo et al.: the deployed decision changes the distribution on which it will later be evaluated [2].</w:t>
      </w:r>
    </w:p>
    <w:p>
      <w:pPr>
        <w:spacing w:before="120" w:after="60"/>
      </w:pPr>
      <w:r>
        <w:rPr>
          <w:b/>
          <w:i/>
        </w:rPr>
        <w:t xml:space="preserve">Definition 1 (Performative mathematical representation). </w:t>
      </w:r>
      <w:r>
        <w:t>A mathematical language or theory D is performative if adoption of D changes the future distribution P(D) of problems, proofs, formalizations, or applications used to evaluate D.</w:t>
      </w:r>
    </w:p>
    <w:p>
      <w:pPr>
        <w:spacing w:line="259" w:lineRule="auto" w:after="100"/>
        <w:ind w:firstLine="317"/>
        <w:jc w:val="both"/>
      </w:pPr>
      <w:r>
        <w:t>This distinction removes the need to treat decade-scale reward latency as the fundamental obstacle. Long latency is a symptom. Even an instantaneous evaluator would face the deeper problem that the test set is partially downstream of the candidate representation.</w:t>
      </w:r>
    </w:p>
    <w:p>
      <w:pPr>
        <w:pStyle w:val="Heading1"/>
        <w:keepNext/>
        <w:keepLines/>
      </w:pPr>
      <w:r>
        <w:t>4. Performative stability and the mathematical school</w:t>
      </w:r>
    </w:p>
    <w:p>
      <w:pPr>
        <w:spacing w:line="259" w:lineRule="auto" w:after="100"/>
        <w:ind w:firstLine="317"/>
        <w:jc w:val="both"/>
      </w:pPr>
      <w:r>
        <w:t>Performative prediction introduces an equilibrium concept: a model can be stable because it is optimal for the distribution that its own deployment induces [2]. The same idea has a natural mathematical analogue. A mathematical school is not merely a sociological group; it can be modeled as a performatively stable coordinate system. Its definitions make a class of questions natural, its training produces researchers fluent in those questions, and its successes reinforce the language that generated the stream.</w:t>
      </w:r>
    </w:p>
    <w:p>
      <w:pPr>
        <w:spacing w:before="80" w:after="100"/>
        <w:jc w:val="center"/>
      </w:pPr>
      <w:r>
        <w:rPr>
          <w:rFonts w:ascii="Cambria Math" w:hAnsi="Cambria Math"/>
          <w:sz w:val="22"/>
        </w:rPr>
        <w:t>D* ∈ arg min_D R(D ; P(D*))</w:t>
      </w:r>
      <w:r>
        <w:rPr>
          <w:rFonts w:ascii="Times New Roman" w:hAnsi="Times New Roman"/>
          <w:sz w:val="20"/>
        </w:rPr>
        <w:t xml:space="preserve">    (5)</w:t>
      </w:r>
    </w:p>
    <w:p>
      <w:pPr>
        <w:spacing w:line="259" w:lineRule="auto" w:after="100"/>
        <w:ind w:firstLine="317"/>
        <w:jc w:val="both"/>
      </w:pPr>
      <w:r>
        <w:t>Equation (5) is an internal equilibrium condition. It does not imply that D* minimizes the performative objective R(D; P(D)) over all D. More importantly, it does not imply canonicality in any stronger epistemic sense. A school can be self-confirming: internally elegant, compressive, predictive, productive, and still locally trapped.</w:t>
      </w:r>
    </w:p>
    <w:p>
      <w:pPr>
        <w:spacing w:before="120" w:after="60"/>
      </w:pPr>
      <w:r>
        <w:rPr>
          <w:b/>
          <w:i/>
        </w:rPr>
        <w:t xml:space="preserve">Proposition 1 (Single-stream non-identifiability). </w:t>
      </w:r>
      <w:r>
        <w:t>Suppose only samples from P(D*) are observable. If two candidate languages D₁ and D₂ agree in risk on P(D*) but induce different counterfactual problem distributions P(D₁) and P(D₂), then no amount of additional IID sampling from P(D*) can identify which language has lower performative risk on its own induced distribution.</w:t>
      </w:r>
    </w:p>
    <w:p>
      <w:pPr>
        <w:spacing w:line="259" w:lineRule="auto" w:after="100"/>
        <w:ind w:firstLine="317"/>
        <w:jc w:val="both"/>
      </w:pPr>
      <w:r>
        <w:t>Proof sketch. The observable likelihood under the realized environment is identical for the two candidates by assumption. Their distinction concerns counterfactual distributions that are not sampled. Hence the target is not identifiable from the realized stream alone. Additional data from the same stream improve estimation within that environment but do not create the missing intervention contrast.</w:t>
      </w:r>
    </w:p>
    <w:p>
      <w:pPr>
        <w:spacing w:line="259" w:lineRule="auto" w:after="100"/>
        <w:ind w:firstLine="317"/>
        <w:jc w:val="both"/>
      </w:pPr>
      <w:r>
        <w:t>This is the core reason that a purely internal 'self-doubt' or introspection module is insufficient. The search space of alternative representations is itself generated in the current language. If the alternatives are all descendants of the same coordinate system, escape regret remains endogenous.</w:t>
      </w:r>
    </w:p>
    <w:p>
      <w:pPr>
        <w:pStyle w:val="Heading1"/>
        <w:keepNext/>
        <w:keepLines/>
      </w:pPr>
      <w:r>
        <w:t>5. Three routes to identification: randomization, instruments, invariance</w:t>
      </w:r>
    </w:p>
    <w:p>
      <w:pPr>
        <w:spacing w:line="259" w:lineRule="auto" w:after="100"/>
        <w:ind w:firstLine="317"/>
        <w:jc w:val="both"/>
      </w:pPr>
      <w:r>
        <w:t>Once canonicality is treated as a causal quantity, the standard identification toolkit becomes relevant. There are three conceptually distinct ways to obtain information not already contained in a single self-induced stream.</w:t>
      </w:r>
    </w:p>
    <w:p>
      <w:pPr>
        <w:pStyle w:val="ListBullet"/>
      </w:pPr>
      <w:r>
        <w:rPr>
          <w:b/>
        </w:rPr>
        <w:t xml:space="preserve">Randomization / cross-play: </w:t>
      </w:r>
      <w:r>
        <w:t>Instantiate rival mathematical languages D₁,…,D_k, allow each to generate or select its own problem stream P(D_j), and evaluate every language on every stream.</w:t>
      </w:r>
    </w:p>
    <w:p>
      <w:pPr>
        <w:pStyle w:val="ListBullet"/>
      </w:pPr>
      <w:r>
        <w:rPr>
          <w:b/>
        </w:rPr>
        <w:t xml:space="preserve">Instruments: </w:t>
      </w:r>
      <w:r>
        <w:t>Use problem sources that are related to mathematical importance but not downstream of the current representation—historically, physical science is an important candidate.</w:t>
      </w:r>
    </w:p>
    <w:p>
      <w:pPr>
        <w:pStyle w:val="ListBullet"/>
      </w:pPr>
      <w:r>
        <w:rPr>
          <w:b/>
        </w:rPr>
        <w:t xml:space="preserve">Invariance: </w:t>
      </w:r>
      <w:r>
        <w:t>Use naturally heterogeneous environments with partly independent development histories and prefer structures whose predictive or compressive relation remains stable across them.</w:t>
      </w:r>
    </w:p>
    <w:p>
      <w:pPr>
        <w:spacing w:line="259" w:lineRule="auto" w:after="100"/>
        <w:ind w:firstLine="317"/>
        <w:jc w:val="both"/>
      </w:pPr>
      <w:r>
        <w:t>Randomization is the cleanest but most expensive. Full cross-play requires developing rival schools far enough that each can generate a meaningful research distribution. It can also fail if all rivals are expressible only inside the current meta-language. Instruments are cheaper when available but require a credible exclusion story. Invariance is especially attractive because it needs heterogeneity rather than deliberate construction of complete rival worlds.</w:t>
      </w:r>
    </w:p>
    <w:p>
      <w:pPr>
        <w:pStyle w:val="Heading1"/>
        <w:keepNext/>
        <w:keepLines/>
      </w:pPr>
      <w:r>
        <w:t>6. Canonicality as cross-environment invariance</w:t>
      </w:r>
    </w:p>
    <w:p>
      <w:pPr>
        <w:spacing w:line="259" w:lineRule="auto" w:after="100"/>
        <w:ind w:firstLine="317"/>
        <w:jc w:val="both"/>
      </w:pPr>
      <w:r>
        <w:t>Invariant causal prediction (ICP) exploits the idea that a causal relation should remain stable under changes of environment, while spurious predictive relations may vary [3]. The analogy cannot be transferred mechanically: a mathematical definition is not literally a causal parent. But the identification pattern is useful. A candidate structure is stronger evidence for canonicality when its compression or explanatory coefficient remains stable across mathematical environments that arose with partially independent causal histories.</w:t>
      </w:r>
    </w:p>
    <w:p>
      <w:pPr>
        <w:spacing w:before="80" w:after="100"/>
        <w:jc w:val="center"/>
      </w:pPr>
      <w:r>
        <w:rPr>
          <w:rFonts w:ascii="Cambria Math" w:hAnsi="Cambria Math"/>
          <w:sz w:val="22"/>
        </w:rPr>
        <w:t>D is canonical at environment level 𝓔  ⇔  βₑ(D) ≈ β(D) for all e ∈ 𝓔</w:t>
      </w:r>
      <w:r>
        <w:rPr>
          <w:rFonts w:ascii="Times New Roman" w:hAnsi="Times New Roman"/>
          <w:sz w:val="20"/>
        </w:rPr>
        <w:t xml:space="preserve">    (6)</w:t>
      </w:r>
    </w:p>
    <w:p>
      <w:pPr>
        <w:spacing w:line="259" w:lineRule="auto" w:after="100"/>
        <w:ind w:firstLine="317"/>
        <w:jc w:val="both"/>
      </w:pPr>
      <w:r>
        <w:t>Here βₑ(D) is a measurable effect of D in environment e—for example, reduction in dependency depth, proof-term size, duplicated infrastructure, or proof complexity after controlling for contemporaneous changes. The crucial prediction is counterintuitive: a representation with a modest but stable effect across environments should be preferred to a representation with a spectacular effect in its home environment and negligible effect elsewhere.</w:t>
      </w:r>
    </w:p>
    <w:tbl>
      <w:tblPr>
        <w:tblStyle w:val="TableGrid"/>
        <w:tblW w:type="auto" w:w="0"/>
        <w:jc w:val="center"/>
        <w:tblLook w:firstColumn="1" w:firstRow="1" w:lastColumn="0" w:lastRow="0" w:noHBand="0" w:noVBand="1" w:val="04A0"/>
      </w:tblPr>
      <w:tblGrid>
        <w:gridCol w:w="3264"/>
        <w:gridCol w:w="3264"/>
        <w:gridCol w:w="3264"/>
      </w:tblGrid>
      <w:tr>
        <w:trPr>
          <w:trHeight w:hRule="atLeast"/>
        </w:trPr>
        <w:tc>
          <w:tcPr>
            <w:tcW w:type="dxa" w:w="3264"/>
            <w:shd w:fill="E2F0D9"/>
          </w:tcPr>
          <w:p>
            <w:r>
              <w:rPr>
                <w:rFonts w:ascii="Times New Roman" w:hAnsi="Times New Roman"/>
                <w:sz w:val="18"/>
              </w:rPr>
              <w:t>Pattern</w:t>
            </w:r>
          </w:p>
        </w:tc>
        <w:tc>
          <w:tcPr>
            <w:tcW w:type="dxa" w:w="3264"/>
            <w:shd w:fill="E2F0D9"/>
          </w:tcPr>
          <w:p>
            <w:r>
              <w:rPr>
                <w:rFonts w:ascii="Times New Roman" w:hAnsi="Times New Roman"/>
                <w:sz w:val="18"/>
              </w:rPr>
              <w:t>Home-environment effect</w:t>
            </w:r>
          </w:p>
        </w:tc>
        <w:tc>
          <w:tcPr>
            <w:tcW w:type="dxa" w:w="3264"/>
            <w:shd w:fill="E2F0D9"/>
          </w:tcPr>
          <w:p>
            <w:r>
              <w:rPr>
                <w:rFonts w:ascii="Times New Roman" w:hAnsi="Times New Roman"/>
                <w:sz w:val="18"/>
              </w:rPr>
              <w:t>Cross-environment profile</w:t>
            </w:r>
          </w:p>
        </w:tc>
      </w:tr>
      <w:tr>
        <w:trPr>
          <w:trHeight w:hRule="atLeast"/>
        </w:trPr>
        <w:tc>
          <w:tcPr>
            <w:tcW w:type="dxa" w:w="3264"/>
          </w:tcPr>
          <w:p>
            <w:r>
              <w:rPr>
                <w:rFonts w:ascii="Times New Roman" w:hAnsi="Times New Roman"/>
                <w:sz w:val="18"/>
              </w:rPr>
              <w:t>School-like abstraction</w:t>
            </w:r>
          </w:p>
        </w:tc>
        <w:tc>
          <w:tcPr>
            <w:tcW w:type="dxa" w:w="3264"/>
          </w:tcPr>
          <w:p>
            <w:r>
              <w:rPr>
                <w:rFonts w:ascii="Times New Roman" w:hAnsi="Times New Roman"/>
                <w:sz w:val="18"/>
              </w:rPr>
              <w:t>Large</w:t>
            </w:r>
          </w:p>
        </w:tc>
        <w:tc>
          <w:tcPr>
            <w:tcW w:type="dxa" w:w="3264"/>
          </w:tcPr>
          <w:p>
            <w:r>
              <w:rPr>
                <w:rFonts w:ascii="Times New Roman" w:hAnsi="Times New Roman"/>
                <w:sz w:val="18"/>
              </w:rPr>
              <w:t>High heterogeneity; weak transfer</w:t>
            </w:r>
          </w:p>
        </w:tc>
      </w:tr>
      <w:tr>
        <w:trPr>
          <w:trHeight w:hRule="atLeast"/>
        </w:trPr>
        <w:tc>
          <w:tcPr>
            <w:tcW w:type="dxa" w:w="3264"/>
          </w:tcPr>
          <w:p>
            <w:r>
              <w:rPr>
                <w:rFonts w:ascii="Times New Roman" w:hAnsi="Times New Roman"/>
                <w:sz w:val="18"/>
              </w:rPr>
              <w:t>Canonical candidate</w:t>
            </w:r>
          </w:p>
        </w:tc>
        <w:tc>
          <w:tcPr>
            <w:tcW w:type="dxa" w:w="3264"/>
          </w:tcPr>
          <w:p>
            <w:r>
              <w:rPr>
                <w:rFonts w:ascii="Times New Roman" w:hAnsi="Times New Roman"/>
                <w:sz w:val="18"/>
              </w:rPr>
              <w:t>Moderate or large</w:t>
            </w:r>
          </w:p>
        </w:tc>
        <w:tc>
          <w:tcPr>
            <w:tcW w:type="dxa" w:w="3264"/>
          </w:tcPr>
          <w:p>
            <w:r>
              <w:rPr>
                <w:rFonts w:ascii="Times New Roman" w:hAnsi="Times New Roman"/>
                <w:sz w:val="18"/>
              </w:rPr>
              <w:t>Low heterogeneity; stable transfer</w:t>
            </w:r>
          </w:p>
        </w:tc>
      </w:tr>
      <w:tr>
        <w:trPr>
          <w:trHeight w:hRule="atLeast"/>
        </w:trPr>
        <w:tc>
          <w:tcPr>
            <w:tcW w:type="dxa" w:w="3264"/>
          </w:tcPr>
          <w:p>
            <w:r>
              <w:rPr>
                <w:rFonts w:ascii="Times New Roman" w:hAnsi="Times New Roman"/>
                <w:sz w:val="18"/>
              </w:rPr>
              <w:t>Shared-substrate artifact</w:t>
            </w:r>
          </w:p>
        </w:tc>
        <w:tc>
          <w:tcPr>
            <w:tcW w:type="dxa" w:w="3264"/>
          </w:tcPr>
          <w:p>
            <w:r>
              <w:rPr>
                <w:rFonts w:ascii="Times New Roman" w:hAnsi="Times New Roman"/>
                <w:sz w:val="18"/>
              </w:rPr>
              <w:t>Stable</w:t>
            </w:r>
          </w:p>
        </w:tc>
        <w:tc>
          <w:tcPr>
            <w:tcW w:type="dxa" w:w="3264"/>
          </w:tcPr>
          <w:p>
            <w:r>
              <w:rPr>
                <w:rFonts w:ascii="Times New Roman" w:hAnsi="Times New Roman"/>
                <w:sz w:val="18"/>
              </w:rPr>
              <w:t>Stable only because all environments share the same confounder</w:t>
            </w:r>
          </w:p>
        </w:tc>
      </w:tr>
    </w:tbl>
    <w:p>
      <w:pPr>
        <w:spacing w:line="259" w:lineRule="auto" w:after="100"/>
        <w:ind w:firstLine="317"/>
        <w:jc w:val="both"/>
      </w:pPr>
      <w:r>
        <w:t>The last row is the essential failure mode. ICP-style invariance identifies only relative to the environments provided. If every mathematical subfield shares the same foundational substrate—classical logic, extensional equality, set-theoretic function, a common formalization discipline—then invariance across subfields cannot reveal that substrate as a contingent choice. Meta-canonicalization therefore requires environments that perturb the substrate itself.</w:t>
      </w:r>
    </w:p>
    <w:p>
      <w:pPr>
        <w:spacing w:before="120" w:after="60"/>
      </w:pPr>
      <w:r>
        <w:rPr>
          <w:b/>
          <w:i/>
        </w:rPr>
        <w:t xml:space="preserve">Proposition 2 (Conditional canonicality). </w:t>
      </w:r>
      <w:r>
        <w:t>An invariance test over environments 𝓔 can at most identify canonicality conditional on features shared by every e ∈ 𝓔. A substrate invariant across all environments is not testable by environment heterogeneity at that level.</w:t>
      </w:r>
    </w:p>
    <w:p>
      <w:pPr>
        <w:pStyle w:val="Heading1"/>
        <w:keepNext/>
        <w:keepLines/>
      </w:pPr>
      <w:r>
        <w:t>7. Exceptions are environments, not residuals</w:t>
      </w:r>
    </w:p>
    <w:p>
      <w:pPr>
        <w:spacing w:line="259" w:lineRule="auto" w:after="100"/>
        <w:ind w:firstLine="317"/>
        <w:jc w:val="both"/>
      </w:pPr>
      <w:r>
        <w:t>A previous compression view might treat poorly compressed results as residuals r_i(D). That is too passive. In mathematics, exceptions are often precisely the objects that expose a missing assumption or a wrong level of abstraction. Their epistemic role is closer to an experimental environment: they perturb the candidate theory and reveal which relationships survive.</w:t>
      </w:r>
    </w:p>
    <w:p>
      <w:pPr>
        <w:spacing w:before="80" w:after="100"/>
        <w:jc w:val="center"/>
      </w:pPr>
      <w:r>
        <w:rPr>
          <w:rFonts w:ascii="Cambria Math" w:hAnsi="Cambria Math"/>
          <w:sz w:val="22"/>
        </w:rPr>
        <w:t>rᵢ(D) = |pᵢᴰ| − bᵢ</w:t>
      </w:r>
      <w:r>
        <w:rPr>
          <w:rFonts w:ascii="Times New Roman" w:hAnsi="Times New Roman"/>
          <w:sz w:val="20"/>
        </w:rPr>
        <w:t xml:space="preserve">    (7)</w:t>
      </w:r>
    </w:p>
    <w:p>
      <w:pPr>
        <w:spacing w:line="259" w:lineRule="auto" w:after="100"/>
        <w:ind w:firstLine="317"/>
        <w:jc w:val="both"/>
      </w:pPr>
      <w:r>
        <w:t>The correct objective is therefore not to minimize the residuals away. A canonical theory should often increase the salience of exceptions by sharply compressing the regular bulk while leaving a stable, independently coherent set of resistant cases. Literal bimodality is not required and can be manufactured by privileging a subdomain. The stronger criterion is representation-independent exception contrast: the same difficult objects remain exceptional under multiple plausible representations and across multiple problem environments.</w:t>
      </w:r>
    </w:p>
    <w:p>
      <w:pPr>
        <w:spacing w:before="120" w:after="60"/>
      </w:pPr>
      <w:r>
        <w:rPr>
          <w:b/>
          <w:i/>
        </w:rPr>
        <w:t xml:space="preserve">Definition 2 (Adversarial environment bank). </w:t>
      </w:r>
      <w:r>
        <w:t>Let H be a persistent collection of mathematical episodes, examples, counterexamples, and problem streams selected in proportion to compression failure, surprise, cross-model disagreement, structural rarity, or external importance. H is not a cache to be drained into a canonical model; it is a permanent reservoir used to falsify and revise the current representation.</w:t>
      </w:r>
    </w:p>
    <w:p>
      <w:pPr>
        <w:spacing w:line="259" w:lineRule="auto" w:after="100"/>
        <w:ind w:firstLine="317"/>
        <w:jc w:val="both"/>
      </w:pPr>
      <w:r>
        <w:t>This gives a different role to replay. Standard retrieval asks which past item helps answer the current query. Adversarial replay asks which stored item most threatens the current abstraction. A language-revision trigger can then be defined from cross-environment heterogeneity or weighted residual failure rather than from a generic desire for more model capacity.</w:t>
      </w:r>
    </w:p>
    <w:p>
      <w:pPr>
        <w:spacing w:before="80" w:after="100"/>
        <w:jc w:val="center"/>
      </w:pPr>
      <w:r>
        <w:rPr>
          <w:rFonts w:ascii="Cambria Math" w:hAnsi="Cambria Math"/>
          <w:sz w:val="22"/>
        </w:rPr>
        <w:t>Reject fixed model class M when  Varₑ[βₑ(D)] &gt; τ  or  Σₑ wₑ · Failure(D,e) &gt; τ′</w:t>
      </w:r>
      <w:r>
        <w:rPr>
          <w:rFonts w:ascii="Times New Roman" w:hAnsi="Times New Roman"/>
          <w:sz w:val="20"/>
        </w:rPr>
        <w:t xml:space="preserve">    (8)</w:t>
      </w:r>
    </w:p>
    <w:p>
      <w:pPr>
        <w:pStyle w:val="Heading1"/>
        <w:keepNext/>
        <w:keepLines/>
      </w:pPr>
      <w:r>
        <w:t>8. The neocortex analogy: useful at consolidation, speculative at language extension</w:t>
      </w:r>
    </w:p>
    <w:p>
      <w:pPr>
        <w:spacing w:line="259" w:lineRule="auto" w:after="100"/>
        <w:ind w:firstLine="317"/>
        <w:jc w:val="both"/>
      </w:pPr>
      <w:r>
        <w:t>The hippocampus-neocortex analogy remains useful but should be placed carefully. Complementary learning systems theory argues for rapid acquisition of particular experiences alongside slower distributed learning that extracts shared statistical structure [6]. Schema research likewise supports neocortical integration of related information [7]. These results motivate an engineering separation between high-fidelity episodic retention and structure extraction.</w:t>
      </w:r>
    </w:p>
    <w:p>
      <w:pPr>
        <w:spacing w:line="259" w:lineRule="auto" w:after="100"/>
        <w:ind w:firstLine="317"/>
        <w:jc w:val="both"/>
      </w:pPr>
      <w:r>
        <w:t>What is not established is that the neocortex performs mathematical language extension in the sense required here—creating new primitives, changing equivalence relations, or revising the hypothesis space itself. Cortical representation learning is therefore strong evidence for consolidation-grade structure extraction, but only an analogy for canonicalization-grade model-class revision. The exogeneity criterion survives this caveat: whether implemented biologically or artificially, ordinary consolidation can be evaluated on exchangeable data, whereas canonicalization must confront a decision-dependent problem distribution.</w:t>
      </w:r>
    </w:p>
    <w:p>
      <w:pPr>
        <w:spacing w:line="259" w:lineRule="auto" w:after="100"/>
        <w:ind w:firstLine="317"/>
        <w:jc w:val="both"/>
      </w:pPr>
      <w:r>
        <w:t>For architecture design, the safe conclusion is functional rather than anatomical: a mathematical AGI needs one subsystem whose objective is to preserve novelty and exceptions, and another whose objective is to compress and reorganize them. The latter must not be allowed to assimilate away the former. The exception bank remains permanent because the content of mathematics often lies in the failure of a schema.</w:t>
      </w:r>
    </w:p>
    <w:p>
      <w:pPr>
        <w:pStyle w:val="Heading1"/>
        <w:keepNext/>
        <w:keepLines/>
      </w:pPr>
      <w:r>
        <w:t>9. Formal libraries as an empirical laboratory for canonicalization</w:t>
      </w:r>
    </w:p>
    <w:p>
      <w:pPr>
        <w:spacing w:line="259" w:lineRule="auto" w:after="100"/>
        <w:ind w:firstLine="317"/>
        <w:jc w:val="both"/>
      </w:pPr>
      <w:r>
        <w:t>Versioned formal libraries create an unusual opportunity: structural changes are timestamped, dependencies are explicit, proof checking is mechanical, and refactorings can be traced. Mathlib is a community-maintained Lean library whose growth requires ongoing redesign, deprecation, linting, and technical-debt management [4,5]. These properties make it possible to turn canonicalization from a purely philosophical notion into a measurable research program.</w:t>
      </w:r>
    </w:p>
    <w:p>
      <w:pPr>
        <w:spacing w:line="259" w:lineRule="auto" w:after="100"/>
        <w:ind w:firstLine="317"/>
        <w:jc w:val="both"/>
      </w:pPr>
      <w:r>
        <w:t>A first experiment treats subject areas as environments—for example Analysis, NumberTheory, Topology, Algebra, and Combinatorics. For a candidate definition D introduced or substantially revised at time t₀, estimate a treatment effect βₑ(D) separately in each environment. Outcomes should be multi-dimensional because source-line count alone is too easy to Goodhart.</w:t>
      </w:r>
    </w:p>
    <w:tbl>
      <w:tblPr>
        <w:tblStyle w:val="TableGrid"/>
        <w:tblW w:type="auto" w:w="0"/>
        <w:jc w:val="center"/>
        <w:tblLook w:firstColumn="1" w:firstRow="1" w:lastColumn="0" w:lastRow="0" w:noHBand="0" w:noVBand="1" w:val="04A0"/>
      </w:tblPr>
      <w:tblGrid>
        <w:gridCol w:w="3264"/>
        <w:gridCol w:w="3264"/>
        <w:gridCol w:w="3264"/>
      </w:tblGrid>
      <w:tr>
        <w:trPr>
          <w:trHeight w:hRule="atLeast"/>
        </w:trPr>
        <w:tc>
          <w:tcPr>
            <w:tcW w:type="dxa" w:w="3264"/>
            <w:shd w:fill="FCE4D6"/>
          </w:tcPr>
          <w:p>
            <w:r>
              <w:rPr>
                <w:rFonts w:ascii="Times New Roman" w:hAnsi="Times New Roman"/>
                <w:sz w:val="18"/>
              </w:rPr>
              <w:t>Metric</w:t>
            </w:r>
          </w:p>
        </w:tc>
        <w:tc>
          <w:tcPr>
            <w:tcW w:type="dxa" w:w="3264"/>
            <w:shd w:fill="FCE4D6"/>
          </w:tcPr>
          <w:p>
            <w:r>
              <w:rPr>
                <w:rFonts w:ascii="Times New Roman" w:hAnsi="Times New Roman"/>
                <w:sz w:val="18"/>
              </w:rPr>
              <w:t>Operationalization</w:t>
            </w:r>
          </w:p>
        </w:tc>
        <w:tc>
          <w:tcPr>
            <w:tcW w:type="dxa" w:w="3264"/>
            <w:shd w:fill="FCE4D6"/>
          </w:tcPr>
          <w:p>
            <w:r>
              <w:rPr>
                <w:rFonts w:ascii="Times New Roman" w:hAnsi="Times New Roman"/>
                <w:sz w:val="18"/>
              </w:rPr>
              <w:t>Why it matters</w:t>
            </w:r>
          </w:p>
        </w:tc>
      </w:tr>
      <w:tr>
        <w:trPr>
          <w:trHeight w:hRule="atLeast"/>
        </w:trPr>
        <w:tc>
          <w:tcPr>
            <w:tcW w:type="dxa" w:w="3264"/>
          </w:tcPr>
          <w:p>
            <w:r>
              <w:rPr>
                <w:rFonts w:ascii="Times New Roman" w:hAnsi="Times New Roman"/>
                <w:sz w:val="18"/>
              </w:rPr>
              <w:t>L: representation length</w:t>
            </w:r>
          </w:p>
        </w:tc>
        <w:tc>
          <w:tcPr>
            <w:tcW w:type="dxa" w:w="3264"/>
          </w:tcPr>
          <w:p>
            <w:r>
              <w:rPr>
                <w:rFonts w:ascii="Times New Roman" w:hAnsi="Times New Roman"/>
                <w:sz w:val="18"/>
              </w:rPr>
              <w:t>Source/proof-term length after normalization</w:t>
            </w:r>
          </w:p>
        </w:tc>
        <w:tc>
          <w:tcPr>
            <w:tcW w:type="dxa" w:w="3264"/>
          </w:tcPr>
          <w:p>
            <w:r>
              <w:rPr>
                <w:rFonts w:ascii="Times New Roman" w:hAnsi="Times New Roman"/>
                <w:sz w:val="18"/>
              </w:rPr>
              <w:t>Compression of existing proofs</w:t>
            </w:r>
          </w:p>
        </w:tc>
      </w:tr>
      <w:tr>
        <w:trPr>
          <w:trHeight w:hRule="atLeast"/>
        </w:trPr>
        <w:tc>
          <w:tcPr>
            <w:tcW w:type="dxa" w:w="3264"/>
          </w:tcPr>
          <w:p>
            <w:r>
              <w:rPr>
                <w:rFonts w:ascii="Times New Roman" w:hAnsi="Times New Roman"/>
                <w:sz w:val="18"/>
              </w:rPr>
              <w:t>D: dependency depth</w:t>
            </w:r>
          </w:p>
        </w:tc>
        <w:tc>
          <w:tcPr>
            <w:tcW w:type="dxa" w:w="3264"/>
          </w:tcPr>
          <w:p>
            <w:r>
              <w:rPr>
                <w:rFonts w:ascii="Times New Roman" w:hAnsi="Times New Roman"/>
                <w:sz w:val="18"/>
              </w:rPr>
              <w:t>Longest dependency chain or transitive closure size</w:t>
            </w:r>
          </w:p>
        </w:tc>
        <w:tc>
          <w:tcPr>
            <w:tcW w:type="dxa" w:w="3264"/>
          </w:tcPr>
          <w:p>
            <w:r>
              <w:rPr>
                <w:rFonts w:ascii="Times New Roman" w:hAnsi="Times New Roman"/>
                <w:sz w:val="18"/>
              </w:rPr>
              <w:t>Structural simplification</w:t>
            </w:r>
          </w:p>
        </w:tc>
      </w:tr>
      <w:tr>
        <w:trPr>
          <w:trHeight w:hRule="atLeast"/>
        </w:trPr>
        <w:tc>
          <w:tcPr>
            <w:tcW w:type="dxa" w:w="3264"/>
          </w:tcPr>
          <w:p>
            <w:r>
              <w:rPr>
                <w:rFonts w:ascii="Times New Roman" w:hAnsi="Times New Roman"/>
                <w:sz w:val="18"/>
              </w:rPr>
              <w:t>I: import footprint</w:t>
            </w:r>
          </w:p>
        </w:tc>
        <w:tc>
          <w:tcPr>
            <w:tcW w:type="dxa" w:w="3264"/>
          </w:tcPr>
          <w:p>
            <w:r>
              <w:rPr>
                <w:rFonts w:ascii="Times New Roman" w:hAnsi="Times New Roman"/>
                <w:sz w:val="18"/>
              </w:rPr>
              <w:t>Imported modules / declarations</w:t>
            </w:r>
          </w:p>
        </w:tc>
        <w:tc>
          <w:tcPr>
            <w:tcW w:type="dxa" w:w="3264"/>
          </w:tcPr>
          <w:p>
            <w:r>
              <w:rPr>
                <w:rFonts w:ascii="Times New Roman" w:hAnsi="Times New Roman"/>
                <w:sz w:val="18"/>
              </w:rPr>
              <w:t>Modularity and locality</w:t>
            </w:r>
          </w:p>
        </w:tc>
      </w:tr>
      <w:tr>
        <w:trPr>
          <w:trHeight w:hRule="atLeast"/>
        </w:trPr>
        <w:tc>
          <w:tcPr>
            <w:tcW w:type="dxa" w:w="3264"/>
          </w:tcPr>
          <w:p>
            <w:r>
              <w:rPr>
                <w:rFonts w:ascii="Times New Roman" w:hAnsi="Times New Roman"/>
                <w:sz w:val="18"/>
              </w:rPr>
              <w:t>E: elaboration cost</w:t>
            </w:r>
          </w:p>
        </w:tc>
        <w:tc>
          <w:tcPr>
            <w:tcW w:type="dxa" w:w="3264"/>
          </w:tcPr>
          <w:p>
            <w:r>
              <w:rPr>
                <w:rFonts w:ascii="Times New Roman" w:hAnsi="Times New Roman"/>
                <w:sz w:val="18"/>
              </w:rPr>
              <w:t>Lean elaboration/checking time</w:t>
            </w:r>
          </w:p>
        </w:tc>
        <w:tc>
          <w:tcPr>
            <w:tcW w:type="dxa" w:w="3264"/>
          </w:tcPr>
          <w:p>
            <w:r>
              <w:rPr>
                <w:rFonts w:ascii="Times New Roman" w:hAnsi="Times New Roman"/>
                <w:sz w:val="18"/>
              </w:rPr>
              <w:t>Computational usability</w:t>
            </w:r>
          </w:p>
        </w:tc>
      </w:tr>
      <w:tr>
        <w:trPr>
          <w:trHeight w:hRule="atLeast"/>
        </w:trPr>
        <w:tc>
          <w:tcPr>
            <w:tcW w:type="dxa" w:w="3264"/>
          </w:tcPr>
          <w:p>
            <w:r>
              <w:rPr>
                <w:rFonts w:ascii="Times New Roman" w:hAnsi="Times New Roman"/>
                <w:sz w:val="18"/>
              </w:rPr>
              <w:t>U: reuse</w:t>
            </w:r>
          </w:p>
        </w:tc>
        <w:tc>
          <w:tcPr>
            <w:tcW w:type="dxa" w:w="3264"/>
          </w:tcPr>
          <w:p>
            <w:r>
              <w:rPr>
                <w:rFonts w:ascii="Times New Roman" w:hAnsi="Times New Roman"/>
                <w:sz w:val="18"/>
              </w:rPr>
              <w:t>Number of later declarations depending on D</w:t>
            </w:r>
          </w:p>
        </w:tc>
        <w:tc>
          <w:tcPr>
            <w:tcW w:type="dxa" w:w="3264"/>
          </w:tcPr>
          <w:p>
            <w:r>
              <w:rPr>
                <w:rFonts w:ascii="Times New Roman" w:hAnsi="Times New Roman"/>
                <w:sz w:val="18"/>
              </w:rPr>
              <w:t>Practical uptake</w:t>
            </w:r>
          </w:p>
        </w:tc>
      </w:tr>
      <w:tr>
        <w:trPr>
          <w:trHeight w:hRule="atLeast"/>
        </w:trPr>
        <w:tc>
          <w:tcPr>
            <w:tcW w:type="dxa" w:w="3264"/>
          </w:tcPr>
          <w:p>
            <w:r>
              <w:rPr>
                <w:rFonts w:ascii="Times New Roman" w:hAnsi="Times New Roman"/>
                <w:sz w:val="18"/>
              </w:rPr>
              <w:t>X: cross-domain diffusion</w:t>
            </w:r>
          </w:p>
        </w:tc>
        <w:tc>
          <w:tcPr>
            <w:tcW w:type="dxa" w:w="3264"/>
          </w:tcPr>
          <w:p>
            <w:r>
              <w:rPr>
                <w:rFonts w:ascii="Times New Roman" w:hAnsi="Times New Roman"/>
                <w:sz w:val="18"/>
              </w:rPr>
              <w:t>Reuse outside the originating subject area</w:t>
            </w:r>
          </w:p>
        </w:tc>
        <w:tc>
          <w:tcPr>
            <w:tcW w:type="dxa" w:w="3264"/>
          </w:tcPr>
          <w:p>
            <w:r>
              <w:rPr>
                <w:rFonts w:ascii="Times New Roman" w:hAnsi="Times New Roman"/>
                <w:sz w:val="18"/>
              </w:rPr>
              <w:t>Evidence against school-specific overfitting</w:t>
            </w:r>
          </w:p>
        </w:tc>
      </w:tr>
    </w:tbl>
    <w:p>
      <w:pPr>
        <w:spacing w:line="259" w:lineRule="auto" w:after="100"/>
        <w:ind w:firstLine="317"/>
        <w:jc w:val="both"/>
      </w:pPr>
      <w:r>
        <w:t>The central hypothesis is an invariance inversion of ordinary benchmarking. Historically canonical abstractions should lie toward the low-heterogeneity side of the cross-environment effect distribution even when their mean local effect is not maximal. A school-specific abstraction may produce a larger headline compression in its home subject but fail the invariance test.</w:t>
      </w:r>
    </w:p>
    <w:p>
      <w:pPr>
        <w:spacing w:before="80" w:after="100"/>
        <w:jc w:val="center"/>
      </w:pPr>
      <w:r>
        <w:rPr>
          <w:rFonts w:ascii="Cambria Math" w:hAnsi="Cambria Math"/>
          <w:sz w:val="22"/>
        </w:rPr>
        <w:t>H₀(D): βₑ(D) = β(D)  for all e ∈ 𝓔</w:t>
      </w:r>
      <w:r>
        <w:rPr>
          <w:rFonts w:ascii="Times New Roman" w:hAnsi="Times New Roman"/>
          <w:sz w:val="20"/>
        </w:rPr>
        <w:t xml:space="preserve">    (9)</w:t>
      </w:r>
    </w:p>
    <w:p>
      <w:pPr>
        <w:spacing w:line="259" w:lineRule="auto" w:after="100"/>
        <w:ind w:firstLine="317"/>
        <w:jc w:val="both"/>
      </w:pPr>
      <w:r>
        <w:t>A falsifiable benchmark follows directly: construct a curated set of historically recognized canonical definitions and a matched set of locally useful but domain-specific definitions. If the canonical set does not exhibit lower cross-environment heterogeneity, after reasonable controls for age, popularity, and dependency position, then the proposed invariance criterion is undermined.</w:t>
      </w:r>
    </w:p>
    <w:p>
      <w:pPr>
        <w:spacing w:line="259" w:lineRule="auto" w:after="100"/>
        <w:ind w:firstLine="317"/>
        <w:jc w:val="both"/>
      </w:pPr>
      <w:r>
        <w:t>A second experiment moves one level up by comparing overlapping mathematics across proof assistants or foundational substrates. Such work is more expensive because statements must be aligned semantically across libraries, but it directly probes the shared-substrate failure mode. Cross-foundation invariance is stronger evidence than cross-subfield invariance because more of the ambient language has been perturbed.</w:t>
      </w:r>
    </w:p>
    <w:p>
      <w:pPr>
        <w:pStyle w:val="Heading1"/>
        <w:keepNext/>
        <w:keepLines/>
      </w:pPr>
      <w:r>
        <w:t>10. Exogenous instruments: other agents and the physical world</w:t>
      </w:r>
    </w:p>
    <w:p>
      <w:pPr>
        <w:spacing w:line="259" w:lineRule="auto" w:after="100"/>
        <w:ind w:firstLine="317"/>
        <w:jc w:val="both"/>
      </w:pPr>
      <w:r>
        <w:t>If internal search is self-referential, where can sufficiently external variation come from? Two sources are particularly important. The first is other agents. Independent mathematical systems trained with different curricula, formal foundations, initialization, toolchains, or objectives can generate representations outside one another's immediate search neighborhoods. Multi-agent diversity is then not merely a scaling strategy; it becomes an identification resource.</w:t>
      </w:r>
    </w:p>
    <w:p>
      <w:pPr>
        <w:spacing w:line="259" w:lineRule="auto" w:after="100"/>
        <w:ind w:firstLine="317"/>
        <w:jc w:val="both"/>
      </w:pPr>
      <w:r>
        <w:t>The second source is the physical world. Historically, mathematics has repeatedly received problem streams from physics that were not downstream of the current mathematical language: heat and Fourier analysis, quantum mechanics and operator/distribution theory, geometry and field theory, mirror symmetry, and many other examples. The claim should be stated carefully: physics is not a perfect instrumental variable in the formal econometric sense, because mathematical language also shapes physics. But it approximates an exogenous perturbation better than a self-generated mathematical benchmark. The world can continue to pose constraints even when a mathematical school finds them unnatural.</w:t>
      </w:r>
    </w:p>
    <w:p>
      <w:pPr>
        <w:spacing w:before="120" w:after="60"/>
      </w:pPr>
      <w:r>
        <w:rPr>
          <w:b/>
          <w:i/>
        </w:rPr>
        <w:t xml:space="preserve">Conjecture 1 (Corpus-only confinement). </w:t>
      </w:r>
      <w:r>
        <w:t>A mathematical AI trained and evaluated only on a single historically induced mathematical corpus will improve within-representation prediction and compression faster than cross-environment transfer. Beyond some scale, the within-versus-cross-environment gap may widen unless external environments or independently generated representational systems are added.</w:t>
      </w:r>
    </w:p>
    <w:p>
      <w:pPr>
        <w:spacing w:line="259" w:lineRule="auto" w:after="100"/>
        <w:ind w:firstLine="317"/>
        <w:jc w:val="both"/>
      </w:pPr>
      <w:r>
        <w:t>This conjecture is intentionally stronger than the claim that more data have diminishing returns. It predicts a directional failure: scale can deepen performative stability. A model becomes increasingly competent inside the language that generated its data while becoming increasingly confident about a coordinate system whose alternatives are underrepresented.</w:t>
      </w:r>
    </w:p>
    <w:p>
      <w:pPr>
        <w:pStyle w:val="Heading1"/>
        <w:keepNext/>
        <w:keepLines/>
      </w:pPr>
      <w:r>
        <w:t>11. An architecture for mathematical AGI</w:t>
      </w:r>
    </w:p>
    <w:p>
      <w:pPr>
        <w:spacing w:line="259" w:lineRule="auto" w:after="100"/>
        <w:ind w:firstLine="317"/>
        <w:jc w:val="both"/>
      </w:pPr>
      <w:r>
        <w:t>The preceding analysis suggests an architecture with four coupled functions rather than a single theorem prover. The first generates candidate mathematics. The second verifies local correctness. The third canonicalizes across environments. The fourth deliberately supplies destabilizing variation and licenses language revision when invariance fails.</w:t>
      </w:r>
    </w:p>
    <w:tbl>
      <w:tblPr>
        <w:tblStyle w:val="TableGrid"/>
        <w:tblW w:type="auto" w:w="0"/>
        <w:jc w:val="center"/>
        <w:tblLook w:firstColumn="1" w:firstRow="1" w:lastColumn="0" w:lastRow="0" w:noHBand="0" w:noVBand="1" w:val="04A0"/>
      </w:tblPr>
      <w:tblGrid>
        <w:gridCol w:w="2448"/>
        <w:gridCol w:w="2448"/>
        <w:gridCol w:w="2448"/>
        <w:gridCol w:w="2448"/>
      </w:tblGrid>
      <w:tr>
        <w:trPr>
          <w:trHeight w:hRule="atLeast"/>
        </w:trPr>
        <w:tc>
          <w:tcPr>
            <w:tcW w:type="dxa" w:w="2448"/>
            <w:shd w:fill="DDEBF7"/>
          </w:tcPr>
          <w:p>
            <w:r>
              <w:rPr>
                <w:rFonts w:ascii="Times New Roman" w:hAnsi="Times New Roman"/>
                <w:sz w:val="18"/>
              </w:rPr>
              <w:t>Module</w:t>
            </w:r>
          </w:p>
        </w:tc>
        <w:tc>
          <w:tcPr>
            <w:tcW w:type="dxa" w:w="2448"/>
            <w:shd w:fill="DDEBF7"/>
          </w:tcPr>
          <w:p>
            <w:r>
              <w:rPr>
                <w:rFonts w:ascii="Times New Roman" w:hAnsi="Times New Roman"/>
                <w:sz w:val="18"/>
              </w:rPr>
              <w:t>Input</w:t>
            </w:r>
          </w:p>
        </w:tc>
        <w:tc>
          <w:tcPr>
            <w:tcW w:type="dxa" w:w="2448"/>
            <w:shd w:fill="DDEBF7"/>
          </w:tcPr>
          <w:p>
            <w:r>
              <w:rPr>
                <w:rFonts w:ascii="Times New Roman" w:hAnsi="Times New Roman"/>
                <w:sz w:val="18"/>
              </w:rPr>
              <w:t>Objective</w:t>
            </w:r>
          </w:p>
        </w:tc>
        <w:tc>
          <w:tcPr>
            <w:tcW w:type="dxa" w:w="2448"/>
            <w:shd w:fill="DDEBF7"/>
          </w:tcPr>
          <w:p>
            <w:r>
              <w:rPr>
                <w:rFonts w:ascii="Times New Roman" w:hAnsi="Times New Roman"/>
                <w:sz w:val="18"/>
              </w:rPr>
              <w:t>Failure if absent</w:t>
            </w:r>
          </w:p>
        </w:tc>
      </w:tr>
      <w:tr>
        <w:trPr>
          <w:trHeight w:hRule="atLeast"/>
        </w:trPr>
        <w:tc>
          <w:tcPr>
            <w:tcW w:type="dxa" w:w="2448"/>
          </w:tcPr>
          <w:p>
            <w:r>
              <w:rPr>
                <w:rFonts w:ascii="Times New Roman" w:hAnsi="Times New Roman"/>
                <w:sz w:val="18"/>
              </w:rPr>
              <w:t>Generator G</w:t>
            </w:r>
          </w:p>
        </w:tc>
        <w:tc>
          <w:tcPr>
            <w:tcW w:type="dxa" w:w="2448"/>
          </w:tcPr>
          <w:p>
            <w:r>
              <w:rPr>
                <w:rFonts w:ascii="Times New Roman" w:hAnsi="Times New Roman"/>
                <w:sz w:val="18"/>
              </w:rPr>
              <w:t>Problems / current theory</w:t>
            </w:r>
          </w:p>
        </w:tc>
        <w:tc>
          <w:tcPr>
            <w:tcW w:type="dxa" w:w="2448"/>
          </w:tcPr>
          <w:p>
            <w:r>
              <w:rPr>
                <w:rFonts w:ascii="Times New Roman" w:hAnsi="Times New Roman"/>
                <w:sz w:val="18"/>
              </w:rPr>
              <w:t>Produce new proofs, conjectures, constructions</w:t>
            </w:r>
          </w:p>
        </w:tc>
        <w:tc>
          <w:tcPr>
            <w:tcW w:type="dxa" w:w="2448"/>
          </w:tcPr>
          <w:p>
            <w:r>
              <w:rPr>
                <w:rFonts w:ascii="Times New Roman" w:hAnsi="Times New Roman"/>
                <w:sz w:val="18"/>
              </w:rPr>
              <w:t>No frontier expansion</w:t>
            </w:r>
          </w:p>
        </w:tc>
      </w:tr>
      <w:tr>
        <w:trPr>
          <w:trHeight w:hRule="atLeast"/>
        </w:trPr>
        <w:tc>
          <w:tcPr>
            <w:tcW w:type="dxa" w:w="2448"/>
          </w:tcPr>
          <w:p>
            <w:r>
              <w:rPr>
                <w:rFonts w:ascii="Times New Roman" w:hAnsi="Times New Roman"/>
                <w:sz w:val="18"/>
              </w:rPr>
              <w:t>Verifier V</w:t>
            </w:r>
          </w:p>
        </w:tc>
        <w:tc>
          <w:tcPr>
            <w:tcW w:type="dxa" w:w="2448"/>
          </w:tcPr>
          <w:p>
            <w:r>
              <w:rPr>
                <w:rFonts w:ascii="Times New Roman" w:hAnsi="Times New Roman"/>
                <w:sz w:val="18"/>
              </w:rPr>
              <w:t>Candidate proof objects</w:t>
            </w:r>
          </w:p>
        </w:tc>
        <w:tc>
          <w:tcPr>
            <w:tcW w:type="dxa" w:w="2448"/>
          </w:tcPr>
          <w:p>
            <w:r>
              <w:rPr>
                <w:rFonts w:ascii="Times New Roman" w:hAnsi="Times New Roman"/>
                <w:sz w:val="18"/>
              </w:rPr>
              <w:t>Check correctness and interfaces</w:t>
            </w:r>
          </w:p>
        </w:tc>
        <w:tc>
          <w:tcPr>
            <w:tcW w:type="dxa" w:w="2448"/>
          </w:tcPr>
          <w:p>
            <w:r>
              <w:rPr>
                <w:rFonts w:ascii="Times New Roman" w:hAnsi="Times New Roman"/>
                <w:sz w:val="18"/>
              </w:rPr>
              <w:t>Unreliable corpus</w:t>
            </w:r>
          </w:p>
        </w:tc>
      </w:tr>
      <w:tr>
        <w:trPr>
          <w:trHeight w:hRule="atLeast"/>
        </w:trPr>
        <w:tc>
          <w:tcPr>
            <w:tcW w:type="dxa" w:w="2448"/>
          </w:tcPr>
          <w:p>
            <w:r>
              <w:rPr>
                <w:rFonts w:ascii="Times New Roman" w:hAnsi="Times New Roman"/>
                <w:sz w:val="18"/>
              </w:rPr>
              <w:t>Canonicalizer C</w:t>
            </w:r>
          </w:p>
        </w:tc>
        <w:tc>
          <w:tcPr>
            <w:tcW w:type="dxa" w:w="2448"/>
          </w:tcPr>
          <w:p>
            <w:r>
              <w:rPr>
                <w:rFonts w:ascii="Times New Roman" w:hAnsi="Times New Roman"/>
                <w:sz w:val="18"/>
              </w:rPr>
              <w:t>Verified corpus + environments</w:t>
            </w:r>
          </w:p>
        </w:tc>
        <w:tc>
          <w:tcPr>
            <w:tcW w:type="dxa" w:w="2448"/>
          </w:tcPr>
          <w:p>
            <w:r>
              <w:rPr>
                <w:rFonts w:ascii="Times New Roman" w:hAnsi="Times New Roman"/>
                <w:sz w:val="18"/>
              </w:rPr>
              <w:t>Find compact structures stable across environments</w:t>
            </w:r>
          </w:p>
        </w:tc>
        <w:tc>
          <w:tcPr>
            <w:tcW w:type="dxa" w:w="2448"/>
          </w:tcPr>
          <w:p>
            <w:r>
              <w:rPr>
                <w:rFonts w:ascii="Times New Roman" w:hAnsi="Times New Roman"/>
                <w:sz w:val="18"/>
              </w:rPr>
              <w:t>Heap of correct results</w:t>
            </w:r>
          </w:p>
        </w:tc>
      </w:tr>
      <w:tr>
        <w:trPr>
          <w:trHeight w:hRule="atLeast"/>
        </w:trPr>
        <w:tc>
          <w:tcPr>
            <w:tcW w:type="dxa" w:w="2448"/>
          </w:tcPr>
          <w:p>
            <w:r>
              <w:rPr>
                <w:rFonts w:ascii="Times New Roman" w:hAnsi="Times New Roman"/>
                <w:sz w:val="18"/>
              </w:rPr>
              <w:t>Environment engine E / reservoir H</w:t>
            </w:r>
          </w:p>
        </w:tc>
        <w:tc>
          <w:tcPr>
            <w:tcW w:type="dxa" w:w="2448"/>
          </w:tcPr>
          <w:p>
            <w:r>
              <w:rPr>
                <w:rFonts w:ascii="Times New Roman" w:hAnsi="Times New Roman"/>
                <w:sz w:val="18"/>
              </w:rPr>
              <w:t>External streams, exceptions, independent agents</w:t>
            </w:r>
          </w:p>
        </w:tc>
        <w:tc>
          <w:tcPr>
            <w:tcW w:type="dxa" w:w="2448"/>
          </w:tcPr>
          <w:p>
            <w:r>
              <w:rPr>
                <w:rFonts w:ascii="Times New Roman" w:hAnsi="Times New Roman"/>
                <w:sz w:val="18"/>
              </w:rPr>
              <w:t>Create or preserve perturbations that test invariance</w:t>
            </w:r>
          </w:p>
        </w:tc>
        <w:tc>
          <w:tcPr>
            <w:tcW w:type="dxa" w:w="2448"/>
          </w:tcPr>
          <w:p>
            <w:r>
              <w:rPr>
                <w:rFonts w:ascii="Times New Roman" w:hAnsi="Times New Roman"/>
                <w:sz w:val="18"/>
              </w:rPr>
              <w:t>Performative lock-in</w:t>
            </w:r>
          </w:p>
        </w:tc>
      </w:tr>
    </w:tbl>
    <w:p>
      <w:pPr>
        <w:spacing w:line="259" w:lineRule="auto" w:after="100"/>
        <w:ind w:firstLine="317"/>
        <w:jc w:val="both"/>
      </w:pPr>
      <w:r>
        <w:t>The compute budget should therefore include an order-one digestion component that is explicitly rewarded for producing no new theorem. Its work is to rederive existing mathematics under candidate languages, measure cross-environment transfer, expose persistent exceptions, and compare independently learned representations. This is the artificial-neocortex idea in its defensible form: not an anatomical imitation, but a dedicated budget for structural reorganization rather than frontier generation.</w:t>
      </w:r>
    </w:p>
    <w:p>
      <w:pPr>
        <w:spacing w:before="80" w:after="100"/>
        <w:jc w:val="center"/>
      </w:pPr>
      <w:r>
        <w:rPr>
          <w:rFonts w:ascii="Cambria Math" w:hAnsi="Cambria Math"/>
          <w:sz w:val="22"/>
        </w:rPr>
        <w:t>C_total = C_frontier + C_digest + C_environment</w:t>
      </w:r>
      <w:r>
        <w:rPr>
          <w:rFonts w:ascii="Times New Roman" w:hAnsi="Times New Roman"/>
          <w:sz w:val="20"/>
        </w:rPr>
        <w:t xml:space="preserve">    (10)</w:t>
      </w:r>
    </w:p>
    <w:p>
      <w:pPr>
        <w:spacing w:line="259" w:lineRule="auto" w:after="100"/>
        <w:ind w:firstLine="317"/>
        <w:jc w:val="both"/>
      </w:pPr>
      <w:r>
        <w:t>The trigger for canonicalization is not introspective self-doubt. It is observable heterogeneity. When a representation's compression relation fails invariance across stored or external environments, the system receives evidence that fitting inside the current model class is insufficient. Language expansion is then a response to an identification failure.</w:t>
      </w:r>
    </w:p>
    <w:p>
      <w:pPr>
        <w:pStyle w:val="Heading1"/>
        <w:keepNext/>
        <w:keepLines/>
      </w:pPr>
      <w:r>
        <w:t>12. Operational criteria and testable predictions</w:t>
      </w:r>
    </w:p>
    <w:p>
      <w:pPr>
        <w:spacing w:line="259" w:lineRule="auto" w:after="100"/>
        <w:ind w:firstLine="317"/>
        <w:jc w:val="both"/>
      </w:pPr>
      <w:r>
        <w:t>The framework yields a concrete operational criterion for mathematical AGI:</w:t>
      </w:r>
    </w:p>
    <w:p>
      <w:pPr>
        <w:jc w:val="center"/>
      </w:pPr>
      <w:r>
        <w:rPr>
          <w:b/>
          <w:i/>
        </w:rPr>
        <w:t>Mathematical AGI requires access to problem streams it did not generate, and machinery that treats disagreement between streams as a signal for language revision.</w:t>
      </w:r>
    </w:p>
    <w:p>
      <w:pPr>
        <w:spacing w:line="259" w:lineRule="auto" w:after="100"/>
        <w:ind w:firstLine="317"/>
        <w:jc w:val="both"/>
      </w:pPr>
      <w:r>
        <w:t>This criterion is deliberately stronger than proof competence. It demands an identification mechanism for escaping performatively stable representations. From it follow six empirical predictions.</w:t>
      </w:r>
    </w:p>
    <w:p>
      <w:pPr>
        <w:pStyle w:val="ListNumber"/>
      </w:pPr>
      <w:r>
        <w:rPr>
          <w:b/>
        </w:rPr>
        <w:t xml:space="preserve">P1 — Benchmark inversion. </w:t>
      </w:r>
      <w:r>
        <w:t>Historically canonical definitions should exhibit lower cross-environment effect variance than matched school-specific abstractions, even when their average local effect is smaller.</w:t>
      </w:r>
    </w:p>
    <w:p>
      <w:pPr>
        <w:pStyle w:val="ListNumber"/>
      </w:pPr>
      <w:r>
        <w:rPr>
          <w:b/>
        </w:rPr>
        <w:t xml:space="preserve">P2 — Scale without exogeneity. </w:t>
      </w:r>
      <w:r>
        <w:t>On a corpus-only regime, within-language proof compression should improve faster than transfer to independently developed mathematical environments.</w:t>
      </w:r>
    </w:p>
    <w:p>
      <w:pPr>
        <w:pStyle w:val="ListNumber"/>
      </w:pPr>
      <w:r>
        <w:rPr>
          <w:b/>
        </w:rPr>
        <w:t xml:space="preserve">P3 — Environment value. </w:t>
      </w:r>
      <w:r>
        <w:t>Adding independently generated or externally sourced problem streams should improve language revision more than adding an equal quantity of IID problems from the existing stream.</w:t>
      </w:r>
    </w:p>
    <w:p>
      <w:pPr>
        <w:pStyle w:val="ListNumber"/>
      </w:pPr>
      <w:r>
        <w:rPr>
          <w:b/>
        </w:rPr>
        <w:t xml:space="preserve">P4 — Persistent exception utility. </w:t>
      </w:r>
      <w:r>
        <w:t>Prioritized replay of cross-representation exceptions should yield better subsequent representation changes than uniform replay or replay prioritized only by current-task usefulness.</w:t>
      </w:r>
    </w:p>
    <w:p>
      <w:pPr>
        <w:pStyle w:val="ListNumber"/>
      </w:pPr>
      <w:r>
        <w:rPr>
          <w:b/>
        </w:rPr>
        <w:t xml:space="preserve">P5 — Cross-foundation strength. </w:t>
      </w:r>
      <w:r>
        <w:t>Concepts that remain compression-effective across distinct proof-assistant foundations should be better predictors of long-run reuse than concepts validated only across subject areas inside one foundation.</w:t>
      </w:r>
    </w:p>
    <w:p>
      <w:pPr>
        <w:pStyle w:val="ListNumber"/>
      </w:pPr>
      <w:r>
        <w:rPr>
          <w:b/>
        </w:rPr>
        <w:t xml:space="preserve">P6 — Digestion compute. </w:t>
      </w:r>
      <w:r>
        <w:t>Allocating substantial compute to re-expression and refactoring of known mathematics should improve cross-environment efficiency even if it decreases short-run theorem-count benchmarks.</w:t>
      </w:r>
    </w:p>
    <w:p>
      <w:pPr>
        <w:pStyle w:val="Heading1"/>
        <w:keepNext/>
        <w:keepLines/>
      </w:pPr>
      <w:r>
        <w:t>13. Canonicalization as a quantitative finite-core problem</w:t>
      </w:r>
    </w:p>
    <w:p>
      <w:pPr>
        <w:spacing w:line="259" w:lineRule="auto" w:after="100"/>
        <w:ind w:firstLine="317"/>
        <w:jc w:val="both"/>
      </w:pPr>
      <w:r>
        <w:t>The framework can also be connected to a finite-core view of infinite mathematical systems. Asking whether a finite core exists is usually vacuous for any finite snapshot of a corpus: the corpus can always name itself. The substantive quantity is the rate at which a small language approaches the best achievable compression as the tolerated loss δ tends to zero.</w:t>
      </w:r>
    </w:p>
    <w:p>
      <w:pPr>
        <w:spacing w:before="80" w:after="100"/>
        <w:jc w:val="center"/>
      </w:pPr>
      <w:r>
        <w:rPr>
          <w:rFonts w:ascii="Cambria Math" w:hAnsi="Cambria Math"/>
          <w:sz w:val="22"/>
        </w:rPr>
        <w:t>M(δ) = min { |D| :  C(D) ≤ C* + δ }</w:t>
      </w:r>
      <w:r>
        <w:rPr>
          <w:rFonts w:ascii="Times New Roman" w:hAnsi="Times New Roman"/>
          <w:sz w:val="20"/>
        </w:rPr>
        <w:t xml:space="preserve">    (11)</w:t>
      </w:r>
    </w:p>
    <w:p>
      <w:pPr>
        <w:spacing w:line="259" w:lineRule="auto" w:after="100"/>
        <w:ind w:firstLine="317"/>
        <w:jc w:val="both"/>
      </w:pPr>
      <w:r>
        <w:t>Here C(D) is a chosen cross-environment canonicalization cost and C* its infimum over the admissible language family. The asymptotic behavior of M(δ) distinguishes a field whose effective structure is recoverable from a compact set of definitions from one that remains a heap of individually correct results. Unlike a Boolean finite-core claim, the rate function is informative. In a formal library it may be estimated from dependency-aware refactoring experiments and cross-environment transfer.</w:t>
      </w:r>
    </w:p>
    <w:p>
      <w:pPr>
        <w:spacing w:line="259" w:lineRule="auto" w:after="100"/>
        <w:ind w:firstLine="317"/>
        <w:jc w:val="both"/>
      </w:pPr>
      <w:r>
        <w:t>This quantitative view also prevents a common mistake: maximizing mean compression. A canonical core should not merely be small; it should transport. Thus the relevant C(D) must include environment heterogeneity or transfer regret, otherwise a narrow school can achieve an artificially favorable M(δ).</w:t>
      </w:r>
    </w:p>
    <w:p>
      <w:pPr>
        <w:pStyle w:val="Heading1"/>
        <w:keepNext/>
        <w:keepLines/>
      </w:pPr>
      <w:r>
        <w:t>14. Limitations and open problems</w:t>
      </w:r>
    </w:p>
    <w:p>
      <w:pPr>
        <w:spacing w:line="259" w:lineRule="auto" w:after="100"/>
        <w:ind w:firstLine="317"/>
        <w:jc w:val="both"/>
      </w:pPr>
      <w:r>
        <w:t>The proposal is a research program rather than a completed theory. First, mathematical environments are not statistically independent in the ordinary sense; subfields exchange techniques, people, and notation. Environment design therefore requires genealogical information and sensitivity analyses. Second, proof length and dependency depth are only proxies for mathematical compression. Elegant definitions can increase local formal overhead while improving conceptual transport. Third, causal language is being used structurally: the mapping from mathematical representations to future research distributions is real but difficult to estimate and contains strategic, cultural, educational, and institutional pathways.</w:t>
      </w:r>
    </w:p>
    <w:p>
      <w:pPr>
        <w:spacing w:line="259" w:lineRule="auto" w:after="100"/>
        <w:ind w:firstLine="317"/>
        <w:jc w:val="both"/>
      </w:pPr>
      <w:r>
        <w:t>Fourth, instruments are imperfect. Physics is not independent of mathematics, and formal foundations are not completely separate cultures. Fifth, meta-canonicalization remains the hardest level because any finite environment family may share hidden substrate assumptions. No purely internal invariant can certify that all relevant coordinates have been perturbed. Finally, the neocortical analogy must remain an analogy: current neuroscience supports complementary learning and schema integration, not the specific claim that cortical circuits implement mathematical language extension.</w:t>
      </w:r>
    </w:p>
    <w:p>
      <w:pPr>
        <w:spacing w:line="259" w:lineRule="auto" w:after="100"/>
        <w:ind w:firstLine="317"/>
        <w:jc w:val="both"/>
      </w:pPr>
      <w:r>
        <w:t>These limitations do not weaken the main distinction. They clarify what evidence would be needed to move from an appealing metaphor to an empirical science of canonicalization.</w:t>
      </w:r>
    </w:p>
    <w:p>
      <w:pPr>
        <w:pStyle w:val="Heading1"/>
        <w:keepNext/>
        <w:keepLines/>
      </w:pPr>
      <w:r>
        <w:t>15. Conclusion</w:t>
      </w:r>
    </w:p>
    <w:p>
      <w:pPr>
        <w:spacing w:line="259" w:lineRule="auto" w:after="100"/>
        <w:ind w:firstLine="317"/>
        <w:jc w:val="both"/>
      </w:pPr>
      <w:r>
        <w:t>The central challenge of mathematical AI changes when proofs become abundant. Correctness remains necessary, but mathematical progress compounds only when results are reorganized into reusable theory. Tao's canonicalization bottleneck identifies the stage; the present framework proposes a mechanism for why it is hard.</w:t>
      </w:r>
    </w:p>
    <w:p>
      <w:pPr>
        <w:spacing w:line="259" w:lineRule="auto" w:after="100"/>
        <w:ind w:firstLine="317"/>
        <w:jc w:val="both"/>
      </w:pPr>
      <w:r>
        <w:t>Canonicalization differs from consolidation because the representation alters the future distribution on which it is judged. A mathematical language generates a problem stream, so internal success can certify only performative stability. Canonicality is therefore an identification problem. Cross-play, instruments, and especially invariance across heterogeneous environments provide routes to stronger evidence. Exceptions should be preserved as environments that perturb candidate theories. Formal libraries provide the first practical setting in which these ideas can be measured at machine scale.</w:t>
      </w:r>
    </w:p>
    <w:p>
      <w:pPr>
        <w:spacing w:line="259" w:lineRule="auto" w:after="100"/>
        <w:ind w:firstLine="317"/>
        <w:jc w:val="both"/>
      </w:pPr>
      <w:r>
        <w:t>The resulting AGI criterion is operational rather than mystical. A mathematical system must have access to streams it did not create and must use disagreement among those streams to decide when its language—not merely its parameters—requires revision. Proof generation asks whether a theorem can be reached. Canonicalization asks whether the coordinate system in which the theorem was reached deserves to survive. Mathematical AGI begins only when the system can answer the second question with evidence that is not entirely of its own making.</w:t>
      </w:r>
    </w:p>
    <w:p>
      <w:pPr>
        <w:pStyle w:val="Heading1"/>
        <w:keepNext/>
        <w:keepLines/>
      </w:pPr>
      <w:r>
        <w:t>References</w:t>
      </w:r>
    </w:p>
    <w:p>
      <w:pPr>
        <w:spacing w:after="80"/>
        <w:ind w:left="360" w:hanging="360"/>
      </w:pPr>
      <w:r>
        <w:t>[1] T. Tao, “Mathematics in the age of AI,” Public Lecture, International Congress of Mathematicians 2026, July 2026. Slides available from the author’s UCLA webpage.</w:t>
      </w:r>
    </w:p>
    <w:p>
      <w:pPr>
        <w:spacing w:after="80"/>
        <w:ind w:left="360" w:hanging="360"/>
      </w:pPr>
      <w:r>
        <w:t>[2] J. C. Perdomo, T. Zrnic, C. Mendler-Dünner, and M. Hardt, “Performative Prediction,” Proceedings of the 37th International Conference on Machine Learning (ICML), PMLR 119, pp. 7599–7609, 2020.</w:t>
      </w:r>
    </w:p>
    <w:p>
      <w:pPr>
        <w:spacing w:after="80"/>
        <w:ind w:left="360" w:hanging="360"/>
      </w:pPr>
      <w:r>
        <w:t>[3] J. Peters, P. Bühlmann, and N. Meinshausen, “Causal inference by using invariant prediction: identification and confidence intervals,” Journal of the Royal Statistical Society: Series B, vol. 78, no. 5, pp. 947–1012, 2016.</w:t>
      </w:r>
    </w:p>
    <w:p>
      <w:pPr>
        <w:spacing w:after="80"/>
        <w:ind w:left="360" w:hanging="360"/>
      </w:pPr>
      <w:r>
        <w:t>[4] A. Baanen, M. R. Ballard, J. Commelin, B. G. Chen, M. Rothgang, and D. Testa, “Growing Mathlib: maintenance of a large scale mathematical library,” arXiv:2508.21593, 2025.</w:t>
      </w:r>
    </w:p>
    <w:p>
      <w:pPr>
        <w:spacing w:after="80"/>
        <w:ind w:left="360" w:hanging="360"/>
      </w:pPr>
      <w:r>
        <w:t>[5] F. van Doorn, G. Ebner, and R. Y. Lewis, “Maintaining a Library of Formal Mathematics,” Proceedings of the 9th ACM SIGPLAN International Conference on Certified Programs and Proofs (CPP), 2020.</w:t>
      </w:r>
    </w:p>
    <w:p>
      <w:pPr>
        <w:spacing w:after="80"/>
        <w:ind w:left="360" w:hanging="360"/>
      </w:pPr>
      <w:r>
        <w:t>[6] J. L. McClelland, B. L. McNaughton, and R. C. O’Reilly, “Why there are complementary learning systems in the hippocampus and neocortex: insights from the successes and failures of connectionist models of learning and memory,” Psychological Review, vol. 102, no. 3, pp. 419–457, 1995.</w:t>
      </w:r>
    </w:p>
    <w:p>
      <w:pPr>
        <w:spacing w:after="80"/>
        <w:ind w:left="360" w:hanging="360"/>
      </w:pPr>
      <w:r>
        <w:t>[7] D. Tse et al., “Schema-dependent gene activation and memory encoding in neocortex,” Science, vol. 333, no. 6044, pp. 891–895, 2011.</w:t>
      </w:r>
    </w:p>
    <w:sectPr w:rsidR="00FC693F" w:rsidRPr="0006063C" w:rsidSect="00034616">
      <w:headerReference w:type="default" r:id="rId9"/>
      <w:footerReference w:type="default" r:id="rId10"/>
      <w:pgSz w:w="12240" w:h="15840"/>
      <w:pgMar w:top="1080"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mallCaps/>
        <w:sz w:val="16"/>
      </w:rPr>
      <w:t>CANONICALIZATION AS CAUSAL IDENTIFICATION FOR MATHEMATICAL AGI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Canonicalization as Causal Identification: A Framework for Mathematical AGI Beyond Proof Generation</dc:title>
  <dc:subject>Mathematical AGI, canonicalization, performative prediction, invariant causal prediction</dc:subject>
  <dc:creator>python-docx</dc:creator>
  <cp:keywords>mathematical AGI; canonicalization; performative prediction; invariant causal prediction; Mathlib</cp:keywords>
  <dc:description>Research paper generated from supplied conceptual notes and verified primary-source references.</dc:description>
  <cp:lastModifiedBy/>
  <cp:revision>1</cp:revision>
  <dcterms:created xsi:type="dcterms:W3CDTF">2013-12-23T23:15:00Z</dcterms:created>
  <dcterms:modified xsi:type="dcterms:W3CDTF">2013-12-23T23:15:00Z</dcterms:modified>
  <cp:category/>
</cp:coreProperties>
</file>