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DB0E2" w14:textId="77777777" w:rsidR="00E85A29" w:rsidRPr="00E5045B" w:rsidRDefault="00000000" w:rsidP="00E5045B">
      <w:pPr>
        <w:pStyle w:val="Heading1"/>
        <w:jc w:val="center"/>
        <w:rPr>
          <w:sz w:val="60"/>
          <w:szCs w:val="60"/>
        </w:rPr>
      </w:pPr>
      <w:r w:rsidRPr="00E5045B">
        <w:rPr>
          <w:sz w:val="60"/>
          <w:szCs w:val="60"/>
        </w:rPr>
        <w:t>How AGI Produces New Mathematics</w:t>
      </w:r>
    </w:p>
    <w:p w14:paraId="2947B714" w14:textId="77777777" w:rsidR="00E85A29" w:rsidRPr="00E5045B" w:rsidRDefault="00000000">
      <w:pPr>
        <w:pStyle w:val="Subtitle"/>
        <w:jc w:val="center"/>
        <w:rPr>
          <w:sz w:val="36"/>
          <w:szCs w:val="36"/>
        </w:rPr>
      </w:pPr>
      <w:r w:rsidRPr="00E5045B">
        <w:rPr>
          <w:rFonts w:ascii="Liberation Sans" w:eastAsia="Liberation Sans" w:hAnsi="Liberation Sans" w:cs="Liberation Sans"/>
          <w:sz w:val="32"/>
          <w:szCs w:val="30"/>
        </w:rPr>
        <w:t>Twenty Theses from Bourbaki to Defensible Mathematics</w:t>
      </w:r>
    </w:p>
    <w:p w14:paraId="3F47402D" w14:textId="77777777" w:rsidR="00E85A29" w:rsidRDefault="00000000">
      <w:pPr>
        <w:pStyle w:val="Metadata"/>
        <w:rPr>
          <w:rFonts w:hint="eastAsia"/>
        </w:rPr>
      </w:pPr>
      <w:r>
        <w:rPr>
          <w:rFonts w:eastAsia="Liberation Sans" w:cs="Liberation Sans"/>
          <w:b/>
          <w:color w:val="2D2D2D"/>
          <w:sz w:val="20"/>
        </w:rPr>
        <w:t>Debi Prasad Ghosh</w:t>
      </w:r>
    </w:p>
    <w:p w14:paraId="2B75C3E2" w14:textId="77777777" w:rsidR="00E85A29" w:rsidRDefault="00000000">
      <w:pPr>
        <w:pStyle w:val="Metadata"/>
        <w:rPr>
          <w:rFonts w:hint="eastAsia"/>
        </w:rPr>
      </w:pPr>
      <w:r>
        <w:rPr>
          <w:rFonts w:eastAsia="Liberation Sans" w:cs="Liberation Sans"/>
          <w:sz w:val="18"/>
        </w:rPr>
        <w:t>Founder &amp; Principal Engineer, Debias Parametric Guru</w:t>
      </w:r>
    </w:p>
    <w:p w14:paraId="5FE87E28" w14:textId="77777777" w:rsidR="00E85A29" w:rsidRDefault="00000000">
      <w:pPr>
        <w:pStyle w:val="Metadata"/>
        <w:rPr>
          <w:rFonts w:hint="eastAsia"/>
        </w:rPr>
      </w:pPr>
      <w:r>
        <w:rPr>
          <w:rFonts w:eastAsia="Liberation Sans" w:cs="Liberation Sans"/>
          <w:sz w:val="18"/>
        </w:rPr>
        <w:t>Kolkata, India</w:t>
      </w:r>
    </w:p>
    <w:p w14:paraId="753CA230" w14:textId="77777777" w:rsidR="00E85A29" w:rsidRDefault="00000000">
      <w:pPr>
        <w:pStyle w:val="Metadata"/>
        <w:rPr>
          <w:rFonts w:hint="eastAsia"/>
        </w:rPr>
      </w:pPr>
      <w:r>
        <w:rPr>
          <w:rFonts w:eastAsia="Liberation Sans" w:cs="Liberation Sans"/>
          <w:sz w:val="18"/>
        </w:rPr>
        <w:t>Defensible Intelligence Series — “Respect science. Import emotion.”</w:t>
      </w:r>
    </w:p>
    <w:p w14:paraId="32270D97" w14:textId="77777777" w:rsidR="00E85A29" w:rsidRDefault="00000000">
      <w:pPr>
        <w:pStyle w:val="Metadata"/>
        <w:rPr>
          <w:rFonts w:hint="eastAsia"/>
        </w:rPr>
      </w:pPr>
      <w:r>
        <w:rPr>
          <w:rFonts w:eastAsia="Liberation Sans" w:cs="Liberation Sans"/>
          <w:sz w:val="18"/>
        </w:rPr>
        <w:t>Manuscript type: Historical–conceptual framework paper</w:t>
      </w:r>
    </w:p>
    <w:p w14:paraId="1F4120F7" w14:textId="77777777" w:rsidR="00E85A29" w:rsidRDefault="00000000">
      <w:pPr>
        <w:pStyle w:val="Metadata"/>
        <w:rPr>
          <w:rFonts w:hint="eastAsia"/>
        </w:rPr>
      </w:pPr>
      <w:r>
        <w:rPr>
          <w:rFonts w:eastAsia="Liberation Sans" w:cs="Liberation Sans"/>
          <w:sz w:val="18"/>
        </w:rPr>
        <w:t>Version: Working paper, 5 August 2026</w:t>
      </w:r>
    </w:p>
    <w:tbl>
      <w:tblPr>
        <w:tblW w:w="0" w:type="auto"/>
        <w:jc w:val="center"/>
        <w:tblLayout w:type="fixed"/>
        <w:tblLook w:val="04A0" w:firstRow="1" w:lastRow="0" w:firstColumn="1" w:lastColumn="0" w:noHBand="0" w:noVBand="1"/>
      </w:tblPr>
      <w:tblGrid>
        <w:gridCol w:w="9468"/>
      </w:tblGrid>
      <w:tr w:rsidR="00E85A29" w14:paraId="5E3B24F7" w14:textId="77777777">
        <w:trPr>
          <w:tblHeader/>
          <w:jc w:val="center"/>
        </w:trPr>
        <w:tc>
          <w:tcPr>
            <w:tcW w:w="9468" w:type="dxa"/>
            <w:shd w:val="clear" w:color="auto" w:fill="EAF2F8"/>
            <w:tcMar>
              <w:top w:w="130" w:type="dxa"/>
              <w:left w:w="160" w:type="dxa"/>
              <w:bottom w:w="130" w:type="dxa"/>
              <w:right w:w="160" w:type="dxa"/>
            </w:tcMar>
          </w:tcPr>
          <w:p w14:paraId="209A65AB" w14:textId="77777777" w:rsidR="00E85A29" w:rsidRDefault="00000000">
            <w:r>
              <w:rPr>
                <w:rFonts w:ascii="Liberation Sans" w:eastAsia="Liberation Sans" w:hAnsi="Liberation Sans" w:cs="Liberation Sans"/>
                <w:b/>
                <w:color w:val="1F4E79"/>
                <w:sz w:val="20"/>
              </w:rPr>
              <w:t xml:space="preserve">Epistemic status. </w:t>
            </w:r>
            <w:r>
              <w:rPr>
                <w:sz w:val="19"/>
              </w:rPr>
              <w:t>The historical backbone is grounded in published bibliographic records and historical studies. The mathematical instruments—cellular sheaves, Hodge Laplacians, Mayer–Vietoris sequences, path homology, Dowker duality, zigzag persistence, discrete Morse theory, random complexes, and false-discovery control—are established. Their assembly into an AGI architecture for mathematical discovery is a framework proposal. The paper therefore labels claims as [H] historical, [T] established mathematics, [D] design principle, [C] conjecture, [P] empirical prediction, and [L] limitation.</w:t>
            </w:r>
          </w:p>
        </w:tc>
      </w:tr>
    </w:tbl>
    <w:p w14:paraId="1E05FB63" w14:textId="77777777" w:rsidR="00E85A29" w:rsidRDefault="00000000">
      <w:pPr>
        <w:pStyle w:val="Heading2"/>
        <w:jc w:val="center"/>
      </w:pPr>
      <w:r>
        <w:rPr>
          <w:rFonts w:ascii="Liberation Sans" w:eastAsia="Liberation Sans" w:hAnsi="Liberation Sans" w:cs="Liberation Sans"/>
        </w:rPr>
        <w:t>Abstract</w:t>
      </w:r>
    </w:p>
    <w:p w14:paraId="6689CEC4" w14:textId="77777777" w:rsidR="00E85A29" w:rsidRDefault="00000000">
      <w:pPr>
        <w:pStyle w:val="AbstractText"/>
      </w:pPr>
      <w:r>
        <w:rPr>
          <w:sz w:val="21"/>
        </w:rPr>
        <w:t>Nicolas Bourbaki began with a pedagogical complaint and discovered a verification architecture. The difficulty was not principally that the inherited theorems were false, but that definitions, conventions, and local arguments did not compose into a coherent global system. The planned analysis text therefore regressed through topology and algebra toward set theory and formal language; yet the chronological publications placed topology and algebra before the complete foundational chapters. The episode shows that foundations are often retrospective residues of attempted gluing, while Bourbaki’s later inability to absorb category theory illustrates the opposite danger: a coherent certificate layer can become too expensive to migrate. This paper uses that historical backbone to ask how artificial general intelligence may produce genuinely new mathematics. Its central thesis is that increasing capability collapses the cost of conjecture and proof generation faster than the cost of semantic translation, independent verification, and accountable release. The scarce product is therefore not a theorem-like string but a signable mathematical artifact. The proposed framework models a corpus, after linearization, as a cellular sheaf over a growing two-dimensional complex. Claims-in-context occupy 0-cells, interpretations occupy 1-cells, and explicit agreement certificates occupy 2-cells. Redundant formalization supplies a scalable approximation to semantic faithfulness; Mayer–Vietoris connecting morphisms identify local agreements that fail to extend globally; directed path homology respects proof dependency; Hodge decomposition separates translation curvature from inferential leakage; spectral gaps measure fragility separately from present disagreement; Dowker duality exposes limits set by verifier diversity; and zigzag persistence turns certification into a versioned interval rather than a permanent property. Negative results become obstruction witnesses, while discrete Morse reductions provide a noncanonical but operational measure of irreducible novelty. The main positive conjecture is that new mathematical language is forced at the frontier where further compression would break certified gluing and further gluing would forbid useful compression. The paper also states three non-exact transfers: vector-space sheaves are only a linear proxy for lax, lossy interpretations; foundation dependence may appear as integral torsion invisible over rational coefficients; and a growing corpus makes persistence the base case rather than an optional extension. A falsification programme based on null complexes and false-discovery control is proposed.</w:t>
      </w:r>
    </w:p>
    <w:p w14:paraId="4FCE322F" w14:textId="77777777" w:rsidR="00E85A29" w:rsidRDefault="00000000">
      <w:pPr>
        <w:pStyle w:val="Keywords"/>
        <w:rPr>
          <w:rFonts w:hint="eastAsia"/>
        </w:rPr>
      </w:pPr>
      <w:r>
        <w:rPr>
          <w:rFonts w:eastAsia="Liberation Serif" w:cs="Liberation Serif"/>
          <w:b/>
        </w:rPr>
        <w:t xml:space="preserve">Keywords: </w:t>
      </w:r>
      <w:r>
        <w:rPr>
          <w:rFonts w:eastAsia="Liberation Serif" w:cs="Liberation Serif"/>
        </w:rPr>
        <w:t>AGI; AI for mathematics; Nicolas Bourbaki; Defensible Intelligence; cellular sheaves; 2-cells; formal verification; Mayer–Vietoris; path homology; Hodge decomposition; Dowker duality; zigzag persistence; discrete Morse theory; certification.</w:t>
      </w:r>
    </w:p>
    <w:p w14:paraId="34680E04" w14:textId="77777777" w:rsidR="00E85A29" w:rsidRDefault="00000000">
      <w:r>
        <w:lastRenderedPageBreak/>
        <w:br w:type="page"/>
      </w:r>
    </w:p>
    <w:p w14:paraId="16EE7A3C" w14:textId="77777777" w:rsidR="00E85A29" w:rsidRDefault="00000000">
      <w:pPr>
        <w:pStyle w:val="Heading1"/>
      </w:pPr>
      <w:r>
        <w:lastRenderedPageBreak/>
        <w:t>1. Introduction</w:t>
      </w:r>
    </w:p>
    <w:p w14:paraId="55D40DE9" w14:textId="77777777" w:rsidR="00E85A29" w:rsidRDefault="00000000">
      <w:r>
        <w:t>The dominant image of AI for mathematics is generative: a stronger model proposes better conjectures, searches larger proof spaces, writes more formal code, and eventually solves problems that exceed unaided human reach. That image is incomplete. A mathematical community cannot use raw generation directly. It must determine what a statement means, whether the formal statement preserves that meaning, whether the proof was checked under the claimed assumptions, whether the result survives library and foundation changes, and whether any identifiable person or institution is prepared to release it into durable knowledge. These are not secondary administrative tasks. They are the architecture that turns a plausible sequence of symbols into mathematics.</w:t>
      </w:r>
    </w:p>
    <w:p w14:paraId="432693BD" w14:textId="77777777" w:rsidR="00E85A29" w:rsidRDefault="00000000">
      <w:r>
        <w:t>This paper develops a different thesis: AGI produces new mathematics when independently generated local theories cannot be compressed and glued within the existing language without violating explicit certification obligations. The generator supplies abundance; the certification architecture creates pressure; the obstruction forces a new object, invariant, interpretation, or foundation. In this view, new mathematics is neither the output token stream of a model nor merely a theorem that was previously unknown. It is a language extension made necessary by the failure of certified composition.</w:t>
      </w:r>
    </w:p>
    <w:p w14:paraId="39FE894F" w14:textId="77777777" w:rsidR="00E85A29" w:rsidRDefault="00000000">
      <w:r>
        <w:t>Bourbaki provides the historical backbone because it enacted both sides of this mechanism. The group unified and compressed a fragmented mathematical landscape by imposing common definitions and structural language. It also demonstrated the cost of success: once a large coherent system had accumulated around one foundational architecture, a later categorical reconstruction became institutionally and technically expensive. The history therefore supplies both the discovery mechanism and the warning.</w:t>
      </w:r>
    </w:p>
    <w:p w14:paraId="74E678C2" w14:textId="77777777" w:rsidR="00E85A29" w:rsidRDefault="00000000">
      <w:pPr>
        <w:pStyle w:val="Heading2"/>
      </w:pPr>
      <w:r>
        <w:t>1.1 Contribution</w:t>
      </w:r>
    </w:p>
    <w:p w14:paraId="48B39B3E" w14:textId="77777777" w:rsidR="00E85A29" w:rsidRDefault="00000000">
      <w:r>
        <w:t>The paper makes five contributions. First, it interprets the Bourbaki project as an early large-scale attempt to make local mathematical correctness glue globally. Second, it separates proof verification from statement faithfulness and argues that the latter is the binding constraint in an AGI regime. Third, it proposes a two-dimensional, certificate-bearing corpus architecture in which 2-cells are operational obligations rather than decorative topology. Fourth, it identifies a family of computable discovery and audit instruments—Mayer–Vietoris obstruction, directed path homology, Hodge separation, spectral fragility, Dowker duality, zigzag persistence, and discrete Morse reduction. Fifth, it states the non-exact transfers and a null-model programme required to keep the proposal falsifiable.</w:t>
      </w:r>
    </w:p>
    <w:p w14:paraId="2D57819A" w14:textId="77777777" w:rsidR="00E85A29" w:rsidRDefault="00000000">
      <w:pPr>
        <w:pStyle w:val="Heading2"/>
      </w:pPr>
      <w:r>
        <w:t>1.2 The central positive claim</w:t>
      </w:r>
    </w:p>
    <w:p w14:paraId="1113AFE3" w14:textId="77777777" w:rsidR="00E85A29" w:rsidRDefault="00000000">
      <w:pPr>
        <w:pStyle w:val="Quote"/>
      </w:pPr>
      <w:r>
        <w:rPr>
          <w:b/>
          <w:color w:val="2D2D2D"/>
          <w:sz w:val="22"/>
        </w:rPr>
        <w:t>New mathematics is forced when a statistically significant, persistent obstruction prevents independently certified local theories from being both compressed and globally glued in the current language.</w:t>
      </w:r>
    </w:p>
    <w:p w14:paraId="3B4F611F" w14:textId="77777777" w:rsidR="00E85A29" w:rsidRDefault="00000000">
      <w:r>
        <w:t>The word “forced” is important. A model can invent terminology indefinitely. Most invented terminology is noise. The framework counts a language extension as mathematically serious only when it discharges a named obstruction, preserves specified witnesses, survives independent re-formalization, and enters a versioned certification chain.</w:t>
      </w:r>
    </w:p>
    <w:p w14:paraId="6F4DAAF1" w14:textId="77777777" w:rsidR="00E85A29" w:rsidRDefault="00000000">
      <w:pPr>
        <w:pStyle w:val="Heading2"/>
      </w:pPr>
      <w:r>
        <w:t>1.3 Structure of the paper</w:t>
      </w:r>
    </w:p>
    <w:p w14:paraId="11A3C0BC" w14:textId="77777777" w:rsidR="00E85A29" w:rsidRDefault="00000000">
      <w:r>
        <w:t>Sections 2–6 retain the twenty-point architecture supplied in the accompanying framework. Section 2 gives the historical backbone. Section 3 states the three-part thesis. Section 4 develops the mathematical substrate. Section 5 treats certification as a dynamic object. Section 6 supplies statistical discipline and the consistency–compression closure. Section 7 states where the transfer from established mathematics to knowledge architecture is not exact. Section 8 proposes an experimental programme, and Section 9 discusses institutional and philosophical consequences before the conclusion.</w:t>
      </w:r>
    </w:p>
    <w:p w14:paraId="5225B666" w14:textId="77777777" w:rsidR="00E85A29" w:rsidRDefault="00000000">
      <w:pPr>
        <w:pStyle w:val="Heading1"/>
      </w:pPr>
      <w:r>
        <w:lastRenderedPageBreak/>
        <w:t>2. I. Historical Backbone</w:t>
      </w:r>
    </w:p>
    <w:p w14:paraId="0BD3598C" w14:textId="77777777" w:rsidR="00E85A29" w:rsidRDefault="00000000">
      <w:pPr>
        <w:pStyle w:val="Thesis"/>
        <w:rPr>
          <w:rFonts w:hint="eastAsia"/>
        </w:rPr>
      </w:pPr>
      <w:r>
        <w:rPr>
          <w:rFonts w:eastAsia="Liberation Sans" w:cs="Liberation Sans"/>
          <w:color w:val="1F4E79"/>
        </w:rPr>
        <w:t>Point 1. Bourbaki began as a verification problem disguised as a pedagogical one</w:t>
      </w:r>
      <w:r>
        <w:rPr>
          <w:rFonts w:eastAsia="Liberation Sans" w:cs="Liberation Sans"/>
          <w:color w:val="5F5F5F"/>
          <w:sz w:val="18"/>
        </w:rPr>
        <w:t xml:space="preserve">  [H / interpretation]</w:t>
      </w:r>
    </w:p>
    <w:p w14:paraId="461F1851" w14:textId="77777777" w:rsidR="00E85A29" w:rsidRDefault="00000000">
      <w:r>
        <w:t>In 1934, Henri Cartan and André Weil confronted a practical teaching problem: the available French analysis texts, especially the inherited Goursat tradition, did not offer a modern and compositionally uniform basis for instruction. The historically secure claim is that the group planned a replacement treatise on analysis and that disagreements about definitions and presentation were central to the project [1–4]. The stronger language used here—“local correctness that failed to glue”—is a retrospective interpretation, not a quotation from the founders.</w:t>
      </w:r>
    </w:p>
    <w:p w14:paraId="31F4A7B4" w14:textId="77777777" w:rsidR="00E85A29" w:rsidRDefault="00000000">
      <w:r>
        <w:t>The distinction matters. A theorem in an isolated chapter can be correct relative to that chapter’s definitions while remaining difficult to transport into another chapter that encodes manifolds, integration, orientation, or boundary operators differently. Stokes’ theorem is paradigmatic because its many manifestations are not made coherent merely by verifying each formula separately. The pedagogical complaint therefore concealed a verification problem: how can a reader know that the local statements inhabit one system rather than several coincidentally similar systems?</w:t>
      </w:r>
    </w:p>
    <w:p w14:paraId="11D27AC9" w14:textId="77777777" w:rsidR="00E85A29" w:rsidRDefault="00000000">
      <w:r>
        <w:t>Bourbaki’s response was to make definitions, notation, dependencies, and admissible transformations explicit enough that a result could be reused without repeatedly renegotiating its meaning. In modern language, the treatise attempted to turn local mathematical validity into a global section.</w:t>
      </w:r>
    </w:p>
    <w:p w14:paraId="52BD350E" w14:textId="77777777" w:rsidR="00E85A29" w:rsidRDefault="00000000">
      <w:pPr>
        <w:pStyle w:val="Thesis"/>
        <w:rPr>
          <w:rFonts w:hint="eastAsia"/>
        </w:rPr>
      </w:pPr>
      <w:r>
        <w:rPr>
          <w:rFonts w:eastAsia="Liberation Sans" w:cs="Liberation Sans"/>
          <w:color w:val="1F4E79"/>
        </w:rPr>
        <w:t>Point 2. The dependency regress discovered the corpus’s own graph</w:t>
      </w:r>
      <w:r>
        <w:rPr>
          <w:rFonts w:eastAsia="Liberation Sans" w:cs="Liberation Sans"/>
          <w:color w:val="5F5F5F"/>
          <w:sz w:val="18"/>
        </w:rPr>
        <w:t xml:space="preserve">  [H / D]</w:t>
      </w:r>
    </w:p>
    <w:p w14:paraId="3FA9313A" w14:textId="77777777" w:rsidR="00E85A29" w:rsidRDefault="00000000">
      <w:r>
        <w:t>The familiar regress—analysis requires topology, topology requires algebra, algebra requires set theory and formal language—should not be read as a simple foundational dogma. It was discovered by attempted use. Each time the group tried to transport a result, it exposed an interface that the inherited literature had left implicit. The missing objects were not principally additional theorems. They were maps: conventions for restricting a general concept to a special context, transporting it across notational regimes, and proving that two presentations represented the same construction.</w:t>
      </w:r>
    </w:p>
    <w:p w14:paraId="58D2616D" w14:textId="77777777" w:rsidR="00E85A29" w:rsidRDefault="00000000">
      <w:r>
        <w:t>Calling these interfaces “restriction maps” is anachronistic but productive. Bourbaki did not formulate its editorial problem as a cellular sheaf. Nevertheless, the project behaved like a knowledge system learning its dependency graph by traversing it. A dependency is fully useful only when the transport along it is specified; a list of nodes without maps is not an architecture.</w:t>
      </w:r>
    </w:p>
    <w:p w14:paraId="19F066E5" w14:textId="77777777" w:rsidR="00E85A29" w:rsidRDefault="00000000">
      <w:pPr>
        <w:pStyle w:val="Thesis"/>
        <w:rPr>
          <w:rFonts w:hint="eastAsia"/>
        </w:rPr>
      </w:pPr>
      <w:r>
        <w:rPr>
          <w:rFonts w:eastAsia="Liberation Sans" w:cs="Liberation Sans"/>
          <w:color w:val="1F4E79"/>
        </w:rPr>
        <w:t>Point 3. Publication order inverted logical order</w:t>
      </w:r>
      <w:r>
        <w:rPr>
          <w:rFonts w:eastAsia="Liberation Sans" w:cs="Liberation Sans"/>
          <w:color w:val="5F5F5F"/>
          <w:sz w:val="18"/>
        </w:rPr>
        <w:t xml:space="preserve">  [H]</w:t>
      </w:r>
    </w:p>
    <w:p w14:paraId="36A81FEE" w14:textId="77777777" w:rsidR="00E85A29" w:rsidRDefault="00000000">
      <w:r>
        <w:t>The first six books of the Éléments were arranged in a logical order beginning with set theory, followed by algebra, general topology, real-variable functions, topological vector spaces, and integration. Chronological publication did not follow that order. A proofless summary of set-theoretic results appeared in 1939, general topology began in 1940, algebra in 1942, while the proved foundational chapters of set theory appeared only from 1954, with the chapter on “Structures” following in 1957 [1–4].</w:t>
      </w:r>
    </w:p>
    <w:p w14:paraId="6ADDC4E6" w14:textId="77777777" w:rsidR="00E85A29" w:rsidRDefault="00000000">
      <w:r>
        <w:t>The lesson is stronger than the popular story that Bourbaki insisted on foundations before applications. The upper floors were built while the foundation was still being specified. Their load revealed what the foundation had to support. An AGI programme that attempts to freeze a complete ontology before generating and integrating mathematics therefore contradicts the most relevant historical trial. Ontology must be versioned and revisable because the work done above it discovers new requirements below it.</w:t>
      </w:r>
    </w:p>
    <w:p w14:paraId="58D7AAC8" w14:textId="77777777" w:rsidR="00E85A29" w:rsidRDefault="00000000">
      <w:r>
        <w:rPr>
          <w:noProof/>
        </w:rPr>
        <w:lastRenderedPageBreak/>
        <w:drawing>
          <wp:inline distT="0" distB="0" distL="0" distR="0" wp14:anchorId="3BEC79FA" wp14:editId="7A10371F">
            <wp:extent cx="5868000" cy="2626629"/>
            <wp:effectExtent l="0" t="0" r="0" b="0"/>
            <wp:docPr id="1" name="Picture 1" descr="Image: 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i_math_historical_inversion.png"/>
                    <pic:cNvPicPr/>
                  </pic:nvPicPr>
                  <pic:blipFill>
                    <a:blip r:embed="rId8"/>
                    <a:stretch>
                      <a:fillRect/>
                    </a:stretch>
                  </pic:blipFill>
                  <pic:spPr>
                    <a:xfrm>
                      <a:off x="0" y="0"/>
                      <a:ext cx="5868000" cy="2626629"/>
                    </a:xfrm>
                    <a:prstGeom prst="rect">
                      <a:avLst/>
                    </a:prstGeom>
                  </pic:spPr>
                </pic:pic>
              </a:graphicData>
            </a:graphic>
          </wp:inline>
        </w:drawing>
      </w:r>
    </w:p>
    <w:p w14:paraId="64BFA4FA" w14:textId="77777777" w:rsidR="00E85A29" w:rsidRDefault="00000000">
      <w:pPr>
        <w:pStyle w:val="Caption"/>
        <w:jc w:val="center"/>
      </w:pPr>
      <w:r>
        <w:rPr>
          <w:color w:val="5F5F5F"/>
        </w:rPr>
        <w:t>Figure 1. Bourbaki’s logical order and publication order. The inversion motivates retrospective, versioned foundations rather than a once-for-all ontology.</w:t>
      </w:r>
    </w:p>
    <w:p w14:paraId="2729015C" w14:textId="77777777" w:rsidR="00E85A29" w:rsidRDefault="00000000">
      <w:pPr>
        <w:pStyle w:val="Thesis"/>
        <w:rPr>
          <w:rFonts w:hint="eastAsia"/>
        </w:rPr>
      </w:pPr>
      <w:r>
        <w:rPr>
          <w:rFonts w:eastAsia="Liberation Sans" w:cs="Liberation Sans"/>
          <w:color w:val="1F4E79"/>
        </w:rPr>
        <w:t>Point 4. Foundation lock-in is the price of coherence</w:t>
      </w:r>
      <w:r>
        <w:rPr>
          <w:rFonts w:eastAsia="Liberation Sans" w:cs="Liberation Sans"/>
          <w:color w:val="5F5F5F"/>
          <w:sz w:val="18"/>
        </w:rPr>
        <w:t xml:space="preserve">  [H / C]</w:t>
      </w:r>
    </w:p>
    <w:p w14:paraId="6B25E788" w14:textId="77777777" w:rsidR="00E85A29" w:rsidRDefault="00000000">
      <w:r>
        <w:t>Bourbaki’s relation to category theory supplies the warning. Samuel Eilenberg was associated with the group; category theory was developed in the same intellectual environment; and Grothendieck pressed mathematics toward categorical and functorial organization. Yet Bourbaki’s formal account of “structures” remained tied to its existing set-theoretic architecture. Historical work by Leo Corry shows that this formal machinery played a limited role in Bourbaki’s actual practice and that the interaction with category theory was complex [5]. It would be too strong to claim a single documented cause for non-adoption. The framework claim is narrower: once many volumes, references, and consensus decisions depend on a foundational certificate layer, migration cost grows with that layer’s depth and coupling.</w:t>
      </w:r>
    </w:p>
    <w:p w14:paraId="283046B1" w14:textId="77777777" w:rsidR="00E85A29" w:rsidRDefault="00000000">
      <w:r>
        <w:t>This cost is not captured by theorem count. Two libraries may contain the same number of results but differ radically in the amount of proof replay, semantic translation, identifier migration, and human sign-off required by a foundational change. Bourbaki’s unanimity rule amplified the lock-in because every migration had to pass the same collective gate that had produced the original coherence. Machines can build such layers orders of magnitude faster than a small committee. They can therefore reach foundation lock-in sooner, not later.</w:t>
      </w:r>
    </w:p>
    <w:p w14:paraId="5F14B88F" w14:textId="77777777" w:rsidR="00E85A29" w:rsidRDefault="00000000">
      <w:pPr>
        <w:pStyle w:val="Heading1"/>
      </w:pPr>
      <w:r>
        <w:t>3. II. Thesis</w:t>
      </w:r>
    </w:p>
    <w:p w14:paraId="38F931FF" w14:textId="77777777" w:rsidR="00E85A29" w:rsidRDefault="00000000">
      <w:pPr>
        <w:pStyle w:val="Thesis"/>
        <w:rPr>
          <w:rFonts w:hint="eastAsia"/>
        </w:rPr>
      </w:pPr>
      <w:r>
        <w:rPr>
          <w:rFonts w:eastAsia="Liberation Sans" w:cs="Liberation Sans"/>
          <w:color w:val="1F4E79"/>
        </w:rPr>
        <w:t>Point 5. Capability worsens the generation-to-verification ratio unless checking scales faster</w:t>
      </w:r>
      <w:r>
        <w:rPr>
          <w:rFonts w:eastAsia="Liberation Sans" w:cs="Liberation Sans"/>
          <w:color w:val="5F5F5F"/>
          <w:sz w:val="18"/>
        </w:rPr>
        <w:t xml:space="preserve">  [C / P]</w:t>
      </w:r>
    </w:p>
    <w:p w14:paraId="4AFFDAA1" w14:textId="77777777" w:rsidR="00E85A29" w:rsidRDefault="00000000">
      <w:r>
        <w:t>Let G(c) denote the throughput of mathematically plausible candidate generation at capability level c, and let V(c) denote the throughput of independent semantic and formal verification. The framework’s sharp conjecture is not merely that generation becomes cheap. It is that, absent a distinct architectural change, the ratio R(c)=G(c)/V(c) increases with capability over the relevant regime.</w:t>
      </w:r>
    </w:p>
    <w:p w14:paraId="547327E8" w14:textId="77777777" w:rsidR="00E85A29" w:rsidRDefault="00000000">
      <w:pPr>
        <w:pStyle w:val="Equation"/>
        <w:jc w:val="center"/>
        <w:rPr>
          <w:rFonts w:hint="eastAsia"/>
        </w:rPr>
      </w:pPr>
      <w:r>
        <w:rPr>
          <w:rFonts w:eastAsia="DejaVu Serif" w:cs="DejaVu Serif"/>
          <w:i/>
        </w:rPr>
        <w:t>R(c) = G(c) / V(c),      with the conjecture dR/dc &gt; 0 over the AGI transition.</w:t>
      </w:r>
    </w:p>
    <w:p w14:paraId="60CECBD1" w14:textId="77777777" w:rsidR="00E85A29" w:rsidRDefault="00000000">
      <w:r>
        <w:t>A better generator can make the epistemic problem harder. It expands the stock of coherent, novel-looking, and technically sophisticated unverified material faster than the mathematical community or a correlated verifier stack can certify it. This is a monotonicity conjecture, not an established law. It is falsified if independent statement audit and checking throughput scale at least as rapidly as candidate production while maintaining error independence and semantic coverage.</w:t>
      </w:r>
    </w:p>
    <w:p w14:paraId="786DF746" w14:textId="77777777" w:rsidR="00E85A29" w:rsidRDefault="00000000">
      <w:r>
        <w:t>The operational metric must therefore be cost per certified result, not tokens per candidate or formal proofs per hour. A system that generates one million proof scripts and certifies ten trustworthy results may be less useful than a slower system that generates one hundred and certifies fifty.</w:t>
      </w:r>
    </w:p>
    <w:p w14:paraId="2DB43D47" w14:textId="77777777" w:rsidR="00E85A29" w:rsidRDefault="00000000">
      <w:pPr>
        <w:pStyle w:val="Thesis"/>
        <w:rPr>
          <w:rFonts w:hint="eastAsia"/>
        </w:rPr>
      </w:pPr>
      <w:r>
        <w:rPr>
          <w:rFonts w:eastAsia="Liberation Sans" w:cs="Liberation Sans"/>
          <w:color w:val="1F4E79"/>
        </w:rPr>
        <w:lastRenderedPageBreak/>
        <w:t>Point 6. Statement translation is the binding constraint</w:t>
      </w:r>
      <w:r>
        <w:rPr>
          <w:rFonts w:eastAsia="Liberation Sans" w:cs="Liberation Sans"/>
          <w:color w:val="5F5F5F"/>
          <w:sz w:val="18"/>
        </w:rPr>
        <w:t xml:space="preserve">  [D / C]</w:t>
      </w:r>
    </w:p>
    <w:p w14:paraId="769FA894" w14:textId="77777777" w:rsidR="00E85A29" w:rsidRDefault="00000000">
      <w:r>
        <w:t>A proof assistant checks a formal object under a formal kernel. It does not, by that act alone, certify that the formal object faithfully expresses the informal claim that motivated it. The kernel verifies what is in the stalk; semantic faithfulness concerns the map into the stalk. This is a dimensional distinction: theorem checking is primarily a property of objects and derivations inside a formal system, while translation faithfulness is a property of morphisms between representational regimes.</w:t>
      </w:r>
    </w:p>
    <w:p w14:paraId="66132329" w14:textId="77777777" w:rsidR="00E85A29" w:rsidRDefault="00000000">
      <w:r>
        <w:t>The phrase “there is no verifier for 1-cells” must be read carefully. Particular translations can certainly carry machine-checkable proofs of equivalence, refinement, or interpretation. What is absent is a general, complete procedure that determines from syntax alone whether an arbitrary informal mathematical intention has been faithfully captured. The problem includes tacit scope, examples that motivated the claim, excluded degenerate cases, and pragmatic meanings not present in the final sentence.</w:t>
      </w:r>
    </w:p>
    <w:p w14:paraId="0738BD3B" w14:textId="77777777" w:rsidR="00E85A29" w:rsidRDefault="00000000">
      <w:r>
        <w:t>Consequently, scaling proof search without scaling statement audit can produce impeccably verified irrelevance. The formal theorem may be true, and the intended theorem may remain unproved.</w:t>
      </w:r>
    </w:p>
    <w:p w14:paraId="26C0320A" w14:textId="77777777" w:rsidR="00E85A29" w:rsidRDefault="00000000">
      <w:pPr>
        <w:pStyle w:val="Thesis"/>
        <w:rPr>
          <w:rFonts w:hint="eastAsia"/>
        </w:rPr>
      </w:pPr>
      <w:r>
        <w:rPr>
          <w:rFonts w:eastAsia="Liberation Sans" w:cs="Liberation Sans"/>
          <w:color w:val="1F4E79"/>
        </w:rPr>
        <w:t>Point 7. The scarce product is a signable artifact</w:t>
      </w:r>
      <w:r>
        <w:rPr>
          <w:rFonts w:eastAsia="Liberation Sans" w:cs="Liberation Sans"/>
          <w:color w:val="5F5F5F"/>
          <w:sz w:val="18"/>
        </w:rPr>
        <w:t xml:space="preserve">  [D]</w:t>
      </w:r>
    </w:p>
    <w:p w14:paraId="364C668D" w14:textId="77777777" w:rsidR="00E85A29" w:rsidRDefault="00000000">
      <w:r>
        <w:t>Generation, search, translation, and checking are all automatable to significant degrees. Accountability is different because a signature does not merely assert truth. It places an artifact inside a liability, authority, jurisdiction, and release regime. A machine may generate a digital signature; it cannot by computation alone create the social fact that a named institution accepts responsibility for downstream use.</w:t>
      </w:r>
    </w:p>
    <w:p w14:paraId="2C06FC8D" w14:textId="77777777" w:rsidR="00E85A29" w:rsidRDefault="00000000">
      <w:r>
        <w:t>A signable mathematical artifact therefore includes more than a statement and proof. It records the informal source claim, formal statement, dependencies, interpretation maps, verifier identities, toolchain versions, scope of permitted use, known hazards, migration status, and the person or institution authorizing release. The claim is not that humans must manually inspect every line forever. It is that consequence-bearing release requires an accountable principal even when the technical work is automated.</w:t>
      </w:r>
    </w:p>
    <w:p w14:paraId="23137215" w14:textId="77777777" w:rsidR="00E85A29" w:rsidRDefault="00000000">
      <w:r>
        <w:t>This is the time-invariant human contribution in the framework: not exclusive possession of insight, but custody of responsibility.</w:t>
      </w:r>
    </w:p>
    <w:p w14:paraId="3C0C66B2" w14:textId="77777777" w:rsidR="00E85A29" w:rsidRDefault="00000000">
      <w:pPr>
        <w:pStyle w:val="Heading1"/>
      </w:pPr>
      <w:r>
        <w:t>4. III. Framework</w:t>
      </w:r>
    </w:p>
    <w:p w14:paraId="42CC970D" w14:textId="77777777" w:rsidR="00E85A29" w:rsidRDefault="00000000">
      <w:pPr>
        <w:pStyle w:val="Thesis"/>
        <w:rPr>
          <w:rFonts w:hint="eastAsia"/>
        </w:rPr>
      </w:pPr>
      <w:r>
        <w:rPr>
          <w:rFonts w:eastAsia="Liberation Sans" w:cs="Liberation Sans"/>
          <w:color w:val="1F4E79"/>
        </w:rPr>
        <w:t>Point 8. A linearized corpus can be modelled as a cellular sheaf</w:t>
      </w:r>
      <w:r>
        <w:rPr>
          <w:rFonts w:eastAsia="Liberation Sans" w:cs="Liberation Sans"/>
          <w:color w:val="5F5F5F"/>
          <w:sz w:val="18"/>
        </w:rPr>
        <w:t xml:space="preserve">  [T / D / L]</w:t>
      </w:r>
    </w:p>
    <w:p w14:paraId="3DCBA623" w14:textId="77777777" w:rsidR="00E85A29" w:rsidRDefault="00000000">
      <w:r>
        <w:t>Let X be a finite two-dimensional cell complex encoding a corpus snapshot. For the operational model, a vertex v represents a claim-in-context: a statement together with a chosen formal language, library version, universe discipline, and scope. An edge e represents a specified interpretation or overlap between two contexts. A 2-cell p represents an explicit certificate attached along a translation loop. A cellular sheaf ℱ assigns a vector space ℱ(σ) to each cell and linear restriction maps along face relations [6–8].</w:t>
      </w:r>
    </w:p>
    <w:p w14:paraId="48B17371" w14:textId="77777777" w:rsidR="00E85A29" w:rsidRDefault="00000000">
      <w:r>
        <w:t>With a vertex-to-edge convention, a 0-cochain is a family x=(x_v) of local claim representations. The coboundary δ⁰ compares their restrictions on shared interfaces. Compatible assignments are global sections:</w:t>
      </w:r>
    </w:p>
    <w:p w14:paraId="5AA69103" w14:textId="77777777" w:rsidR="00E85A29" w:rsidRDefault="00000000">
      <w:pPr>
        <w:pStyle w:val="Equation"/>
        <w:jc w:val="center"/>
        <w:rPr>
          <w:rFonts w:hint="eastAsia"/>
        </w:rPr>
      </w:pPr>
      <w:r>
        <w:rPr>
          <w:rFonts w:eastAsia="DejaVu Serif" w:cs="DejaVu Serif"/>
          <w:i/>
        </w:rPr>
        <w:t>C⁰(X; ℱ) = ⊕ᵥ ℱ(v),      H⁰(X; ℱ) = ker δ⁰.</w:t>
      </w:r>
    </w:p>
    <w:p w14:paraId="43160D8F" w14:textId="77777777" w:rsidR="00E85A29" w:rsidRDefault="00000000">
      <w:r>
        <w:t>Thus H⁰ does not mean metaphysical identity of meaning. It means compatibility under the interpretations actually encoded in the corpus. At this linearized level, the transfer from cellular sheaf theory is exact: global sections are precisely assignments that agree on every represented overlap. The limitation is deferred to Section 7: formal theories and interpretations are not naturally vector spaces, and linearization can erase the non-invertibility that the audit is meant to expose.</w:t>
      </w:r>
    </w:p>
    <w:p w14:paraId="40130F40" w14:textId="77777777" w:rsidR="00E85A29" w:rsidRDefault="00000000">
      <w:r>
        <w:br w:type="page"/>
      </w:r>
    </w:p>
    <w:tbl>
      <w:tblPr>
        <w:tblStyle w:val="TableGrid"/>
        <w:tblW w:w="0" w:type="auto"/>
        <w:jc w:val="center"/>
        <w:tblLook w:val="04A0" w:firstRow="1" w:lastRow="0" w:firstColumn="1" w:lastColumn="0" w:noHBand="0" w:noVBand="1"/>
      </w:tblPr>
      <w:tblGrid>
        <w:gridCol w:w="3156"/>
        <w:gridCol w:w="3156"/>
        <w:gridCol w:w="3156"/>
      </w:tblGrid>
      <w:tr w:rsidR="00E85A29" w14:paraId="02AB97D5" w14:textId="77777777">
        <w:trPr>
          <w:tblHeader/>
          <w:jc w:val="center"/>
        </w:trPr>
        <w:tc>
          <w:tcPr>
            <w:tcW w:w="3156" w:type="dxa"/>
            <w:shd w:val="clear" w:color="auto" w:fill="D9EAF7"/>
            <w:tcMar>
              <w:top w:w="90" w:type="dxa"/>
              <w:left w:w="100" w:type="dxa"/>
              <w:bottom w:w="90" w:type="dxa"/>
              <w:right w:w="100" w:type="dxa"/>
            </w:tcMar>
            <w:vAlign w:val="center"/>
          </w:tcPr>
          <w:p w14:paraId="363CDE18" w14:textId="77777777" w:rsidR="00E85A29" w:rsidRDefault="00000000">
            <w:r>
              <w:rPr>
                <w:rFonts w:ascii="Liberation Sans" w:eastAsia="Liberation Sans" w:hAnsi="Liberation Sans" w:cs="Liberation Sans"/>
                <w:b/>
                <w:color w:val="1F4E79"/>
                <w:sz w:val="18"/>
              </w:rPr>
              <w:lastRenderedPageBreak/>
              <w:t>Mathematical object</w:t>
            </w:r>
          </w:p>
        </w:tc>
        <w:tc>
          <w:tcPr>
            <w:tcW w:w="3156" w:type="dxa"/>
            <w:shd w:val="clear" w:color="auto" w:fill="D9EAF7"/>
            <w:tcMar>
              <w:top w:w="90" w:type="dxa"/>
              <w:left w:w="100" w:type="dxa"/>
              <w:bottom w:w="90" w:type="dxa"/>
              <w:right w:w="100" w:type="dxa"/>
            </w:tcMar>
            <w:vAlign w:val="center"/>
          </w:tcPr>
          <w:p w14:paraId="5821225F" w14:textId="77777777" w:rsidR="00E85A29" w:rsidRDefault="00000000">
            <w:r>
              <w:rPr>
                <w:rFonts w:ascii="Liberation Sans" w:eastAsia="Liberation Sans" w:hAnsi="Liberation Sans" w:cs="Liberation Sans"/>
                <w:b/>
                <w:color w:val="1F4E79"/>
                <w:sz w:val="18"/>
              </w:rPr>
              <w:t>Corpus interpretation</w:t>
            </w:r>
          </w:p>
        </w:tc>
        <w:tc>
          <w:tcPr>
            <w:tcW w:w="3156" w:type="dxa"/>
            <w:shd w:val="clear" w:color="auto" w:fill="D9EAF7"/>
            <w:tcMar>
              <w:top w:w="90" w:type="dxa"/>
              <w:left w:w="100" w:type="dxa"/>
              <w:bottom w:w="90" w:type="dxa"/>
              <w:right w:w="100" w:type="dxa"/>
            </w:tcMar>
            <w:vAlign w:val="center"/>
          </w:tcPr>
          <w:p w14:paraId="0A3086AF" w14:textId="77777777" w:rsidR="00E85A29" w:rsidRDefault="00000000">
            <w:r>
              <w:rPr>
                <w:rFonts w:ascii="Liberation Sans" w:eastAsia="Liberation Sans" w:hAnsi="Liberation Sans" w:cs="Liberation Sans"/>
                <w:b/>
                <w:color w:val="1F4E79"/>
                <w:sz w:val="18"/>
              </w:rPr>
              <w:t>Operational question</w:t>
            </w:r>
          </w:p>
        </w:tc>
      </w:tr>
      <w:tr w:rsidR="00E85A29" w14:paraId="605E0EC1" w14:textId="77777777">
        <w:trPr>
          <w:jc w:val="center"/>
        </w:trPr>
        <w:tc>
          <w:tcPr>
            <w:tcW w:w="3156" w:type="dxa"/>
            <w:tcMar>
              <w:top w:w="90" w:type="dxa"/>
              <w:left w:w="100" w:type="dxa"/>
              <w:bottom w:w="90" w:type="dxa"/>
              <w:right w:w="100" w:type="dxa"/>
            </w:tcMar>
            <w:vAlign w:val="center"/>
          </w:tcPr>
          <w:p w14:paraId="0BEC78F6" w14:textId="77777777" w:rsidR="00E85A29" w:rsidRDefault="00000000">
            <w:r>
              <w:rPr>
                <w:sz w:val="18"/>
              </w:rPr>
              <w:t>0-cell / vertex stalk</w:t>
            </w:r>
          </w:p>
        </w:tc>
        <w:tc>
          <w:tcPr>
            <w:tcW w:w="3156" w:type="dxa"/>
            <w:tcMar>
              <w:top w:w="90" w:type="dxa"/>
              <w:left w:w="100" w:type="dxa"/>
              <w:bottom w:w="90" w:type="dxa"/>
              <w:right w:w="100" w:type="dxa"/>
            </w:tcMar>
            <w:vAlign w:val="center"/>
          </w:tcPr>
          <w:p w14:paraId="09E919CA" w14:textId="77777777" w:rsidR="00E85A29" w:rsidRDefault="00000000">
            <w:r>
              <w:rPr>
                <w:sz w:val="18"/>
              </w:rPr>
              <w:t>Claim in a specific formal context</w:t>
            </w:r>
          </w:p>
        </w:tc>
        <w:tc>
          <w:tcPr>
            <w:tcW w:w="3156" w:type="dxa"/>
            <w:tcMar>
              <w:top w:w="90" w:type="dxa"/>
              <w:left w:w="100" w:type="dxa"/>
              <w:bottom w:w="90" w:type="dxa"/>
              <w:right w:w="100" w:type="dxa"/>
            </w:tcMar>
            <w:vAlign w:val="center"/>
          </w:tcPr>
          <w:p w14:paraId="4E8F0921" w14:textId="77777777" w:rsidR="00E85A29" w:rsidRDefault="00000000">
            <w:r>
              <w:rPr>
                <w:sz w:val="18"/>
              </w:rPr>
              <w:t>What exactly is asserted here?</w:t>
            </w:r>
          </w:p>
        </w:tc>
      </w:tr>
      <w:tr w:rsidR="00E85A29" w14:paraId="43B3A43C" w14:textId="77777777">
        <w:trPr>
          <w:jc w:val="center"/>
        </w:trPr>
        <w:tc>
          <w:tcPr>
            <w:tcW w:w="3156" w:type="dxa"/>
            <w:tcMar>
              <w:top w:w="90" w:type="dxa"/>
              <w:left w:w="100" w:type="dxa"/>
              <w:bottom w:w="90" w:type="dxa"/>
              <w:right w:w="100" w:type="dxa"/>
            </w:tcMar>
            <w:vAlign w:val="center"/>
          </w:tcPr>
          <w:p w14:paraId="1368FE46" w14:textId="77777777" w:rsidR="00E85A29" w:rsidRDefault="00000000">
            <w:r>
              <w:rPr>
                <w:sz w:val="18"/>
              </w:rPr>
              <w:t>1-cell / restriction map</w:t>
            </w:r>
          </w:p>
        </w:tc>
        <w:tc>
          <w:tcPr>
            <w:tcW w:w="3156" w:type="dxa"/>
            <w:tcMar>
              <w:top w:w="90" w:type="dxa"/>
              <w:left w:w="100" w:type="dxa"/>
              <w:bottom w:w="90" w:type="dxa"/>
              <w:right w:w="100" w:type="dxa"/>
            </w:tcMar>
            <w:vAlign w:val="center"/>
          </w:tcPr>
          <w:p w14:paraId="3DEF7615" w14:textId="77777777" w:rsidR="00E85A29" w:rsidRDefault="00000000">
            <w:r>
              <w:rPr>
                <w:sz w:val="18"/>
              </w:rPr>
              <w:t>Interpretation or shared interface</w:t>
            </w:r>
          </w:p>
        </w:tc>
        <w:tc>
          <w:tcPr>
            <w:tcW w:w="3156" w:type="dxa"/>
            <w:tcMar>
              <w:top w:w="90" w:type="dxa"/>
              <w:left w:w="100" w:type="dxa"/>
              <w:bottom w:w="90" w:type="dxa"/>
              <w:right w:w="100" w:type="dxa"/>
            </w:tcMar>
            <w:vAlign w:val="center"/>
          </w:tcPr>
          <w:p w14:paraId="2691D561" w14:textId="77777777" w:rsidR="00E85A29" w:rsidRDefault="00000000">
            <w:r>
              <w:rPr>
                <w:sz w:val="18"/>
              </w:rPr>
              <w:t>How is meaning transported?</w:t>
            </w:r>
          </w:p>
        </w:tc>
      </w:tr>
      <w:tr w:rsidR="00E85A29" w14:paraId="2575E334" w14:textId="77777777">
        <w:trPr>
          <w:jc w:val="center"/>
        </w:trPr>
        <w:tc>
          <w:tcPr>
            <w:tcW w:w="3156" w:type="dxa"/>
            <w:tcMar>
              <w:top w:w="90" w:type="dxa"/>
              <w:left w:w="100" w:type="dxa"/>
              <w:bottom w:w="90" w:type="dxa"/>
              <w:right w:w="100" w:type="dxa"/>
            </w:tcMar>
            <w:vAlign w:val="center"/>
          </w:tcPr>
          <w:p w14:paraId="5DB05BE6" w14:textId="77777777" w:rsidR="00E85A29" w:rsidRDefault="00000000">
            <w:r>
              <w:rPr>
                <w:sz w:val="18"/>
              </w:rPr>
              <w:t>2-cell</w:t>
            </w:r>
          </w:p>
        </w:tc>
        <w:tc>
          <w:tcPr>
            <w:tcW w:w="3156" w:type="dxa"/>
            <w:tcMar>
              <w:top w:w="90" w:type="dxa"/>
              <w:left w:w="100" w:type="dxa"/>
              <w:bottom w:w="90" w:type="dxa"/>
              <w:right w:w="100" w:type="dxa"/>
            </w:tcMar>
            <w:vAlign w:val="center"/>
          </w:tcPr>
          <w:p w14:paraId="51C2790B" w14:textId="77777777" w:rsidR="00E85A29" w:rsidRDefault="00000000">
            <w:r>
              <w:rPr>
                <w:sz w:val="18"/>
              </w:rPr>
              <w:t>Agreement or coherence certificate</w:t>
            </w:r>
          </w:p>
        </w:tc>
        <w:tc>
          <w:tcPr>
            <w:tcW w:w="3156" w:type="dxa"/>
            <w:tcMar>
              <w:top w:w="90" w:type="dxa"/>
              <w:left w:w="100" w:type="dxa"/>
              <w:bottom w:w="90" w:type="dxa"/>
              <w:right w:w="100" w:type="dxa"/>
            </w:tcMar>
            <w:vAlign w:val="center"/>
          </w:tcPr>
          <w:p w14:paraId="2CAA89D1" w14:textId="77777777" w:rsidR="00E85A29" w:rsidRDefault="00000000">
            <w:r>
              <w:rPr>
                <w:sz w:val="18"/>
              </w:rPr>
              <w:t>Does a translation loop close with a witness?</w:t>
            </w:r>
          </w:p>
        </w:tc>
      </w:tr>
      <w:tr w:rsidR="00E85A29" w14:paraId="544474ED" w14:textId="77777777">
        <w:trPr>
          <w:jc w:val="center"/>
        </w:trPr>
        <w:tc>
          <w:tcPr>
            <w:tcW w:w="3156" w:type="dxa"/>
            <w:tcMar>
              <w:top w:w="90" w:type="dxa"/>
              <w:left w:w="100" w:type="dxa"/>
              <w:bottom w:w="90" w:type="dxa"/>
              <w:right w:w="100" w:type="dxa"/>
            </w:tcMar>
            <w:vAlign w:val="center"/>
          </w:tcPr>
          <w:p w14:paraId="369A1849" w14:textId="77777777" w:rsidR="00E85A29" w:rsidRDefault="00000000">
            <w:r>
              <w:rPr>
                <w:sz w:val="18"/>
              </w:rPr>
              <w:t>H⁰</w:t>
            </w:r>
          </w:p>
        </w:tc>
        <w:tc>
          <w:tcPr>
            <w:tcW w:w="3156" w:type="dxa"/>
            <w:tcMar>
              <w:top w:w="90" w:type="dxa"/>
              <w:left w:w="100" w:type="dxa"/>
              <w:bottom w:w="90" w:type="dxa"/>
              <w:right w:w="100" w:type="dxa"/>
            </w:tcMar>
            <w:vAlign w:val="center"/>
          </w:tcPr>
          <w:p w14:paraId="50A26C8E" w14:textId="77777777" w:rsidR="00E85A29" w:rsidRDefault="00000000">
            <w:r>
              <w:rPr>
                <w:sz w:val="18"/>
              </w:rPr>
              <w:t>Compatible global assignments</w:t>
            </w:r>
          </w:p>
        </w:tc>
        <w:tc>
          <w:tcPr>
            <w:tcW w:w="3156" w:type="dxa"/>
            <w:tcMar>
              <w:top w:w="90" w:type="dxa"/>
              <w:left w:w="100" w:type="dxa"/>
              <w:bottom w:w="90" w:type="dxa"/>
              <w:right w:w="100" w:type="dxa"/>
            </w:tcMar>
            <w:vAlign w:val="center"/>
          </w:tcPr>
          <w:p w14:paraId="022B5ABB" w14:textId="77777777" w:rsidR="00E85A29" w:rsidRDefault="00000000">
            <w:r>
              <w:rPr>
                <w:sz w:val="18"/>
              </w:rPr>
              <w:t>Which claims retain one encoded meaning across contexts?</w:t>
            </w:r>
          </w:p>
        </w:tc>
      </w:tr>
      <w:tr w:rsidR="00E85A29" w14:paraId="754312B7" w14:textId="77777777">
        <w:trPr>
          <w:jc w:val="center"/>
        </w:trPr>
        <w:tc>
          <w:tcPr>
            <w:tcW w:w="3156" w:type="dxa"/>
            <w:tcMar>
              <w:top w:w="90" w:type="dxa"/>
              <w:left w:w="100" w:type="dxa"/>
              <w:bottom w:w="90" w:type="dxa"/>
              <w:right w:w="100" w:type="dxa"/>
            </w:tcMar>
            <w:vAlign w:val="center"/>
          </w:tcPr>
          <w:p w14:paraId="61467C65" w14:textId="77777777" w:rsidR="00E85A29" w:rsidRDefault="00000000">
            <w:r>
              <w:rPr>
                <w:sz w:val="18"/>
              </w:rPr>
              <w:t>H¹ / obstruction</w:t>
            </w:r>
          </w:p>
        </w:tc>
        <w:tc>
          <w:tcPr>
            <w:tcW w:w="3156" w:type="dxa"/>
            <w:tcMar>
              <w:top w:w="90" w:type="dxa"/>
              <w:left w:w="100" w:type="dxa"/>
              <w:bottom w:w="90" w:type="dxa"/>
              <w:right w:w="100" w:type="dxa"/>
            </w:tcMar>
            <w:vAlign w:val="center"/>
          </w:tcPr>
          <w:p w14:paraId="681F066E" w14:textId="77777777" w:rsidR="00E85A29" w:rsidRDefault="00000000">
            <w:r>
              <w:rPr>
                <w:sz w:val="18"/>
              </w:rPr>
              <w:t>Failure of extension after the 1-skeleton is fixed</w:t>
            </w:r>
          </w:p>
        </w:tc>
        <w:tc>
          <w:tcPr>
            <w:tcW w:w="3156" w:type="dxa"/>
            <w:tcMar>
              <w:top w:w="90" w:type="dxa"/>
              <w:left w:w="100" w:type="dxa"/>
              <w:bottom w:w="90" w:type="dxa"/>
              <w:right w:w="100" w:type="dxa"/>
            </w:tcMar>
            <w:vAlign w:val="center"/>
          </w:tcPr>
          <w:p w14:paraId="09469EB4" w14:textId="77777777" w:rsidR="00E85A29" w:rsidRDefault="00000000">
            <w:r>
              <w:rPr>
                <w:sz w:val="18"/>
              </w:rPr>
              <w:t>Where does local compatibility fail globally?</w:t>
            </w:r>
          </w:p>
        </w:tc>
      </w:tr>
      <w:tr w:rsidR="00E85A29" w14:paraId="662C595A" w14:textId="77777777">
        <w:trPr>
          <w:jc w:val="center"/>
        </w:trPr>
        <w:tc>
          <w:tcPr>
            <w:tcW w:w="3156" w:type="dxa"/>
            <w:tcMar>
              <w:top w:w="90" w:type="dxa"/>
              <w:left w:w="100" w:type="dxa"/>
              <w:bottom w:w="90" w:type="dxa"/>
              <w:right w:w="100" w:type="dxa"/>
            </w:tcMar>
            <w:vAlign w:val="center"/>
          </w:tcPr>
          <w:p w14:paraId="2931E095" w14:textId="77777777" w:rsidR="00E85A29" w:rsidRDefault="00000000">
            <w:r>
              <w:rPr>
                <w:sz w:val="18"/>
              </w:rPr>
              <w:t>Sheaf Laplacian</w:t>
            </w:r>
          </w:p>
        </w:tc>
        <w:tc>
          <w:tcPr>
            <w:tcW w:w="3156" w:type="dxa"/>
            <w:tcMar>
              <w:top w:w="90" w:type="dxa"/>
              <w:left w:w="100" w:type="dxa"/>
              <w:bottom w:w="90" w:type="dxa"/>
              <w:right w:w="100" w:type="dxa"/>
            </w:tcMar>
            <w:vAlign w:val="center"/>
          </w:tcPr>
          <w:p w14:paraId="79816F65" w14:textId="77777777" w:rsidR="00E85A29" w:rsidRDefault="00000000">
            <w:r>
              <w:rPr>
                <w:sz w:val="18"/>
              </w:rPr>
              <w:t>Energy and spectral margin</w:t>
            </w:r>
          </w:p>
        </w:tc>
        <w:tc>
          <w:tcPr>
            <w:tcW w:w="3156" w:type="dxa"/>
            <w:tcMar>
              <w:top w:w="90" w:type="dxa"/>
              <w:left w:w="100" w:type="dxa"/>
              <w:bottom w:w="90" w:type="dxa"/>
              <w:right w:w="100" w:type="dxa"/>
            </w:tcMar>
            <w:vAlign w:val="center"/>
          </w:tcPr>
          <w:p w14:paraId="759B6987" w14:textId="77777777" w:rsidR="00E85A29" w:rsidRDefault="00000000">
            <w:r>
              <w:rPr>
                <w:sz w:val="18"/>
              </w:rPr>
              <w:t>How inconsistent and how fragile is the corpus?</w:t>
            </w:r>
          </w:p>
        </w:tc>
      </w:tr>
    </w:tbl>
    <w:p w14:paraId="4E6CAE88" w14:textId="77777777" w:rsidR="00E85A29" w:rsidRDefault="00000000">
      <w:pPr>
        <w:pStyle w:val="Caption"/>
        <w:jc w:val="center"/>
      </w:pPr>
      <w:r>
        <w:rPr>
          <w:color w:val="5F5F5F"/>
        </w:rPr>
        <w:t>Table 1. Linearized sheaf objects and their proposed corpus interpretations.</w:t>
      </w:r>
    </w:p>
    <w:p w14:paraId="3A707345" w14:textId="77777777" w:rsidR="00E85A29" w:rsidRDefault="00000000">
      <w:pPr>
        <w:pStyle w:val="Thesis"/>
        <w:rPr>
          <w:rFonts w:hint="eastAsia"/>
        </w:rPr>
      </w:pPr>
      <w:r>
        <w:rPr>
          <w:rFonts w:eastAsia="Liberation Sans" w:cs="Liberation Sans"/>
          <w:color w:val="1F4E79"/>
        </w:rPr>
        <w:t>Point 9. The 2-cell obligation is operative; H¹ is an audit after the fact</w:t>
      </w:r>
      <w:r>
        <w:rPr>
          <w:rFonts w:eastAsia="Liberation Sans" w:cs="Liberation Sans"/>
          <w:color w:val="5F5F5F"/>
          <w:sz w:val="18"/>
        </w:rPr>
        <w:t xml:space="preserve">  [T / D]</w:t>
      </w:r>
    </w:p>
    <w:p w14:paraId="0702EC12" w14:textId="77777777" w:rsidR="00E85A29" w:rsidRDefault="00000000">
      <w:r>
        <w:t>A one-dimensional knowledge graph is structurally unable to record why a translation loop should commute. If the corpus contains only vertices and edges, then it can state pairwise relationships but cannot attach a proof-relevant witness to the composite around a consequential loop. In a purely one-dimensional cochain complex, there is no nontrivial δ¹ test because no 2-cells have been specified. H¹ then reports residual edge data modulo vertex adjustments, but it cannot distinguish an unfilled obligation from a deliberately absent higher relation.</w:t>
      </w:r>
    </w:p>
    <w:p w14:paraId="16272564" w14:textId="77777777" w:rsidR="00E85A29" w:rsidRDefault="00000000">
      <w:r>
        <w:t>The design requirement therefore precedes cohomology: every consequential closed translation path should carry a 2-cell containing an explicit certificate that the composite interpretation is equivalent to the required identity or comparison map. “Consequential” avoids the impossible demand to fill every syntactic loop. A loop is consequential when downstream proof, migration, or release depends on the path chosen.</w:t>
      </w:r>
    </w:p>
    <w:p w14:paraId="76D21F4D" w14:textId="77777777" w:rsidR="00E85A29" w:rsidRDefault="00000000">
      <w:r>
        <w:t>H¹ has a narrower jurisdiction. Once the 1-skeleton, restriction maps, and relevant 2-cells are fixed, it can identify obstruction classes. It cannot decide which 2-cells the institution was obligated to create. That is a governance and architecture question.</w:t>
      </w:r>
    </w:p>
    <w:p w14:paraId="7607D317" w14:textId="77777777" w:rsidR="00E85A29" w:rsidRDefault="00000000">
      <w:pPr>
        <w:pStyle w:val="Thesis"/>
        <w:rPr>
          <w:rFonts w:hint="eastAsia"/>
        </w:rPr>
      </w:pPr>
      <w:r>
        <w:rPr>
          <w:rFonts w:eastAsia="Liberation Sans" w:cs="Liberation Sans"/>
          <w:color w:val="1F4E79"/>
        </w:rPr>
        <w:t>Point 10. Redundant formalization plus an agreement certificate is the scalable faithfulness approximation</w:t>
      </w:r>
      <w:r>
        <w:rPr>
          <w:rFonts w:eastAsia="Liberation Sans" w:cs="Liberation Sans"/>
          <w:color w:val="5F5F5F"/>
          <w:sz w:val="18"/>
        </w:rPr>
        <w:t xml:space="preserve">  [D / C]</w:t>
      </w:r>
    </w:p>
    <w:p w14:paraId="253A1EF4" w14:textId="77777777" w:rsidR="00E85A29" w:rsidRDefault="00000000">
      <w:r>
        <w:t>Suppose two independently configured agents translate one informal claim I into formal statements F₁(I) and F₂(I). The framework requires a machine-checkable certificate α showing that the two formalizations are interderivable, equivalent under an explicit interpretation, or related by a stated refinement. The certificate α is the operational 2-cell.</w:t>
      </w:r>
    </w:p>
    <w:p w14:paraId="41C24B62" w14:textId="77777777" w:rsidR="00E85A29" w:rsidRDefault="00000000">
      <w:pPr>
        <w:pStyle w:val="Equation"/>
        <w:jc w:val="center"/>
        <w:rPr>
          <w:rFonts w:hint="eastAsia"/>
        </w:rPr>
      </w:pPr>
      <w:r>
        <w:rPr>
          <w:rFonts w:eastAsia="DejaVu Serif" w:cs="DejaVu Serif"/>
          <w:i/>
        </w:rPr>
        <w:t>I ↦ F₁(I),      I ↦ F₂(I),      α : F₁(I) ⇄ F₂(I).</w:t>
      </w:r>
    </w:p>
    <w:p w14:paraId="55D2D926" w14:textId="77777777" w:rsidR="00E85A29" w:rsidRDefault="00000000">
      <w:r>
        <w:t>This procedure does not solve semantics. Two formalizers may share a dataset, parser, benchmark convention, or hidden assumption and therefore agree in the same wrong way. Its benefit is different: it converts part of an open-ended semantic question into a decidable syntactic obligation at a constant-factor increase in generation. AGI makes repeated formalization cheap; the architecture spends that abundance on independent agreement rather than more unreviewed candidates.</w:t>
      </w:r>
    </w:p>
    <w:p w14:paraId="14E16BE3" w14:textId="77777777" w:rsidR="00E85A29" w:rsidRDefault="00000000">
      <w:r>
        <w:t>Independence metadata is essential. The artifact must record model lineage, training overlap, prompt lineage, library choices, and common normalizers. Two nominally different agents that inherit the same translation defect do not provide two witnesses.</w:t>
      </w:r>
    </w:p>
    <w:p w14:paraId="26F49837" w14:textId="77777777" w:rsidR="00E85A29" w:rsidRDefault="00000000">
      <w:r>
        <w:rPr>
          <w:noProof/>
        </w:rPr>
        <w:lastRenderedPageBreak/>
        <w:drawing>
          <wp:inline distT="0" distB="0" distL="0" distR="0" wp14:anchorId="5B1F8F27" wp14:editId="64C3C4C6">
            <wp:extent cx="5868000" cy="3158956"/>
            <wp:effectExtent l="0" t="0" r="0" b="0"/>
            <wp:docPr id="2" name="Picture 2" descr="Image: 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i_math_certified_gluing.png"/>
                    <pic:cNvPicPr/>
                  </pic:nvPicPr>
                  <pic:blipFill>
                    <a:blip r:embed="rId9"/>
                    <a:stretch>
                      <a:fillRect/>
                    </a:stretch>
                  </pic:blipFill>
                  <pic:spPr>
                    <a:xfrm>
                      <a:off x="0" y="0"/>
                      <a:ext cx="5868000" cy="3158956"/>
                    </a:xfrm>
                    <a:prstGeom prst="rect">
                      <a:avLst/>
                    </a:prstGeom>
                  </pic:spPr>
                </pic:pic>
              </a:graphicData>
            </a:graphic>
          </wp:inline>
        </w:drawing>
      </w:r>
    </w:p>
    <w:p w14:paraId="10804B07" w14:textId="77777777" w:rsidR="00E85A29" w:rsidRDefault="00000000">
      <w:pPr>
        <w:pStyle w:val="Caption"/>
        <w:jc w:val="center"/>
      </w:pPr>
      <w:r>
        <w:rPr>
          <w:color w:val="5F5F5F"/>
        </w:rPr>
        <w:t>Figure 2. Redundant formalization and a proof-relevant agreement 2-cell. The output is signable only when proof, provenance, scope, and accountability remain attached.</w:t>
      </w:r>
    </w:p>
    <w:p w14:paraId="24CB053D" w14:textId="77777777" w:rsidR="00E85A29" w:rsidRDefault="00000000">
      <w:pPr>
        <w:pStyle w:val="Thesis"/>
        <w:rPr>
          <w:rFonts w:hint="eastAsia"/>
        </w:rPr>
      </w:pPr>
      <w:r>
        <w:rPr>
          <w:rFonts w:eastAsia="Liberation Sans" w:cs="Liberation Sans"/>
          <w:color w:val="1F4E79"/>
        </w:rPr>
        <w:t>Point 11. Mayer–Vietoris supplies the discovery mechanism</w:t>
      </w:r>
      <w:r>
        <w:rPr>
          <w:rFonts w:eastAsia="Liberation Sans" w:cs="Liberation Sans"/>
          <w:color w:val="5F5F5F"/>
          <w:sz w:val="18"/>
        </w:rPr>
        <w:t xml:space="preserve">  [T / C]</w:t>
      </w:r>
    </w:p>
    <w:p w14:paraId="1B94C9C2" w14:textId="77777777" w:rsidR="00E85A29" w:rsidRDefault="00000000">
      <w:r>
        <w:t>Let a corpus be covered by two sublibraries A and B produced by different agents or mathematical traditions. A Mayer–Vietoris sequence relates global sections on the union, local sections on A and B, sections on the overlap, and an obstruction in the cohomology of the union. In the simplest schematic form:</w:t>
      </w:r>
    </w:p>
    <w:p w14:paraId="360CCDBA" w14:textId="77777777" w:rsidR="00E85A29" w:rsidRDefault="00000000">
      <w:pPr>
        <w:pStyle w:val="Equation"/>
        <w:jc w:val="center"/>
        <w:rPr>
          <w:rFonts w:hint="eastAsia"/>
        </w:rPr>
      </w:pPr>
      <w:r>
        <w:rPr>
          <w:rFonts w:eastAsia="DejaVu Serif" w:cs="DejaVu Serif"/>
          <w:i/>
        </w:rPr>
        <w:t>0 → H⁰(A∪B) → H⁰(A) ⊕ H⁰(B) → H⁰(A∩B) —∂→ H¹(A∪B) → ···</w:t>
      </w:r>
    </w:p>
    <w:p w14:paraId="243D1F88" w14:textId="77777777" w:rsidR="00E85A29" w:rsidRDefault="00000000">
      <w:r>
        <w:t>The connecting morphism ∂ is the key. An overlap datum s whose image ∂s is nonzero cannot be absorbed by the available compatible local data in the required way. The established mathematics says that the connecting class measures a failure of extension or gluing under the stated hypotheses [6,9]. The paper’s main conjecture is interpretive: persistent, statistically non-random connecting classes are candidate locations of new mathematics.</w:t>
      </w:r>
    </w:p>
    <w:p w14:paraId="57EF5868" w14:textId="77777777" w:rsidR="00E85A29" w:rsidRDefault="00000000">
      <w:r>
        <w:t>The discovery loop is therefore concrete: independently build A and B; identify a certified overlap; compute or approximate the connecting class; localize its support; ask which missing object, invariant, higher cell, or language extension would kill the obstruction; add the extension; and recertify the affected dependency cone. A nonzero class is not automatically profound. It may reflect a bad translation, missing data, or implementation error. Significance testing and repeated survival under alternative formalizations are required before the obstruction is promoted to a research claim.</w:t>
      </w:r>
    </w:p>
    <w:p w14:paraId="141F69DF" w14:textId="77777777" w:rsidR="00E85A29" w:rsidRDefault="00000000">
      <w:pPr>
        <w:pStyle w:val="Thesis"/>
        <w:rPr>
          <w:rFonts w:hint="eastAsia"/>
        </w:rPr>
      </w:pPr>
      <w:r>
        <w:rPr>
          <w:rFonts w:eastAsia="Liberation Sans" w:cs="Liberation Sans"/>
          <w:color w:val="1F4E79"/>
        </w:rPr>
        <w:t>Point 12. Proof dependency is directed; undirected homology is usually the wrong instrument</w:t>
      </w:r>
      <w:r>
        <w:rPr>
          <w:rFonts w:eastAsia="Liberation Sans" w:cs="Liberation Sans"/>
          <w:color w:val="5F5F5F"/>
          <w:sz w:val="18"/>
        </w:rPr>
        <w:t xml:space="preserve">  [T / D]</w:t>
      </w:r>
    </w:p>
    <w:p w14:paraId="142D4C8F" w14:textId="77777777" w:rsidR="00E85A29" w:rsidRDefault="00000000">
      <w:r>
        <w:t>A proof dependency graph is oriented: premises precede consequences, imports precede derived artifacts, and revisions propagate downstream. Turning this directed acyclic graph into an undirected graph creates cycles that may be purely representational. A triangle of mutual undirected adjacency does not imply a directed circulation or feedback process.</w:t>
      </w:r>
    </w:p>
    <w:p w14:paraId="28DEB46F" w14:textId="77777777" w:rsidR="00E85A29" w:rsidRDefault="00000000">
      <w:r>
        <w:t>Directed path homology provides one principled replacement by building chain groups from allowed directed paths rather than treating every edge as reversible [10]. Where the data represent conserved flows rather than proof paths, a nonnegative circulation cone may be more faithful. The methodological rule is exact: choose an invariant whose admissible chains respect the direction and sign constraints of the process being audited.</w:t>
      </w:r>
    </w:p>
    <w:p w14:paraId="02BCDFCB" w14:textId="77777777" w:rsidR="00E85A29" w:rsidRDefault="00000000">
      <w:r>
        <w:t>This correction also prevents a common rhetorical mistake in AI architecture: observing a topological cycle after symmetrizing a dependency graph and interpreting it as a genuine self-supporting belief loop. Direction may show that no such loop exists.</w:t>
      </w:r>
    </w:p>
    <w:p w14:paraId="22E21D94" w14:textId="77777777" w:rsidR="00E85A29" w:rsidRDefault="00000000">
      <w:pPr>
        <w:pStyle w:val="Thesis"/>
        <w:rPr>
          <w:rFonts w:hint="eastAsia"/>
        </w:rPr>
      </w:pPr>
      <w:r>
        <w:rPr>
          <w:rFonts w:eastAsia="Liberation Sans" w:cs="Liberation Sans"/>
          <w:color w:val="1F4E79"/>
        </w:rPr>
        <w:lastRenderedPageBreak/>
        <w:t>Point 13. Hodge decomposition separates curvature from leakage</w:t>
      </w:r>
      <w:r>
        <w:rPr>
          <w:rFonts w:eastAsia="Liberation Sans" w:cs="Liberation Sans"/>
          <w:color w:val="5F5F5F"/>
          <w:sz w:val="18"/>
        </w:rPr>
        <w:t xml:space="preserve">  [T / D]</w:t>
      </w:r>
    </w:p>
    <w:p w14:paraId="57957E66" w14:textId="77777777" w:rsidR="00E85A29" w:rsidRDefault="00000000">
      <w:r>
        <w:t>Let y be a 1-cochain representing discrepancies or transports on interpretation edges. On a two-dimensional sheaf complex, the degree-one Hodge Laplacian separates lower and upper contributions:</w:t>
      </w:r>
    </w:p>
    <w:p w14:paraId="1D1EF269" w14:textId="77777777" w:rsidR="00E85A29" w:rsidRDefault="00000000">
      <w:pPr>
        <w:pStyle w:val="Equation"/>
        <w:jc w:val="center"/>
        <w:rPr>
          <w:rFonts w:hint="eastAsia"/>
        </w:rPr>
      </w:pPr>
      <w:r>
        <w:rPr>
          <w:rFonts w:eastAsia="DejaVu Serif" w:cs="DejaVu Serif"/>
          <w:i/>
        </w:rPr>
        <w:t>L₁ = δ⁰ δ⁰* + δ¹* δ¹.</w:t>
      </w:r>
    </w:p>
    <w:p w14:paraId="47467A70" w14:textId="77777777" w:rsidR="00E85A29" w:rsidRDefault="00000000">
      <w:r>
        <w:t>The framework interprets the upper term through curvature and the lower term through leakage. Curvature is measured by K(y)=‖δ¹y‖²: a translation loop fails the 2-cell condition, so transport around a certified face does not compose as required. Leakage is measured by D(y)=‖δ⁰*y‖²: discrepancy accumulates or disappears at vertices, corresponding to a silently strengthened assumption, narrowed scope, or inherited premise with no recorded source. A harmonic component is neither explained by local divergence nor killed by existing faces and deserves separate investigation.</w:t>
      </w:r>
    </w:p>
    <w:p w14:paraId="75D401C9" w14:textId="77777777" w:rsidR="00E85A29" w:rsidRDefault="00000000">
      <w:pPr>
        <w:pStyle w:val="Equation"/>
        <w:jc w:val="center"/>
        <w:rPr>
          <w:rFonts w:hint="eastAsia"/>
        </w:rPr>
      </w:pPr>
      <w:r>
        <w:rPr>
          <w:rFonts w:eastAsia="DejaVu Serif" w:cs="DejaVu Serif"/>
          <w:i/>
        </w:rPr>
        <w:t>Curvature K(y)=‖δ¹y‖²,      Leakage D(y)=‖δ⁰*y‖².</w:t>
      </w:r>
    </w:p>
    <w:p w14:paraId="615579D3" w14:textId="77777777" w:rsidR="00E85A29" w:rsidRDefault="00000000">
      <w:r>
        <w:t>A single “inconsistency score” destroys this distinction. The repair for curvature is to inspect the loop, translation composition, or missing 2-cell. The repair for leakage is to inspect provenance and conservation along a chain. An architecture that cannot tell these apart cannot direct recertification efficiently.</w:t>
      </w:r>
    </w:p>
    <w:p w14:paraId="272F6C98" w14:textId="77777777" w:rsidR="00E85A29" w:rsidRDefault="00000000">
      <w:pPr>
        <w:pStyle w:val="Thesis"/>
        <w:rPr>
          <w:rFonts w:hint="eastAsia"/>
        </w:rPr>
      </w:pPr>
      <w:r>
        <w:rPr>
          <w:rFonts w:eastAsia="Liberation Sans" w:cs="Liberation Sans"/>
          <w:color w:val="1F4E79"/>
        </w:rPr>
        <w:t>Point 14. Spectral fragility is not present disagreement</w:t>
      </w:r>
      <w:r>
        <w:rPr>
          <w:rFonts w:eastAsia="Liberation Sans" w:cs="Liberation Sans"/>
          <w:color w:val="5F5F5F"/>
          <w:sz w:val="18"/>
        </w:rPr>
        <w:t xml:space="preserve">  [T / D / C]</w:t>
      </w:r>
    </w:p>
    <w:p w14:paraId="6165CDFF" w14:textId="77777777" w:rsidR="00E85A29" w:rsidRDefault="00000000">
      <w:r>
        <w:t>For a 0-cochain x of current local claims, the sheaf energy E(x)=‖δ⁰x‖² measures present incompatibility on represented overlaps. The weakest positive eigenvalue of the degree-zero sheaf Laplacian, γ=λ⁺min(L₀), measures a different property: the stiffness of the nearest nontrivial inconsistency direction after quotienting the exact zero modes [7].</w:t>
      </w:r>
    </w:p>
    <w:p w14:paraId="199C941E" w14:textId="77777777" w:rsidR="00E85A29" w:rsidRDefault="00000000">
      <w:pPr>
        <w:pStyle w:val="Equation"/>
        <w:jc w:val="center"/>
        <w:rPr>
          <w:rFonts w:hint="eastAsia"/>
        </w:rPr>
      </w:pPr>
      <w:r>
        <w:rPr>
          <w:rFonts w:eastAsia="DejaVu Serif" w:cs="DejaVu Serif"/>
          <w:i/>
        </w:rPr>
        <w:t>E(x)=‖δ⁰x‖²,      γ=λ⁺min(L₀),      L₀=δ⁰*δ⁰.</w:t>
      </w:r>
    </w:p>
    <w:p w14:paraId="26EB0CA1" w14:textId="77777777" w:rsidR="00E85A29" w:rsidRDefault="00000000">
      <w:r>
        <w:t>A corpus can have low energy and low spectral margin simultaneously. It is currently almost consistent, yet a small perturbation of one weakly constrained direction may produce a large reorganization or destroy a previously stable global interpretation. The framework calls γ fragility. This use is a design interpretation, not a universal theorem that a small eigenvalue always predicts semantic collapse. It must be calibrated against controlled library perturbations.</w:t>
      </w:r>
    </w:p>
    <w:p w14:paraId="22504C24" w14:textId="77777777" w:rsidR="00E85A29" w:rsidRDefault="00000000">
      <w:r>
        <w:t>Energy and fragility must therefore be reported separately. Energy asks, “How much disagreement exists now?” Fragility asks, “How cheaply can a serious disagreement be created?”</w:t>
      </w:r>
    </w:p>
    <w:p w14:paraId="7D85B7C6" w14:textId="77777777" w:rsidR="00E85A29" w:rsidRDefault="00000000">
      <w:pPr>
        <w:pStyle w:val="Thesis"/>
        <w:rPr>
          <w:rFonts w:hint="eastAsia"/>
        </w:rPr>
      </w:pPr>
      <w:r>
        <w:rPr>
          <w:rFonts w:eastAsia="Liberation Sans" w:cs="Liberation Sans"/>
          <w:color w:val="1F4E79"/>
        </w:rPr>
        <w:t>Point 15. Dowker duality exposes verifier-capacity limits</w:t>
      </w:r>
      <w:r>
        <w:rPr>
          <w:rFonts w:eastAsia="Liberation Sans" w:cs="Liberation Sans"/>
          <w:color w:val="5F5F5F"/>
          <w:sz w:val="18"/>
        </w:rPr>
        <w:t xml:space="preserve">  [T / D]</w:t>
      </w:r>
    </w:p>
    <w:p w14:paraId="0DE817B3" w14:textId="77777777" w:rsidR="00E85A29" w:rsidRDefault="00000000">
      <w:r>
        <w:t>Let T be a set of theorem artifacts, V a set of verifier types, and R⊂T×V the relation “verifier v can independently certify theorem t under the declared policy.” Dowker’s theorem associates a simplicial complex on the theorem side and a dual complex on the verifier side and gives them the same homotopy type [11,12].</w:t>
      </w:r>
    </w:p>
    <w:p w14:paraId="1BE1EFBE" w14:textId="77777777" w:rsidR="00E85A29" w:rsidRDefault="00000000">
      <w:pPr>
        <w:pStyle w:val="Equation"/>
        <w:jc w:val="center"/>
        <w:rPr>
          <w:rFonts w:hint="eastAsia"/>
        </w:rPr>
      </w:pPr>
      <w:r>
        <w:rPr>
          <w:rFonts w:eastAsia="DejaVu Serif" w:cs="DejaVu Serif"/>
          <w:i/>
        </w:rPr>
        <w:t>D_T(R) ≃ D_V(Rᵀ).</w:t>
      </w:r>
    </w:p>
    <w:p w14:paraId="45B70AF7" w14:textId="77777777" w:rsidR="00E85A29" w:rsidRDefault="00000000">
      <w:r>
        <w:t>The invariant belongs to the incidence relation, not to one side in isolation. The architectural consequence is a hard bound on generator-only scaling: if a verification hole is caused by the absence of a verifier type or incidence, adding more theorem candidates without adding new relations in R cannot close that hole. It may enlarge the unverified region while leaving capacity unchanged.</w:t>
      </w:r>
    </w:p>
    <w:p w14:paraId="1A2C6F63" w14:textId="77777777" w:rsidR="00E85A29" w:rsidRDefault="00000000">
      <w:r>
        <w:t>Verifier diversity should therefore be measured topologically and causally. A large number of validators is not useful if they certify exactly the same theorem subsets for the same inherited reasons. The Dowker pair makes the duality between “what can be checked” and “which checkers share competence” explicit.</w:t>
      </w:r>
    </w:p>
    <w:p w14:paraId="35B9F1A5" w14:textId="77777777" w:rsidR="00E85A29" w:rsidRDefault="00000000">
      <w:pPr>
        <w:pStyle w:val="Heading1"/>
      </w:pPr>
      <w:r>
        <w:t>5. IV. Dynamics</w:t>
      </w:r>
    </w:p>
    <w:p w14:paraId="39782820" w14:textId="77777777" w:rsidR="00E85A29" w:rsidRDefault="00000000">
      <w:pPr>
        <w:pStyle w:val="Thesis"/>
        <w:rPr>
          <w:rFonts w:hint="eastAsia"/>
        </w:rPr>
      </w:pPr>
      <w:r>
        <w:rPr>
          <w:rFonts w:eastAsia="Liberation Sans" w:cs="Liberation Sans"/>
          <w:color w:val="1F4E79"/>
        </w:rPr>
        <w:t>Point 16. Certification is a bar in a zigzag, not a permanent property</w:t>
      </w:r>
      <w:r>
        <w:rPr>
          <w:rFonts w:eastAsia="Liberation Sans" w:cs="Liberation Sans"/>
          <w:color w:val="5F5F5F"/>
          <w:sz w:val="18"/>
        </w:rPr>
        <w:t xml:space="preserve">  [T / D]</w:t>
      </w:r>
    </w:p>
    <w:p w14:paraId="51A81DA7" w14:textId="77777777" w:rsidR="00E85A29" w:rsidRDefault="00000000">
      <w:r>
        <w:t xml:space="preserve">Mathematical libraries grow, retract, refactor, and migrate. A theorem may elaborate in one version, fail after a dependency update, reappear after repair, and later lose semantic scope under a foundational change. </w:t>
      </w:r>
      <w:r>
        <w:lastRenderedPageBreak/>
        <w:t>Ordinary persistence assumes nested inclusions and is therefore insufficient when cells and certificates are both inserted and deleted. Zigzag persistence was developed precisely for sequences with arrows in both directions [13].</w:t>
      </w:r>
    </w:p>
    <w:p w14:paraId="39867B31" w14:textId="77777777" w:rsidR="00E85A29" w:rsidRDefault="00000000">
      <w:pPr>
        <w:pStyle w:val="Equation"/>
        <w:jc w:val="center"/>
        <w:rPr>
          <w:rFonts w:hint="eastAsia"/>
        </w:rPr>
      </w:pPr>
      <w:r>
        <w:rPr>
          <w:rFonts w:eastAsia="DejaVu Serif" w:cs="DejaVu Serif"/>
          <w:i/>
        </w:rPr>
        <w:t>V₀ ← V₀∩V₁ → V₁ ← V₁∩V₂ → V₂ ← ···</w:t>
      </w:r>
    </w:p>
    <w:p w14:paraId="7730D360" w14:textId="77777777" w:rsidR="00E85A29" w:rsidRDefault="00000000">
      <w:r>
        <w:t>In the proposed audit, a theorem’s certification history becomes an interval or collection of intervals in a barcode. Foundation migration is represented by a zigzag map between library states. Classes that die at the migration are foundation-dependent under the chosen comparison; classes that persist are candidates for foundation-independent content.</w:t>
      </w:r>
    </w:p>
    <w:p w14:paraId="2729FC24" w14:textId="77777777" w:rsidR="00E85A29" w:rsidRDefault="00000000">
      <w:r>
        <w:t>This converts the vague statement “certification expires” into a measurable object. The artifact is not simply certified or uncertified. It is certified relative to a toolchain, dependency state, interpretation policy, and time interval.</w:t>
      </w:r>
    </w:p>
    <w:p w14:paraId="10BACB12" w14:textId="77777777" w:rsidR="00E85A29" w:rsidRDefault="00000000">
      <w:pPr>
        <w:pStyle w:val="Thesis"/>
        <w:rPr>
          <w:rFonts w:hint="eastAsia"/>
        </w:rPr>
      </w:pPr>
      <w:r>
        <w:rPr>
          <w:rFonts w:eastAsia="Liberation Sans" w:cs="Liberation Sans"/>
          <w:color w:val="1F4E79"/>
        </w:rPr>
        <w:t>Point 17. Certified negative knowledge is part of the obstruction basis</w:t>
      </w:r>
      <w:r>
        <w:rPr>
          <w:rFonts w:eastAsia="Liberation Sans" w:cs="Liberation Sans"/>
          <w:color w:val="5F5F5F"/>
          <w:sz w:val="18"/>
        </w:rPr>
        <w:t xml:space="preserve">  [T / D]</w:t>
      </w:r>
    </w:p>
    <w:p w14:paraId="690D2AC8" w14:textId="77777777" w:rsidR="00E85A29" w:rsidRDefault="00000000">
      <w:r>
        <w:t>Counterexamples, impossibility results, non-existence proofs, failed translations, and failed foundation migrations are not supplementary commentary. They are constructive witnesses that a proposed local section does not extend or that a candidate 2-cell cannot be attached under the current assumptions. In a suitable obstruction theory, such witnesses represent or generate obstruction classes, although the relevant degree need not always be H¹.</w:t>
      </w:r>
    </w:p>
    <w:p w14:paraId="392F322B" w14:textId="77777777" w:rsidR="00E85A29" w:rsidRDefault="00000000">
      <w:r>
        <w:t>A corpus that discards negative artifacts repeatedly pays to rediscover the same boundary. The Defensible Intelligence framework therefore stores rejection certificates and failed migration traces as first-class, versioned objects. They train future generators where not to search, inform formalizers which hidden assumptions are dangerous, and supply adversarial examples for verifier independence.</w:t>
      </w:r>
    </w:p>
    <w:p w14:paraId="62A46A98" w14:textId="77777777" w:rsidR="00E85A29" w:rsidRDefault="00000000">
      <w:r>
        <w:t>The rule is simple: a failed candidate without a retained witness is wasted computation; a failed candidate with a certified witness is new negative knowledge.</w:t>
      </w:r>
    </w:p>
    <w:p w14:paraId="589A344A" w14:textId="77777777" w:rsidR="00E85A29" w:rsidRDefault="00000000">
      <w:pPr>
        <w:pStyle w:val="Thesis"/>
        <w:rPr>
          <w:rFonts w:hint="eastAsia"/>
        </w:rPr>
      </w:pPr>
      <w:r>
        <w:rPr>
          <w:rFonts w:eastAsia="Liberation Sans" w:cs="Liberation Sans"/>
          <w:color w:val="1F4E79"/>
        </w:rPr>
        <w:t>Point 18. Novelty can be approximated through discrete Morse reduction</w:t>
      </w:r>
      <w:r>
        <w:rPr>
          <w:rFonts w:eastAsia="Liberation Sans" w:cs="Liberation Sans"/>
          <w:color w:val="5F5F5F"/>
          <w:sz w:val="18"/>
        </w:rPr>
        <w:t xml:space="preserve">  [T / D / L]</w:t>
      </w:r>
    </w:p>
    <w:p w14:paraId="2ED4EA61" w14:textId="77777777" w:rsidR="00E85A29" w:rsidRDefault="00000000">
      <w:r>
        <w:t>A verified proof corpus can be organized as a cell complex whose cells encode lemmas, proof compositions, equivalences, and higher coherence data. Discrete Morse theory simplifies a complex through acyclic matchings while preserving its homotopy type; the remaining critical cells generate a smaller equivalent complex [14,15]. This suggests an operational definition of novelty: an idea is structurally irreducible relative to a matching when it survives the collapse as a critical cell.</w:t>
      </w:r>
    </w:p>
    <w:p w14:paraId="39304981" w14:textId="77777777" w:rsidR="00E85A29" w:rsidRDefault="00000000">
      <w:r>
        <w:t>Proof compression and novelty measurement then become one operation. Redundant derivational scaffolding is paired and collapsed; the surviving cells identify concepts that cannot be removed by that reduction. However, the matching is not canonical. Critical-cell counts are not absolute invariants and may vary substantially. They should be treated as upper bounds on redundancy or as ensemble statistics over many admissible matchings, not as a final ranking of mathematical importance.</w:t>
      </w:r>
    </w:p>
    <w:p w14:paraId="0C80B188" w14:textId="77777777" w:rsidR="00E85A29" w:rsidRDefault="00000000">
      <w:pPr>
        <w:pStyle w:val="Equation"/>
        <w:jc w:val="center"/>
        <w:rPr>
          <w:rFonts w:hint="eastAsia"/>
        </w:rPr>
      </w:pPr>
      <w:r>
        <w:rPr>
          <w:rFonts w:eastAsia="DejaVu Serif" w:cs="DejaVu Serif"/>
          <w:i/>
        </w:rPr>
        <w:t>For each degree k:  number of critical k-cells mₖ ≥ βₖ.</w:t>
      </w:r>
    </w:p>
    <w:p w14:paraId="402775D0" w14:textId="77777777" w:rsidR="00E85A29" w:rsidRDefault="00000000">
      <w:r>
        <w:t>A robust novelty candidate is one that survives diverse matchings, alternative formalizations, and foundation migrations—not merely one that receives a high language-model surprise score.</w:t>
      </w:r>
    </w:p>
    <w:p w14:paraId="44DF8A5F" w14:textId="77777777" w:rsidR="00E85A29" w:rsidRDefault="00000000">
      <w:pPr>
        <w:pStyle w:val="Heading1"/>
      </w:pPr>
      <w:r>
        <w:t>6. V. Discipline and Closure</w:t>
      </w:r>
    </w:p>
    <w:p w14:paraId="4ECC483C" w14:textId="77777777" w:rsidR="00E85A29" w:rsidRDefault="00000000">
      <w:pPr>
        <w:pStyle w:val="Thesis"/>
        <w:rPr>
          <w:rFonts w:hint="eastAsia"/>
        </w:rPr>
      </w:pPr>
      <w:r>
        <w:rPr>
          <w:rFonts w:eastAsia="Liberation Sans" w:cs="Liberation Sans"/>
          <w:color w:val="1F4E79"/>
        </w:rPr>
        <w:t>Point 19. Without a null model, obstruction-driven discovery is unfalsifiable</w:t>
      </w:r>
      <w:r>
        <w:rPr>
          <w:rFonts w:eastAsia="Liberation Sans" w:cs="Liberation Sans"/>
          <w:color w:val="5F5F5F"/>
          <w:sz w:val="18"/>
        </w:rPr>
        <w:t xml:space="preserve">  [T / D / L]</w:t>
      </w:r>
    </w:p>
    <w:p w14:paraId="0DFC0AF4" w14:textId="77777777" w:rsidR="00E85A29" w:rsidRDefault="00000000">
      <w:r>
        <w:t xml:space="preserve">A large AGI corpus will contain many cycles, spectral outliers, and cohomology classes by chance. Declaring every nonzero H¹ class “new mathematics” would be numerology. The framework therefore requires an explicit null distribution matched to the corpus-generating process. A Linial–Meshulam random 2-complex </w:t>
      </w:r>
      <w:r>
        <w:lastRenderedPageBreak/>
        <w:t>supplies one baseline for face incidence; configuration models can preserve degree, dependency length, agent origin, verifier coverage, or other structural marginals [16].</w:t>
      </w:r>
    </w:p>
    <w:p w14:paraId="193CEE5C" w14:textId="77777777" w:rsidR="00E85A29" w:rsidRDefault="00000000">
      <w:r>
        <w:t>For each candidate obstruction, the system must report a test statistic, null family, p-value or calibrated tail probability, and multiplicity correction. With AGI producing large families of candidate obstructions, false-discovery-rate control is mandatory. The Benjamini–Hochberg procedure is appropriate under its standard dependence conditions; more conservative or resampling-based procedures are required when those conditions fail [17].</w:t>
      </w:r>
    </w:p>
    <w:p w14:paraId="51911058" w14:textId="77777777" w:rsidR="00E85A29" w:rsidRDefault="00000000">
      <w:r>
        <w:t>This is the framework’s largest practical gap. There is no established null model for “ordinary mathematical corpora generated by heterogeneous agents.” The paper does not conceal that absence. Building and validating such nulls is part of the research programme, and the central discovery claim remains provisional until they exist.</w:t>
      </w:r>
    </w:p>
    <w:p w14:paraId="452CE067" w14:textId="77777777" w:rsidR="00E85A29" w:rsidRDefault="00000000">
      <w:pPr>
        <w:pStyle w:val="Thesis"/>
        <w:rPr>
          <w:rFonts w:hint="eastAsia"/>
        </w:rPr>
      </w:pPr>
      <w:r>
        <w:rPr>
          <w:rFonts w:eastAsia="Liberation Sans" w:cs="Liberation Sans"/>
          <w:color w:val="1F4E79"/>
        </w:rPr>
        <w:t>Point 20. New mathematics is the equilibrium of compression and certified consistency</w:t>
      </w:r>
      <w:r>
        <w:rPr>
          <w:rFonts w:eastAsia="Liberation Sans" w:cs="Liberation Sans"/>
          <w:color w:val="5F5F5F"/>
          <w:sz w:val="18"/>
        </w:rPr>
        <w:t xml:space="preserve">  [D / C]</w:t>
      </w:r>
    </w:p>
    <w:p w14:paraId="65A9A07D" w14:textId="77777777" w:rsidR="00E85A29" w:rsidRDefault="00000000">
      <w:r>
        <w:t>A capable generator naturally compresses. It abstracts common patterns, identifies invariants, replaces many special arguments with one general construction, and proposes a shorter language. Bourbaki exemplified this pressure. A defensible system applies the opposite pressure: it demands explicit translations, 2-cell witnesses, provenance conservation, verifier diversity, and signable release. Neither pressure is sufficient alone.</w:t>
      </w:r>
    </w:p>
    <w:p w14:paraId="377EC9C8" w14:textId="77777777" w:rsidR="00E85A29" w:rsidRDefault="00000000">
      <w:r>
        <w:t>Pure compression produces elegant systems that may hide semantic loss or unverifiable identifications. Pure consistency produces conservative systems that preserve every distinction and therefore never generalize. The architecture should not combine them as freely tradable terms in a weighted loss. Compression proposes; certification vetoes. The optimization is constrained:</w:t>
      </w:r>
    </w:p>
    <w:p w14:paraId="160FC67D" w14:textId="77777777" w:rsidR="00E85A29" w:rsidRDefault="00000000">
      <w:pPr>
        <w:pStyle w:val="Equation"/>
        <w:jc w:val="center"/>
        <w:rPr>
          <w:rFonts w:hint="eastAsia"/>
        </w:rPr>
      </w:pPr>
      <w:r>
        <w:rPr>
          <w:rFonts w:eastAsia="DejaVu Serif" w:cs="DejaVu Serif"/>
          <w:i/>
        </w:rPr>
        <w:t>Maximize Compression(z)  subject to  Attested(z)=1  and  Gluable(z)=1.</w:t>
      </w:r>
    </w:p>
    <w:p w14:paraId="763E722A" w14:textId="77777777" w:rsidR="00E85A29" w:rsidRDefault="00000000">
      <w:r>
        <w:t>The frontier appears when the current language has no admissible compression that preserves certified gluing, while the local regularities are too persistent to dismiss as noise. At that point the feasible set is empty under language L. A minimal extension L′—a new object, invariant, morphism, or theory—restores feasibility. That extension is the proposed operational signature of new mathematics.</w:t>
      </w:r>
    </w:p>
    <w:p w14:paraId="54AE9D68" w14:textId="77777777" w:rsidR="00E85A29" w:rsidRDefault="00000000">
      <w:r>
        <w:t>Bourbaki reached such a frontier by hand. Its structural compression succeeded spectacularly, but the accumulated foundation made categorical migration difficult. The paper’s claim is that AGI will reach comparable frontiers continuously. The relevant discipline is not unrestricted generation but the sheaf-theoretic and certificate-bearing architecture developed above.</w:t>
      </w:r>
    </w:p>
    <w:p w14:paraId="49D98B34" w14:textId="77777777" w:rsidR="00E85A29" w:rsidRDefault="00000000">
      <w:r>
        <w:rPr>
          <w:noProof/>
        </w:rPr>
        <w:drawing>
          <wp:inline distT="0" distB="0" distL="0" distR="0" wp14:anchorId="4560D890" wp14:editId="2F60F716">
            <wp:extent cx="5868000" cy="2567638"/>
            <wp:effectExtent l="0" t="0" r="0" b="0"/>
            <wp:docPr id="3" name="Picture 3" descr="Image: 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i_math_equilibrium.png"/>
                    <pic:cNvPicPr/>
                  </pic:nvPicPr>
                  <pic:blipFill>
                    <a:blip r:embed="rId10"/>
                    <a:stretch>
                      <a:fillRect/>
                    </a:stretch>
                  </pic:blipFill>
                  <pic:spPr>
                    <a:xfrm>
                      <a:off x="0" y="0"/>
                      <a:ext cx="5868000" cy="2567638"/>
                    </a:xfrm>
                    <a:prstGeom prst="rect">
                      <a:avLst/>
                    </a:prstGeom>
                  </pic:spPr>
                </pic:pic>
              </a:graphicData>
            </a:graphic>
          </wp:inline>
        </w:drawing>
      </w:r>
    </w:p>
    <w:p w14:paraId="39BE1D5D" w14:textId="77777777" w:rsidR="00E85A29" w:rsidRDefault="00000000">
      <w:pPr>
        <w:pStyle w:val="Caption"/>
        <w:jc w:val="center"/>
      </w:pPr>
      <w:r>
        <w:rPr>
          <w:color w:val="5F5F5F"/>
        </w:rPr>
        <w:t>Figure 3. The consistency–compression equilibrium. New language is forced when no further admissible compression exists in the current vocabulary.</w:t>
      </w:r>
    </w:p>
    <w:p w14:paraId="4D793999" w14:textId="77777777" w:rsidR="00E85A29" w:rsidRDefault="00000000">
      <w:pPr>
        <w:pStyle w:val="Heading1"/>
      </w:pPr>
      <w:r>
        <w:lastRenderedPageBreak/>
        <w:t>7. Where the Transfer Is Not Exact</w:t>
      </w:r>
    </w:p>
    <w:p w14:paraId="3EA380FE" w14:textId="77777777" w:rsidR="00E85A29" w:rsidRDefault="00000000">
      <w:r>
        <w:t>The paper uses established mathematics as an architectural instrument. It must therefore state where the analogy ceases to be exact. Three limitations are constitutive, not peripheral.</w:t>
      </w:r>
    </w:p>
    <w:p w14:paraId="21986505" w14:textId="77777777" w:rsidR="00E85A29" w:rsidRDefault="00000000">
      <w:pPr>
        <w:pStyle w:val="Heading2"/>
      </w:pPr>
      <w:r>
        <w:t>7.1 Linear sheaves are a computable proxy, not the honest ontology</w:t>
      </w:r>
    </w:p>
    <w:p w14:paraId="6E683500" w14:textId="77777777" w:rsidR="00E85A29" w:rsidRDefault="00000000">
      <w:r>
        <w:t>Interpretations between formal theories are commonly partial, lossy, order-sensitive, and non-invertible. The honest object is closer to a lax diagram or functor into posets, lattices, categories, or richer ordered structures than to a cellular sheaf of vector spaces. Linearization is attractive because it supplies cochain complexes, Laplacians, spectra, and efficient numerical solvers. It may also erase the phenomenon of interest.</w:t>
      </w:r>
    </w:p>
    <w:p w14:paraId="2EC62614" w14:textId="77777777" w:rsidR="00E85A29" w:rsidRDefault="00000000">
      <w:r>
        <w:t>Leakage is precisely the failure of invertibility or conservation. If a lossy interpretation is replaced by a linear map on a quotient that silently identifies the lost distinctions, the sheaf energy can report consistency because the representation has forgotten what should have been conserved. Lattice-valued sheaves and Tarski-type Laplacians are therefore not optional curiosities; they are candidates for the non-linear audit layer [18].</w:t>
      </w:r>
    </w:p>
    <w:p w14:paraId="02AFA875" w14:textId="77777777" w:rsidR="00E85A29" w:rsidRDefault="00000000">
      <w:r>
        <w:t>Accordingly, every numerical result in the linearized system must carry a declaration of what the linearization preserves and what it quotients away. A zero energy in the proxy is not a proof of semantic consistency in the underlying lax diagram.</w:t>
      </w:r>
    </w:p>
    <w:p w14:paraId="27DE4628" w14:textId="77777777" w:rsidR="00E85A29" w:rsidRDefault="00000000">
      <w:pPr>
        <w:pStyle w:val="Heading2"/>
      </w:pPr>
      <w:r>
        <w:t>7.2 Torsion as a conjectural signature of foundation dependence</w:t>
      </w:r>
    </w:p>
    <w:p w14:paraId="1536221C" w14:textId="77777777" w:rsidR="00E85A29" w:rsidRDefault="00000000">
      <w:r>
        <w:t>Rational and floating-point computations can miss finite-order obstructions. The framework conjectures that some foundation-migration failures may appear as torsion classes: visible with integral coefficients, invisible after tensoring with the rationals. This is plausible because a migration may succeed after repeated composition or fail by a finite coherence defect, but the paper has no theorem establishing the correspondence.</w:t>
      </w:r>
    </w:p>
    <w:p w14:paraId="58C751C7" w14:textId="77777777" w:rsidR="00E85A29" w:rsidRDefault="00000000">
      <w:r>
        <w:t>The proposed test is empirical. Construct paired formal libraries with known foundation-dependent artifacts; compute integral and rational cohomological summaries before and after migration; and determine whether dying certification classes are enriched for torsion. Failure to observe such enrichment across controlled benchmarks would refute the conjecture. Until then, “torsion encodes foundation dependence” must remain labelled [C], not presented as a result.</w:t>
      </w:r>
    </w:p>
    <w:p w14:paraId="719935AD" w14:textId="77777777" w:rsidR="00E85A29" w:rsidRDefault="00000000">
      <w:pPr>
        <w:pStyle w:val="Heading2"/>
      </w:pPr>
      <w:r>
        <w:t>7.3 The complex X is growing; persistence is the base case</w:t>
      </w:r>
    </w:p>
    <w:p w14:paraId="1DAD2DC1" w14:textId="77777777" w:rsidR="00E85A29" w:rsidRDefault="00000000">
      <w:r>
        <w:t>The corpus is never static. New claims, interpretations, and certificates are added; defective cells are removed; foundations and normalizers change; and agent identities split or merge. A single cohomology group Hᵏ(X;ℱ) is therefore only a snapshot. The basic object is a time-indexed or version-indexed family of complexes and sheaves with explicit comparison maps.</w:t>
      </w:r>
    </w:p>
    <w:p w14:paraId="17C0FAFD" w14:textId="77777777" w:rsidR="00E85A29" w:rsidRDefault="00000000">
      <w:r>
        <w:t>Persistence is not an optional extension added after the static theory. It is the base case for any deployed system. Static statements in Sections 4 and 6 are local approximations valid only for a declared corpus version. The architecture must treat version, migration map, and certificate interval as part of the artifact type.</w:t>
      </w:r>
    </w:p>
    <w:p w14:paraId="61698663" w14:textId="77777777" w:rsidR="00E85A29" w:rsidRDefault="00000000">
      <w:pPr>
        <w:pStyle w:val="Heading1"/>
      </w:pPr>
      <w:r>
        <w:t>8. Experimental and Falsification Programme</w:t>
      </w:r>
    </w:p>
    <w:p w14:paraId="285572EF" w14:textId="77777777" w:rsidR="00E85A29" w:rsidRDefault="00000000">
      <w:r>
        <w:t>The framework is valuable only if it produces measurements that can fail. Table 2 converts the central claims into an experimental programme.</w:t>
      </w:r>
    </w:p>
    <w:p w14:paraId="71271509" w14:textId="77777777" w:rsidR="00E85A29" w:rsidRDefault="00000000">
      <w:r>
        <w:br w:type="page"/>
      </w:r>
    </w:p>
    <w:tbl>
      <w:tblPr>
        <w:tblStyle w:val="TableGrid"/>
        <w:tblW w:w="0" w:type="auto"/>
        <w:jc w:val="center"/>
        <w:tblLook w:val="04A0" w:firstRow="1" w:lastRow="0" w:firstColumn="1" w:lastColumn="0" w:noHBand="0" w:noVBand="1"/>
      </w:tblPr>
      <w:tblGrid>
        <w:gridCol w:w="2367"/>
        <w:gridCol w:w="2367"/>
        <w:gridCol w:w="2367"/>
        <w:gridCol w:w="2367"/>
      </w:tblGrid>
      <w:tr w:rsidR="00E85A29" w14:paraId="74944CDC" w14:textId="77777777">
        <w:trPr>
          <w:tblHeader/>
          <w:jc w:val="center"/>
        </w:trPr>
        <w:tc>
          <w:tcPr>
            <w:tcW w:w="2367" w:type="dxa"/>
            <w:shd w:val="clear" w:color="auto" w:fill="D9EAF7"/>
            <w:tcMar>
              <w:top w:w="90" w:type="dxa"/>
              <w:left w:w="100" w:type="dxa"/>
              <w:bottom w:w="90" w:type="dxa"/>
              <w:right w:w="100" w:type="dxa"/>
            </w:tcMar>
            <w:vAlign w:val="center"/>
          </w:tcPr>
          <w:p w14:paraId="035EEEC9" w14:textId="77777777" w:rsidR="00E85A29" w:rsidRDefault="00000000">
            <w:r>
              <w:rPr>
                <w:rFonts w:ascii="Liberation Sans" w:eastAsia="Liberation Sans" w:hAnsi="Liberation Sans" w:cs="Liberation Sans"/>
                <w:b/>
                <w:color w:val="1F4E79"/>
                <w:sz w:val="17"/>
              </w:rPr>
              <w:lastRenderedPageBreak/>
              <w:t>Experiment</w:t>
            </w:r>
          </w:p>
        </w:tc>
        <w:tc>
          <w:tcPr>
            <w:tcW w:w="2367" w:type="dxa"/>
            <w:shd w:val="clear" w:color="auto" w:fill="D9EAF7"/>
            <w:tcMar>
              <w:top w:w="90" w:type="dxa"/>
              <w:left w:w="100" w:type="dxa"/>
              <w:bottom w:w="90" w:type="dxa"/>
              <w:right w:w="100" w:type="dxa"/>
            </w:tcMar>
            <w:vAlign w:val="center"/>
          </w:tcPr>
          <w:p w14:paraId="6BFB59E0" w14:textId="77777777" w:rsidR="00E85A29" w:rsidRDefault="00000000">
            <w:r>
              <w:rPr>
                <w:rFonts w:ascii="Liberation Sans" w:eastAsia="Liberation Sans" w:hAnsi="Liberation Sans" w:cs="Liberation Sans"/>
                <w:b/>
                <w:color w:val="1F4E79"/>
                <w:sz w:val="17"/>
              </w:rPr>
              <w:t>Measurement</w:t>
            </w:r>
          </w:p>
        </w:tc>
        <w:tc>
          <w:tcPr>
            <w:tcW w:w="2367" w:type="dxa"/>
            <w:shd w:val="clear" w:color="auto" w:fill="D9EAF7"/>
            <w:tcMar>
              <w:top w:w="90" w:type="dxa"/>
              <w:left w:w="100" w:type="dxa"/>
              <w:bottom w:w="90" w:type="dxa"/>
              <w:right w:w="100" w:type="dxa"/>
            </w:tcMar>
            <w:vAlign w:val="center"/>
          </w:tcPr>
          <w:p w14:paraId="24B3E3CF" w14:textId="77777777" w:rsidR="00E85A29" w:rsidRDefault="00000000">
            <w:r>
              <w:rPr>
                <w:rFonts w:ascii="Liberation Sans" w:eastAsia="Liberation Sans" w:hAnsi="Liberation Sans" w:cs="Liberation Sans"/>
                <w:b/>
                <w:color w:val="1F4E79"/>
                <w:sz w:val="17"/>
              </w:rPr>
              <w:t>Supporting result</w:t>
            </w:r>
          </w:p>
        </w:tc>
        <w:tc>
          <w:tcPr>
            <w:tcW w:w="2367" w:type="dxa"/>
            <w:shd w:val="clear" w:color="auto" w:fill="D9EAF7"/>
            <w:tcMar>
              <w:top w:w="90" w:type="dxa"/>
              <w:left w:w="100" w:type="dxa"/>
              <w:bottom w:w="90" w:type="dxa"/>
              <w:right w:w="100" w:type="dxa"/>
            </w:tcMar>
            <w:vAlign w:val="center"/>
          </w:tcPr>
          <w:p w14:paraId="24373260" w14:textId="77777777" w:rsidR="00E85A29" w:rsidRDefault="00000000">
            <w:r>
              <w:rPr>
                <w:rFonts w:ascii="Liberation Sans" w:eastAsia="Liberation Sans" w:hAnsi="Liberation Sans" w:cs="Liberation Sans"/>
                <w:b/>
                <w:color w:val="1F4E79"/>
                <w:sz w:val="17"/>
              </w:rPr>
              <w:t>Falsifier</w:t>
            </w:r>
          </w:p>
        </w:tc>
      </w:tr>
      <w:tr w:rsidR="00E85A29" w14:paraId="6D51FFCB" w14:textId="77777777">
        <w:trPr>
          <w:jc w:val="center"/>
        </w:trPr>
        <w:tc>
          <w:tcPr>
            <w:tcW w:w="2367" w:type="dxa"/>
            <w:tcMar>
              <w:top w:w="90" w:type="dxa"/>
              <w:left w:w="100" w:type="dxa"/>
              <w:bottom w:w="90" w:type="dxa"/>
              <w:right w:w="100" w:type="dxa"/>
            </w:tcMar>
            <w:vAlign w:val="center"/>
          </w:tcPr>
          <w:p w14:paraId="785598C4" w14:textId="77777777" w:rsidR="00E85A29" w:rsidRDefault="00000000">
            <w:r>
              <w:rPr>
                <w:sz w:val="16"/>
              </w:rPr>
              <w:t>Generation–verification scaling</w:t>
            </w:r>
          </w:p>
        </w:tc>
        <w:tc>
          <w:tcPr>
            <w:tcW w:w="2367" w:type="dxa"/>
            <w:tcMar>
              <w:top w:w="90" w:type="dxa"/>
              <w:left w:w="100" w:type="dxa"/>
              <w:bottom w:w="90" w:type="dxa"/>
              <w:right w:w="100" w:type="dxa"/>
            </w:tcMar>
            <w:vAlign w:val="center"/>
          </w:tcPr>
          <w:p w14:paraId="06D2995B" w14:textId="77777777" w:rsidR="00E85A29" w:rsidRDefault="00000000">
            <w:r>
              <w:rPr>
                <w:sz w:val="16"/>
              </w:rPr>
              <w:t>Certified outputs per unit compute and human audit; R(c)</w:t>
            </w:r>
          </w:p>
        </w:tc>
        <w:tc>
          <w:tcPr>
            <w:tcW w:w="2367" w:type="dxa"/>
            <w:tcMar>
              <w:top w:w="90" w:type="dxa"/>
              <w:left w:w="100" w:type="dxa"/>
              <w:bottom w:w="90" w:type="dxa"/>
              <w:right w:w="100" w:type="dxa"/>
            </w:tcMar>
            <w:vAlign w:val="center"/>
          </w:tcPr>
          <w:p w14:paraId="5851FF2A" w14:textId="77777777" w:rsidR="00E85A29" w:rsidRDefault="00000000">
            <w:r>
              <w:rPr>
                <w:sz w:val="16"/>
              </w:rPr>
              <w:t>R(c) rises with capability</w:t>
            </w:r>
          </w:p>
        </w:tc>
        <w:tc>
          <w:tcPr>
            <w:tcW w:w="2367" w:type="dxa"/>
            <w:tcMar>
              <w:top w:w="90" w:type="dxa"/>
              <w:left w:w="100" w:type="dxa"/>
              <w:bottom w:w="90" w:type="dxa"/>
              <w:right w:w="100" w:type="dxa"/>
            </w:tcMar>
            <w:vAlign w:val="center"/>
          </w:tcPr>
          <w:p w14:paraId="5CB6D68E" w14:textId="77777777" w:rsidR="00E85A29" w:rsidRDefault="00000000">
            <w:r>
              <w:rPr>
                <w:sz w:val="16"/>
              </w:rPr>
              <w:t>Independent certification scales as fast as generation without increased correlated error</w:t>
            </w:r>
          </w:p>
        </w:tc>
      </w:tr>
      <w:tr w:rsidR="00E85A29" w14:paraId="5CC1CACB" w14:textId="77777777">
        <w:trPr>
          <w:jc w:val="center"/>
        </w:trPr>
        <w:tc>
          <w:tcPr>
            <w:tcW w:w="2367" w:type="dxa"/>
            <w:tcMar>
              <w:top w:w="90" w:type="dxa"/>
              <w:left w:w="100" w:type="dxa"/>
              <w:bottom w:w="90" w:type="dxa"/>
              <w:right w:w="100" w:type="dxa"/>
            </w:tcMar>
            <w:vAlign w:val="center"/>
          </w:tcPr>
          <w:p w14:paraId="7DCEF266" w14:textId="77777777" w:rsidR="00E85A29" w:rsidRDefault="00000000">
            <w:r>
              <w:rPr>
                <w:sz w:val="16"/>
              </w:rPr>
              <w:t>Dual formalization</w:t>
            </w:r>
          </w:p>
        </w:tc>
        <w:tc>
          <w:tcPr>
            <w:tcW w:w="2367" w:type="dxa"/>
            <w:tcMar>
              <w:top w:w="90" w:type="dxa"/>
              <w:left w:w="100" w:type="dxa"/>
              <w:bottom w:w="90" w:type="dxa"/>
              <w:right w:w="100" w:type="dxa"/>
            </w:tcMar>
            <w:vAlign w:val="center"/>
          </w:tcPr>
          <w:p w14:paraId="07362360" w14:textId="77777777" w:rsidR="00E85A29" w:rsidRDefault="00000000">
            <w:r>
              <w:rPr>
                <w:sz w:val="16"/>
              </w:rPr>
              <w:t>Semantic defect rate with one vs two independent formalizers</w:t>
            </w:r>
          </w:p>
        </w:tc>
        <w:tc>
          <w:tcPr>
            <w:tcW w:w="2367" w:type="dxa"/>
            <w:tcMar>
              <w:top w:w="90" w:type="dxa"/>
              <w:left w:w="100" w:type="dxa"/>
              <w:bottom w:w="90" w:type="dxa"/>
              <w:right w:w="100" w:type="dxa"/>
            </w:tcMar>
            <w:vAlign w:val="center"/>
          </w:tcPr>
          <w:p w14:paraId="42F7D824" w14:textId="77777777" w:rsidR="00E85A29" w:rsidRDefault="00000000">
            <w:r>
              <w:rPr>
                <w:sz w:val="16"/>
              </w:rPr>
              <w:t>Agreement 2-cells reduce undetected mistranslation</w:t>
            </w:r>
          </w:p>
        </w:tc>
        <w:tc>
          <w:tcPr>
            <w:tcW w:w="2367" w:type="dxa"/>
            <w:tcMar>
              <w:top w:w="90" w:type="dxa"/>
              <w:left w:w="100" w:type="dxa"/>
              <w:bottom w:w="90" w:type="dxa"/>
              <w:right w:w="100" w:type="dxa"/>
            </w:tcMar>
            <w:vAlign w:val="center"/>
          </w:tcPr>
          <w:p w14:paraId="392BB4BF" w14:textId="77777777" w:rsidR="00E85A29" w:rsidRDefault="00000000">
            <w:r>
              <w:rPr>
                <w:sz w:val="16"/>
              </w:rPr>
              <w:t>No improvement after independence controls</w:t>
            </w:r>
          </w:p>
        </w:tc>
      </w:tr>
      <w:tr w:rsidR="00E85A29" w14:paraId="207427B9" w14:textId="77777777">
        <w:trPr>
          <w:jc w:val="center"/>
        </w:trPr>
        <w:tc>
          <w:tcPr>
            <w:tcW w:w="2367" w:type="dxa"/>
            <w:tcMar>
              <w:top w:w="90" w:type="dxa"/>
              <w:left w:w="100" w:type="dxa"/>
              <w:bottom w:w="90" w:type="dxa"/>
              <w:right w:w="100" w:type="dxa"/>
            </w:tcMar>
            <w:vAlign w:val="center"/>
          </w:tcPr>
          <w:p w14:paraId="118DAB8F" w14:textId="77777777" w:rsidR="00E85A29" w:rsidRDefault="00000000">
            <w:r>
              <w:rPr>
                <w:sz w:val="16"/>
              </w:rPr>
              <w:t>Mayer–Vietoris discovery</w:t>
            </w:r>
          </w:p>
        </w:tc>
        <w:tc>
          <w:tcPr>
            <w:tcW w:w="2367" w:type="dxa"/>
            <w:tcMar>
              <w:top w:w="90" w:type="dxa"/>
              <w:left w:w="100" w:type="dxa"/>
              <w:bottom w:w="90" w:type="dxa"/>
              <w:right w:w="100" w:type="dxa"/>
            </w:tcMar>
            <w:vAlign w:val="center"/>
          </w:tcPr>
          <w:p w14:paraId="02FB5050" w14:textId="77777777" w:rsidR="00E85A29" w:rsidRDefault="00000000">
            <w:r>
              <w:rPr>
                <w:sz w:val="16"/>
              </w:rPr>
              <w:t>Research value of persistent connecting classes</w:t>
            </w:r>
          </w:p>
        </w:tc>
        <w:tc>
          <w:tcPr>
            <w:tcW w:w="2367" w:type="dxa"/>
            <w:tcMar>
              <w:top w:w="90" w:type="dxa"/>
              <w:left w:w="100" w:type="dxa"/>
              <w:bottom w:w="90" w:type="dxa"/>
              <w:right w:w="100" w:type="dxa"/>
            </w:tcMar>
            <w:vAlign w:val="center"/>
          </w:tcPr>
          <w:p w14:paraId="7E44CBD9" w14:textId="77777777" w:rsidR="00E85A29" w:rsidRDefault="00000000">
            <w:r>
              <w:rPr>
                <w:sz w:val="16"/>
              </w:rPr>
              <w:t>Non-random obstructions predict missing concepts</w:t>
            </w:r>
          </w:p>
        </w:tc>
        <w:tc>
          <w:tcPr>
            <w:tcW w:w="2367" w:type="dxa"/>
            <w:tcMar>
              <w:top w:w="90" w:type="dxa"/>
              <w:left w:w="100" w:type="dxa"/>
              <w:bottom w:w="90" w:type="dxa"/>
              <w:right w:w="100" w:type="dxa"/>
            </w:tcMar>
            <w:vAlign w:val="center"/>
          </w:tcPr>
          <w:p w14:paraId="304D4C48" w14:textId="77777777" w:rsidR="00E85A29" w:rsidRDefault="00000000">
            <w:r>
              <w:rPr>
                <w:sz w:val="16"/>
              </w:rPr>
              <w:t>Classes are no more useful than null-matched anomalies</w:t>
            </w:r>
          </w:p>
        </w:tc>
      </w:tr>
      <w:tr w:rsidR="00E85A29" w14:paraId="64DFCA64" w14:textId="77777777">
        <w:trPr>
          <w:jc w:val="center"/>
        </w:trPr>
        <w:tc>
          <w:tcPr>
            <w:tcW w:w="2367" w:type="dxa"/>
            <w:tcMar>
              <w:top w:w="90" w:type="dxa"/>
              <w:left w:w="100" w:type="dxa"/>
              <w:bottom w:w="90" w:type="dxa"/>
              <w:right w:w="100" w:type="dxa"/>
            </w:tcMar>
            <w:vAlign w:val="center"/>
          </w:tcPr>
          <w:p w14:paraId="23249536" w14:textId="77777777" w:rsidR="00E85A29" w:rsidRDefault="00000000">
            <w:r>
              <w:rPr>
                <w:sz w:val="16"/>
              </w:rPr>
              <w:t>Directionality ablation</w:t>
            </w:r>
          </w:p>
        </w:tc>
        <w:tc>
          <w:tcPr>
            <w:tcW w:w="2367" w:type="dxa"/>
            <w:tcMar>
              <w:top w:w="90" w:type="dxa"/>
              <w:left w:w="100" w:type="dxa"/>
              <w:bottom w:w="90" w:type="dxa"/>
              <w:right w:w="100" w:type="dxa"/>
            </w:tcMar>
            <w:vAlign w:val="center"/>
          </w:tcPr>
          <w:p w14:paraId="4D7D0A83" w14:textId="77777777" w:rsidR="00E85A29" w:rsidRDefault="00000000">
            <w:r>
              <w:rPr>
                <w:sz w:val="16"/>
              </w:rPr>
              <w:t>False-cycle rate after symmetrizing dependency DAGs</w:t>
            </w:r>
          </w:p>
        </w:tc>
        <w:tc>
          <w:tcPr>
            <w:tcW w:w="2367" w:type="dxa"/>
            <w:tcMar>
              <w:top w:w="90" w:type="dxa"/>
              <w:left w:w="100" w:type="dxa"/>
              <w:bottom w:w="90" w:type="dxa"/>
              <w:right w:w="100" w:type="dxa"/>
            </w:tcMar>
            <w:vAlign w:val="center"/>
          </w:tcPr>
          <w:p w14:paraId="510931E2" w14:textId="77777777" w:rsidR="00E85A29" w:rsidRDefault="00000000">
            <w:r>
              <w:rPr>
                <w:sz w:val="16"/>
              </w:rPr>
              <w:t>Directed path invariants reduce artifacts</w:t>
            </w:r>
          </w:p>
        </w:tc>
        <w:tc>
          <w:tcPr>
            <w:tcW w:w="2367" w:type="dxa"/>
            <w:tcMar>
              <w:top w:w="90" w:type="dxa"/>
              <w:left w:w="100" w:type="dxa"/>
              <w:bottom w:w="90" w:type="dxa"/>
              <w:right w:w="100" w:type="dxa"/>
            </w:tcMar>
            <w:vAlign w:val="center"/>
          </w:tcPr>
          <w:p w14:paraId="68CB9353" w14:textId="77777777" w:rsidR="00E85A29" w:rsidRDefault="00000000">
            <w:r>
              <w:rPr>
                <w:sz w:val="16"/>
              </w:rPr>
              <w:t>Undirected invariants perform equally under matched tasks</w:t>
            </w:r>
          </w:p>
        </w:tc>
      </w:tr>
      <w:tr w:rsidR="00E85A29" w14:paraId="307BF170" w14:textId="77777777">
        <w:trPr>
          <w:jc w:val="center"/>
        </w:trPr>
        <w:tc>
          <w:tcPr>
            <w:tcW w:w="2367" w:type="dxa"/>
            <w:tcMar>
              <w:top w:w="90" w:type="dxa"/>
              <w:left w:w="100" w:type="dxa"/>
              <w:bottom w:w="90" w:type="dxa"/>
              <w:right w:w="100" w:type="dxa"/>
            </w:tcMar>
            <w:vAlign w:val="center"/>
          </w:tcPr>
          <w:p w14:paraId="7864461A" w14:textId="77777777" w:rsidR="00E85A29" w:rsidRDefault="00000000">
            <w:r>
              <w:rPr>
                <w:sz w:val="16"/>
              </w:rPr>
              <w:t>Hodge separation</w:t>
            </w:r>
          </w:p>
        </w:tc>
        <w:tc>
          <w:tcPr>
            <w:tcW w:w="2367" w:type="dxa"/>
            <w:tcMar>
              <w:top w:w="90" w:type="dxa"/>
              <w:left w:w="100" w:type="dxa"/>
              <w:bottom w:w="90" w:type="dxa"/>
              <w:right w:w="100" w:type="dxa"/>
            </w:tcMar>
            <w:vAlign w:val="center"/>
          </w:tcPr>
          <w:p w14:paraId="39E2433D" w14:textId="77777777" w:rsidR="00E85A29" w:rsidRDefault="00000000">
            <w:r>
              <w:rPr>
                <w:sz w:val="16"/>
              </w:rPr>
              <w:t>Repair success using curvature vs leakage diagnostics</w:t>
            </w:r>
          </w:p>
        </w:tc>
        <w:tc>
          <w:tcPr>
            <w:tcW w:w="2367" w:type="dxa"/>
            <w:tcMar>
              <w:top w:w="90" w:type="dxa"/>
              <w:left w:w="100" w:type="dxa"/>
              <w:bottom w:w="90" w:type="dxa"/>
              <w:right w:w="100" w:type="dxa"/>
            </w:tcMar>
            <w:vAlign w:val="center"/>
          </w:tcPr>
          <w:p w14:paraId="383A554D" w14:textId="77777777" w:rsidR="00E85A29" w:rsidRDefault="00000000">
            <w:r>
              <w:rPr>
                <w:sz w:val="16"/>
              </w:rPr>
              <w:t>Separate terms direct different repairs</w:t>
            </w:r>
          </w:p>
        </w:tc>
        <w:tc>
          <w:tcPr>
            <w:tcW w:w="2367" w:type="dxa"/>
            <w:tcMar>
              <w:top w:w="90" w:type="dxa"/>
              <w:left w:w="100" w:type="dxa"/>
              <w:bottom w:w="90" w:type="dxa"/>
              <w:right w:w="100" w:type="dxa"/>
            </w:tcMar>
            <w:vAlign w:val="center"/>
          </w:tcPr>
          <w:p w14:paraId="30E73228" w14:textId="77777777" w:rsidR="00E85A29" w:rsidRDefault="00000000">
            <w:r>
              <w:rPr>
                <w:sz w:val="16"/>
              </w:rPr>
              <w:t>Single aggregate score performs as well</w:t>
            </w:r>
          </w:p>
        </w:tc>
      </w:tr>
      <w:tr w:rsidR="00E85A29" w14:paraId="2332DA1A" w14:textId="77777777">
        <w:trPr>
          <w:jc w:val="center"/>
        </w:trPr>
        <w:tc>
          <w:tcPr>
            <w:tcW w:w="2367" w:type="dxa"/>
            <w:tcMar>
              <w:top w:w="90" w:type="dxa"/>
              <w:left w:w="100" w:type="dxa"/>
              <w:bottom w:w="90" w:type="dxa"/>
              <w:right w:w="100" w:type="dxa"/>
            </w:tcMar>
            <w:vAlign w:val="center"/>
          </w:tcPr>
          <w:p w14:paraId="1DEA256A" w14:textId="77777777" w:rsidR="00E85A29" w:rsidRDefault="00000000">
            <w:r>
              <w:rPr>
                <w:sz w:val="16"/>
              </w:rPr>
              <w:t>Spectral fragility</w:t>
            </w:r>
          </w:p>
        </w:tc>
        <w:tc>
          <w:tcPr>
            <w:tcW w:w="2367" w:type="dxa"/>
            <w:tcMar>
              <w:top w:w="90" w:type="dxa"/>
              <w:left w:w="100" w:type="dxa"/>
              <w:bottom w:w="90" w:type="dxa"/>
              <w:right w:w="100" w:type="dxa"/>
            </w:tcMar>
            <w:vAlign w:val="center"/>
          </w:tcPr>
          <w:p w14:paraId="3AAA112D" w14:textId="77777777" w:rsidR="00E85A29" w:rsidRDefault="00000000">
            <w:r>
              <w:rPr>
                <w:sz w:val="16"/>
              </w:rPr>
              <w:t>Failure probability under controlled perturbations vs λ⁺min</w:t>
            </w:r>
          </w:p>
        </w:tc>
        <w:tc>
          <w:tcPr>
            <w:tcW w:w="2367" w:type="dxa"/>
            <w:tcMar>
              <w:top w:w="90" w:type="dxa"/>
              <w:left w:w="100" w:type="dxa"/>
              <w:bottom w:w="90" w:type="dxa"/>
              <w:right w:w="100" w:type="dxa"/>
            </w:tcMar>
            <w:vAlign w:val="center"/>
          </w:tcPr>
          <w:p w14:paraId="2961B1A2" w14:textId="77777777" w:rsidR="00E85A29" w:rsidRDefault="00000000">
            <w:r>
              <w:rPr>
                <w:sz w:val="16"/>
              </w:rPr>
              <w:t>Small spectral margin predicts instability</w:t>
            </w:r>
          </w:p>
        </w:tc>
        <w:tc>
          <w:tcPr>
            <w:tcW w:w="2367" w:type="dxa"/>
            <w:tcMar>
              <w:top w:w="90" w:type="dxa"/>
              <w:left w:w="100" w:type="dxa"/>
              <w:bottom w:w="90" w:type="dxa"/>
              <w:right w:w="100" w:type="dxa"/>
            </w:tcMar>
            <w:vAlign w:val="center"/>
          </w:tcPr>
          <w:p w14:paraId="23E855DE" w14:textId="77777777" w:rsidR="00E85A29" w:rsidRDefault="00000000">
            <w:r>
              <w:rPr>
                <w:sz w:val="16"/>
              </w:rPr>
              <w:t>No predictive value beyond current energy</w:t>
            </w:r>
          </w:p>
        </w:tc>
      </w:tr>
      <w:tr w:rsidR="00E85A29" w14:paraId="0860B133" w14:textId="77777777">
        <w:trPr>
          <w:jc w:val="center"/>
        </w:trPr>
        <w:tc>
          <w:tcPr>
            <w:tcW w:w="2367" w:type="dxa"/>
            <w:tcMar>
              <w:top w:w="90" w:type="dxa"/>
              <w:left w:w="100" w:type="dxa"/>
              <w:bottom w:w="90" w:type="dxa"/>
              <w:right w:w="100" w:type="dxa"/>
            </w:tcMar>
            <w:vAlign w:val="center"/>
          </w:tcPr>
          <w:p w14:paraId="70E5D09D" w14:textId="77777777" w:rsidR="00E85A29" w:rsidRDefault="00000000">
            <w:r>
              <w:rPr>
                <w:sz w:val="16"/>
              </w:rPr>
              <w:t>Dowker verifier coverage</w:t>
            </w:r>
          </w:p>
        </w:tc>
        <w:tc>
          <w:tcPr>
            <w:tcW w:w="2367" w:type="dxa"/>
            <w:tcMar>
              <w:top w:w="90" w:type="dxa"/>
              <w:left w:w="100" w:type="dxa"/>
              <w:bottom w:w="90" w:type="dxa"/>
              <w:right w:w="100" w:type="dxa"/>
            </w:tcMar>
            <w:vAlign w:val="center"/>
          </w:tcPr>
          <w:p w14:paraId="3B810794" w14:textId="77777777" w:rsidR="00E85A29" w:rsidRDefault="00000000">
            <w:r>
              <w:rPr>
                <w:sz w:val="16"/>
              </w:rPr>
              <w:t>Unresolved holes vs verifier-type diversity</w:t>
            </w:r>
          </w:p>
        </w:tc>
        <w:tc>
          <w:tcPr>
            <w:tcW w:w="2367" w:type="dxa"/>
            <w:tcMar>
              <w:top w:w="90" w:type="dxa"/>
              <w:left w:w="100" w:type="dxa"/>
              <w:bottom w:w="90" w:type="dxa"/>
              <w:right w:w="100" w:type="dxa"/>
            </w:tcMar>
            <w:vAlign w:val="center"/>
          </w:tcPr>
          <w:p w14:paraId="600C8C02" w14:textId="77777777" w:rsidR="00E85A29" w:rsidRDefault="00000000">
            <w:r>
              <w:rPr>
                <w:sz w:val="16"/>
              </w:rPr>
              <w:t>New verifier types close holes generator scaling cannot</w:t>
            </w:r>
          </w:p>
        </w:tc>
        <w:tc>
          <w:tcPr>
            <w:tcW w:w="2367" w:type="dxa"/>
            <w:tcMar>
              <w:top w:w="90" w:type="dxa"/>
              <w:left w:w="100" w:type="dxa"/>
              <w:bottom w:w="90" w:type="dxa"/>
              <w:right w:w="100" w:type="dxa"/>
            </w:tcMar>
            <w:vAlign w:val="center"/>
          </w:tcPr>
          <w:p w14:paraId="5C64215C" w14:textId="77777777" w:rsidR="00E85A29" w:rsidRDefault="00000000">
            <w:r>
              <w:rPr>
                <w:sz w:val="16"/>
              </w:rPr>
              <w:t>Theorem-only scaling closes the same holes</w:t>
            </w:r>
          </w:p>
        </w:tc>
      </w:tr>
      <w:tr w:rsidR="00E85A29" w14:paraId="710D43F8" w14:textId="77777777">
        <w:trPr>
          <w:jc w:val="center"/>
        </w:trPr>
        <w:tc>
          <w:tcPr>
            <w:tcW w:w="2367" w:type="dxa"/>
            <w:tcMar>
              <w:top w:w="90" w:type="dxa"/>
              <w:left w:w="100" w:type="dxa"/>
              <w:bottom w:w="90" w:type="dxa"/>
              <w:right w:w="100" w:type="dxa"/>
            </w:tcMar>
            <w:vAlign w:val="center"/>
          </w:tcPr>
          <w:p w14:paraId="007A9ECA" w14:textId="77777777" w:rsidR="00E85A29" w:rsidRDefault="00000000">
            <w:r>
              <w:rPr>
                <w:sz w:val="16"/>
              </w:rPr>
              <w:t>Foundation zigzag</w:t>
            </w:r>
          </w:p>
        </w:tc>
        <w:tc>
          <w:tcPr>
            <w:tcW w:w="2367" w:type="dxa"/>
            <w:tcMar>
              <w:top w:w="90" w:type="dxa"/>
              <w:left w:w="100" w:type="dxa"/>
              <w:bottom w:w="90" w:type="dxa"/>
              <w:right w:w="100" w:type="dxa"/>
            </w:tcMar>
            <w:vAlign w:val="center"/>
          </w:tcPr>
          <w:p w14:paraId="7B2A53C4" w14:textId="77777777" w:rsidR="00E85A29" w:rsidRDefault="00000000">
            <w:r>
              <w:rPr>
                <w:sz w:val="16"/>
              </w:rPr>
              <w:t>Barcode survival across migrations</w:t>
            </w:r>
          </w:p>
        </w:tc>
        <w:tc>
          <w:tcPr>
            <w:tcW w:w="2367" w:type="dxa"/>
            <w:tcMar>
              <w:top w:w="90" w:type="dxa"/>
              <w:left w:w="100" w:type="dxa"/>
              <w:bottom w:w="90" w:type="dxa"/>
              <w:right w:w="100" w:type="dxa"/>
            </w:tcMar>
            <w:vAlign w:val="center"/>
          </w:tcPr>
          <w:p w14:paraId="21DC82BD" w14:textId="77777777" w:rsidR="00E85A29" w:rsidRDefault="00000000">
            <w:r>
              <w:rPr>
                <w:sz w:val="16"/>
              </w:rPr>
              <w:t>Persistent classes track foundation independence</w:t>
            </w:r>
          </w:p>
        </w:tc>
        <w:tc>
          <w:tcPr>
            <w:tcW w:w="2367" w:type="dxa"/>
            <w:tcMar>
              <w:top w:w="90" w:type="dxa"/>
              <w:left w:w="100" w:type="dxa"/>
              <w:bottom w:w="90" w:type="dxa"/>
              <w:right w:w="100" w:type="dxa"/>
            </w:tcMar>
            <w:vAlign w:val="center"/>
          </w:tcPr>
          <w:p w14:paraId="23904755" w14:textId="77777777" w:rsidR="00E85A29" w:rsidRDefault="00000000">
            <w:r>
              <w:rPr>
                <w:sz w:val="16"/>
              </w:rPr>
              <w:t>Survival has no relation to expert migration judgements</w:t>
            </w:r>
          </w:p>
        </w:tc>
      </w:tr>
      <w:tr w:rsidR="00E85A29" w14:paraId="3A491AB2" w14:textId="77777777">
        <w:trPr>
          <w:jc w:val="center"/>
        </w:trPr>
        <w:tc>
          <w:tcPr>
            <w:tcW w:w="2367" w:type="dxa"/>
            <w:tcMar>
              <w:top w:w="90" w:type="dxa"/>
              <w:left w:w="100" w:type="dxa"/>
              <w:bottom w:w="90" w:type="dxa"/>
              <w:right w:w="100" w:type="dxa"/>
            </w:tcMar>
            <w:vAlign w:val="center"/>
          </w:tcPr>
          <w:p w14:paraId="24F574DC" w14:textId="77777777" w:rsidR="00E85A29" w:rsidRDefault="00000000">
            <w:r>
              <w:rPr>
                <w:sz w:val="16"/>
              </w:rPr>
              <w:t>Torsion test</w:t>
            </w:r>
          </w:p>
        </w:tc>
        <w:tc>
          <w:tcPr>
            <w:tcW w:w="2367" w:type="dxa"/>
            <w:tcMar>
              <w:top w:w="90" w:type="dxa"/>
              <w:left w:w="100" w:type="dxa"/>
              <w:bottom w:w="90" w:type="dxa"/>
              <w:right w:w="100" w:type="dxa"/>
            </w:tcMar>
            <w:vAlign w:val="center"/>
          </w:tcPr>
          <w:p w14:paraId="7790E7D2" w14:textId="77777777" w:rsidR="00E85A29" w:rsidRDefault="00000000">
            <w:r>
              <w:rPr>
                <w:sz w:val="16"/>
              </w:rPr>
              <w:t>Integral torsion enrichment among migration failures</w:t>
            </w:r>
          </w:p>
        </w:tc>
        <w:tc>
          <w:tcPr>
            <w:tcW w:w="2367" w:type="dxa"/>
            <w:tcMar>
              <w:top w:w="90" w:type="dxa"/>
              <w:left w:w="100" w:type="dxa"/>
              <w:bottom w:w="90" w:type="dxa"/>
              <w:right w:w="100" w:type="dxa"/>
            </w:tcMar>
            <w:vAlign w:val="center"/>
          </w:tcPr>
          <w:p w14:paraId="0D1A6392" w14:textId="77777777" w:rsidR="00E85A29" w:rsidRDefault="00000000">
            <w:r>
              <w:rPr>
                <w:sz w:val="16"/>
              </w:rPr>
              <w:t>Torsion predicts some foundation dependence</w:t>
            </w:r>
          </w:p>
        </w:tc>
        <w:tc>
          <w:tcPr>
            <w:tcW w:w="2367" w:type="dxa"/>
            <w:tcMar>
              <w:top w:w="90" w:type="dxa"/>
              <w:left w:w="100" w:type="dxa"/>
              <w:bottom w:w="90" w:type="dxa"/>
              <w:right w:w="100" w:type="dxa"/>
            </w:tcMar>
            <w:vAlign w:val="center"/>
          </w:tcPr>
          <w:p w14:paraId="486A8A51" w14:textId="77777777" w:rsidR="00E85A29" w:rsidRDefault="00000000">
            <w:r>
              <w:rPr>
                <w:sz w:val="16"/>
              </w:rPr>
              <w:t>No enrichment across controlled benchmarks</w:t>
            </w:r>
          </w:p>
        </w:tc>
      </w:tr>
      <w:tr w:rsidR="00E85A29" w14:paraId="49E0C589" w14:textId="77777777">
        <w:trPr>
          <w:jc w:val="center"/>
        </w:trPr>
        <w:tc>
          <w:tcPr>
            <w:tcW w:w="2367" w:type="dxa"/>
            <w:tcMar>
              <w:top w:w="90" w:type="dxa"/>
              <w:left w:w="100" w:type="dxa"/>
              <w:bottom w:w="90" w:type="dxa"/>
              <w:right w:w="100" w:type="dxa"/>
            </w:tcMar>
            <w:vAlign w:val="center"/>
          </w:tcPr>
          <w:p w14:paraId="2191ED44" w14:textId="77777777" w:rsidR="00E85A29" w:rsidRDefault="00000000">
            <w:r>
              <w:rPr>
                <w:sz w:val="16"/>
              </w:rPr>
              <w:t>Null-model discovery</w:t>
            </w:r>
          </w:p>
        </w:tc>
        <w:tc>
          <w:tcPr>
            <w:tcW w:w="2367" w:type="dxa"/>
            <w:tcMar>
              <w:top w:w="90" w:type="dxa"/>
              <w:left w:w="100" w:type="dxa"/>
              <w:bottom w:w="90" w:type="dxa"/>
              <w:right w:w="100" w:type="dxa"/>
            </w:tcMar>
            <w:vAlign w:val="center"/>
          </w:tcPr>
          <w:p w14:paraId="764811EE" w14:textId="77777777" w:rsidR="00E85A29" w:rsidRDefault="00000000">
            <w:r>
              <w:rPr>
                <w:sz w:val="16"/>
              </w:rPr>
              <w:t>FDR-calibrated rate of validated discoveries</w:t>
            </w:r>
          </w:p>
        </w:tc>
        <w:tc>
          <w:tcPr>
            <w:tcW w:w="2367" w:type="dxa"/>
            <w:tcMar>
              <w:top w:w="90" w:type="dxa"/>
              <w:left w:w="100" w:type="dxa"/>
              <w:bottom w:w="90" w:type="dxa"/>
              <w:right w:w="100" w:type="dxa"/>
            </w:tcMar>
            <w:vAlign w:val="center"/>
          </w:tcPr>
          <w:p w14:paraId="45E4DB8F" w14:textId="77777777" w:rsidR="00E85A29" w:rsidRDefault="00000000">
            <w:r>
              <w:rPr>
                <w:sz w:val="16"/>
              </w:rPr>
              <w:t>Topological candidates survive matched nulls</w:t>
            </w:r>
          </w:p>
        </w:tc>
        <w:tc>
          <w:tcPr>
            <w:tcW w:w="2367" w:type="dxa"/>
            <w:tcMar>
              <w:top w:w="90" w:type="dxa"/>
              <w:left w:w="100" w:type="dxa"/>
              <w:bottom w:w="90" w:type="dxa"/>
              <w:right w:w="100" w:type="dxa"/>
            </w:tcMar>
            <w:vAlign w:val="center"/>
          </w:tcPr>
          <w:p w14:paraId="77C7DFC7" w14:textId="77777777" w:rsidR="00E85A29" w:rsidRDefault="00000000">
            <w:r>
              <w:rPr>
                <w:sz w:val="16"/>
              </w:rPr>
              <w:t>Validated yield equals random expectation</w:t>
            </w:r>
          </w:p>
        </w:tc>
      </w:tr>
    </w:tbl>
    <w:p w14:paraId="4F06F681" w14:textId="77777777" w:rsidR="00E85A29" w:rsidRDefault="00000000">
      <w:pPr>
        <w:pStyle w:val="Caption"/>
        <w:jc w:val="center"/>
      </w:pPr>
      <w:r>
        <w:rPr>
          <w:color w:val="5F5F5F"/>
        </w:rPr>
        <w:t>Table 2. Experimental programme. The framework is intended to be rejected if these measurements fail.</w:t>
      </w:r>
    </w:p>
    <w:p w14:paraId="592B959E" w14:textId="77777777" w:rsidR="00E85A29" w:rsidRDefault="00000000">
      <w:r>
        <w:t>The experiments require a benchmark corpus richer than present theorem-proving datasets. Each artifact must retain informal statement, multiple formalizations, interpretation maps, proof objects, failed attempts, verifier lineage, library commits, normalizer versions, and migration traces. Without this metadata, the proposed topology cannot distinguish mathematical structure from data-pipeline accident.</w:t>
      </w:r>
    </w:p>
    <w:p w14:paraId="7817B7AB" w14:textId="77777777" w:rsidR="00E85A29" w:rsidRDefault="00000000">
      <w:pPr>
        <w:pStyle w:val="Heading1"/>
      </w:pPr>
      <w:r>
        <w:t>9. Discussion</w:t>
      </w:r>
    </w:p>
    <w:p w14:paraId="40EE2331" w14:textId="77777777" w:rsidR="00E85A29" w:rsidRDefault="00000000">
      <w:pPr>
        <w:pStyle w:val="Heading2"/>
      </w:pPr>
      <w:r>
        <w:t>9.1 Relation to formal theorem proving</w:t>
      </w:r>
    </w:p>
    <w:p w14:paraId="0AC8E340" w14:textId="77777777" w:rsidR="00E85A29" w:rsidRDefault="00000000">
      <w:r>
        <w:t>Formal theorem provers provide a trusted kernel for derivations, and modern libraries demonstrate that large bodies of mathematics can be organized around machine-checkable proof objects [19,20]. The present proposal does not replace that achievement. It places it inside a larger architecture. A kernel certifies derivability relative to a formal statement and environment; Defensible Mathematics additionally audits how that statement entered the environment, how it translates to neighbouring formalisms, how certification changes over time, and who may release the result for consequential use.</w:t>
      </w:r>
    </w:p>
    <w:p w14:paraId="57C2B68F" w14:textId="77777777" w:rsidR="00E85A29" w:rsidRDefault="00000000">
      <w:pPr>
        <w:pStyle w:val="Heading2"/>
      </w:pPr>
      <w:r>
        <w:t>9.2 Relation to the Defensible Intelligence programme</w:t>
      </w:r>
    </w:p>
    <w:p w14:paraId="63E28183" w14:textId="77777777" w:rsidR="00E85A29" w:rsidRDefault="00000000">
      <w:r>
        <w:t xml:space="preserve">The architecture extends three principles developed in the author’s Defensible Intelligence series [21–23]. First, candidates are staged before they become durable belief. Second, certificates are witness-carrying 2-cells rather than confidence scores. Third, release is a hard commit governed by admissibility conditions, not a soft </w:t>
      </w:r>
      <w:r>
        <w:lastRenderedPageBreak/>
        <w:t>reward that can be traded against fluency or novelty. The present paper applies those principles specifically to mathematical corpora and adds an explicit discovery mechanism through gluing obstruction.</w:t>
      </w:r>
    </w:p>
    <w:p w14:paraId="038F5835" w14:textId="77777777" w:rsidR="00E85A29" w:rsidRDefault="00000000">
      <w:r>
        <w:t>The Timiṅgila Ladder contributes the proof-relevance requirement: a higher-dimensional system must retain the transformation witness that a lower-dimensional boolean discards. From Attention to Attestation contributes the two-dimensional certificate complex, spectral audit, persistence of validator independence, and hard commit discipline. The Construction-AGI framework contributes the separation of generation, availability, certification, and release. Mathematics is a particularly clean test domain because proof kernels can certify some obligations exactly, making the remaining semantic and institutional gaps easier to isolate.</w:t>
      </w:r>
    </w:p>
    <w:p w14:paraId="2D37A606" w14:textId="77777777" w:rsidR="00E85A29" w:rsidRDefault="00000000">
      <w:pPr>
        <w:pStyle w:val="Heading2"/>
      </w:pPr>
      <w:r>
        <w:t>9.3 The human role</w:t>
      </w:r>
    </w:p>
    <w:p w14:paraId="4AE8F392" w14:textId="77777777" w:rsidR="00E85A29" w:rsidRDefault="00000000">
      <w:r>
        <w:t>The framework does not preserve a ceremonial human “in the loop” after machines have automated the real work. It assigns humans and institutions a narrower but harder role: selecting consequential questions, declaring semantic intent, approving interpretation policies, adjudicating when two formalizations count as independent, setting the null model, and accepting liability for release. These functions may be assisted by AI, but they remain normative acts inside a community.</w:t>
      </w:r>
    </w:p>
    <w:p w14:paraId="65D4F523" w14:textId="77777777" w:rsidR="00E85A29" w:rsidRDefault="00000000">
      <w:r>
        <w:t>As generation becomes abundant, prestige may shift away from producing isolated proofs and toward building trustworthy interfaces: formal statement editors, migration architects, verifier designers, negative-knowledge curators, and certification authorities. The most valuable mathematician may be the person who can identify the exact 1-cell or missing 2-cell on which an entire corpus depends.</w:t>
      </w:r>
    </w:p>
    <w:p w14:paraId="35CD3C65" w14:textId="77777777" w:rsidR="00E85A29" w:rsidRDefault="00000000">
      <w:pPr>
        <w:pStyle w:val="Heading2"/>
      </w:pPr>
      <w:r>
        <w:t>9.4 Risks of the architecture itself</w:t>
      </w:r>
    </w:p>
    <w:p w14:paraId="1D92D220" w14:textId="77777777" w:rsidR="00E85A29" w:rsidRDefault="00000000">
      <w:r>
        <w:t>The proposal has its own failure modes. A certification parliament can become slow, conservative, and captured by incumbents. Redundant formalization can create correlated consensus rather than independence. Null models can be tuned until preferred obstructions appear significant. Spectral metrics can be gamed by altering the representation. Liability requirements can exclude unconventional but correct mathematics. Finally, the certificate layer can reproduce Bourbaki’s lock-in at machine speed.</w:t>
      </w:r>
    </w:p>
    <w:p w14:paraId="2493CA87" w14:textId="77777777" w:rsidR="00E85A29" w:rsidRDefault="00000000">
      <w:r>
        <w:t>The answer is not to abandon certification. It is to make the certification architecture itself versioned, plural, auditable, and migratable. No verifier should certify its own independence; no ontology should be declared final; and every hard gate should publish the exact policy under which it refused or released an artifact.</w:t>
      </w:r>
    </w:p>
    <w:p w14:paraId="54CD59A9" w14:textId="77777777" w:rsidR="00E85A29" w:rsidRDefault="00000000">
      <w:pPr>
        <w:pStyle w:val="Heading1"/>
      </w:pPr>
      <w:r>
        <w:t>10. Conclusion</w:t>
      </w:r>
    </w:p>
    <w:p w14:paraId="64F58035" w14:textId="77777777" w:rsidR="00E85A29" w:rsidRDefault="00000000">
      <w:r>
        <w:t>Bourbaki began with a missing textbook and discovered that mathematical knowledge required an architecture of composable definitions, dependencies, and transformations. Its publication history showed that foundations emerge through use. Its later encounter with category theory showed that coherence creates migration debt. Those two lessons become more urgent under AGI because machines can generate and formalize mathematical material much faster than institutions can determine what it means and who will stand behind it.</w:t>
      </w:r>
    </w:p>
    <w:p w14:paraId="39446CF6" w14:textId="77777777" w:rsidR="00E85A29" w:rsidRDefault="00000000">
      <w:r>
        <w:t>The paper’s answer is Defensible Mathematics: a growing, certificate-bearing corpus in which claims occupy explicit contexts, interpretations are first-class morphisms, consequential loops carry 2-cell witnesses, certification is versioned through zigzags, negative results are stored as obstruction data, and release requires a signable artifact. The mathematical tools are not decorative metaphors. Each has a limited jurisdiction: H⁰ tests encoded compatibility; 2-cells record proof-relevant coherence; Mayer–Vietoris localizes extension failure; path homology preserves direction; Hodge terms separate curvature and leakage; spectra separate energy from fragility; Dowker duality exposes verifier incidence; discrete Morse theory compresses without pretending to yield a canonical novelty score; and null models prevent topological storytelling.</w:t>
      </w:r>
    </w:p>
    <w:p w14:paraId="1114EEF0" w14:textId="77777777" w:rsidR="00E85A29" w:rsidRDefault="00000000">
      <w:r>
        <w:t xml:space="preserve">The central conjecture can now be stated in one sentence: AGI produces new mathematics when certified local theories exhibit a persistent, statistically significant obstruction that cannot be removed by further compression in the current language, so that a new mathematical object or language is the minimal extension </w:t>
      </w:r>
      <w:r>
        <w:lastRenderedPageBreak/>
        <w:t>restoring gluing. This is not guaranteed to occur, and the proposed metrics may fail. That possibility is a strength. A framework for defensible intelligence should be willing to refuse its own most attractive analogy.</w:t>
      </w:r>
    </w:p>
    <w:p w14:paraId="6B1F314C" w14:textId="77777777" w:rsidR="00E85A29" w:rsidRDefault="00000000">
      <w:pPr>
        <w:pStyle w:val="Quote"/>
      </w:pPr>
      <w:r>
        <w:rPr>
          <w:b/>
          <w:color w:val="1F4E79"/>
          <w:sz w:val="22"/>
        </w:rPr>
        <w:t>Bourbaki made mathematics coherent by compressing it. AGI will make mathematics abundant. New mathematics will arise where abundance cannot be compressed without breaking the certificates that allow it to mean one thing.</w:t>
      </w:r>
    </w:p>
    <w:p w14:paraId="26B30EB9" w14:textId="77777777" w:rsidR="00E85A29" w:rsidRDefault="00000000">
      <w:pPr>
        <w:pStyle w:val="Heading1"/>
      </w:pPr>
      <w:r>
        <w:t>Appendix A. Minimal Formal Model</w:t>
      </w:r>
    </w:p>
    <w:p w14:paraId="3E488814" w14:textId="77777777" w:rsidR="00E85A29" w:rsidRDefault="00000000">
      <w:r>
        <w:t>This appendix collects the static linearized model. It is a computational layer, not the final semantic ontology.</w:t>
      </w:r>
    </w:p>
    <w:p w14:paraId="7F993BEE" w14:textId="77777777" w:rsidR="00E85A29" w:rsidRDefault="00000000">
      <w:r>
        <w:t>Let X be a finite regular two-dimensional CW complex with vertices V, edges E, and certificate faces P. Let ℱ be a cellular sheaf of finite-dimensional inner-product spaces. The cochain groups are</w:t>
      </w:r>
    </w:p>
    <w:p w14:paraId="349D2368" w14:textId="77777777" w:rsidR="00E85A29" w:rsidRDefault="00000000">
      <w:pPr>
        <w:pStyle w:val="Equation"/>
        <w:jc w:val="center"/>
        <w:rPr>
          <w:rFonts w:hint="eastAsia"/>
        </w:rPr>
      </w:pPr>
      <w:r>
        <w:rPr>
          <w:rFonts w:eastAsia="DejaVu Serif" w:cs="DejaVu Serif"/>
          <w:i/>
        </w:rPr>
        <w:t>Cᵏ(X;ℱ) = ⊕_{σ∈Xₖ} ℱ(σ),      k=0,1,2.</w:t>
      </w:r>
    </w:p>
    <w:p w14:paraId="0B640FB2" w14:textId="77777777" w:rsidR="00E85A29" w:rsidRDefault="00000000">
      <w:r>
        <w:t>The coboundaries satisfy δ¹δ⁰=0 when the signed restriction maps obey the cellular compatibility conditions. Cohomology is</w:t>
      </w:r>
    </w:p>
    <w:p w14:paraId="18BADB03" w14:textId="77777777" w:rsidR="00E85A29" w:rsidRDefault="00000000">
      <w:pPr>
        <w:pStyle w:val="Equation"/>
        <w:jc w:val="center"/>
        <w:rPr>
          <w:rFonts w:hint="eastAsia"/>
        </w:rPr>
      </w:pPr>
      <w:r>
        <w:rPr>
          <w:rFonts w:eastAsia="DejaVu Serif" w:cs="DejaVu Serif"/>
          <w:i/>
        </w:rPr>
        <w:t>H⁰(X;ℱ)=ker δ⁰,      H¹(X;ℱ)=ker δ¹ / im δ⁰.</w:t>
      </w:r>
    </w:p>
    <w:p w14:paraId="5370B02B" w14:textId="77777777" w:rsidR="00E85A29" w:rsidRDefault="00000000">
      <w:r>
        <w:t>For a local claim assignment x∈C⁰, current inconsistency energy and degree-zero spectral margin are</w:t>
      </w:r>
    </w:p>
    <w:p w14:paraId="252356A9" w14:textId="77777777" w:rsidR="00E85A29" w:rsidRDefault="00000000">
      <w:pPr>
        <w:pStyle w:val="Equation"/>
        <w:jc w:val="center"/>
        <w:rPr>
          <w:rFonts w:hint="eastAsia"/>
        </w:rPr>
      </w:pPr>
      <w:r>
        <w:rPr>
          <w:rFonts w:eastAsia="DejaVu Serif" w:cs="DejaVu Serif"/>
          <w:i/>
        </w:rPr>
        <w:t>E(x)=‖δ⁰x‖²,      L₀=δ⁰*δ⁰,      γ=λ⁺min(L₀).</w:t>
      </w:r>
    </w:p>
    <w:p w14:paraId="57C06098" w14:textId="77777777" w:rsidR="00E85A29" w:rsidRDefault="00000000">
      <w:r>
        <w:t>For an edge discrepancy y∈C¹, the proposed Hodge diagnostics are</w:t>
      </w:r>
    </w:p>
    <w:p w14:paraId="0A4680D6" w14:textId="77777777" w:rsidR="00E85A29" w:rsidRDefault="00000000">
      <w:pPr>
        <w:pStyle w:val="Equation"/>
        <w:jc w:val="center"/>
        <w:rPr>
          <w:rFonts w:hint="eastAsia"/>
        </w:rPr>
      </w:pPr>
      <w:r>
        <w:rPr>
          <w:rFonts w:eastAsia="DejaVu Serif" w:cs="DejaVu Serif"/>
          <w:i/>
        </w:rPr>
        <w:t>K(y)=‖δ¹y‖²  (curvature),      D(y)=‖δ⁰*y‖²  (leakage).</w:t>
      </w:r>
    </w:p>
    <w:p w14:paraId="4DC94E82" w14:textId="77777777" w:rsidR="00E85A29" w:rsidRDefault="00000000">
      <w:r>
        <w:t>The certificate-bearing complex is dynamic. A deployed implementation therefore replaces the single pair (X,ℱ) by a zigzag of versioned pairs and carries artifact identities, migration maps, and coefficient rings explicitly.</w:t>
      </w:r>
    </w:p>
    <w:p w14:paraId="3ED5B6FB" w14:textId="77777777" w:rsidR="00E85A29" w:rsidRDefault="00000000">
      <w:pPr>
        <w:pStyle w:val="Heading1"/>
      </w:pPr>
      <w:r>
        <w:t>Appendix B. Signable Artifact Schema</w:t>
      </w:r>
    </w:p>
    <w:p w14:paraId="27D98849" w14:textId="77777777" w:rsidR="00E85A29" w:rsidRDefault="00000000">
      <w:r>
        <w:t>A minimum signable mathematical artifact should contain the following fields. The list is deliberately stricter than a conventional paper or proof script because it separates truth, meaning, and authority.</w:t>
      </w:r>
    </w:p>
    <w:p w14:paraId="5F4E2ED6" w14:textId="77777777" w:rsidR="00E85A29" w:rsidRDefault="00000000">
      <w:pPr>
        <w:pStyle w:val="ListBullet"/>
      </w:pPr>
      <w:r>
        <w:t>Informal source claim and declared intended scope.</w:t>
      </w:r>
    </w:p>
    <w:p w14:paraId="5567AB2C" w14:textId="77777777" w:rsidR="00E85A29" w:rsidRDefault="00000000">
      <w:pPr>
        <w:pStyle w:val="ListBullet"/>
      </w:pPr>
      <w:r>
        <w:t>Primary formal statement, foundation, universe discipline, and library commit.</w:t>
      </w:r>
    </w:p>
    <w:p w14:paraId="051E9240" w14:textId="77777777" w:rsidR="00E85A29" w:rsidRDefault="00000000">
      <w:pPr>
        <w:pStyle w:val="ListBullet"/>
      </w:pPr>
      <w:r>
        <w:t>At least one independent alternative formalization for consequential claims.</w:t>
      </w:r>
    </w:p>
    <w:p w14:paraId="00DD5DDF" w14:textId="77777777" w:rsidR="00E85A29" w:rsidRDefault="00000000">
      <w:pPr>
        <w:pStyle w:val="ListBullet"/>
      </w:pPr>
      <w:r>
        <w:t>Machine-checkable proof objects for each formalization.</w:t>
      </w:r>
    </w:p>
    <w:p w14:paraId="4766E577" w14:textId="77777777" w:rsidR="00E85A29" w:rsidRDefault="00000000">
      <w:pPr>
        <w:pStyle w:val="ListBullet"/>
      </w:pPr>
      <w:r>
        <w:t>Agreement or refinement certificates between formalizations.</w:t>
      </w:r>
    </w:p>
    <w:p w14:paraId="517DDB93" w14:textId="77777777" w:rsidR="00E85A29" w:rsidRDefault="00000000">
      <w:pPr>
        <w:pStyle w:val="ListBullet"/>
      </w:pPr>
      <w:r>
        <w:t>Dependency DAG with provenance and invalidation rules.</w:t>
      </w:r>
    </w:p>
    <w:p w14:paraId="645D776F" w14:textId="77777777" w:rsidR="00E85A29" w:rsidRDefault="00000000">
      <w:pPr>
        <w:pStyle w:val="ListBullet"/>
      </w:pPr>
      <w:r>
        <w:t>Verifier identities, versions, lineage, and independence metadata.</w:t>
      </w:r>
    </w:p>
    <w:p w14:paraId="70BBBFC7" w14:textId="77777777" w:rsidR="00E85A29" w:rsidRDefault="00000000">
      <w:pPr>
        <w:pStyle w:val="ListBullet"/>
      </w:pPr>
      <w:r>
        <w:t>Known counterexamples, excluded regimes, dangerous bends, and hazard metadata.</w:t>
      </w:r>
    </w:p>
    <w:p w14:paraId="6DB9290E" w14:textId="77777777" w:rsidR="00E85A29" w:rsidRDefault="00000000">
      <w:pPr>
        <w:pStyle w:val="ListBullet"/>
      </w:pPr>
      <w:r>
        <w:t>Coefficient ring and linearization declaration for topological audits.</w:t>
      </w:r>
    </w:p>
    <w:p w14:paraId="7368F059" w14:textId="77777777" w:rsidR="00E85A29" w:rsidRDefault="00000000">
      <w:pPr>
        <w:pStyle w:val="ListBullet"/>
      </w:pPr>
      <w:r>
        <w:t>Certification interval, migration history, and recertification status.</w:t>
      </w:r>
    </w:p>
    <w:p w14:paraId="1BD986B0" w14:textId="77777777" w:rsidR="00E85A29" w:rsidRDefault="00000000">
      <w:pPr>
        <w:pStyle w:val="ListBullet"/>
      </w:pPr>
      <w:r>
        <w:t>Permitted uses and jurisdictions.</w:t>
      </w:r>
    </w:p>
    <w:p w14:paraId="0310C743" w14:textId="77777777" w:rsidR="00E85A29" w:rsidRDefault="00000000">
      <w:pPr>
        <w:pStyle w:val="ListBullet"/>
      </w:pPr>
      <w:r>
        <w:t>Named accountable releaser or institution, signature, date, and revocation path.</w:t>
      </w:r>
    </w:p>
    <w:p w14:paraId="35B90718" w14:textId="77777777" w:rsidR="00E85A29" w:rsidRDefault="00000000">
      <w:pPr>
        <w:pStyle w:val="Heading1"/>
      </w:pPr>
      <w:r>
        <w:t>References</w:t>
      </w:r>
    </w:p>
    <w:p w14:paraId="1651EE94" w14:textId="77777777" w:rsidR="00E85A29" w:rsidRDefault="00000000">
      <w:pPr>
        <w:pStyle w:val="Reference"/>
      </w:pPr>
      <w:r>
        <w:t>[1] Association des collaborateurs et collaboratrices de Nicolas Bourbaki. Éléments de mathématique: official publications list and historical notes. Bourbaki Association, accessed 5 August 2026.</w:t>
      </w:r>
    </w:p>
    <w:p w14:paraId="603A597D" w14:textId="77777777" w:rsidR="00E85A29" w:rsidRDefault="00000000">
      <w:pPr>
        <w:pStyle w:val="Reference"/>
      </w:pPr>
      <w:r>
        <w:t>[2] Bourbaki, N. Théorie des ensembles, Algèbre, Topologie générale, and related fascicules of Éléments de mathématique. Paris: Hermann; later editions Springer.</w:t>
      </w:r>
    </w:p>
    <w:p w14:paraId="3987F351" w14:textId="77777777" w:rsidR="00E85A29" w:rsidRDefault="00000000">
      <w:pPr>
        <w:pStyle w:val="Reference"/>
      </w:pPr>
      <w:r>
        <w:lastRenderedPageBreak/>
        <w:t>[3] Borel, A. “Twenty-Five Years with Nicolas Bourbaki, 1949–1973.” Notices of the American Mathematical Society 45, no. 3 (1998): 373–380.</w:t>
      </w:r>
    </w:p>
    <w:p w14:paraId="2F8E3B46" w14:textId="77777777" w:rsidR="00E85A29" w:rsidRDefault="00000000">
      <w:pPr>
        <w:pStyle w:val="Reference"/>
      </w:pPr>
      <w:r>
        <w:t>[4] Barany, M. J. “Impersonation and Personification in Mid-Twentieth-Century Mathematics.” History of Science 58, no. 4 (2020). https://doi.org/10.1177/0073275320924571.</w:t>
      </w:r>
    </w:p>
    <w:p w14:paraId="7E84C5E4" w14:textId="77777777" w:rsidR="00E85A29" w:rsidRDefault="00000000">
      <w:pPr>
        <w:pStyle w:val="Reference"/>
      </w:pPr>
      <w:r>
        <w:t>[5] Corry, L. “Nicolas Bourbaki and the Concept of Mathematical Structure.” Synthese 92, no. 3 (1992): 315–348. https://doi.org/10.1007/BF00414286.</w:t>
      </w:r>
    </w:p>
    <w:p w14:paraId="46A8B763" w14:textId="77777777" w:rsidR="00E85A29" w:rsidRDefault="00000000">
      <w:pPr>
        <w:pStyle w:val="Reference"/>
      </w:pPr>
      <w:r>
        <w:t>[6] Curry, J. M. Sheaves, Cosheaves and Applications. PhD thesis, University of Pennsylvania, 2014. arXiv:1303.3255.</w:t>
      </w:r>
    </w:p>
    <w:p w14:paraId="519018AC" w14:textId="77777777" w:rsidR="00E85A29" w:rsidRDefault="00000000">
      <w:pPr>
        <w:pStyle w:val="Reference"/>
      </w:pPr>
      <w:r>
        <w:t>[7] Hansen, J., and R. Ghrist. “Toward a Spectral Theory of Cellular Sheaves.” Journal of Applied and Computational Topology 3 (2019): 315–358. https://doi.org/10.1007/s41468-019-00038-7.</w:t>
      </w:r>
    </w:p>
    <w:p w14:paraId="200F51CF" w14:textId="77777777" w:rsidR="00E85A29" w:rsidRDefault="00000000">
      <w:pPr>
        <w:pStyle w:val="Reference"/>
      </w:pPr>
      <w:r>
        <w:t>[8] Ghrist, R., and H. Riess. “Cellular Sheaves of Lattices and the Tarski Laplacian.” Journal of Applied and Computational Topology 6 (2022): 437–488. arXiv:2007.04099.</w:t>
      </w:r>
    </w:p>
    <w:p w14:paraId="06C22514" w14:textId="77777777" w:rsidR="00E85A29" w:rsidRDefault="00000000">
      <w:pPr>
        <w:pStyle w:val="Reference"/>
      </w:pPr>
      <w:r>
        <w:t>[9] Stacks Project Authors. “Cohomology of Sheaves,” including Mayer–Vietoris and Čech constructions. Stacks Project, continuously updated.</w:t>
      </w:r>
    </w:p>
    <w:p w14:paraId="6115308D" w14:textId="77777777" w:rsidR="00E85A29" w:rsidRDefault="00000000">
      <w:pPr>
        <w:pStyle w:val="Reference"/>
      </w:pPr>
      <w:r>
        <w:t>[10] Grigor’yan, A., Y. Lin, Y. Muranov, and S.-T. Yau. “Homologies of Path Complexes and Digraphs.” arXiv:1207.2834; published in related form in 2013–2014.</w:t>
      </w:r>
    </w:p>
    <w:p w14:paraId="04F48B96" w14:textId="77777777" w:rsidR="00E85A29" w:rsidRDefault="00000000">
      <w:pPr>
        <w:pStyle w:val="Reference"/>
      </w:pPr>
      <w:r>
        <w:t>[11] Dowker, C. H. “Homology Groups of Relations.” Annals of Mathematics 56, no. 1 (1952): 84–95.</w:t>
      </w:r>
    </w:p>
    <w:p w14:paraId="349B9E5C" w14:textId="77777777" w:rsidR="00E85A29" w:rsidRDefault="00000000">
      <w:pPr>
        <w:pStyle w:val="Reference"/>
      </w:pPr>
      <w:r>
        <w:t>[12] Chowdhury, S., and F. Mémoli. “A Functorial Dowker Theorem and Persistent Homology of Asymmetric Networks.” Journal of Applied and Computational Topology 3 (2019): 115–175.</w:t>
      </w:r>
    </w:p>
    <w:p w14:paraId="5116F0FC" w14:textId="77777777" w:rsidR="00E85A29" w:rsidRDefault="00000000">
      <w:pPr>
        <w:pStyle w:val="Reference"/>
      </w:pPr>
      <w:r>
        <w:t>[13] Carlsson, G., and V. de Silva. “Zigzag Persistence.” Foundations of Computational Mathematics 10 (2010): 367–405. arXiv:0812.0197.</w:t>
      </w:r>
    </w:p>
    <w:p w14:paraId="7827CAE9" w14:textId="77777777" w:rsidR="00E85A29" w:rsidRDefault="00000000">
      <w:pPr>
        <w:pStyle w:val="Reference"/>
      </w:pPr>
      <w:r>
        <w:t>[14] Forman, R. “Morse Theory for Cell Complexes.” Advances in Mathematics 134, no. 1 (1998): 90–145.</w:t>
      </w:r>
    </w:p>
    <w:p w14:paraId="29A044E8" w14:textId="77777777" w:rsidR="00E85A29" w:rsidRDefault="00000000">
      <w:pPr>
        <w:pStyle w:val="Reference"/>
      </w:pPr>
      <w:r>
        <w:t>[15] Curry, J., R. Ghrist, and V. Nanda. “Discrete Morse Theory for Computing Cellular Sheaf Cohomology.” Foundations of Computational Mathematics 16 (2016): 875–897. arXiv:1312.6454.</w:t>
      </w:r>
    </w:p>
    <w:p w14:paraId="0480404B" w14:textId="77777777" w:rsidR="00E85A29" w:rsidRDefault="00000000">
      <w:pPr>
        <w:pStyle w:val="Reference"/>
      </w:pPr>
      <w:r>
        <w:t>[16] Linial, N., and R. Meshulam. “Homological Connectivity of Random 2-Complexes.” Combinatorica 26 (2006): 475–487.</w:t>
      </w:r>
    </w:p>
    <w:p w14:paraId="472F1FB7" w14:textId="77777777" w:rsidR="00E85A29" w:rsidRDefault="00000000">
      <w:pPr>
        <w:pStyle w:val="Reference"/>
      </w:pPr>
      <w:r>
        <w:t>[17] Benjamini, Y., and Y. Hochberg. “Controlling the False Discovery Rate: A Practical and Powerful Approach to Multiple Testing.” Journal of the Royal Statistical Society, Series B 57, no. 1 (1995): 289–300.</w:t>
      </w:r>
    </w:p>
    <w:p w14:paraId="75E0783C" w14:textId="77777777" w:rsidR="00E85A29" w:rsidRDefault="00000000">
      <w:pPr>
        <w:pStyle w:val="Reference"/>
      </w:pPr>
      <w:r>
        <w:t>[18] Ghrist, R., and H. Riess. “Cellular Sheaves of Lattices and the Tarski Laplacian.” arXiv:2007.04099. (Used here specifically for non-vector-valued consensus structures.)</w:t>
      </w:r>
    </w:p>
    <w:p w14:paraId="3F717DF3" w14:textId="77777777" w:rsidR="00E85A29" w:rsidRDefault="00000000">
      <w:pPr>
        <w:pStyle w:val="Reference"/>
      </w:pPr>
      <w:r>
        <w:t>[19] de Moura, L., S. Kong, J. Avigad, F. van Doorn, and J. von Raumer. “The Lean Theorem Prover.” CADE-25, LNCS 9195 (2015): 378–388. https://doi.org/10.1007/978-3-319-21401-6_26.</w:t>
      </w:r>
    </w:p>
    <w:p w14:paraId="7FF99955" w14:textId="77777777" w:rsidR="00E85A29" w:rsidRDefault="00000000">
      <w:pPr>
        <w:pStyle w:val="Reference"/>
      </w:pPr>
      <w:r>
        <w:t>[20] The mathlib Community. “The Lean Mathematical Library.” Proceedings of CPP 2020 (2020): 367–381. https://doi.org/10.1145/3372885.3373824.</w:t>
      </w:r>
    </w:p>
    <w:p w14:paraId="257C4BB7" w14:textId="77777777" w:rsidR="00E85A29" w:rsidRDefault="00000000">
      <w:pPr>
        <w:pStyle w:val="Reference"/>
      </w:pPr>
      <w:r>
        <w:t>[21] Ghosh, D. P. From Attention to Attestation: A Falsifiable Conjecture on Post-Attention Architecture. Defensible Intelligence series, working paper, July 2026.</w:t>
      </w:r>
    </w:p>
    <w:p w14:paraId="2C716C72" w14:textId="77777777" w:rsidR="00E85A29" w:rsidRDefault="00000000">
      <w:pPr>
        <w:pStyle w:val="Reference"/>
      </w:pPr>
      <w:r>
        <w:t>[22] Ghosh, D. P. The Timiṅgila Ladder: A Falsifiable Training Architecture for Higher-Categorical AI. Defensible Intelligence series, working paper, 5 August 2026.</w:t>
      </w:r>
    </w:p>
    <w:p w14:paraId="165A1766" w14:textId="77777777" w:rsidR="00E85A29" w:rsidRDefault="00000000">
      <w:pPr>
        <w:pStyle w:val="Reference"/>
      </w:pPr>
      <w:r>
        <w:t>[23] Ghosh, D. P. Construction-AGI Framework: Generation, Availability, Certification, and Release. Working manuscript, 2026.</w:t>
      </w:r>
    </w:p>
    <w:p w14:paraId="1940708F" w14:textId="77777777" w:rsidR="00E85A29" w:rsidRDefault="00000000">
      <w:pPr>
        <w:pStyle w:val="Reference"/>
      </w:pPr>
      <w:r>
        <w:t>[24] Eilenberg, S., and S. Mac Lane. “General Theory of Natural Equivalences.” Transactions of the American Mathematical Society 58, no. 2 (1945): 231–294.</w:t>
      </w:r>
    </w:p>
    <w:p w14:paraId="582AE2E2" w14:textId="77777777" w:rsidR="00E85A29" w:rsidRDefault="00000000">
      <w:pPr>
        <w:pStyle w:val="Reference"/>
      </w:pPr>
      <w:r>
        <w:t>[25] van der Waerden, B. L. Moderne Algebra. Berlin: Springer, 1930–1931.</w:t>
      </w:r>
    </w:p>
    <w:p w14:paraId="004ED624" w14:textId="77777777" w:rsidR="00E85A29" w:rsidRDefault="00000000">
      <w:pPr>
        <w:pStyle w:val="Reference"/>
      </w:pPr>
      <w:r>
        <w:t>[26] Goursat, É. Cours d’analyse mathématique / Traité d’analyse. Paris: Gauthier-Villars, 1902–1913.</w:t>
      </w:r>
    </w:p>
    <w:p w14:paraId="6B79D4FA" w14:textId="77777777" w:rsidR="00E85A29" w:rsidRDefault="00000000">
      <w:pPr>
        <w:pStyle w:val="NoIndent"/>
        <w:spacing w:before="200"/>
      </w:pPr>
      <w:r>
        <w:rPr>
          <w:rFonts w:ascii="Liberation Sans" w:eastAsia="Liberation Sans" w:hAnsi="Liberation Sans" w:cs="Liberation Sans"/>
          <w:b/>
          <w:color w:val="1F4E79"/>
          <w:sz w:val="19"/>
        </w:rPr>
        <w:t xml:space="preserve">Author note. </w:t>
      </w:r>
      <w:r>
        <w:rPr>
          <w:sz w:val="19"/>
        </w:rPr>
        <w:t>The historical framing incorporates corrections to common Bourbaki narratives, particularly the distinction between logical and chronological order, the full unanimity rule, foundation lock-in, and the continuing publication of the Éléments. The AGI argument is an original synthesis within the author’s Defensible Intelligence programme and should be evaluated as a falsifiable architectural conjecture rather than as a report of an existing AGI system.</w:t>
      </w:r>
    </w:p>
    <w:sectPr w:rsidR="00E85A29" w:rsidSect="00034616">
      <w:headerReference w:type="default" r:id="rId11"/>
      <w:footerReference w:type="default" r:id="rId12"/>
      <w:pgSz w:w="11906" w:h="16838"/>
      <w:pgMar w:top="1134" w:right="1162" w:bottom="1077" w:left="1276" w:header="425"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BFEEF" w14:textId="77777777" w:rsidR="001A5C05" w:rsidRDefault="001A5C05">
      <w:pPr>
        <w:spacing w:after="0" w:line="240" w:lineRule="auto"/>
      </w:pPr>
      <w:r>
        <w:separator/>
      </w:r>
    </w:p>
  </w:endnote>
  <w:endnote w:type="continuationSeparator" w:id="0">
    <w:p w14:paraId="4CD9D37C" w14:textId="77777777" w:rsidR="001A5C05" w:rsidRDefault="001A5C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Liberation Serif">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Sans">
    <w:altName w:val="Arial"/>
    <w:panose1 w:val="00000000000000000000"/>
    <w:charset w:val="00"/>
    <w:family w:val="roman"/>
    <w:notTrueType/>
    <w:pitch w:val="default"/>
  </w:font>
  <w:font w:name="DejaVu Serif">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A259B" w14:textId="77777777" w:rsidR="00E85A29" w:rsidRDefault="00000000">
    <w:pPr>
      <w:pStyle w:val="Footer"/>
      <w:jc w:val="center"/>
    </w:pPr>
    <w:r>
      <w:rPr>
        <w:rFonts w:ascii="Liberation Sans" w:eastAsia="Liberation Sans" w:hAnsi="Liberation Sans" w:cs="Liberation Sans"/>
        <w:color w:val="5F5F5F"/>
        <w:sz w:val="17"/>
      </w:rPr>
      <w:fldChar w:fldCharType="begin"/>
    </w:r>
    <w:r>
      <w:rPr>
        <w:rFonts w:ascii="Liberation Sans" w:eastAsia="Liberation Sans" w:hAnsi="Liberation Sans" w:cs="Liberation Sans"/>
        <w:color w:val="5F5F5F"/>
        <w:sz w:val="17"/>
      </w:rPr>
      <w:instrText xml:space="preserve"> PAGE </w:instrText>
    </w:r>
    <w:r w:rsidR="00E5045B">
      <w:rPr>
        <w:rFonts w:ascii="Liberation Sans" w:eastAsia="Liberation Sans" w:hAnsi="Liberation Sans" w:cs="Liberation Sans"/>
        <w:color w:val="5F5F5F"/>
        <w:sz w:val="17"/>
      </w:rPr>
      <w:fldChar w:fldCharType="separate"/>
    </w:r>
    <w:r w:rsidR="00E5045B">
      <w:rPr>
        <w:rFonts w:ascii="Liberation Sans" w:eastAsia="Liberation Sans" w:hAnsi="Liberation Sans" w:cs="Liberation Sans"/>
        <w:noProof/>
        <w:color w:val="5F5F5F"/>
        <w:sz w:val="17"/>
      </w:rPr>
      <w:t>1</w:t>
    </w:r>
    <w:r>
      <w:rPr>
        <w:rFonts w:ascii="Liberation Sans" w:eastAsia="Liberation Sans" w:hAnsi="Liberation Sans" w:cs="Liberation Sans"/>
        <w:color w:val="5F5F5F"/>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EB42A" w14:textId="77777777" w:rsidR="001A5C05" w:rsidRDefault="001A5C05">
      <w:pPr>
        <w:spacing w:after="0" w:line="240" w:lineRule="auto"/>
      </w:pPr>
      <w:r>
        <w:separator/>
      </w:r>
    </w:p>
  </w:footnote>
  <w:footnote w:type="continuationSeparator" w:id="0">
    <w:p w14:paraId="245F0E50" w14:textId="77777777" w:rsidR="001A5C05" w:rsidRDefault="001A5C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0B3CE" w14:textId="77777777" w:rsidR="00E85A29" w:rsidRDefault="00000000">
    <w:pPr>
      <w:pStyle w:val="Header"/>
      <w:jc w:val="right"/>
    </w:pPr>
    <w:r>
      <w:rPr>
        <w:rFonts w:ascii="Liberation Sans" w:eastAsia="Liberation Sans" w:hAnsi="Liberation Sans" w:cs="Liberation Sans"/>
        <w:b/>
        <w:color w:val="5F5F5F"/>
        <w:sz w:val="16"/>
      </w:rPr>
      <w:t>HOW AGI PRODUCES NEW MATHEMATICS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5224237">
    <w:abstractNumId w:val="8"/>
  </w:num>
  <w:num w:numId="2" w16cid:durableId="1506751760">
    <w:abstractNumId w:val="6"/>
  </w:num>
  <w:num w:numId="3" w16cid:durableId="229508867">
    <w:abstractNumId w:val="5"/>
  </w:num>
  <w:num w:numId="4" w16cid:durableId="1070924550">
    <w:abstractNumId w:val="4"/>
  </w:num>
  <w:num w:numId="5" w16cid:durableId="297954633">
    <w:abstractNumId w:val="7"/>
  </w:num>
  <w:num w:numId="6" w16cid:durableId="662666398">
    <w:abstractNumId w:val="3"/>
  </w:num>
  <w:num w:numId="7" w16cid:durableId="1291594538">
    <w:abstractNumId w:val="2"/>
  </w:num>
  <w:num w:numId="8" w16cid:durableId="1982345160">
    <w:abstractNumId w:val="1"/>
  </w:num>
  <w:num w:numId="9" w16cid:durableId="2111388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5C05"/>
    <w:rsid w:val="0029639D"/>
    <w:rsid w:val="00303FC3"/>
    <w:rsid w:val="00326F90"/>
    <w:rsid w:val="00AA1D8D"/>
    <w:rsid w:val="00B25682"/>
    <w:rsid w:val="00B47730"/>
    <w:rsid w:val="00CB0664"/>
    <w:rsid w:val="00E5045B"/>
    <w:rsid w:val="00E85A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06D40D"/>
  <w14:defaultImageDpi w14:val="300"/>
  <w15:docId w15:val="{8E3F7D52-29BC-4E87-9ECE-3CF1D59B5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78" w:lineRule="auto"/>
      <w:ind w:firstLine="312"/>
      <w:jc w:val="both"/>
    </w:pPr>
    <w:rPr>
      <w:rFonts w:ascii="Liberation Serif" w:eastAsia="Liberation Serif" w:hAnsi="Liberation Serif" w:cs="Liberation Serif"/>
      <w:sz w:val="21"/>
    </w:rPr>
  </w:style>
  <w:style w:type="paragraph" w:styleId="Heading1">
    <w:name w:val="heading 1"/>
    <w:basedOn w:val="Normal"/>
    <w:next w:val="Normal"/>
    <w:link w:val="Heading1Char"/>
    <w:uiPriority w:val="9"/>
    <w:qFormat/>
    <w:rsid w:val="00FC693F"/>
    <w:pPr>
      <w:keepNext/>
      <w:keepLines/>
      <w:spacing w:before="240" w:after="80"/>
      <w:ind w:firstLine="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ind w:firstLine="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ind w:firstLine="0"/>
      <w:outlineLvl w:val="2"/>
    </w:pPr>
    <w:rPr>
      <w:rFonts w:asciiTheme="majorHAnsi" w:eastAsiaTheme="majorEastAsia" w:hAnsiTheme="majorHAnsi" w:cstheme="majorBidi"/>
      <w:b/>
      <w:bCs/>
      <w:color w:val="2D2D2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60" w:after="80" w:line="240" w:lineRule="auto"/>
      <w:ind w:firstLine="0"/>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80"/>
    </w:pPr>
    <w:rPr>
      <w:rFonts w:asciiTheme="majorHAnsi" w:eastAsiaTheme="majorEastAsia" w:hAnsiTheme="majorHAnsi" w:cstheme="majorBidi"/>
      <w:i/>
      <w:iCs/>
      <w:color w:val="2D2D2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ind w:left="454" w:right="454" w:firstLine="0"/>
    </w:pPr>
    <w:rPr>
      <w:i/>
      <w:iCs/>
      <w:color w:val="000000" w:themeColor="text1"/>
      <w:sz w:val="2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ind w:firstLine="0"/>
    </w:pPr>
    <w:rPr>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Text">
    <w:name w:val="AbstractText"/>
    <w:pPr>
      <w:spacing w:after="80" w:line="269" w:lineRule="auto"/>
      <w:jc w:val="both"/>
    </w:pPr>
    <w:rPr>
      <w:rFonts w:ascii="Liberation Serif" w:eastAsia="Liberation Serif" w:hAnsi="Liberation Serif" w:cs="Liberation Serif"/>
      <w:sz w:val="20"/>
    </w:rPr>
  </w:style>
  <w:style w:type="paragraph" w:customStyle="1" w:styleId="Keywords">
    <w:name w:val="Keywords"/>
    <w:pPr>
      <w:spacing w:after="140"/>
    </w:pPr>
    <w:rPr>
      <w:rFonts w:ascii="Liberation Serif" w:hAnsi="Liberation Serif"/>
      <w:i/>
      <w:sz w:val="19"/>
    </w:rPr>
  </w:style>
  <w:style w:type="paragraph" w:customStyle="1" w:styleId="NoIndent">
    <w:name w:val="NoIndent"/>
    <w:pPr>
      <w:spacing w:after="80" w:line="269" w:lineRule="auto"/>
      <w:jc w:val="both"/>
    </w:pPr>
    <w:rPr>
      <w:rFonts w:ascii="Liberation Serif" w:eastAsia="Liberation Serif" w:hAnsi="Liberation Serif" w:cs="Liberation Serif"/>
      <w:sz w:val="20"/>
    </w:rPr>
  </w:style>
  <w:style w:type="paragraph" w:customStyle="1" w:styleId="Reference">
    <w:name w:val="Reference"/>
    <w:pPr>
      <w:spacing w:after="80" w:line="269" w:lineRule="auto"/>
      <w:jc w:val="both"/>
    </w:pPr>
    <w:rPr>
      <w:rFonts w:ascii="Liberation Serif" w:eastAsia="Liberation Serif" w:hAnsi="Liberation Serif" w:cs="Liberation Serif"/>
      <w:sz w:val="18"/>
    </w:rPr>
  </w:style>
  <w:style w:type="paragraph" w:customStyle="1" w:styleId="Metadata">
    <w:name w:val="Metadata"/>
    <w:pPr>
      <w:jc w:val="center"/>
    </w:pPr>
    <w:rPr>
      <w:rFonts w:ascii="Liberation Sans" w:hAnsi="Liberation Sans"/>
      <w:color w:val="5F5F5F"/>
      <w:sz w:val="19"/>
    </w:rPr>
  </w:style>
  <w:style w:type="paragraph" w:customStyle="1" w:styleId="Epistemic">
    <w:name w:val="Epistemic"/>
    <w:pPr>
      <w:spacing w:after="80" w:line="269" w:lineRule="auto"/>
      <w:jc w:val="both"/>
    </w:pPr>
    <w:rPr>
      <w:rFonts w:ascii="Liberation Serif" w:eastAsia="Liberation Serif" w:hAnsi="Liberation Serif" w:cs="Liberation Serif"/>
      <w:sz w:val="20"/>
    </w:rPr>
  </w:style>
  <w:style w:type="paragraph" w:customStyle="1" w:styleId="Equation">
    <w:name w:val="Equation"/>
    <w:pPr>
      <w:spacing w:before="80" w:after="100"/>
    </w:pPr>
    <w:rPr>
      <w:rFonts w:ascii="DejaVu Serif" w:hAnsi="DejaVu Serif"/>
      <w:sz w:val="21"/>
    </w:rPr>
  </w:style>
  <w:style w:type="paragraph" w:customStyle="1" w:styleId="Thesis">
    <w:name w:val="Thesis"/>
    <w:pPr>
      <w:keepNext/>
      <w:spacing w:before="200" w:after="80"/>
    </w:pPr>
    <w:rPr>
      <w:rFonts w:ascii="Liberation Sans" w:hAnsi="Liberation Sans"/>
      <w:b/>
      <w:sz w:val="24"/>
    </w:rPr>
  </w:style>
  <w:style w:type="paragraph" w:customStyle="1" w:styleId="BoxText">
    <w:name w:val="BoxText"/>
    <w:pPr>
      <w:spacing w:after="80" w:line="269" w:lineRule="auto"/>
      <w:jc w:val="both"/>
    </w:pPr>
    <w:rPr>
      <w:rFonts w:ascii="Liberation Serif" w:eastAsia="Liberation Serif" w:hAnsi="Liberation Serif" w:cs="Liberation Seri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16</Pages>
  <Words>7806</Words>
  <Characters>44499</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How AGI Produces New Mathematics: Twenty Theses from Bourbaki to Defensible Mathematics</vt:lpstr>
    </vt:vector>
  </TitlesOfParts>
  <Manager/>
  <Company/>
  <LinksUpToDate>false</LinksUpToDate>
  <CharactersWithSpaces>52201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AGI Produces New Mathematics: Twenty Theses from Bourbaki to Defensible Mathematics</dc:title>
  <dc:subject>AI for mathematics, AGI, Bourbaki, sheaf theory, certification, new mathematics</dc:subject>
  <dc:creator>Debi Prasad Ghosh</dc:creator>
  <cp:keywords>AGI; AI for mathematics; Bourbaki; Defensible Intelligence; cellular sheaves; certification; cohomology; formal verification</cp:keywords>
  <dc:description>Working paper, 5 August 2026</dc:description>
  <cp:lastModifiedBy>Debiprasad Ghosh</cp:lastModifiedBy>
  <cp:revision>2</cp:revision>
  <dcterms:created xsi:type="dcterms:W3CDTF">2013-12-23T23:15:00Z</dcterms:created>
  <dcterms:modified xsi:type="dcterms:W3CDTF">2026-08-05T11:17:00Z</dcterms:modified>
  <cp:category/>
</cp:coreProperties>
</file>