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40"/>
        <w:jc w:val="center"/>
      </w:pPr>
      <w:r>
        <w:rPr>
          <w:rFonts w:ascii="Aptos Display" w:hAnsi="Aptos Display" w:eastAsia="Aptos Display"/>
          <w:b/>
          <w:i w:val="0"/>
          <w:color w:val="163752"/>
          <w:sz w:val="50"/>
        </w:rPr>
        <w:t>Defensible Forgetting: Minimal Provenance Under Certification Constraints</w:t>
      </w:r>
    </w:p>
    <w:p>
      <w:pPr>
        <w:spacing w:after="600"/>
        <w:jc w:val="center"/>
      </w:pPr>
      <w:r>
        <w:rPr>
          <w:rFonts w:ascii="Aptos" w:hAnsi="Aptos" w:eastAsia="Aptos"/>
          <w:b w:val="0"/>
          <w:i w:val="0"/>
          <w:color w:val="2A5B7E"/>
          <w:sz w:val="26"/>
        </w:rPr>
        <w:t>An order-theoretic foundation for certificate-preserving provenance reduction</w:t>
      </w:r>
    </w:p>
    <w:p>
      <w:pPr>
        <w:spacing w:after="80"/>
        <w:jc w:val="center"/>
      </w:pPr>
      <w:r>
        <w:rPr>
          <w:rFonts w:ascii="Aptos" w:hAnsi="Aptos" w:eastAsia="Aptos"/>
          <w:b/>
          <w:color w:val="181F26"/>
          <w:sz w:val="24"/>
        </w:rPr>
        <w:t>Debiprasad Ghosh</w:t>
      </w:r>
    </w:p>
    <w:p>
      <w:pPr>
        <w:spacing w:after="40"/>
        <w:jc w:val="center"/>
      </w:pPr>
      <w:r>
        <w:rPr>
          <w:rFonts w:ascii="Aptos" w:hAnsi="Aptos" w:eastAsia="Aptos"/>
          <w:color w:val="5A636C"/>
          <w:sz w:val="21"/>
        </w:rPr>
        <w:t>Debias Parametric Guru, Kolkata, India</w:t>
      </w:r>
    </w:p>
    <w:p>
      <w:pPr>
        <w:spacing w:after="720"/>
        <w:jc w:val="center"/>
      </w:pPr>
      <w:r>
        <w:rPr>
          <w:rFonts w:ascii="Aptos" w:hAnsi="Aptos" w:eastAsia="Aptos"/>
          <w:color w:val="5A636C"/>
          <w:sz w:val="20"/>
        </w:rPr>
        <w:t>28 August 2026</w:t>
      </w:r>
    </w:p>
    <w:p>
      <w:pPr>
        <w:ind w:left="936" w:right="936"/>
        <w:jc w:val="center"/>
      </w:pPr>
      <w:r>
        <w:rPr>
          <w:rFonts w:ascii="Aptos" w:hAnsi="Aptos" w:eastAsia="Aptos"/>
          <w:i/>
          <w:color w:val="5A636C"/>
          <w:sz w:val="19"/>
        </w:rPr>
        <w:t>Preprint draft. The formal results are complete. The implementation study uses a deterministic synthetic causal ledger and is reported only as a feasibility demonstration.</w:t>
      </w:r>
    </w:p>
    <w:p>
      <w:r/>
    </w:p>
    <w:p>
      <w:pPr>
        <w:spacing w:after="100"/>
      </w:pPr>
      <w:r>
        <w:rPr>
          <w:rFonts w:ascii="Aptos Display" w:hAnsi="Aptos Display" w:eastAsia="Aptos Display"/>
          <w:b/>
          <w:i w:val="0"/>
          <w:color w:val="163752"/>
          <w:sz w:val="28"/>
        </w:rPr>
        <w:t>Abstract</w:t>
      </w:r>
    </w:p>
    <w:p>
      <w:pPr>
        <w:spacing w:after="180"/>
        <w:ind w:left="259" w:right="259"/>
      </w:pPr>
      <w:r>
        <w:t>Systems required to justify their outputs accumulate provenance: records of observations, transformations, derivations, reviews, and checks supporting accepted conclusions. Fixed retention windows, summaries, and storage-budget pruning discard such records without certifying what the discard costs. This paper formulates safe provenance reduction as an order-theoretic problem. Let ℒprov be a complete lattice of admissible retained-provenance states, ℒcert a complete lattice of certification states, and C: ℒprov → ℒcert the monotone map assigning to each retained state the obligations it discharges. We prove that a canonical least sufficient provenance exists for every certification state exactly when C preserves arbitrary meets. In that case C is a right adjoint with left adjoint L; the composite K = L∘C is a monotone, idempotent, deflationary core operator satisfying C(K(ℓ)) = C(ℓ). Thus K removes provenance while preserving exactly the current certification state. For causal ledgers represented by downward-closed subgraphs, we give a sharper characterization: meet preservation is equivalent to every certifiable obligation having a canonical least causal witness. Alternative incomparable derivations violate this condition unless the certification language distinguishes the derivations. We provide a linear-time extraction algorithm once least witnesses are registered, analyze failure modes, and validate the implementation on synthetic ledgers up to 100,000 events. Non-existence of the adjoint is treated as an audit result: where no canonical least witness exists, the system has not earned a unique answer about what it may forget.</w:t>
      </w:r>
    </w:p>
    <w:p>
      <w:pPr>
        <w:ind w:left="259"/>
        <w:pBdr>
          <w:bottom w:val="single" w:sz="4" w:space="5" w:color="CAD6DE"/>
        </w:pBdr>
      </w:pPr>
      <w:r>
        <w:rPr>
          <w:rFonts w:ascii="Aptos" w:hAnsi="Aptos" w:eastAsia="Aptos"/>
          <w:b/>
          <w:color w:val="163752"/>
          <w:sz w:val="19"/>
        </w:rPr>
        <w:t xml:space="preserve">Keywords: </w:t>
      </w:r>
      <w:r>
        <w:rPr>
          <w:rFonts w:ascii="Aptos" w:hAnsi="Aptos" w:eastAsia="Aptos"/>
          <w:color w:val="5A636C"/>
          <w:sz w:val="19"/>
        </w:rPr>
        <w:t>data provenance; certification; Galois connection; adjunction; complete lattice; audit log; data minimization; trustworthy AI</w:t>
      </w:r>
    </w:p>
    <w:p>
      <w:pPr>
        <w:pStyle w:val="Heading1"/>
      </w:pPr>
      <w:r>
        <w:t>1. Introduction</w:t>
      </w:r>
    </w:p>
    <w:p>
      <w:r>
        <w:t>Accountable computational systems are increasingly asked not only for an output but also for a defensible account of how that output became licensed. Workflow engines, scientific pipelines, safety cases, regulated decision systems, and tool-using AI agents therefore retain event histories: source observations, model versions, transformations, human approvals, tests, and dependencies. W3C PROV provides a widely used vocabulary for entities, activities, agents, and their relations [1,2], while database provenance provides algebraic accounts of why a result exists and which input facts contributed to it [3–5]. These traditions explain how provenance can be represented and propagated. They do not by themselves answer a later operational question: which parts of an accumulated history may now be erased without weakening anything the system is presently authorized to claim?</w:t>
      </w:r>
    </w:p>
    <w:p>
      <w:r>
        <w:t>The question matters because indefinite retention has costs. Storage and indexing grow; private or sensitive records remain exposed; re-certification traverses increasingly large dependency structures; and an agent can become operationally dependent on an unbounded episodic trace. Retention windows and summaries control these costs, but their parameters are normally selected by policy or convenience. A seven-year window can be legally motivated and still be mathematically unrelated to the evidence required for a particular conclusion. A summary can preserve apparent meaning while deleting the sole witness for an obligation. The desired operation is therefore not generic compression. It is certificate-preserving reduction.</w:t>
      </w:r>
    </w:p>
    <w:p>
      <w:r>
        <w:t>This paper starts from a deliberately strict requirement. A forgetting operator is safe only if it preserves exactly the current certification state, and it is canonical only if it returns the least retained provenance supporting that state. The result is an adjunction between two mathematically different layers: an accumulative event ledger and an idempotent certification lattice. The ledger records occurrences; the certification layer records discharged obligations, where repeated discharge does not create a second copy of the same obligation. Confusing those two structures produces the familiar but unresolved tension between immutable history and saturating assurance.</w:t>
      </w:r>
    </w:p>
    <w:p>
      <w:r>
        <w:t>The central theorem is elementary but consequential. A monotone certification map C from a complete provenance lattice to a complete certification lattice has a left adjoint if and only if it preserves arbitrary meets. When the adjoint exists, K = L∘C is an interior (core) operator, not a closure operator: it moves downward in the retention order. It is the least certificate-preserving provenance below the current ledger. The theorem also gives a meaningful refusal mode. If C fails to preserve meets, then some certification state has no canonical least supporting history. A defensible system should not conceal this ambiguity behind a heuristic deletion.</w:t>
      </w:r>
    </w:p>
    <w:p>
      <w:pPr>
        <w:pStyle w:val="Heading2"/>
      </w:pPr>
      <w:r>
        <w:t>1.1 Contributions</w:t>
      </w:r>
    </w:p>
    <w:p>
      <w:pPr>
        <w:pStyle w:val="ListBullet"/>
        <w:spacing w:after="60" w:line="269" w:lineRule="auto"/>
        <w:ind w:left="605" w:hanging="288"/>
      </w:pPr>
      <w:r>
        <w:t>An adjoint characterization of canonical safe forgetting: C admits a least-sufficient-provenance map precisely when it preserves arbitrary meets.</w:t>
      </w:r>
    </w:p>
    <w:p>
      <w:pPr>
        <w:pStyle w:val="ListBullet"/>
        <w:spacing w:after="60" w:line="269" w:lineRule="auto"/>
        <w:ind w:left="605" w:hanging="288"/>
      </w:pPr>
      <w:r>
        <w:t>A proof that K = L∘C is monotone, idempotent, deflationary, and exactly certificate preserving, together with the induced equivalence of histories.</w:t>
      </w:r>
    </w:p>
    <w:p>
      <w:pPr>
        <w:pStyle w:val="ListBullet"/>
        <w:spacing w:after="60" w:line="269" w:lineRule="auto"/>
        <w:ind w:left="605" w:hanging="288"/>
      </w:pPr>
      <w:r>
        <w:t>A causal-DAG characterization showing that downward closure is necessary for causal consistency but is not sufficient for adjoint existence; each obligation must also possess a canonical least witness.</w:t>
      </w:r>
    </w:p>
    <w:p>
      <w:pPr>
        <w:pStyle w:val="ListBullet"/>
        <w:spacing w:after="60" w:line="269" w:lineRule="auto"/>
        <w:ind w:left="605" w:hanging="288"/>
      </w:pPr>
      <w:r>
        <w:t>A concrete diagnosis of alternative derivations and two repairs: refinement to derivation-indexed certificates, or conservative retention of an antichain of minimal witnesses.</w:t>
      </w:r>
    </w:p>
    <w:p>
      <w:pPr>
        <w:pStyle w:val="ListBullet"/>
        <w:spacing w:after="60" w:line="269" w:lineRule="auto"/>
        <w:ind w:left="605" w:hanging="288"/>
      </w:pPr>
      <w:r>
        <w:t>A linear-time core-extraction algorithm for finite ledgers with registered least witnesses and a synthetic scalability study.</w:t>
      </w:r>
    </w:p>
    <w:p>
      <w:pPr>
        <w:pStyle w:val="Heading1"/>
      </w:pPr>
      <w:r>
        <w:t>2. Related Work and Scope</w:t>
      </w:r>
    </w:p>
    <w:p>
      <w:r>
        <w:t>Database provenance distinguishes where-, why-, and how-provenance and uses semiring annotations to represent combinations of contributing facts [3–5]. A monomial can preserve the coexistence of several derivations rather than collapse them into a Boolean conclusion. This expressive strength is directly relevant to our negative result: after Booleanization, two alternative proofs can certify the same obligation while having no common sufficient subproof. The adjoint may disappear not because provenance was absent, but because the certification abstraction forgot which derivation was used.</w:t>
      </w:r>
    </w:p>
    <w:p>
      <w:r>
        <w:t>Workflow and interoperable provenance standards focus on faithful recording and exchange [1,2,6]. Security logging, proof-carrying systems, and safety cases similarly preserve evidence so that a checker can validate a claim [7–9]. Data-minimization requirements create the opposite pressure: retain no more data than necessary for a declared purpose [10,11]. The present work links these directions. The purpose is represented by the current certification state; necessity is computed relative to it. The proposal does not supersede statutory retention rules, litigation holds, incident-response requirements, or historical archives. Such constraints enter the certification lattice as obligations that themselves require evidence to be retained.</w:t>
      </w:r>
    </w:p>
    <w:p>
      <w:r>
        <w:t>Mathematically, the work uses the adjoint functor theorem for posets and complete lattices [12–14]. Galois connections already underlie formal concept analysis, abstract interpretation, and relationships between syntax and semantics [14,15]. The new contribution is the interpretation and design consequence for provenance retention, plus the explicit canonical-witness characterization for causal downsets. We use 'interior operator' in its order-theoretic sense: a monotone, idempotent, deflationary endomap. Calling K a closure operator would reverse the information order and obscure that records are removed.</w:t>
      </w:r>
    </w:p>
    <w:p>
      <w:pPr>
        <w:pStyle w:val="Heading1"/>
      </w:pPr>
      <w:r>
        <w:t>3. Formal Setting</w:t>
      </w:r>
    </w:p>
    <w:p>
      <w:pPr>
        <w:pStyle w:val="Heading2"/>
      </w:pPr>
      <w:r>
        <w:t>3.1 Two layers</w:t>
      </w:r>
    </w:p>
    <w:p>
      <w:r>
        <w:t>Let (P, ≤P) be a complete lattice of admissible provenance states. The order means 'contains no more retained provenance than.' In the finite causal-ledger model, a state is a downward-closed subset of event nodes: if an event is retained, every event on which it causally depends is retained. Meets are intersections; joins are downward closures of unions. The top element is the full admissible ledger and the bottom element contains only mandatory roots, if any.</w:t>
      </w:r>
    </w:p>
    <w:p>
      <w:r>
        <w:t>Let (Q, ≤Q) be a complete lattice of certification states. The order means 'discharges no more obligations than.' For a fixed obligation set O, the simplest model is Q = P(O), ordered by inclusion. More expressive models may include assurance levels, jurisdictions, validity intervals, or derivation identifiers. Certification is idempotent: discharging an obligation twice does not create two obligations.</w:t>
      </w:r>
    </w:p>
    <w:p>
      <w:pPr>
        <w:pStyle w:val="Equation"/>
      </w:pPr>
      <w:r>
        <w:t>C : P → Q,      ℓ ↦ obligations licensed by retained provenance ℓ</w:t>
      </w:r>
    </w:p>
    <w:p>
      <w:r>
        <w:t>We assume C is monotone: retaining additional admissible provenance cannot revoke an already discharged obligation. This assumption excludes non-monotone policies such as 'certify only if no contradictory record is retained.' Such policies can be modeled by making contradiction-resolution status explicit in Q, but they are not covered by the basic theorem without that refinement.</w:t>
      </w:r>
    </w:p>
    <w:p>
      <w:pPr>
        <w:pStyle w:val="Heading2"/>
      </w:pPr>
      <w:r>
        <w:t>3.2 Safe and canonical reduction</w:t>
      </w:r>
    </w:p>
    <w:p>
      <w:pPr>
        <w:pStyle w:val="Theorem"/>
        <w:shd w:fill="EAF1F6"/>
      </w:pPr>
      <w:r>
        <w:rPr>
          <w:rFonts w:ascii="Aptos" w:hAnsi="Aptos" w:eastAsia="Aptos"/>
          <w:b/>
          <w:color w:val="163752"/>
        </w:rPr>
        <w:t xml:space="preserve">Definition 1 (certificate-preserving reduction). </w:t>
      </w:r>
      <w:r>
        <w:t>For ℓ ∈ P, a retained state m ≤P ℓ is certificate preserving when C(m) = C(ℓ). A canonical core exists at ℓ when the set of certificate-preserving states below ℓ has a least element.</w:t>
      </w:r>
    </w:p>
    <w:p>
      <w:r>
        <w:t>Equality is intentionally stronger than merely preserving a selected subset of obligations. If only a target c ≤ C(ℓ) must survive, the construction below applies to c and returns L(c). Exact preservation is used for the system-wide garbage-collection operation.</w:t>
      </w:r>
    </w:p>
    <w:p>
      <w:pPr>
        <w:pStyle w:val="Heading1"/>
      </w:pPr>
      <w:r>
        <w:t>4. The Adjoint Forgetting Theorem</w:t>
      </w:r>
    </w:p>
    <w:p>
      <w:pPr>
        <w:pStyle w:val="Theorem"/>
        <w:shd w:fill="EAF1F6"/>
      </w:pPr>
      <w:r>
        <w:rPr>
          <w:rFonts w:ascii="Aptos" w:hAnsi="Aptos" w:eastAsia="Aptos"/>
          <w:b/>
          <w:color w:val="163752"/>
        </w:rPr>
        <w:t xml:space="preserve">Theorem 1 (adjoint existence). </w:t>
      </w:r>
      <w:r>
        <w:t>Let P and Q be complete lattices and C: P → Q monotone. The following are equivalent: (i) C preserves arbitrary meets; (ii) C is a right adjoint; (iii) for every c ∈ Q, the set {ℓ ∈ P | c ≤ C(ℓ)} has a least element. When these conditions hold, the left adjoint is L(c) = ∧{ℓ ∈ P | c ≤ C(ℓ)} and satisfies L(c) ≤ ℓ iff c ≤ C(ℓ).</w:t>
      </w:r>
    </w:p>
    <w:p>
      <w:r>
        <w:t>Proof. If C preserves arbitrary meets, define L by the displayed meet. Because C preserves that meet, c ≤ C(L(c)); and whenever c ≤ C(ℓ), the definition gives L(c) ≤ ℓ. This is the adjunction. Conversely, every right adjoint preserves all existing meets: for any family {ℓ(i)}, c ≤ C(⋀ᵢℓ(i)) iff L(c) ≤ ⋀ᵢℓ(i) iff L(c) ≤ ℓ(i) for every i, iff c ≤ C(ℓ(i)) for every i, iff c ≤ ⋀ᵢC(ℓ(i)). Antisymmetry yields equality. The equivalence with least sufficient elements follows directly. □</w:t>
      </w:r>
    </w:p>
    <w:p>
      <w:pPr>
        <w:pStyle w:val="Theorem"/>
        <w:shd w:fill="EAF1F6"/>
      </w:pPr>
      <w:r>
        <w:rPr>
          <w:rFonts w:ascii="Aptos" w:hAnsi="Aptos" w:eastAsia="Aptos"/>
          <w:b/>
          <w:color w:val="163752"/>
        </w:rPr>
        <w:t xml:space="preserve">Theorem 2 (certificate-preserving core). </w:t>
      </w:r>
      <w:r>
        <w:t>Assume L ⊣ C and define K = L∘C: P → P. Then K is monotone, deflationary, and idempotent. Moreover C(K(ℓ)) = C(ℓ) for every ℓ ∈ P, and K(ℓ) is the least provenance state m satisfying C(ℓ) ≤ C(m). In particular it is the least certificate-preserving state below ℓ.</w:t>
      </w:r>
    </w:p>
    <w:p>
      <w:r>
        <w:t>Proof. Monotonicity follows from monotonicity of L and C. The counit of the adjunction gives L(C(ℓ)) ≤ ℓ, hence deflationarity. The unit gives C(ℓ) ≤ C(L(C(ℓ))); applying C to the counit gives the reverse inequality, so C(K(ℓ)) = C(ℓ). Applying L to this equality gives K(K(ℓ)) = K(ℓ). Finally, if C(ℓ) ≤ C(m), adjunction gives L(C(ℓ)) ≤ m. □</w:t>
      </w:r>
    </w:p>
    <w:p>
      <w:pPr>
        <w:pStyle w:val="Equation"/>
      </w:pPr>
      <w:r>
        <w:t>K(ℓ) = L(C(ℓ)),        C(K(ℓ)) = C(ℓ),        K(ℓ) ≤ ℓ</w:t>
      </w:r>
    </w:p>
    <w:p>
      <w:r>
        <w:t>The theorem supplies a formal answer to 'what may be forgotten?' The dispensable remainder is not a set difference in every lattice, but in a set-based ledger it consists of the events in ℓ but not in K(ℓ). The answer is relative to the present certification state. When obligations change, K must be recomputed against the new state; deletion is safe only if future obligations are either already represented or explicitly outside scope.</w:t>
      </w:r>
    </w:p>
    <w:p>
      <w:pPr>
        <w:pStyle w:val="Heading2"/>
      </w:pPr>
      <w:r>
        <w:t>4.1 Equivalence of histories</w:t>
      </w:r>
    </w:p>
    <w:p>
      <w:pPr>
        <w:pStyle w:val="Equation"/>
      </w:pPr>
      <w:r>
        <w:t>ℓ₁ ~cert ℓ₂    ⇔    K(ℓ₁) = K(ℓ₂)</w:t>
      </w:r>
    </w:p>
    <w:p>
      <w:r>
        <w:t>This relation is reflexive, symmetric, and transitive because it is equality after a function. It is stronger than C(ℓ₁) = C(ℓ₂) as an operational criterion: the adjoint constructs an explicit retained witness shared by the two histories. Two routes may therefore remain historically different in an archive while being merged in a working memory once their least certificate-preserving cores coincide.</w:t>
      </w:r>
    </w:p>
    <w:p>
      <w:pPr>
        <w:pStyle w:val="Heading1"/>
      </w:pPr>
      <w:r>
        <w:t>5. Causal DAGs and the Canonical-Witness Criterion</w:t>
      </w:r>
    </w:p>
    <w:p>
      <w:r>
        <w:t>Let D = (V,E) be a finite directed acyclic graph whose edges point from prerequisites to dependent events. Let Down(D) be the lattice of downward-closed subsets. Let Q = P(O), where O is a set of obligations. For o ∈ O define S(o) = {ℓ ∈ Down(D) | o ∈ C(ℓ)}. Monotonicity makes S(o) upward closed.</w:t>
      </w:r>
    </w:p>
    <w:p>
      <w:pPr>
        <w:pStyle w:val="Theorem"/>
        <w:shd w:fill="EAF1F6"/>
      </w:pPr>
      <w:r>
        <w:rPr>
          <w:rFonts w:ascii="Aptos" w:hAnsi="Aptos" w:eastAsia="Aptos"/>
          <w:b/>
          <w:color w:val="163752"/>
        </w:rPr>
        <w:t xml:space="preserve">Theorem 3 (canonical-witness characterization). </w:t>
      </w:r>
      <w:r>
        <w:t>C: Down(D) → P(O) preserves arbitrary meets if and only if every certifiable obligation o has a least sufficient downset w(o). In that case o ∈ C(ℓ) exactly when w(o) ⊆ ℓ, L(c) = ↓(⋃(o∈c) w(o)), and K(ℓ) = ↓(⋃(o∈C(ℓ)) w(o)).</w:t>
      </w:r>
    </w:p>
    <w:p>
      <w:r>
        <w:t>Proof. If C preserves meets, w(o) = ∩S(o) belongs to S(o) and is least. Conversely, if w(o) exists, membership of o in C(⋂ᵢℓ(i)) is equivalent to w(o) being contained in every ℓ(i), hence to o belonging to every C(ℓ(i)). This holds for each o, so C preserves arbitrary intersections. The formulas follow from leastness and downward closure. □</w:t>
      </w:r>
    </w:p>
    <w:p>
      <w:r>
        <w:t>This result corrects an easy overstatement. The fact that admissible histories are downsets gives a complete lattice, but it does not force C to preserve meets. The certification semantics, not merely the storage structure, decides whether canonical forgetting exists.</w:t>
      </w:r>
    </w:p>
    <w:p>
      <w:pPr>
        <w:pStyle w:val="Heading2"/>
      </w:pPr>
      <w:r>
        <w:t>5.1 Alternative derivations</w:t>
      </w:r>
    </w:p>
    <w:p>
      <w:r>
        <w:t>Consider two causally independent tests a and b, either of which is sufficient to certify obligation o. Let ℓ(a) = ↓{a} and ℓ(b) = ↓{b}. Then o ∈ C(ℓ(a)) and o ∈ C(ℓ(b)), but o ∉ C(ℓ(a) ∩ ℓ(b)) when their only intersection is mandatory background. Hence C(ℓ(a) ∩ ℓ(b)) ≠ C(ℓ(a)) ∩ C(ℓ(b)), and no left adjoint exists. The ambiguity is substantive: neither derivation is the unique least witness.</w:t>
      </w:r>
    </w:p>
    <w:tbl>
      <w:tblPr>
        <w:tblStyle w:val="TableGrid"/>
        <w:tblW w:type="dxa" w:w="9360"/>
        <w:jc w:val="center"/>
        <w:tblLayout w:type="fixed"/>
        <w:tblLook w:firstColumn="1" w:firstRow="1" w:lastColumn="0" w:lastRow="0" w:noHBand="0" w:noVBand="1" w:val="04A0"/>
        <w:tblInd w:w="120" w:type="dxa"/>
      </w:tblPr>
      <w:tblGrid>
        <w:gridCol w:w="3000"/>
        <w:gridCol w:w="1500"/>
        <w:gridCol w:w="4860"/>
      </w:tblGrid>
      <w:tr>
        <w:trPr>
          <w:tblHeader w:val="true"/>
          <w:cantSplit/>
        </w:trPr>
        <w:tc>
          <w:tcPr>
            <w:tcW w:type="dxa" w:w="3000"/>
            <w:shd w:fill="DDE8EF"/>
            <w:vAlign w:val="center"/>
          </w:tcPr>
          <w:p>
            <w:pPr>
              <w:jc w:val="left"/>
            </w:pPr>
            <w:r>
              <w:rPr>
                <w:rFonts w:ascii="Aptos" w:hAnsi="Aptos" w:eastAsia="Aptos"/>
                <w:b/>
                <w:color w:val="163752"/>
                <w:sz w:val="17"/>
              </w:rPr>
              <w:t>Certification semantics</w:t>
            </w:r>
          </w:p>
        </w:tc>
        <w:tc>
          <w:tcPr>
            <w:tcW w:type="dxa" w:w="1500"/>
            <w:shd w:fill="DDE8EF"/>
            <w:vAlign w:val="center"/>
          </w:tcPr>
          <w:p>
            <w:pPr>
              <w:jc w:val="left"/>
            </w:pPr>
            <w:r>
              <w:rPr>
                <w:rFonts w:ascii="Aptos" w:hAnsi="Aptos" w:eastAsia="Aptos"/>
                <w:b/>
                <w:color w:val="163752"/>
                <w:sz w:val="17"/>
              </w:rPr>
              <w:t>Meet preserving?</w:t>
            </w:r>
          </w:p>
        </w:tc>
        <w:tc>
          <w:tcPr>
            <w:tcW w:type="dxa" w:w="4860"/>
            <w:shd w:fill="DDE8EF"/>
            <w:vAlign w:val="center"/>
          </w:tcPr>
          <w:p>
            <w:pPr>
              <w:jc w:val="left"/>
            </w:pPr>
            <w:r>
              <w:rPr>
                <w:rFonts w:ascii="Aptos" w:hAnsi="Aptos" w:eastAsia="Aptos"/>
                <w:b/>
                <w:color w:val="163752"/>
                <w:sz w:val="17"/>
              </w:rPr>
              <w:t>Safe-forgetting consequence</w:t>
            </w:r>
          </w:p>
        </w:tc>
      </w:tr>
      <w:tr>
        <w:trPr>
          <w:cantSplit/>
        </w:trPr>
        <w:tc>
          <w:tcPr>
            <w:tcW w:type="dxa" w:w="3000"/>
            <w:vAlign w:val="center"/>
          </w:tcPr>
          <w:p>
            <w:pPr>
              <w:spacing w:after="20"/>
            </w:pPr>
            <w:r>
              <w:rPr>
                <w:rFonts w:ascii="Aptos" w:hAnsi="Aptos" w:eastAsia="Aptos"/>
                <w:color w:val="181F26"/>
                <w:sz w:val="17"/>
              </w:rPr>
              <w:t>One canonical witness per obligation</w:t>
            </w:r>
          </w:p>
        </w:tc>
        <w:tc>
          <w:tcPr>
            <w:tcW w:type="dxa" w:w="1500"/>
            <w:vAlign w:val="center"/>
          </w:tcPr>
          <w:p>
            <w:pPr>
              <w:spacing w:after="20"/>
            </w:pPr>
            <w:r>
              <w:rPr>
                <w:rFonts w:ascii="Aptos" w:hAnsi="Aptos" w:eastAsia="Aptos"/>
                <w:color w:val="181F26"/>
                <w:sz w:val="17"/>
              </w:rPr>
              <w:t>Yes</w:t>
            </w:r>
          </w:p>
        </w:tc>
        <w:tc>
          <w:tcPr>
            <w:tcW w:type="dxa" w:w="4860"/>
            <w:vAlign w:val="center"/>
          </w:tcPr>
          <w:p>
            <w:pPr>
              <w:spacing w:after="20"/>
            </w:pPr>
            <w:r>
              <w:rPr>
                <w:rFonts w:ascii="Aptos" w:hAnsi="Aptos" w:eastAsia="Aptos"/>
                <w:color w:val="181F26"/>
                <w:sz w:val="17"/>
              </w:rPr>
              <w:t>Unique core K is computable</w:t>
            </w:r>
          </w:p>
        </w:tc>
      </w:tr>
      <w:tr>
        <w:trPr>
          <w:cantSplit/>
        </w:trPr>
        <w:tc>
          <w:tcPr>
            <w:tcW w:type="dxa" w:w="3000"/>
            <w:vAlign w:val="center"/>
          </w:tcPr>
          <w:p>
            <w:pPr>
              <w:spacing w:after="20"/>
            </w:pPr>
            <w:r>
              <w:rPr>
                <w:rFonts w:ascii="Aptos" w:hAnsi="Aptos" w:eastAsia="Aptos"/>
                <w:color w:val="181F26"/>
                <w:sz w:val="17"/>
              </w:rPr>
              <w:t>Boolean obligation with alternative proofs</w:t>
            </w:r>
          </w:p>
        </w:tc>
        <w:tc>
          <w:tcPr>
            <w:tcW w:type="dxa" w:w="1500"/>
            <w:vAlign w:val="center"/>
          </w:tcPr>
          <w:p>
            <w:pPr>
              <w:spacing w:after="20"/>
            </w:pPr>
            <w:r>
              <w:rPr>
                <w:rFonts w:ascii="Aptos" w:hAnsi="Aptos" w:eastAsia="Aptos"/>
                <w:color w:val="181F26"/>
                <w:sz w:val="17"/>
              </w:rPr>
              <w:t>Generally no</w:t>
            </w:r>
          </w:p>
        </w:tc>
        <w:tc>
          <w:tcPr>
            <w:tcW w:type="dxa" w:w="4860"/>
            <w:vAlign w:val="center"/>
          </w:tcPr>
          <w:p>
            <w:pPr>
              <w:spacing w:after="20"/>
            </w:pPr>
            <w:r>
              <w:rPr>
                <w:rFonts w:ascii="Aptos" w:hAnsi="Aptos" w:eastAsia="Aptos"/>
                <w:color w:val="181F26"/>
                <w:sz w:val="17"/>
              </w:rPr>
              <w:t>No canonical least core</w:t>
            </w:r>
          </w:p>
        </w:tc>
      </w:tr>
      <w:tr>
        <w:trPr>
          <w:cantSplit/>
        </w:trPr>
        <w:tc>
          <w:tcPr>
            <w:tcW w:type="dxa" w:w="3000"/>
            <w:vAlign w:val="center"/>
          </w:tcPr>
          <w:p>
            <w:pPr>
              <w:spacing w:after="20"/>
            </w:pPr>
            <w:r>
              <w:rPr>
                <w:rFonts w:ascii="Aptos" w:hAnsi="Aptos" w:eastAsia="Aptos"/>
                <w:color w:val="181F26"/>
                <w:sz w:val="17"/>
              </w:rPr>
              <w:t>Derivation-indexed obligations (o, d)</w:t>
            </w:r>
          </w:p>
        </w:tc>
        <w:tc>
          <w:tcPr>
            <w:tcW w:type="dxa" w:w="1500"/>
            <w:vAlign w:val="center"/>
          </w:tcPr>
          <w:p>
            <w:pPr>
              <w:spacing w:after="20"/>
            </w:pPr>
            <w:r>
              <w:rPr>
                <w:rFonts w:ascii="Aptos" w:hAnsi="Aptos" w:eastAsia="Aptos"/>
                <w:color w:val="181F26"/>
                <w:sz w:val="17"/>
              </w:rPr>
              <w:t>Yes, if each d has a least witness</w:t>
            </w:r>
          </w:p>
        </w:tc>
        <w:tc>
          <w:tcPr>
            <w:tcW w:type="dxa" w:w="4860"/>
            <w:vAlign w:val="center"/>
          </w:tcPr>
          <w:p>
            <w:pPr>
              <w:spacing w:after="20"/>
            </w:pPr>
            <w:r>
              <w:rPr>
                <w:rFonts w:ascii="Aptos" w:hAnsi="Aptos" w:eastAsia="Aptos"/>
                <w:color w:val="181F26"/>
                <w:sz w:val="17"/>
              </w:rPr>
              <w:t>Unique core relative to retained derivations</w:t>
            </w:r>
          </w:p>
        </w:tc>
      </w:tr>
      <w:tr>
        <w:trPr>
          <w:cantSplit/>
        </w:trPr>
        <w:tc>
          <w:tcPr>
            <w:tcW w:type="dxa" w:w="3000"/>
            <w:vAlign w:val="center"/>
          </w:tcPr>
          <w:p>
            <w:pPr>
              <w:spacing w:after="20"/>
            </w:pPr>
            <w:r>
              <w:rPr>
                <w:rFonts w:ascii="Aptos" w:hAnsi="Aptos" w:eastAsia="Aptos"/>
                <w:color w:val="181F26"/>
                <w:sz w:val="17"/>
              </w:rPr>
              <w:t>Antichain of minimal witnesses</w:t>
            </w:r>
          </w:p>
        </w:tc>
        <w:tc>
          <w:tcPr>
            <w:tcW w:type="dxa" w:w="1500"/>
            <w:vAlign w:val="center"/>
          </w:tcPr>
          <w:p>
            <w:pPr>
              <w:spacing w:after="20"/>
            </w:pPr>
            <w:r>
              <w:rPr>
                <w:rFonts w:ascii="Aptos" w:hAnsi="Aptos" w:eastAsia="Aptos"/>
                <w:color w:val="181F26"/>
                <w:sz w:val="17"/>
              </w:rPr>
              <w:t>Set-valued</w:t>
            </w:r>
          </w:p>
        </w:tc>
        <w:tc>
          <w:tcPr>
            <w:tcW w:type="dxa" w:w="4860"/>
            <w:vAlign w:val="center"/>
          </w:tcPr>
          <w:p>
            <w:pPr>
              <w:spacing w:after="20"/>
            </w:pPr>
            <w:r>
              <w:rPr>
                <w:rFonts w:ascii="Aptos" w:hAnsi="Aptos" w:eastAsia="Aptos"/>
                <w:color w:val="181F26"/>
                <w:sz w:val="17"/>
              </w:rPr>
              <w:t>Several incomparable safe cores; retain policy must choose conservatively</w:t>
            </w:r>
          </w:p>
        </w:tc>
      </w:tr>
    </w:tbl>
    <w:p>
      <w:pPr>
        <w:spacing w:after="20"/>
      </w:pPr>
    </w:p>
    <w:p>
      <w:r>
        <w:t>Two repairs serve different purposes. First, refine Q so that certification records not only o but the derivation class d that discharged it. This preserves accountability and restores canonical witnesses when each derivation has a least support. Second, retain the Boolean obligation but replace L(c) by the antichain MinSupp(c) of all minimal sufficient downsets. That construction represents ambiguity honestly but is not an ordinary left adjoint into Down(D). Selecting one member becomes a policy choice, and deleting the others can reduce resilience even if current Boolean certification survives.</w:t>
      </w:r>
    </w:p>
    <w:p>
      <w:pPr>
        <w:pStyle w:val="Heading1"/>
      </w:pPr>
      <w:r>
        <w:t>6. Algorithm</w:t>
      </w:r>
    </w:p>
    <w:p>
      <w:r>
        <w:t>Assume a finite DAG, a current retained downset ℓ, a set of currently discharged obligations C(ℓ), and for each discharged obligation a registered least witness represented by one or more terminal evidence nodes. The core is the union of their ancestor closures. A depth-first or breadth-first traversal from the witness terminals, restricted to ℓ, marks every required ancestor once.</w:t>
      </w:r>
    </w:p>
    <w:tbl>
      <w:tblPr>
        <w:tblStyle w:val="TableGrid"/>
        <w:tblW w:type="dxa" w:w="9360"/>
        <w:jc w:val="center"/>
        <w:tblLayout w:type="fixed"/>
        <w:tblLook w:firstColumn="1" w:firstRow="1" w:lastColumn="0" w:lastRow="0" w:noHBand="0" w:noVBand="1" w:val="04A0"/>
        <w:tblInd w:w="120" w:type="dxa"/>
      </w:tblPr>
      <w:tblGrid>
        <w:gridCol w:w="700"/>
        <w:gridCol w:w="5660"/>
        <w:gridCol w:w="3000"/>
      </w:tblGrid>
      <w:tr>
        <w:trPr>
          <w:tblHeader w:val="true"/>
          <w:cantSplit/>
        </w:trPr>
        <w:tc>
          <w:tcPr>
            <w:tcW w:type="dxa" w:w="700"/>
            <w:shd w:fill="DDE8EF"/>
            <w:vAlign w:val="center"/>
          </w:tcPr>
          <w:p>
            <w:pPr>
              <w:jc w:val="left"/>
            </w:pPr>
            <w:r>
              <w:rPr>
                <w:rFonts w:ascii="Aptos" w:hAnsi="Aptos" w:eastAsia="Aptos"/>
                <w:b/>
                <w:color w:val="163752"/>
                <w:sz w:val="17"/>
              </w:rPr>
              <w:t>Step</w:t>
            </w:r>
          </w:p>
        </w:tc>
        <w:tc>
          <w:tcPr>
            <w:tcW w:type="dxa" w:w="5660"/>
            <w:shd w:fill="DDE8EF"/>
            <w:vAlign w:val="center"/>
          </w:tcPr>
          <w:p>
            <w:pPr>
              <w:jc w:val="left"/>
            </w:pPr>
            <w:r>
              <w:rPr>
                <w:rFonts w:ascii="Aptos" w:hAnsi="Aptos" w:eastAsia="Aptos"/>
                <w:b/>
                <w:color w:val="163752"/>
                <w:sz w:val="17"/>
              </w:rPr>
              <w:t>Operation</w:t>
            </w:r>
          </w:p>
        </w:tc>
        <w:tc>
          <w:tcPr>
            <w:tcW w:type="dxa" w:w="3000"/>
            <w:shd w:fill="DDE8EF"/>
            <w:vAlign w:val="center"/>
          </w:tcPr>
          <w:p>
            <w:pPr>
              <w:jc w:val="left"/>
            </w:pPr>
            <w:r>
              <w:rPr>
                <w:rFonts w:ascii="Aptos" w:hAnsi="Aptos" w:eastAsia="Aptos"/>
                <w:b/>
                <w:color w:val="163752"/>
                <w:sz w:val="17"/>
              </w:rPr>
              <w:t>Worst-case cost</w:t>
            </w:r>
          </w:p>
        </w:tc>
      </w:tr>
      <w:tr>
        <w:trPr>
          <w:cantSplit/>
        </w:trPr>
        <w:tc>
          <w:tcPr>
            <w:tcW w:type="dxa" w:w="700"/>
            <w:vAlign w:val="center"/>
          </w:tcPr>
          <w:p>
            <w:pPr>
              <w:spacing w:after="20"/>
            </w:pPr>
            <w:r>
              <w:rPr>
                <w:rFonts w:ascii="Aptos" w:hAnsi="Aptos" w:eastAsia="Aptos"/>
                <w:color w:val="181F26"/>
                <w:sz w:val="17"/>
              </w:rPr>
              <w:t>1</w:t>
            </w:r>
          </w:p>
        </w:tc>
        <w:tc>
          <w:tcPr>
            <w:tcW w:type="dxa" w:w="5660"/>
            <w:vAlign w:val="center"/>
          </w:tcPr>
          <w:p>
            <w:pPr>
              <w:spacing w:after="20"/>
            </w:pPr>
            <w:r>
              <w:rPr>
                <w:rFonts w:ascii="Aptos" w:hAnsi="Aptos" w:eastAsia="Aptos"/>
                <w:color w:val="181F26"/>
                <w:sz w:val="17"/>
              </w:rPr>
              <w:t>Evaluate or read current certification state C(ℓ)</w:t>
            </w:r>
          </w:p>
        </w:tc>
        <w:tc>
          <w:tcPr>
            <w:tcW w:type="dxa" w:w="3000"/>
            <w:vAlign w:val="center"/>
          </w:tcPr>
          <w:p>
            <w:pPr>
              <w:spacing w:after="20"/>
            </w:pPr>
            <w:r>
              <w:rPr>
                <w:rFonts w:ascii="Aptos" w:hAnsi="Aptos" w:eastAsia="Aptos"/>
                <w:color w:val="181F26"/>
                <w:sz w:val="17"/>
              </w:rPr>
              <w:t>Certification-engine dependent</w:t>
            </w:r>
          </w:p>
        </w:tc>
      </w:tr>
      <w:tr>
        <w:trPr>
          <w:cantSplit/>
        </w:trPr>
        <w:tc>
          <w:tcPr>
            <w:tcW w:type="dxa" w:w="700"/>
            <w:vAlign w:val="center"/>
          </w:tcPr>
          <w:p>
            <w:pPr>
              <w:spacing w:after="20"/>
            </w:pPr>
            <w:r>
              <w:rPr>
                <w:rFonts w:ascii="Aptos" w:hAnsi="Aptos" w:eastAsia="Aptos"/>
                <w:color w:val="181F26"/>
                <w:sz w:val="17"/>
              </w:rPr>
              <w:t>2</w:t>
            </w:r>
          </w:p>
        </w:tc>
        <w:tc>
          <w:tcPr>
            <w:tcW w:type="dxa" w:w="5660"/>
            <w:vAlign w:val="center"/>
          </w:tcPr>
          <w:p>
            <w:pPr>
              <w:spacing w:after="20"/>
            </w:pPr>
            <w:r>
              <w:rPr>
                <w:rFonts w:ascii="Aptos" w:hAnsi="Aptos" w:eastAsia="Aptos"/>
                <w:color w:val="181F26"/>
                <w:sz w:val="17"/>
              </w:rPr>
              <w:t>Collect registered terminal nodes for all o ∈ C(ℓ)</w:t>
            </w:r>
          </w:p>
        </w:tc>
        <w:tc>
          <w:tcPr>
            <w:tcW w:type="dxa" w:w="3000"/>
            <w:vAlign w:val="center"/>
          </w:tcPr>
          <w:p>
            <w:pPr>
              <w:spacing w:after="20"/>
            </w:pPr>
            <w:r>
              <w:rPr>
                <w:rFonts w:ascii="Aptos" w:hAnsi="Aptos" w:eastAsia="Aptos"/>
                <w:color w:val="181F26"/>
                <w:sz w:val="17"/>
              </w:rPr>
              <w:t>O(S), S = total terminals</w:t>
            </w:r>
          </w:p>
        </w:tc>
      </w:tr>
      <w:tr>
        <w:trPr>
          <w:cantSplit/>
        </w:trPr>
        <w:tc>
          <w:tcPr>
            <w:tcW w:type="dxa" w:w="700"/>
            <w:vAlign w:val="center"/>
          </w:tcPr>
          <w:p>
            <w:pPr>
              <w:spacing w:after="20"/>
            </w:pPr>
            <w:r>
              <w:rPr>
                <w:rFonts w:ascii="Aptos" w:hAnsi="Aptos" w:eastAsia="Aptos"/>
                <w:color w:val="181F26"/>
                <w:sz w:val="17"/>
              </w:rPr>
              <w:t>3</w:t>
            </w:r>
          </w:p>
        </w:tc>
        <w:tc>
          <w:tcPr>
            <w:tcW w:type="dxa" w:w="5660"/>
            <w:vAlign w:val="center"/>
          </w:tcPr>
          <w:p>
            <w:pPr>
              <w:spacing w:after="20"/>
            </w:pPr>
            <w:r>
              <w:rPr>
                <w:rFonts w:ascii="Aptos" w:hAnsi="Aptos" w:eastAsia="Aptos"/>
                <w:color w:val="181F26"/>
                <w:sz w:val="17"/>
              </w:rPr>
              <w:t>Traverse prerequisite edges backward and mark ancestors</w:t>
            </w:r>
          </w:p>
        </w:tc>
        <w:tc>
          <w:tcPr>
            <w:tcW w:type="dxa" w:w="3000"/>
            <w:vAlign w:val="center"/>
          </w:tcPr>
          <w:p>
            <w:pPr>
              <w:spacing w:after="20"/>
            </w:pPr>
            <w:r>
              <w:rPr>
                <w:rFonts w:ascii="Aptos" w:hAnsi="Aptos" w:eastAsia="Aptos"/>
                <w:color w:val="181F26"/>
                <w:sz w:val="17"/>
              </w:rPr>
              <w:t>O(|V(ℓ)| + |E(ℓ)|)</w:t>
            </w:r>
          </w:p>
        </w:tc>
      </w:tr>
      <w:tr>
        <w:trPr>
          <w:cantSplit/>
        </w:trPr>
        <w:tc>
          <w:tcPr>
            <w:tcW w:type="dxa" w:w="700"/>
            <w:vAlign w:val="center"/>
          </w:tcPr>
          <w:p>
            <w:pPr>
              <w:spacing w:after="20"/>
            </w:pPr>
            <w:r>
              <w:rPr>
                <w:rFonts w:ascii="Aptos" w:hAnsi="Aptos" w:eastAsia="Aptos"/>
                <w:color w:val="181F26"/>
                <w:sz w:val="17"/>
              </w:rPr>
              <w:t>4</w:t>
            </w:r>
          </w:p>
        </w:tc>
        <w:tc>
          <w:tcPr>
            <w:tcW w:type="dxa" w:w="5660"/>
            <w:vAlign w:val="center"/>
          </w:tcPr>
          <w:p>
            <w:pPr>
              <w:spacing w:after="20"/>
            </w:pPr>
            <w:r>
              <w:rPr>
                <w:rFonts w:ascii="Aptos" w:hAnsi="Aptos" w:eastAsia="Aptos"/>
                <w:color w:val="181F26"/>
                <w:sz w:val="17"/>
              </w:rPr>
              <w:t>Emit marked induced downset as K(ℓ)</w:t>
            </w:r>
          </w:p>
        </w:tc>
        <w:tc>
          <w:tcPr>
            <w:tcW w:type="dxa" w:w="3000"/>
            <w:vAlign w:val="center"/>
          </w:tcPr>
          <w:p>
            <w:pPr>
              <w:spacing w:after="20"/>
            </w:pPr>
            <w:r>
              <w:rPr>
                <w:rFonts w:ascii="Aptos" w:hAnsi="Aptos" w:eastAsia="Aptos"/>
                <w:color w:val="181F26"/>
                <w:sz w:val="17"/>
              </w:rPr>
              <w:t>O(|V(ℓ)|)</w:t>
            </w:r>
          </w:p>
        </w:tc>
      </w:tr>
      <w:tr>
        <w:trPr>
          <w:cantSplit/>
        </w:trPr>
        <w:tc>
          <w:tcPr>
            <w:tcW w:type="dxa" w:w="700"/>
            <w:vAlign w:val="center"/>
          </w:tcPr>
          <w:p>
            <w:pPr>
              <w:spacing w:after="20"/>
            </w:pPr>
            <w:r>
              <w:rPr>
                <w:rFonts w:ascii="Aptos" w:hAnsi="Aptos" w:eastAsia="Aptos"/>
                <w:color w:val="181F26"/>
                <w:sz w:val="17"/>
              </w:rPr>
              <w:t>5</w:t>
            </w:r>
          </w:p>
        </w:tc>
        <w:tc>
          <w:tcPr>
            <w:tcW w:type="dxa" w:w="5660"/>
            <w:vAlign w:val="center"/>
          </w:tcPr>
          <w:p>
            <w:pPr>
              <w:spacing w:after="20"/>
            </w:pPr>
            <w:r>
              <w:rPr>
                <w:rFonts w:ascii="Aptos" w:hAnsi="Aptos" w:eastAsia="Aptos"/>
                <w:color w:val="181F26"/>
                <w:sz w:val="17"/>
              </w:rPr>
              <w:t>Re-run C as a postcondition check</w:t>
            </w:r>
          </w:p>
        </w:tc>
        <w:tc>
          <w:tcPr>
            <w:tcW w:type="dxa" w:w="3000"/>
            <w:vAlign w:val="center"/>
          </w:tcPr>
          <w:p>
            <w:pPr>
              <w:spacing w:after="20"/>
            </w:pPr>
            <w:r>
              <w:rPr>
                <w:rFonts w:ascii="Aptos" w:hAnsi="Aptos" w:eastAsia="Aptos"/>
                <w:color w:val="181F26"/>
                <w:sz w:val="17"/>
              </w:rPr>
              <w:t>Certification-engine dependent</w:t>
            </w:r>
          </w:p>
        </w:tc>
      </w:tr>
    </w:tbl>
    <w:p>
      <w:pPr>
        <w:spacing w:after="20"/>
      </w:pPr>
    </w:p>
    <w:p>
      <w:r>
        <w:t>The postcondition check is operationally important even though the theorem makes it redundant under correct assumptions. It detects stale witness registries, non-monotone policy code, and implementation errors. Deletion should be transactional: compute K, re-certify K, checkpoint the old ledger or honor mandatory archival policy, and only then release the dispensable remainder.</w:t>
      </w:r>
    </w:p>
    <w:p>
      <w:pPr>
        <w:pStyle w:val="Heading1"/>
      </w:pPr>
      <w:r>
        <w:t>7. Synthetic Feasibility Study</w:t>
      </w:r>
    </w:p>
    <w:p>
      <w:r>
        <w:t>A deterministic synthetic benchmark (seed 7) was constructed to test the extraction step rather than the theorem. DAGs contained between 1,000 and 100,000 events. Each non-root event sampled up to three earlier prerequisites, producing sparse causal ledgers. Active obligations were assigned canonical terminal witnesses; K was computed by a backward graph traversal. The benchmark deliberately omits certification-evaluation cost because that cost is domain specific.</w:t>
      </w:r>
    </w:p>
    <w:p>
      <w:pPr>
        <w:keepNext/>
        <w:jc w:val="center"/>
      </w:pPr>
      <w:r/>
    </w:p>
    <w:p>
      <w:pPr>
        <w:pStyle w:val="Caption"/>
        <w:keepNext w:val="0"/>
        <w:jc w:val="center"/>
      </w:pPr>
      <w:r>
        <w:t>Figure 1. Synthetic extraction of the certificate-preserving core. Left: retained fraction under the chosen obligation load. Right: measured traversal time in the document-generation environment. Values are feasibility measurements, not production benchmarks.</w:t>
      </w:r>
    </w:p>
    <w:tbl>
      <w:tblPr>
        <w:tblStyle w:val="TableGrid"/>
        <w:tblW w:type="dxa" w:w="9360"/>
        <w:jc w:val="center"/>
        <w:tblLayout w:type="fixed"/>
        <w:tblLook w:firstColumn="1" w:firstRow="1" w:lastColumn="0" w:lastRow="0" w:noHBand="0" w:noVBand="1" w:val="04A0"/>
        <w:tblInd w:w="120" w:type="dxa"/>
      </w:tblPr>
      <w:tblGrid>
        <w:gridCol w:w="1500"/>
        <w:gridCol w:w="1800"/>
        <w:gridCol w:w="1800"/>
        <w:gridCol w:w="1900"/>
        <w:gridCol w:w="2360"/>
      </w:tblGrid>
      <w:tr>
        <w:trPr>
          <w:tblHeader w:val="true"/>
          <w:cantSplit/>
        </w:trPr>
        <w:tc>
          <w:tcPr>
            <w:tcW w:type="dxa" w:w="1500"/>
            <w:shd w:fill="DDE8EF"/>
            <w:vAlign w:val="center"/>
          </w:tcPr>
          <w:p>
            <w:pPr>
              <w:jc w:val="left"/>
            </w:pPr>
            <w:r>
              <w:rPr>
                <w:rFonts w:ascii="Aptos" w:hAnsi="Aptos" w:eastAsia="Aptos"/>
                <w:b/>
                <w:color w:val="163752"/>
                <w:sz w:val="17"/>
              </w:rPr>
              <w:t>Events</w:t>
            </w:r>
          </w:p>
        </w:tc>
        <w:tc>
          <w:tcPr>
            <w:tcW w:type="dxa" w:w="1800"/>
            <w:shd w:fill="DDE8EF"/>
            <w:vAlign w:val="center"/>
          </w:tcPr>
          <w:p>
            <w:pPr>
              <w:jc w:val="left"/>
            </w:pPr>
            <w:r>
              <w:rPr>
                <w:rFonts w:ascii="Aptos" w:hAnsi="Aptos" w:eastAsia="Aptos"/>
                <w:b/>
                <w:color w:val="163752"/>
                <w:sz w:val="17"/>
              </w:rPr>
              <w:t>Active obligations</w:t>
            </w:r>
          </w:p>
        </w:tc>
        <w:tc>
          <w:tcPr>
            <w:tcW w:type="dxa" w:w="1800"/>
            <w:shd w:fill="DDE8EF"/>
            <w:vAlign w:val="center"/>
          </w:tcPr>
          <w:p>
            <w:pPr>
              <w:jc w:val="left"/>
            </w:pPr>
            <w:r>
              <w:rPr>
                <w:rFonts w:ascii="Aptos" w:hAnsi="Aptos" w:eastAsia="Aptos"/>
                <w:b/>
                <w:color w:val="163752"/>
                <w:sz w:val="17"/>
              </w:rPr>
              <w:t>Retained events</w:t>
            </w:r>
          </w:p>
        </w:tc>
        <w:tc>
          <w:tcPr>
            <w:tcW w:type="dxa" w:w="1900"/>
            <w:shd w:fill="DDE8EF"/>
            <w:vAlign w:val="center"/>
          </w:tcPr>
          <w:p>
            <w:pPr>
              <w:jc w:val="left"/>
            </w:pPr>
            <w:r>
              <w:rPr>
                <w:rFonts w:ascii="Aptos" w:hAnsi="Aptos" w:eastAsia="Aptos"/>
                <w:b/>
                <w:color w:val="163752"/>
                <w:sz w:val="17"/>
              </w:rPr>
              <w:t>Retained fraction</w:t>
            </w:r>
          </w:p>
        </w:tc>
        <w:tc>
          <w:tcPr>
            <w:tcW w:type="dxa" w:w="2360"/>
            <w:shd w:fill="DDE8EF"/>
            <w:vAlign w:val="center"/>
          </w:tcPr>
          <w:p>
            <w:pPr>
              <w:jc w:val="left"/>
            </w:pPr>
            <w:r>
              <w:rPr>
                <w:rFonts w:ascii="Aptos" w:hAnsi="Aptos" w:eastAsia="Aptos"/>
                <w:b/>
                <w:color w:val="163752"/>
                <w:sz w:val="17"/>
              </w:rPr>
              <w:t>Extraction (ms)</w:t>
            </w:r>
          </w:p>
        </w:tc>
      </w:tr>
      <w:tr>
        <w:trPr>
          <w:cantSplit/>
        </w:trPr>
        <w:tc>
          <w:tcPr>
            <w:tcW w:type="dxa" w:w="1500"/>
            <w:vAlign w:val="center"/>
          </w:tcPr>
          <w:p>
            <w:pPr>
              <w:spacing w:after="20"/>
            </w:pPr>
            <w:r>
              <w:rPr>
                <w:rFonts w:ascii="Aptos" w:hAnsi="Aptos" w:eastAsia="Aptos"/>
                <w:color w:val="181F26"/>
                <w:sz w:val="17"/>
              </w:rPr>
              <w:t>1000</w:t>
            </w:r>
          </w:p>
        </w:tc>
        <w:tc>
          <w:tcPr>
            <w:tcW w:type="dxa" w:w="1800"/>
            <w:vAlign w:val="center"/>
          </w:tcPr>
          <w:p>
            <w:pPr>
              <w:spacing w:after="20"/>
            </w:pPr>
            <w:r>
              <w:rPr>
                <w:rFonts w:ascii="Aptos" w:hAnsi="Aptos" w:eastAsia="Aptos"/>
                <w:color w:val="181F26"/>
                <w:sz w:val="17"/>
              </w:rPr>
              <w:t>12</w:t>
            </w:r>
          </w:p>
        </w:tc>
        <w:tc>
          <w:tcPr>
            <w:tcW w:type="dxa" w:w="1800"/>
            <w:vAlign w:val="center"/>
          </w:tcPr>
          <w:p>
            <w:pPr>
              <w:spacing w:after="20"/>
            </w:pPr>
            <w:r>
              <w:rPr>
                <w:rFonts w:ascii="Aptos" w:hAnsi="Aptos" w:eastAsia="Aptos"/>
                <w:color w:val="181F26"/>
                <w:sz w:val="17"/>
              </w:rPr>
              <w:t>110</w:t>
            </w:r>
          </w:p>
        </w:tc>
        <w:tc>
          <w:tcPr>
            <w:tcW w:type="dxa" w:w="1900"/>
            <w:vAlign w:val="center"/>
          </w:tcPr>
          <w:p>
            <w:pPr>
              <w:spacing w:after="20"/>
            </w:pPr>
            <w:r>
              <w:rPr>
                <w:rFonts w:ascii="Aptos" w:hAnsi="Aptos" w:eastAsia="Aptos"/>
                <w:color w:val="181F26"/>
                <w:sz w:val="17"/>
              </w:rPr>
              <w:t>11.00%</w:t>
            </w:r>
          </w:p>
        </w:tc>
        <w:tc>
          <w:tcPr>
            <w:tcW w:type="dxa" w:w="2360"/>
            <w:vAlign w:val="center"/>
          </w:tcPr>
          <w:p>
            <w:pPr>
              <w:spacing w:after="20"/>
            </w:pPr>
            <w:r>
              <w:rPr>
                <w:rFonts w:ascii="Aptos" w:hAnsi="Aptos" w:eastAsia="Aptos"/>
                <w:color w:val="181F26"/>
                <w:sz w:val="17"/>
              </w:rPr>
              <w:t>0.047</w:t>
            </w:r>
          </w:p>
        </w:tc>
      </w:tr>
      <w:tr>
        <w:trPr>
          <w:cantSplit/>
        </w:trPr>
        <w:tc>
          <w:tcPr>
            <w:tcW w:type="dxa" w:w="1500"/>
            <w:vAlign w:val="center"/>
          </w:tcPr>
          <w:p>
            <w:pPr>
              <w:spacing w:after="20"/>
            </w:pPr>
            <w:r>
              <w:rPr>
                <w:rFonts w:ascii="Aptos" w:hAnsi="Aptos" w:eastAsia="Aptos"/>
                <w:color w:val="181F26"/>
                <w:sz w:val="17"/>
              </w:rPr>
              <w:t>5000</w:t>
            </w:r>
          </w:p>
        </w:tc>
        <w:tc>
          <w:tcPr>
            <w:tcW w:type="dxa" w:w="1800"/>
            <w:vAlign w:val="center"/>
          </w:tcPr>
          <w:p>
            <w:pPr>
              <w:spacing w:after="20"/>
            </w:pPr>
            <w:r>
              <w:rPr>
                <w:rFonts w:ascii="Aptos" w:hAnsi="Aptos" w:eastAsia="Aptos"/>
                <w:color w:val="181F26"/>
                <w:sz w:val="17"/>
              </w:rPr>
              <w:t>30</w:t>
            </w:r>
          </w:p>
        </w:tc>
        <w:tc>
          <w:tcPr>
            <w:tcW w:type="dxa" w:w="1800"/>
            <w:vAlign w:val="center"/>
          </w:tcPr>
          <w:p>
            <w:pPr>
              <w:spacing w:after="20"/>
            </w:pPr>
            <w:r>
              <w:rPr>
                <w:rFonts w:ascii="Aptos" w:hAnsi="Aptos" w:eastAsia="Aptos"/>
                <w:color w:val="181F26"/>
                <w:sz w:val="17"/>
              </w:rPr>
              <w:t>377</w:t>
            </w:r>
          </w:p>
        </w:tc>
        <w:tc>
          <w:tcPr>
            <w:tcW w:type="dxa" w:w="1900"/>
            <w:vAlign w:val="center"/>
          </w:tcPr>
          <w:p>
            <w:pPr>
              <w:spacing w:after="20"/>
            </w:pPr>
            <w:r>
              <w:rPr>
                <w:rFonts w:ascii="Aptos" w:hAnsi="Aptos" w:eastAsia="Aptos"/>
                <w:color w:val="181F26"/>
                <w:sz w:val="17"/>
              </w:rPr>
              <w:t>7.54%</w:t>
            </w:r>
          </w:p>
        </w:tc>
        <w:tc>
          <w:tcPr>
            <w:tcW w:type="dxa" w:w="2360"/>
            <w:vAlign w:val="center"/>
          </w:tcPr>
          <w:p>
            <w:pPr>
              <w:spacing w:after="20"/>
            </w:pPr>
            <w:r>
              <w:rPr>
                <w:rFonts w:ascii="Aptos" w:hAnsi="Aptos" w:eastAsia="Aptos"/>
                <w:color w:val="181F26"/>
                <w:sz w:val="17"/>
              </w:rPr>
              <w:t>0.217</w:t>
            </w:r>
          </w:p>
        </w:tc>
      </w:tr>
      <w:tr>
        <w:trPr>
          <w:cantSplit/>
        </w:trPr>
        <w:tc>
          <w:tcPr>
            <w:tcW w:type="dxa" w:w="1500"/>
            <w:vAlign w:val="center"/>
          </w:tcPr>
          <w:p>
            <w:pPr>
              <w:spacing w:after="20"/>
            </w:pPr>
            <w:r>
              <w:rPr>
                <w:rFonts w:ascii="Aptos" w:hAnsi="Aptos" w:eastAsia="Aptos"/>
                <w:color w:val="181F26"/>
                <w:sz w:val="17"/>
              </w:rPr>
              <w:t>10000</w:t>
            </w:r>
          </w:p>
        </w:tc>
        <w:tc>
          <w:tcPr>
            <w:tcW w:type="dxa" w:w="1800"/>
            <w:vAlign w:val="center"/>
          </w:tcPr>
          <w:p>
            <w:pPr>
              <w:spacing w:after="20"/>
            </w:pPr>
            <w:r>
              <w:rPr>
                <w:rFonts w:ascii="Aptos" w:hAnsi="Aptos" w:eastAsia="Aptos"/>
                <w:color w:val="181F26"/>
                <w:sz w:val="17"/>
              </w:rPr>
              <w:t>48</w:t>
            </w:r>
          </w:p>
        </w:tc>
        <w:tc>
          <w:tcPr>
            <w:tcW w:type="dxa" w:w="1800"/>
            <w:vAlign w:val="center"/>
          </w:tcPr>
          <w:p>
            <w:pPr>
              <w:spacing w:after="20"/>
            </w:pPr>
            <w:r>
              <w:rPr>
                <w:rFonts w:ascii="Aptos" w:hAnsi="Aptos" w:eastAsia="Aptos"/>
                <w:color w:val="181F26"/>
                <w:sz w:val="17"/>
              </w:rPr>
              <w:t>614</w:t>
            </w:r>
          </w:p>
        </w:tc>
        <w:tc>
          <w:tcPr>
            <w:tcW w:type="dxa" w:w="1900"/>
            <w:vAlign w:val="center"/>
          </w:tcPr>
          <w:p>
            <w:pPr>
              <w:spacing w:after="20"/>
            </w:pPr>
            <w:r>
              <w:rPr>
                <w:rFonts w:ascii="Aptos" w:hAnsi="Aptos" w:eastAsia="Aptos"/>
                <w:color w:val="181F26"/>
                <w:sz w:val="17"/>
              </w:rPr>
              <w:t>6.14%</w:t>
            </w:r>
          </w:p>
        </w:tc>
        <w:tc>
          <w:tcPr>
            <w:tcW w:type="dxa" w:w="2360"/>
            <w:vAlign w:val="center"/>
          </w:tcPr>
          <w:p>
            <w:pPr>
              <w:spacing w:after="20"/>
            </w:pPr>
            <w:r>
              <w:rPr>
                <w:rFonts w:ascii="Aptos" w:hAnsi="Aptos" w:eastAsia="Aptos"/>
                <w:color w:val="181F26"/>
                <w:sz w:val="17"/>
              </w:rPr>
              <w:t>0.337</w:t>
            </w:r>
          </w:p>
        </w:tc>
      </w:tr>
      <w:tr>
        <w:trPr>
          <w:cantSplit/>
        </w:trPr>
        <w:tc>
          <w:tcPr>
            <w:tcW w:type="dxa" w:w="1500"/>
            <w:vAlign w:val="center"/>
          </w:tcPr>
          <w:p>
            <w:pPr>
              <w:spacing w:after="20"/>
            </w:pPr>
            <w:r>
              <w:rPr>
                <w:rFonts w:ascii="Aptos" w:hAnsi="Aptos" w:eastAsia="Aptos"/>
                <w:color w:val="181F26"/>
                <w:sz w:val="17"/>
              </w:rPr>
              <w:t>50000</w:t>
            </w:r>
          </w:p>
        </w:tc>
        <w:tc>
          <w:tcPr>
            <w:tcW w:type="dxa" w:w="1800"/>
            <w:vAlign w:val="center"/>
          </w:tcPr>
          <w:p>
            <w:pPr>
              <w:spacing w:after="20"/>
            </w:pPr>
            <w:r>
              <w:rPr>
                <w:rFonts w:ascii="Aptos" w:hAnsi="Aptos" w:eastAsia="Aptos"/>
                <w:color w:val="181F26"/>
                <w:sz w:val="17"/>
              </w:rPr>
              <w:t>110</w:t>
            </w:r>
          </w:p>
        </w:tc>
        <w:tc>
          <w:tcPr>
            <w:tcW w:type="dxa" w:w="1800"/>
            <w:vAlign w:val="center"/>
          </w:tcPr>
          <w:p>
            <w:pPr>
              <w:spacing w:after="20"/>
            </w:pPr>
            <w:r>
              <w:rPr>
                <w:rFonts w:ascii="Aptos" w:hAnsi="Aptos" w:eastAsia="Aptos"/>
                <w:color w:val="181F26"/>
                <w:sz w:val="17"/>
              </w:rPr>
              <w:t>1936</w:t>
            </w:r>
          </w:p>
        </w:tc>
        <w:tc>
          <w:tcPr>
            <w:tcW w:type="dxa" w:w="1900"/>
            <w:vAlign w:val="center"/>
          </w:tcPr>
          <w:p>
            <w:pPr>
              <w:spacing w:after="20"/>
            </w:pPr>
            <w:r>
              <w:rPr>
                <w:rFonts w:ascii="Aptos" w:hAnsi="Aptos" w:eastAsia="Aptos"/>
                <w:color w:val="181F26"/>
                <w:sz w:val="17"/>
              </w:rPr>
              <w:t>3.87%</w:t>
            </w:r>
          </w:p>
        </w:tc>
        <w:tc>
          <w:tcPr>
            <w:tcW w:type="dxa" w:w="2360"/>
            <w:vAlign w:val="center"/>
          </w:tcPr>
          <w:p>
            <w:pPr>
              <w:spacing w:after="20"/>
            </w:pPr>
            <w:r>
              <w:rPr>
                <w:rFonts w:ascii="Aptos" w:hAnsi="Aptos" w:eastAsia="Aptos"/>
                <w:color w:val="181F26"/>
                <w:sz w:val="17"/>
              </w:rPr>
              <w:t>1.093</w:t>
            </w:r>
          </w:p>
        </w:tc>
      </w:tr>
      <w:tr>
        <w:trPr>
          <w:cantSplit/>
        </w:trPr>
        <w:tc>
          <w:tcPr>
            <w:tcW w:type="dxa" w:w="1500"/>
            <w:vAlign w:val="center"/>
          </w:tcPr>
          <w:p>
            <w:pPr>
              <w:spacing w:after="20"/>
            </w:pPr>
            <w:r>
              <w:rPr>
                <w:rFonts w:ascii="Aptos" w:hAnsi="Aptos" w:eastAsia="Aptos"/>
                <w:color w:val="181F26"/>
                <w:sz w:val="17"/>
              </w:rPr>
              <w:t>100000</w:t>
            </w:r>
          </w:p>
        </w:tc>
        <w:tc>
          <w:tcPr>
            <w:tcW w:type="dxa" w:w="1800"/>
            <w:vAlign w:val="center"/>
          </w:tcPr>
          <w:p>
            <w:pPr>
              <w:spacing w:after="20"/>
            </w:pPr>
            <w:r>
              <w:rPr>
                <w:rFonts w:ascii="Aptos" w:hAnsi="Aptos" w:eastAsia="Aptos"/>
                <w:color w:val="181F26"/>
                <w:sz w:val="17"/>
              </w:rPr>
              <w:t>170</w:t>
            </w:r>
          </w:p>
        </w:tc>
        <w:tc>
          <w:tcPr>
            <w:tcW w:type="dxa" w:w="1800"/>
            <w:vAlign w:val="center"/>
          </w:tcPr>
          <w:p>
            <w:pPr>
              <w:spacing w:after="20"/>
            </w:pPr>
            <w:r>
              <w:rPr>
                <w:rFonts w:ascii="Aptos" w:hAnsi="Aptos" w:eastAsia="Aptos"/>
                <w:color w:val="181F26"/>
                <w:sz w:val="17"/>
              </w:rPr>
              <w:t>3016</w:t>
            </w:r>
          </w:p>
        </w:tc>
        <w:tc>
          <w:tcPr>
            <w:tcW w:type="dxa" w:w="1900"/>
            <w:vAlign w:val="center"/>
          </w:tcPr>
          <w:p>
            <w:pPr>
              <w:spacing w:after="20"/>
            </w:pPr>
            <w:r>
              <w:rPr>
                <w:rFonts w:ascii="Aptos" w:hAnsi="Aptos" w:eastAsia="Aptos"/>
                <w:color w:val="181F26"/>
                <w:sz w:val="17"/>
              </w:rPr>
              <w:t>3.02%</w:t>
            </w:r>
          </w:p>
        </w:tc>
        <w:tc>
          <w:tcPr>
            <w:tcW w:type="dxa" w:w="2360"/>
            <w:vAlign w:val="center"/>
          </w:tcPr>
          <w:p>
            <w:pPr>
              <w:spacing w:after="20"/>
            </w:pPr>
            <w:r>
              <w:rPr>
                <w:rFonts w:ascii="Aptos" w:hAnsi="Aptos" w:eastAsia="Aptos"/>
                <w:color w:val="181F26"/>
                <w:sz w:val="17"/>
              </w:rPr>
              <w:t>1.974</w:t>
            </w:r>
          </w:p>
        </w:tc>
      </w:tr>
    </w:tbl>
    <w:p>
      <w:pPr>
        <w:spacing w:after="20"/>
      </w:pPr>
    </w:p>
    <w:p>
      <w:r>
        <w:t>Across these sparse synthetic ledgers the core remained a small fraction of the full event history and extraction remained sublinear in observed wall-clock growth because only ancestors of active witnesses were visited. The formal worst case is still linear in the retained graph: a single terminal event may depend on every prior event. Compression ratio is therefore a property of causal reuse and the active obligation set, not a guarantee of the adjunction.</w:t>
      </w:r>
    </w:p>
    <w:p>
      <w:pPr>
        <w:pStyle w:val="Heading1"/>
      </w:pPr>
      <w:r>
        <w:t>8. System Architecture</w:t>
      </w:r>
    </w:p>
    <w:p>
      <w:r>
        <w:t>A defensible implementation should keep four artifacts distinct. The event ledger is append-oriented and records occurrences. The dependency graph records causal support and must itself be provenance-bearing. The certification register records idempotent discharged obligations together with validity conditions. The witness registry binds each derivation-indexed certificate to its least causal support. K is computed over these artifacts but should not silently rewrite them.</w:t>
      </w:r>
    </w:p>
    <w:p>
      <w:pPr>
        <w:pStyle w:val="ListBullet"/>
        <w:spacing w:after="60" w:line="269" w:lineRule="auto"/>
        <w:ind w:left="605" w:hanging="288"/>
      </w:pPr>
      <w:r>
        <w:t>Event identity must remain stable across compaction; otherwise a retained witness can no longer refer to its source.</w:t>
      </w:r>
    </w:p>
    <w:p>
      <w:pPr>
        <w:pStyle w:val="ListBullet"/>
        <w:spacing w:after="60" w:line="269" w:lineRule="auto"/>
        <w:ind w:left="605" w:hanging="288"/>
      </w:pPr>
      <w:r>
        <w:t>Every certificate needs an expiry or invalidation rule when its supporting model, source, regulation, or environment changes.</w:t>
      </w:r>
    </w:p>
    <w:p>
      <w:pPr>
        <w:pStyle w:val="ListBullet"/>
        <w:spacing w:after="60" w:line="269" w:lineRule="auto"/>
        <w:ind w:left="605" w:hanging="288"/>
      </w:pPr>
      <w:r>
        <w:t>Legal holds and incident-response requirements should be modeled as obligations, ensuring that K retains their evidence.</w:t>
      </w:r>
    </w:p>
    <w:p>
      <w:pPr>
        <w:pStyle w:val="ListBullet"/>
        <w:spacing w:after="60" w:line="269" w:lineRule="auto"/>
        <w:ind w:left="605" w:hanging="288"/>
      </w:pPr>
      <w:r>
        <w:t>Where meet preservation fails, the audit output should include the conflicting minimal witnesses rather than merely return 'adjoint absent.'</w:t>
      </w:r>
    </w:p>
    <w:p>
      <w:pPr>
        <w:pStyle w:val="ListBullet"/>
        <w:spacing w:after="60" w:line="269" w:lineRule="auto"/>
        <w:ind w:left="605" w:hanging="288"/>
      </w:pPr>
      <w:r>
        <w:t>A working-memory core and an immutable archive may coexist. The theorem governs what the active system needs, not what society chooses to preserve historically.</w:t>
      </w:r>
    </w:p>
    <w:p>
      <w:pPr>
        <w:pStyle w:val="Heading1"/>
      </w:pPr>
      <w:r>
        <w:t>9. Limitations and Open Problems</w:t>
      </w:r>
    </w:p>
    <w:p>
      <w:r>
        <w:t>First, complete lattices idealize finite operational structures. The finite downset lattice is complete, but distributed ledgers can have temporarily inconsistent views. Second, monotonicity excludes defeasible reasoning unless defeat status is represented explicitly. Third, least witnesses can be brittle: a unique minimum may exist but provide no redundancy against later evidence corruption. Reliability may therefore require a k-resilient generalization retaining several independent witness sets. Fourth, future obligations are not protected unless they are encoded before deletion. Fifth, privacy can conflict with auditability even within K; cryptographic commitments, selective disclosure, and tiered access remain complementary mechanisms.</w:t>
      </w:r>
    </w:p>
    <w:p>
      <w:r>
        <w:t>The antichain case deserves separate study. Instead of forcing a single core, one may define a Pareto frontier over size, privacy exposure, re-certification cost, and failure independence. Such a frontier is decision support, not a canonical adjoint. The distinction is valuable: the theorem marks the boundary between what follows from certification semantics and what still requires governance judgment.</w:t>
      </w:r>
    </w:p>
    <w:p>
      <w:pPr>
        <w:pStyle w:val="Heading1"/>
      </w:pPr>
      <w:r>
        <w:t>10. Conclusion</w:t>
      </w:r>
    </w:p>
    <w:p>
      <w:r>
        <w:t>Provenance answers what happened; certification answers what is presently licensed. Defensible forgetting requires a map back from the latter to the least part of the former that still suffices. When the certification map preserves arbitrary meets, the left adjoint supplies that map and K = L∘C computes a certificate-preserving provenance core. When meet preservation fails, the failure is not a missing optimization trick. It means the certification abstraction admits incomparable sufficient histories and has no canonical least witness. A system that reports this ambiguity and retains more has behaved more defensibly than one that deletes by recency while continuing to claim certainty.</w:t>
      </w:r>
    </w:p>
    <w:p>
      <w:pPr>
        <w:pStyle w:val="Equation"/>
      </w:pPr>
      <w:r>
        <w:t>History accumulates; certification saturates; the adjoint determines what history remains necessary.</w:t>
      </w:r>
    </w:p>
    <w:p>
      <w:pPr>
        <w:pStyle w:val="Heading1"/>
      </w:pPr>
      <w:r>
        <w:t>Appendix A. Pseudocode</w:t>
      </w:r>
    </w:p>
    <w:p>
      <w:r>
        <w:t>CORE(D, active obligations, witness registry): initialize an empty marked set and a stack containing every terminal node registered for every active obligation. Repeatedly pop a node; if it is unmarked, mark it and push each prerequisite predecessor. Return the induced subgraph on marked nodes. Before deletion, assert that the returned nodes form a downset and that re-evaluation of C returns the original certification state.</w:t>
      </w:r>
    </w:p>
    <w:p>
      <w:pPr>
        <w:pStyle w:val="Heading1"/>
      </w:pPr>
      <w:r>
        <w:t>References</w:t>
      </w:r>
    </w:p>
    <w:p>
      <w:pPr>
        <w:spacing w:after="60" w:line="240" w:lineRule="auto"/>
        <w:ind w:left="403" w:hanging="403"/>
      </w:pPr>
      <w:r>
        <w:rPr>
          <w:rFonts w:ascii="Aptos" w:hAnsi="Aptos" w:eastAsia="Aptos"/>
          <w:b/>
          <w:color w:val="163752"/>
          <w:sz w:val="17"/>
        </w:rPr>
        <w:t xml:space="preserve">[1] </w:t>
      </w:r>
      <w:r>
        <w:rPr>
          <w:rFonts w:ascii="Aptos" w:hAnsi="Aptos" w:eastAsia="Aptos"/>
          <w:color w:val="181F26"/>
          <w:sz w:val="17"/>
        </w:rPr>
        <w:t>Moreau, L., &amp; Missier, P. (Eds.). (2013). PROV-DM: The PROV Data Model. W3C Recommendation, 30 April 2013. https://www.w3.org/TR/prov-dm/</w:t>
      </w:r>
    </w:p>
    <w:p>
      <w:pPr>
        <w:spacing w:after="60" w:line="240" w:lineRule="auto"/>
        <w:ind w:left="403" w:hanging="403"/>
      </w:pPr>
      <w:r>
        <w:rPr>
          <w:rFonts w:ascii="Aptos" w:hAnsi="Aptos" w:eastAsia="Aptos"/>
          <w:b/>
          <w:color w:val="163752"/>
          <w:sz w:val="17"/>
        </w:rPr>
        <w:t xml:space="preserve">[2] </w:t>
      </w:r>
      <w:r>
        <w:rPr>
          <w:rFonts w:ascii="Aptos" w:hAnsi="Aptos" w:eastAsia="Aptos"/>
          <w:color w:val="181F26"/>
          <w:sz w:val="17"/>
        </w:rPr>
        <w:t>Gil, Y., Miles, S., Belhajjame, K., et al. (2013). PROV Model Primer. W3C Working Group Note. https://www.w3.org/TR/prov-primer/</w:t>
      </w:r>
    </w:p>
    <w:p>
      <w:pPr>
        <w:spacing w:after="60" w:line="240" w:lineRule="auto"/>
        <w:ind w:left="403" w:hanging="403"/>
      </w:pPr>
      <w:r>
        <w:rPr>
          <w:rFonts w:ascii="Aptos" w:hAnsi="Aptos" w:eastAsia="Aptos"/>
          <w:b/>
          <w:color w:val="163752"/>
          <w:sz w:val="17"/>
        </w:rPr>
        <w:t xml:space="preserve">[3] </w:t>
      </w:r>
      <w:r>
        <w:rPr>
          <w:rFonts w:ascii="Aptos" w:hAnsi="Aptos" w:eastAsia="Aptos"/>
          <w:color w:val="181F26"/>
          <w:sz w:val="17"/>
        </w:rPr>
        <w:t>Buneman, P., Khanna, S., &amp; Tan, W.-C. (2001). Why and where: A characterization of data provenance. ICDT 2001, LNCS 1973, 316–330. https://doi.org/10.1007/3-540-44503-X_20</w:t>
      </w:r>
    </w:p>
    <w:p>
      <w:pPr>
        <w:spacing w:after="60" w:line="240" w:lineRule="auto"/>
        <w:ind w:left="403" w:hanging="403"/>
      </w:pPr>
      <w:r>
        <w:rPr>
          <w:rFonts w:ascii="Aptos" w:hAnsi="Aptos" w:eastAsia="Aptos"/>
          <w:b/>
          <w:color w:val="163752"/>
          <w:sz w:val="17"/>
        </w:rPr>
        <w:t xml:space="preserve">[4] </w:t>
      </w:r>
      <w:r>
        <w:rPr>
          <w:rFonts w:ascii="Aptos" w:hAnsi="Aptos" w:eastAsia="Aptos"/>
          <w:color w:val="181F26"/>
          <w:sz w:val="17"/>
        </w:rPr>
        <w:t>Green, T. J., Karvounarakis, G., &amp; Tannen, V. (2007). Provenance semirings. Proceedings of PODS, 31–40. https://doi.org/10.1145/1265530.1265535</w:t>
      </w:r>
    </w:p>
    <w:p>
      <w:pPr>
        <w:spacing w:after="60" w:line="240" w:lineRule="auto"/>
        <w:ind w:left="403" w:hanging="403"/>
      </w:pPr>
      <w:r>
        <w:rPr>
          <w:rFonts w:ascii="Aptos" w:hAnsi="Aptos" w:eastAsia="Aptos"/>
          <w:b/>
          <w:color w:val="163752"/>
          <w:sz w:val="17"/>
        </w:rPr>
        <w:t xml:space="preserve">[5] </w:t>
      </w:r>
      <w:r>
        <w:rPr>
          <w:rFonts w:ascii="Aptos" w:hAnsi="Aptos" w:eastAsia="Aptos"/>
          <w:color w:val="181F26"/>
          <w:sz w:val="17"/>
        </w:rPr>
        <w:t>Cheney, J., Chiticariu, L., &amp; Tan, W.-C. (2009). Provenance in databases: Why, how, and where. Foundations and Trends in Databases, 1(4), 379–474. https://doi.org/10.1561/1900000006</w:t>
      </w:r>
    </w:p>
    <w:p>
      <w:pPr>
        <w:spacing w:after="60" w:line="240" w:lineRule="auto"/>
        <w:ind w:left="403" w:hanging="403"/>
      </w:pPr>
      <w:r>
        <w:rPr>
          <w:rFonts w:ascii="Aptos" w:hAnsi="Aptos" w:eastAsia="Aptos"/>
          <w:b/>
          <w:color w:val="163752"/>
          <w:sz w:val="17"/>
        </w:rPr>
        <w:t xml:space="preserve">[6] </w:t>
      </w:r>
      <w:r>
        <w:rPr>
          <w:rFonts w:ascii="Aptos" w:hAnsi="Aptos" w:eastAsia="Aptos"/>
          <w:color w:val="181F26"/>
          <w:sz w:val="17"/>
        </w:rPr>
        <w:t>Simmhan, Y. L., Plale, B., &amp; Gannon, D. (2005). A survey of data provenance in e-science. SIGMOD Record, 34(3), 31–36. https://doi.org/10.1145/1084805.1084812</w:t>
      </w:r>
    </w:p>
    <w:p>
      <w:pPr>
        <w:spacing w:after="60" w:line="240" w:lineRule="auto"/>
        <w:ind w:left="403" w:hanging="403"/>
      </w:pPr>
      <w:r>
        <w:rPr>
          <w:rFonts w:ascii="Aptos" w:hAnsi="Aptos" w:eastAsia="Aptos"/>
          <w:b/>
          <w:color w:val="163752"/>
          <w:sz w:val="17"/>
        </w:rPr>
        <w:t xml:space="preserve">[7] </w:t>
      </w:r>
      <w:r>
        <w:rPr>
          <w:rFonts w:ascii="Aptos" w:hAnsi="Aptos" w:eastAsia="Aptos"/>
          <w:color w:val="181F26"/>
          <w:sz w:val="17"/>
        </w:rPr>
        <w:t>Necula, G. C. (1997). Proof-carrying code. Proceedings of POPL, 106–119. https://doi.org/10.1145/263699.263712</w:t>
      </w:r>
    </w:p>
    <w:p>
      <w:pPr>
        <w:spacing w:after="60" w:line="240" w:lineRule="auto"/>
        <w:ind w:left="403" w:hanging="403"/>
      </w:pPr>
      <w:r>
        <w:rPr>
          <w:rFonts w:ascii="Aptos" w:hAnsi="Aptos" w:eastAsia="Aptos"/>
          <w:b/>
          <w:color w:val="163752"/>
          <w:sz w:val="17"/>
        </w:rPr>
        <w:t xml:space="preserve">[8] </w:t>
      </w:r>
      <w:r>
        <w:rPr>
          <w:rFonts w:ascii="Aptos" w:hAnsi="Aptos" w:eastAsia="Aptos"/>
          <w:color w:val="181F26"/>
          <w:sz w:val="17"/>
        </w:rPr>
        <w:t>Rushby, J. (2015). The interpretation and evaluation of assurance cases. SRI International Technical Report CSL-15-01.</w:t>
      </w:r>
    </w:p>
    <w:p>
      <w:pPr>
        <w:spacing w:after="60" w:line="240" w:lineRule="auto"/>
        <w:ind w:left="403" w:hanging="403"/>
      </w:pPr>
      <w:r>
        <w:rPr>
          <w:rFonts w:ascii="Aptos" w:hAnsi="Aptos" w:eastAsia="Aptos"/>
          <w:b/>
          <w:color w:val="163752"/>
          <w:sz w:val="17"/>
        </w:rPr>
        <w:t xml:space="preserve">[9] </w:t>
      </w:r>
      <w:r>
        <w:rPr>
          <w:rFonts w:ascii="Aptos" w:hAnsi="Aptos" w:eastAsia="Aptos"/>
          <w:color w:val="181F26"/>
          <w:sz w:val="17"/>
        </w:rPr>
        <w:t>Kelly, T., &amp; Weaver, R. (2004). The Goal Structuring Notation: A safety argument notation. Proceedings of the Dependable Systems and Networks Workshop.</w:t>
      </w:r>
    </w:p>
    <w:p>
      <w:pPr>
        <w:spacing w:after="60" w:line="240" w:lineRule="auto"/>
        <w:ind w:left="403" w:hanging="403"/>
      </w:pPr>
      <w:r>
        <w:rPr>
          <w:rFonts w:ascii="Aptos" w:hAnsi="Aptos" w:eastAsia="Aptos"/>
          <w:b/>
          <w:color w:val="163752"/>
          <w:sz w:val="17"/>
        </w:rPr>
        <w:t xml:space="preserve">[10] </w:t>
      </w:r>
      <w:r>
        <w:rPr>
          <w:rFonts w:ascii="Aptos" w:hAnsi="Aptos" w:eastAsia="Aptos"/>
          <w:color w:val="181F26"/>
          <w:sz w:val="17"/>
        </w:rPr>
        <w:t>European Parliament and Council. (2016). Regulation (EU) 2016/679, General Data Protection Regulation, Article 5(1)(c) and (e). Official Journal of the European Union.</w:t>
      </w:r>
    </w:p>
    <w:p>
      <w:pPr>
        <w:spacing w:after="60" w:line="240" w:lineRule="auto"/>
        <w:ind w:left="403" w:hanging="403"/>
      </w:pPr>
      <w:r>
        <w:rPr>
          <w:rFonts w:ascii="Aptos" w:hAnsi="Aptos" w:eastAsia="Aptos"/>
          <w:b/>
          <w:color w:val="163752"/>
          <w:sz w:val="17"/>
        </w:rPr>
        <w:t xml:space="preserve">[11] </w:t>
      </w:r>
      <w:r>
        <w:rPr>
          <w:rFonts w:ascii="Aptos" w:hAnsi="Aptos" w:eastAsia="Aptos"/>
          <w:color w:val="181F26"/>
          <w:sz w:val="17"/>
        </w:rPr>
        <w:t>European Parliament and Council. (2024). Regulation (EU) 2024/1689 laying down harmonised rules on artificial intelligence. Official Journal of the European Union.</w:t>
      </w:r>
    </w:p>
    <w:p>
      <w:pPr>
        <w:spacing w:after="60" w:line="240" w:lineRule="auto"/>
        <w:ind w:left="403" w:hanging="403"/>
      </w:pPr>
      <w:r>
        <w:rPr>
          <w:rFonts w:ascii="Aptos" w:hAnsi="Aptos" w:eastAsia="Aptos"/>
          <w:b/>
          <w:color w:val="163752"/>
          <w:sz w:val="17"/>
        </w:rPr>
        <w:t xml:space="preserve">[12] </w:t>
      </w:r>
      <w:r>
        <w:rPr>
          <w:rFonts w:ascii="Aptos" w:hAnsi="Aptos" w:eastAsia="Aptos"/>
          <w:color w:val="181F26"/>
          <w:sz w:val="17"/>
        </w:rPr>
        <w:t>Birkhoff, G. (1940/1967). Lattice Theory (3rd ed.). American Mathematical Society.</w:t>
      </w:r>
    </w:p>
    <w:p>
      <w:pPr>
        <w:spacing w:after="60" w:line="240" w:lineRule="auto"/>
        <w:ind w:left="403" w:hanging="403"/>
      </w:pPr>
      <w:r>
        <w:rPr>
          <w:rFonts w:ascii="Aptos" w:hAnsi="Aptos" w:eastAsia="Aptos"/>
          <w:b/>
          <w:color w:val="163752"/>
          <w:sz w:val="17"/>
        </w:rPr>
        <w:t xml:space="preserve">[13] </w:t>
      </w:r>
      <w:r>
        <w:rPr>
          <w:rFonts w:ascii="Aptos" w:hAnsi="Aptos" w:eastAsia="Aptos"/>
          <w:color w:val="181F26"/>
          <w:sz w:val="17"/>
        </w:rPr>
        <w:t>Davey, B. A., &amp; Priestley, H. A. (2002). Introduction to Lattices and Order (2nd ed.). Cambridge University Press.</w:t>
      </w:r>
    </w:p>
    <w:p>
      <w:pPr>
        <w:spacing w:after="60" w:line="240" w:lineRule="auto"/>
        <w:ind w:left="403" w:hanging="403"/>
      </w:pPr>
      <w:r>
        <w:rPr>
          <w:rFonts w:ascii="Aptos" w:hAnsi="Aptos" w:eastAsia="Aptos"/>
          <w:b/>
          <w:color w:val="163752"/>
          <w:sz w:val="17"/>
        </w:rPr>
        <w:t xml:space="preserve">[14] </w:t>
      </w:r>
      <w:r>
        <w:rPr>
          <w:rFonts w:ascii="Aptos" w:hAnsi="Aptos" w:eastAsia="Aptos"/>
          <w:color w:val="181F26"/>
          <w:sz w:val="17"/>
        </w:rPr>
        <w:t>Ganter, B., &amp; Wille, R. (1999). Formal Concept Analysis: Mathematical Foundations. Springer.</w:t>
      </w:r>
    </w:p>
    <w:p>
      <w:pPr>
        <w:spacing w:after="60" w:line="240" w:lineRule="auto"/>
        <w:ind w:left="403" w:hanging="403"/>
      </w:pPr>
      <w:r>
        <w:rPr>
          <w:rFonts w:ascii="Aptos" w:hAnsi="Aptos" w:eastAsia="Aptos"/>
          <w:b/>
          <w:color w:val="163752"/>
          <w:sz w:val="17"/>
        </w:rPr>
        <w:t xml:space="preserve">[15] </w:t>
      </w:r>
      <w:r>
        <w:rPr>
          <w:rFonts w:ascii="Aptos" w:hAnsi="Aptos" w:eastAsia="Aptos"/>
          <w:color w:val="181F26"/>
          <w:sz w:val="17"/>
        </w:rPr>
        <w:t>Cousot, P., &amp; Cousot, R. (1977). Abstract interpretation: A unified lattice model for static analysis. Proceedings of POPL, 238–252. https://doi.org/10.1145/512950.512973</w:t>
      </w:r>
    </w:p>
    <w:p>
      <w:pPr>
        <w:spacing w:after="60" w:line="240" w:lineRule="auto"/>
        <w:ind w:left="403" w:hanging="403"/>
      </w:pPr>
      <w:r>
        <w:rPr>
          <w:rFonts w:ascii="Aptos" w:hAnsi="Aptos" w:eastAsia="Aptos"/>
          <w:b/>
          <w:color w:val="163752"/>
          <w:sz w:val="17"/>
        </w:rPr>
        <w:t xml:space="preserve">[16] </w:t>
      </w:r>
      <w:r>
        <w:rPr>
          <w:rFonts w:ascii="Aptos" w:hAnsi="Aptos" w:eastAsia="Aptos"/>
          <w:color w:val="181F26"/>
          <w:sz w:val="17"/>
        </w:rPr>
        <w:t>Darwiche, A. (2001). Decomposable negation normal form. Journal of the ACM, 48(4), 608–647. https://doi.org/10.1145/502090.502091</w:t>
      </w:r>
    </w:p>
    <w:p>
      <w:pPr>
        <w:spacing w:after="60" w:line="240" w:lineRule="auto"/>
        <w:ind w:left="403" w:hanging="403"/>
      </w:pPr>
      <w:r>
        <w:rPr>
          <w:rFonts w:ascii="Aptos" w:hAnsi="Aptos" w:eastAsia="Aptos"/>
          <w:b/>
          <w:color w:val="163752"/>
          <w:sz w:val="17"/>
        </w:rPr>
        <w:t xml:space="preserve">[17] </w:t>
      </w:r>
      <w:r>
        <w:rPr>
          <w:rFonts w:ascii="Aptos" w:hAnsi="Aptos" w:eastAsia="Aptos"/>
          <w:color w:val="181F26"/>
          <w:sz w:val="17"/>
        </w:rPr>
        <w:t>Halpern, J. Y., &amp; Pearl, J. (2005). Causes and explanations: A structural-model approach. Part II. British Journal for the Philosophy of Science, 56(4), 889–911. https://doi.org/10.1093/bjps/axi148</w:t>
      </w:r>
    </w:p>
    <w:p>
      <w:pPr>
        <w:spacing w:after="60" w:line="240" w:lineRule="auto"/>
        <w:ind w:left="403" w:hanging="403"/>
      </w:pPr>
      <w:r>
        <w:rPr>
          <w:rFonts w:ascii="Aptos" w:hAnsi="Aptos" w:eastAsia="Aptos"/>
          <w:b/>
          <w:color w:val="163752"/>
          <w:sz w:val="17"/>
        </w:rPr>
        <w:t xml:space="preserve">[18] </w:t>
      </w:r>
      <w:r>
        <w:rPr>
          <w:rFonts w:ascii="Aptos" w:hAnsi="Aptos" w:eastAsia="Aptos"/>
          <w:color w:val="181F26"/>
          <w:sz w:val="17"/>
        </w:rPr>
        <w:t>National Institute of Standards and Technology. (2023). Artificial Intelligence Risk Management Framework (AI RMF 1.0). NIST AI 100-1. https://doi.org/10.6028/NIST.AI.100-1</w:t>
      </w:r>
    </w:p>
    <w:sectPr w:rsidR="00FC693F" w:rsidRPr="0006063C" w:rsidSect="00034616">
      <w:headerReference w:type="default" r:id="rId9"/>
      <w:footerReference w:type="default" r:id="rId10"/>
      <w:pgSz w:w="12240" w:h="15840"/>
      <w:pgMar w:top="1181" w:right="1325" w:bottom="1181" w:left="1325"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A636C"/>
        <w:sz w:val="16"/>
      </w:rPr>
      <w:t xml:space="preserve">PREPRINT DRAFT  |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5" w:color="CBD5DC"/>
      </w:pBdr>
    </w:pPr>
    <w:r>
      <w:rPr>
        <w:rFonts w:ascii="Aptos" w:hAnsi="Aptos" w:eastAsia="Aptos"/>
        <w:b/>
        <w:color w:val="5A636C"/>
        <w:sz w:val="16"/>
      </w:rPr>
      <w:t>DEFENSIBLE FORGETTING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Aptos" w:hAnsi="Aptos"/>
      <w:color w:val="18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6375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A5B7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637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pPr>
    <w:rPr>
      <w:rFonts w:ascii="Aptos" w:hAnsi="Aptos"/>
      <w:i w:val="0"/>
      <w:iCs/>
      <w:color w:val="5A636C"/>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ptos" w:hAnsi="Aptos"/>
      <w:b/>
      <w:bCs/>
      <w:i/>
      <w:color w:val="5A63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40"/>
      <w:jc w:val="center"/>
    </w:pPr>
    <w:rPr>
      <w:rFonts w:ascii="Cambria Math" w:hAnsi="Cambria Math"/>
      <w:sz w:val="21"/>
    </w:rPr>
  </w:style>
  <w:style w:type="paragraph" w:customStyle="1" w:styleId="Theorem">
    <w:name w:val="Theorem"/>
    <w:pPr>
      <w:spacing w:before="120" w:after="120" w:line="269" w:lineRule="auto"/>
      <w:ind w:left="317" w:right="173"/>
    </w:pPr>
    <w:rPr>
      <w:rFonts w:ascii="Aptos" w:hAnsi="Aptos"/>
      <w:color w:val="181F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Defensible Forgetting: Minimal Provenance Under Certification Constraints</dc:title>
  <dc:subject>Neuroscience-AGI research preprint</dc:subject>
  <dc:creator>Debiprasad Ghosh</dc:creator>
  <cp:keywords>provenance, neural transport, SE(2), grid cells, defensible intelligence</cp:keywords>
  <dc:description>Prepared as a complete preprint draft; empirical claims are limited to cited work and explicitly labelled synthetic validation.</dc:description>
  <cp:lastModifiedBy/>
  <cp:revision>1</cp:revision>
  <dcterms:created xsi:type="dcterms:W3CDTF">2013-12-23T23:15:00Z</dcterms:created>
  <dcterms:modified xsi:type="dcterms:W3CDTF">2013-12-23T23:15:00Z</dcterms:modified>
  <cp:category/>
</cp:coreProperties>
</file>