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40"/>
        <w:jc w:val="center"/>
      </w:pPr>
      <w:r>
        <w:rPr>
          <w:rFonts w:ascii="Aptos Display" w:hAnsi="Aptos Display" w:eastAsia="Aptos Display"/>
          <w:b/>
          <w:i w:val="0"/>
          <w:color w:val="163752"/>
          <w:sz w:val="50"/>
        </w:rPr>
        <w:t>Transport at the Seams: Descent Tests for Path Dependence in Neural Population Codes</w:t>
      </w:r>
    </w:p>
    <w:p>
      <w:pPr>
        <w:spacing w:after="600"/>
        <w:jc w:val="center"/>
      </w:pPr>
      <w:r>
        <w:rPr>
          <w:rFonts w:ascii="Aptos" w:hAnsi="Aptos" w:eastAsia="Aptos"/>
          <w:b w:val="0"/>
          <w:i w:val="0"/>
          <w:color w:val="2A5B7E"/>
          <w:sz w:val="26"/>
        </w:rPr>
        <w:t>An ordered model-selection protocol for local maps, transition data, and path history</w:t>
      </w:r>
    </w:p>
    <w:p>
      <w:pPr>
        <w:spacing w:after="80"/>
        <w:jc w:val="center"/>
      </w:pPr>
      <w:r>
        <w:rPr>
          <w:rFonts w:ascii="Aptos" w:hAnsi="Aptos" w:eastAsia="Aptos"/>
          <w:b/>
          <w:color w:val="181F26"/>
          <w:sz w:val="24"/>
        </w:rPr>
        <w:t>Debiprasad Ghosh</w:t>
      </w:r>
    </w:p>
    <w:p>
      <w:pPr>
        <w:spacing w:after="40"/>
        <w:jc w:val="center"/>
      </w:pPr>
      <w:r>
        <w:rPr>
          <w:rFonts w:ascii="Aptos" w:hAnsi="Aptos" w:eastAsia="Aptos"/>
          <w:color w:val="5A636C"/>
          <w:sz w:val="21"/>
        </w:rPr>
        <w:t>Debias Parametric Guru, Kolkata, India</w:t>
      </w:r>
    </w:p>
    <w:p>
      <w:pPr>
        <w:spacing w:after="720"/>
        <w:jc w:val="center"/>
      </w:pPr>
      <w:r>
        <w:rPr>
          <w:rFonts w:ascii="Aptos" w:hAnsi="Aptos" w:eastAsia="Aptos"/>
          <w:color w:val="5A636C"/>
          <w:sz w:val="20"/>
        </w:rPr>
        <w:t>28 August 2026</w:t>
      </w:r>
    </w:p>
    <w:p>
      <w:pPr>
        <w:ind w:left="936" w:right="936"/>
        <w:jc w:val="center"/>
      </w:pPr>
      <w:r>
        <w:rPr>
          <w:rFonts w:ascii="Aptos" w:hAnsi="Aptos" w:eastAsia="Aptos"/>
          <w:i/>
          <w:color w:val="5A636C"/>
          <w:sz w:val="19"/>
        </w:rPr>
        <w:t>Methods preprint. No new animal or human data are claimed. Estimator behavior is demonstrated on synthetic transition data, and the cyclic-compartment experiment is presented as a prospective protocol.</w:t>
      </w:r>
    </w:p>
    <w:p>
      <w:r/>
    </w:p>
    <w:p>
      <w:pPr>
        <w:spacing w:after="100"/>
      </w:pPr>
      <w:r>
        <w:rPr>
          <w:rFonts w:ascii="Aptos Display" w:hAnsi="Aptos Display" w:eastAsia="Aptos Display"/>
          <w:b/>
          <w:i w:val="0"/>
          <w:color w:val="163752"/>
          <w:sz w:val="28"/>
        </w:rPr>
        <w:t>Abstract</w:t>
      </w:r>
    </w:p>
    <w:p>
      <w:pPr>
        <w:spacing w:after="180"/>
        <w:ind w:left="259" w:right="259"/>
      </w:pPr>
      <w:r>
        <w:t>Neural population codes for space are often described using manifolds, topology, bundles, curvature, and holonomy, but these structures are commonly imposed as interpretations rather than selected against simpler alternatives. We formulate a model-selection protocol whose central question is: through which coarsest description of state and path history does observed population transport factor? Starting from locally estimated operators between aligned population states, the protocol applies four audits in order. Metric feasibility asks whether the observed invertible transports are simultaneously conjugate to isometries. Reversal defect tests groupoid compatibility. Contractible-loop defect tests flatness only after reversal has been earned. Ordered loop commutators then test nonabelianity independently of loop area. Every audit is repeated under nested base augmentations—heading, velocity, behavioral goal, elapsed time, and learning epoch—so that omitted state is considered before geometric memory. We separately test globalization: local codes may change across compartments in a topologically simple arena, while locally valid transition maps may still glue or fail to glue. A nonabelian Čech-style procedure estimates overlap transitions gᵢⱼ, checks triple-overlap cocycles, and tests simultaneous trivializability. We propose a cyclic repeated-compartment environment whose patch nerve contains a loop; its diagnostic observable is monodromy M = gₙ₁⋯g₁₂, with an r-sheet hypothesis predicting latent-state return after r laps. Synthetic experiments show when permutation synchronization recovers this monodromy under noisy seam observations. The framework does not assume neural curvature. It reports the least elaborate transport signature forced by the data: global symmetry, covering/local system, flat or curved connection, omitted contextual state, contractive transport, or irreversible directed history.</w:t>
      </w:r>
    </w:p>
    <w:p>
      <w:pPr>
        <w:ind w:left="259"/>
        <w:pBdr>
          <w:bottom w:val="single" w:sz="4" w:space="5" w:color="CAD6DE"/>
        </w:pBdr>
      </w:pPr>
      <w:r>
        <w:rPr>
          <w:rFonts w:ascii="Aptos" w:hAnsi="Aptos" w:eastAsia="Aptos"/>
          <w:b/>
          <w:color w:val="163752"/>
          <w:sz w:val="19"/>
        </w:rPr>
        <w:t xml:space="preserve">Keywords: </w:t>
      </w:r>
      <w:r>
        <w:rPr>
          <w:rFonts w:ascii="Aptos" w:hAnsi="Aptos" w:eastAsia="Aptos"/>
          <w:color w:val="5A636C"/>
          <w:sz w:val="19"/>
        </w:rPr>
        <w:t>neural population codes; hippocampus; entorhinal cortex; parallel transport; holonomy; monodromy; Čech descent; model selection; representational drift</w:t>
      </w:r>
    </w:p>
    <w:p>
      <w:pPr>
        <w:pStyle w:val="Heading1"/>
      </w:pPr>
      <w:r>
        <w:t>1. Introduction</w:t>
      </w:r>
    </w:p>
    <w:p>
      <w:r>
        <w:t>Spatial neuroscience has gained a productive geometric vocabulary. Grid-cell populations can exhibit toroidal organization; low-dimensional neural manifolds can be reconstructed from large recordings; environmental changes can fragment or remap spatial firing; and route-dependent place cells distinguish trajectories that pass through the same location [1–7]. These observations motivate topology and differential geometry. They do not, by themselves, identify which geometric structure is present. A toroidal population manifold is not evidence of a curved connection. Fragmentation is not monodromy. Directional firing at a physical location may reflect an omitted heading variable rather than irreversible transport. Decay can make a transport non-unitary while remaining flat.</w:t>
      </w:r>
    </w:p>
    <w:p>
      <w:r>
        <w:t>The methodological risk is a one-way escalation: whenever a global displacement code fails, a richer geometric object is named. Because a sufficiently history-rich latent state can fit any sequential data, this escalation eventually becomes unfalsifiable. The corrective principle of this paper is descent. Begin with detailed trajectories and ask which distinctions can be quotiented out while preserving predictive transport. The answer is not chosen in advance. It is the coarsest state-and-path description through which the measured operators factor within uncertainty.</w:t>
      </w:r>
    </w:p>
    <w:p>
      <w:r>
        <w:t>The proposal has two linked parts. The first is an ordered transport audit. It distinguishes attrition, failure of reversibility, contractible-loop holonomy, and noncommutativity. The second is a seam audit. It covers an arena or task by local patches, estimates coordinate changes on overlaps, tests their consistency, and asks whether they can be removed by local relabeling. Geometry and topology thereby receive separate operational questions: does the local transport law change, and do locally valid descriptions globalize?</w:t>
      </w:r>
    </w:p>
    <w:p>
      <w:r>
        <w:t>The scope is intentionally methodological. Existing results such as fragmentation in the hairpin maze constrain candidate models, but the hairpin adjacency is a chain and supplies no nerve cycle on which to measure monodromy [3]. The same experiments also show that compartment geometry can disrupt a global grid symmetry in an arena without a topological hole. Fragmentation is therefore a reason to run descent tests, not the result of such tests. A decisive covering-space experiment requires a cycle in the overlap structure and repeated local ambiguity around that cycle.</w:t>
      </w:r>
    </w:p>
    <w:p>
      <w:pPr>
        <w:pStyle w:val="Heading2"/>
      </w:pPr>
      <w:r>
        <w:t>1.1 Contributions</w:t>
      </w:r>
    </w:p>
    <w:p>
      <w:pPr>
        <w:pStyle w:val="ListBullet"/>
        <w:spacing w:after="60" w:line="269" w:lineRule="auto"/>
        <w:ind w:left="605" w:hanging="288"/>
      </w:pPr>
      <w:r>
        <w:t>A two-axis model class separating what path information transport uses from the algebraic type of the operators in which it lands.</w:t>
      </w:r>
    </w:p>
    <w:p>
      <w:pPr>
        <w:pStyle w:val="ListBullet"/>
        <w:spacing w:after="60" w:line="269" w:lineRule="auto"/>
        <w:ind w:left="605" w:hanging="288"/>
      </w:pPr>
      <w:r>
        <w:t>An ordered estimator protocol: metric feasibility, reversal, contractible-loop flatness, and loop-order commutators.</w:t>
      </w:r>
    </w:p>
    <w:p>
      <w:pPr>
        <w:pStyle w:val="ListBullet"/>
        <w:spacing w:after="60" w:line="269" w:lineRule="auto"/>
        <w:ind w:left="605" w:hanging="288"/>
      </w:pPr>
      <w:r>
        <w:t>Nested state augmentation as a disciplined alternative to attributing every route effect to geometry.</w:t>
      </w:r>
    </w:p>
    <w:p>
      <w:pPr>
        <w:pStyle w:val="ListBullet"/>
        <w:spacing w:after="60" w:line="269" w:lineRule="auto"/>
        <w:ind w:left="605" w:hanging="288"/>
      </w:pPr>
      <w:r>
        <w:t>A nonabelian Čech-style seam procedure distinguishing local change from failure to globalize.</w:t>
      </w:r>
    </w:p>
    <w:p>
      <w:pPr>
        <w:pStyle w:val="ListBullet"/>
        <w:spacing w:after="60" w:line="269" w:lineRule="auto"/>
        <w:ind w:left="605" w:hanging="288"/>
      </w:pPr>
      <w:r>
        <w:t>A cyclic repeated-compartment paradigm with a direct monodromy and r-lap-return prediction.</w:t>
      </w:r>
    </w:p>
    <w:p>
      <w:pPr>
        <w:pStyle w:val="ListBullet"/>
        <w:spacing w:after="60" w:line="269" w:lineRule="auto"/>
        <w:ind w:left="605" w:hanging="288"/>
      </w:pPr>
      <w:r>
        <w:t>Synthetic validation of discrete transition and monodromy recovery under controlled observation noise.</w:t>
      </w:r>
    </w:p>
    <w:p>
      <w:pPr>
        <w:pStyle w:val="Heading1"/>
      </w:pPr>
      <w:r>
        <w:t>2. Background and Conceptual Separations</w:t>
      </w:r>
    </w:p>
    <w:p>
      <w:pPr>
        <w:pStyle w:val="Heading2"/>
      </w:pPr>
      <w:r>
        <w:t>2.1 Transport lives on paths before it descends</w:t>
      </w:r>
    </w:p>
    <w:p>
      <w:r>
        <w:t>For a smooth bundle with connection over a base X, parallel transport assigns an invertible map T(γ) between fibres to each sufficiently regular path γ. Reparameterization and immediate backtracking do not change ordinary parallel transport, so the natural source is the thin path groupoid: paths are identified only by homotopies that sweep no area [8,9]. A flat connection descends further to the fundamental groupoid, whose arrows are homotopy classes relative to endpoints. A globally trivial flat connection may descend further to endpoint displacement. These quotients form hypotheses about which aspects of history remain observable.</w:t>
      </w:r>
    </w:p>
    <w:p>
      <w:pPr>
        <w:pStyle w:val="Equation"/>
      </w:pPr>
      <w:r>
        <w:t>detailed traversal → thin-path class → homotopy class → endpoints/displacement</w:t>
      </w:r>
    </w:p>
    <w:p>
      <w:r>
        <w:t>Failure to descend can have several causes. The base may omit heading, goal, time, or task phase. Operators may be contractive and non-invertible. A learned transport law may change across sessions. Only after these alternatives are controlled does reproducible loop dependence support a connection-level interpretation.</w:t>
      </w:r>
    </w:p>
    <w:p>
      <w:pPr>
        <w:pStyle w:val="Heading2"/>
      </w:pPr>
      <w:r>
        <w:t>2.2 Source quotient and target algebra are independent</w:t>
      </w:r>
    </w:p>
    <w:p>
      <w:r>
        <w:t>How much of the path an operator sees is independent of whether the operator preserves a norm or is invertible. RoPE-like translation representations land in unitary operators and depend only on displacement. A leaky path integrator can also depend only on displacement or elapsed path length while landing in a non-unitary semigroup. An append-only provenance state can depend on the full directed traversal and be non-invertible. Treating these as a single ladder causes attenuation to be misread as curvature.</w:t>
      </w:r>
    </w:p>
    <w:tbl>
      <w:tblPr>
        <w:tblStyle w:val="TableGrid"/>
        <w:tblW w:type="dxa" w:w="9360"/>
        <w:jc w:val="center"/>
        <w:tblLayout w:type="fixed"/>
        <w:tblLook w:firstColumn="1" w:firstRow="1" w:lastColumn="0" w:lastRow="0" w:noHBand="0" w:noVBand="1" w:val="04A0"/>
        <w:tblInd w:w="120" w:type="dxa"/>
      </w:tblPr>
      <w:tblGrid>
        <w:gridCol w:w="2200"/>
        <w:gridCol w:w="2380"/>
        <w:gridCol w:w="2380"/>
        <w:gridCol w:w="2400"/>
      </w:tblGrid>
      <w:tr>
        <w:trPr>
          <w:tblHeader w:val="true"/>
          <w:cantSplit/>
        </w:trPr>
        <w:tc>
          <w:tcPr>
            <w:tcW w:type="dxa" w:w="2200"/>
            <w:shd w:fill="DDE8EF"/>
            <w:vAlign w:val="center"/>
          </w:tcPr>
          <w:p>
            <w:pPr>
              <w:jc w:val="left"/>
            </w:pPr>
            <w:r>
              <w:rPr>
                <w:rFonts w:ascii="Aptos" w:hAnsi="Aptos" w:eastAsia="Aptos"/>
                <w:b/>
                <w:color w:val="163752"/>
                <w:sz w:val="17"/>
              </w:rPr>
              <w:t>Source description</w:t>
            </w:r>
          </w:p>
        </w:tc>
        <w:tc>
          <w:tcPr>
            <w:tcW w:type="dxa" w:w="2380"/>
            <w:shd w:fill="DDE8EF"/>
            <w:vAlign w:val="center"/>
          </w:tcPr>
          <w:p>
            <w:pPr>
              <w:jc w:val="left"/>
            </w:pPr>
            <w:r>
              <w:rPr>
                <w:rFonts w:ascii="Aptos" w:hAnsi="Aptos" w:eastAsia="Aptos"/>
                <w:b/>
                <w:color w:val="163752"/>
                <w:sz w:val="17"/>
              </w:rPr>
              <w:t>Isometric group</w:t>
            </w:r>
          </w:p>
        </w:tc>
        <w:tc>
          <w:tcPr>
            <w:tcW w:type="dxa" w:w="2380"/>
            <w:shd w:fill="DDE8EF"/>
            <w:vAlign w:val="center"/>
          </w:tcPr>
          <w:p>
            <w:pPr>
              <w:jc w:val="left"/>
            </w:pPr>
            <w:r>
              <w:rPr>
                <w:rFonts w:ascii="Aptos" w:hAnsi="Aptos" w:eastAsia="Aptos"/>
                <w:b/>
                <w:color w:val="163752"/>
                <w:sz w:val="17"/>
              </w:rPr>
              <w:t>Invertible non-isometric</w:t>
            </w:r>
          </w:p>
        </w:tc>
        <w:tc>
          <w:tcPr>
            <w:tcW w:type="dxa" w:w="2400"/>
            <w:shd w:fill="DDE8EF"/>
            <w:vAlign w:val="center"/>
          </w:tcPr>
          <w:p>
            <w:pPr>
              <w:jc w:val="left"/>
            </w:pPr>
            <w:r>
              <w:rPr>
                <w:rFonts w:ascii="Aptos" w:hAnsi="Aptos" w:eastAsia="Aptos"/>
                <w:b/>
                <w:color w:val="163752"/>
                <w:sz w:val="17"/>
              </w:rPr>
              <w:t>Non-invertible/directed</w:t>
            </w:r>
          </w:p>
        </w:tc>
      </w:tr>
      <w:tr>
        <w:trPr>
          <w:cantSplit/>
        </w:trPr>
        <w:tc>
          <w:tcPr>
            <w:tcW w:type="dxa" w:w="2200"/>
            <w:vAlign w:val="center"/>
          </w:tcPr>
          <w:p>
            <w:pPr>
              <w:spacing w:after="20"/>
            </w:pPr>
            <w:r>
              <w:rPr>
                <w:rFonts w:ascii="Aptos" w:hAnsi="Aptos" w:eastAsia="Aptos"/>
                <w:color w:val="181F26"/>
                <w:sz w:val="17"/>
              </w:rPr>
              <w:t>Endpoint displacement</w:t>
            </w:r>
          </w:p>
        </w:tc>
        <w:tc>
          <w:tcPr>
            <w:tcW w:type="dxa" w:w="2380"/>
            <w:vAlign w:val="center"/>
          </w:tcPr>
          <w:p>
            <w:pPr>
              <w:spacing w:after="20"/>
            </w:pPr>
            <w:r>
              <w:rPr>
                <w:rFonts w:ascii="Aptos" w:hAnsi="Aptos" w:eastAsia="Aptos"/>
                <w:color w:val="181F26"/>
                <w:sz w:val="17"/>
              </w:rPr>
              <w:t>Relative phase / global grid code</w:t>
            </w:r>
          </w:p>
        </w:tc>
        <w:tc>
          <w:tcPr>
            <w:tcW w:type="dxa" w:w="2380"/>
            <w:vAlign w:val="center"/>
          </w:tcPr>
          <w:p>
            <w:pPr>
              <w:spacing w:after="20"/>
            </w:pPr>
            <w:r>
              <w:rPr>
                <w:rFonts w:ascii="Aptos" w:hAnsi="Aptos" w:eastAsia="Aptos"/>
                <w:color w:val="181F26"/>
                <w:sz w:val="17"/>
              </w:rPr>
              <w:t>Gain, anisotropic scaling</w:t>
            </w:r>
          </w:p>
        </w:tc>
        <w:tc>
          <w:tcPr>
            <w:tcW w:type="dxa" w:w="2400"/>
            <w:vAlign w:val="center"/>
          </w:tcPr>
          <w:p>
            <w:pPr>
              <w:spacing w:after="20"/>
            </w:pPr>
            <w:r>
              <w:rPr>
                <w:rFonts w:ascii="Aptos" w:hAnsi="Aptos" w:eastAsia="Aptos"/>
                <w:color w:val="181F26"/>
                <w:sz w:val="17"/>
              </w:rPr>
              <w:t>Leak or saturation</w:t>
            </w:r>
          </w:p>
        </w:tc>
      </w:tr>
      <w:tr>
        <w:trPr>
          <w:cantSplit/>
        </w:trPr>
        <w:tc>
          <w:tcPr>
            <w:tcW w:type="dxa" w:w="2200"/>
            <w:vAlign w:val="center"/>
          </w:tcPr>
          <w:p>
            <w:pPr>
              <w:spacing w:after="20"/>
            </w:pPr>
            <w:r>
              <w:rPr>
                <w:rFonts w:ascii="Aptos" w:hAnsi="Aptos" w:eastAsia="Aptos"/>
                <w:color w:val="181F26"/>
                <w:sz w:val="17"/>
              </w:rPr>
              <w:t>Homotopy class</w:t>
            </w:r>
          </w:p>
        </w:tc>
        <w:tc>
          <w:tcPr>
            <w:tcW w:type="dxa" w:w="2380"/>
            <w:vAlign w:val="center"/>
          </w:tcPr>
          <w:p>
            <w:pPr>
              <w:spacing w:after="20"/>
            </w:pPr>
            <w:r>
              <w:rPr>
                <w:rFonts w:ascii="Aptos" w:hAnsi="Aptos" w:eastAsia="Aptos"/>
                <w:color w:val="181F26"/>
                <w:sz w:val="17"/>
              </w:rPr>
              <w:t>Covering monodromy</w:t>
            </w:r>
          </w:p>
        </w:tc>
        <w:tc>
          <w:tcPr>
            <w:tcW w:type="dxa" w:w="2380"/>
            <w:vAlign w:val="center"/>
          </w:tcPr>
          <w:p>
            <w:pPr>
              <w:spacing w:after="20"/>
            </w:pPr>
            <w:r>
              <w:rPr>
                <w:rFonts w:ascii="Aptos" w:hAnsi="Aptos" w:eastAsia="Aptos"/>
                <w:color w:val="181F26"/>
                <w:sz w:val="17"/>
              </w:rPr>
              <w:t>Non-unitary local system</w:t>
            </w:r>
          </w:p>
        </w:tc>
        <w:tc>
          <w:tcPr>
            <w:tcW w:type="dxa" w:w="2400"/>
            <w:vAlign w:val="center"/>
          </w:tcPr>
          <w:p>
            <w:pPr>
              <w:spacing w:after="20"/>
            </w:pPr>
            <w:r>
              <w:rPr>
                <w:rFonts w:ascii="Aptos" w:hAnsi="Aptos" w:eastAsia="Aptos"/>
                <w:color w:val="181F26"/>
                <w:sz w:val="17"/>
              </w:rPr>
              <w:t>—</w:t>
            </w:r>
          </w:p>
        </w:tc>
      </w:tr>
      <w:tr>
        <w:trPr>
          <w:cantSplit/>
        </w:trPr>
        <w:tc>
          <w:tcPr>
            <w:tcW w:type="dxa" w:w="2200"/>
            <w:vAlign w:val="center"/>
          </w:tcPr>
          <w:p>
            <w:pPr>
              <w:spacing w:after="20"/>
            </w:pPr>
            <w:r>
              <w:rPr>
                <w:rFonts w:ascii="Aptos" w:hAnsi="Aptos" w:eastAsia="Aptos"/>
                <w:color w:val="181F26"/>
                <w:sz w:val="17"/>
              </w:rPr>
              <w:t>Thin-path class</w:t>
            </w:r>
          </w:p>
        </w:tc>
        <w:tc>
          <w:tcPr>
            <w:tcW w:type="dxa" w:w="2380"/>
            <w:vAlign w:val="center"/>
          </w:tcPr>
          <w:p>
            <w:pPr>
              <w:spacing w:after="20"/>
            </w:pPr>
            <w:r>
              <w:rPr>
                <w:rFonts w:ascii="Aptos" w:hAnsi="Aptos" w:eastAsia="Aptos"/>
                <w:color w:val="181F26"/>
                <w:sz w:val="17"/>
              </w:rPr>
              <w:t>Connection transport</w:t>
            </w:r>
          </w:p>
        </w:tc>
        <w:tc>
          <w:tcPr>
            <w:tcW w:type="dxa" w:w="2380"/>
            <w:vAlign w:val="center"/>
          </w:tcPr>
          <w:p>
            <w:pPr>
              <w:spacing w:after="20"/>
            </w:pPr>
            <w:r>
              <w:rPr>
                <w:rFonts w:ascii="Aptos" w:hAnsi="Aptos" w:eastAsia="Aptos"/>
                <w:color w:val="181F26"/>
                <w:sz w:val="17"/>
              </w:rPr>
              <w:t>Connection plus gain/decay</w:t>
            </w:r>
          </w:p>
        </w:tc>
        <w:tc>
          <w:tcPr>
            <w:tcW w:type="dxa" w:w="2400"/>
            <w:vAlign w:val="center"/>
          </w:tcPr>
          <w:p>
            <w:pPr>
              <w:spacing w:after="20"/>
            </w:pPr>
            <w:r>
              <w:rPr>
                <w:rFonts w:ascii="Aptos" w:hAnsi="Aptos" w:eastAsia="Aptos"/>
                <w:color w:val="181F26"/>
                <w:sz w:val="17"/>
              </w:rPr>
              <w:t>—</w:t>
            </w:r>
          </w:p>
        </w:tc>
      </w:tr>
      <w:tr>
        <w:trPr>
          <w:cantSplit/>
        </w:trPr>
        <w:tc>
          <w:tcPr>
            <w:tcW w:type="dxa" w:w="2200"/>
            <w:vAlign w:val="center"/>
          </w:tcPr>
          <w:p>
            <w:pPr>
              <w:spacing w:after="20"/>
            </w:pPr>
            <w:r>
              <w:rPr>
                <w:rFonts w:ascii="Aptos" w:hAnsi="Aptos" w:eastAsia="Aptos"/>
                <w:color w:val="181F26"/>
                <w:sz w:val="17"/>
              </w:rPr>
              <w:t>Full directed history</w:t>
            </w:r>
          </w:p>
        </w:tc>
        <w:tc>
          <w:tcPr>
            <w:tcW w:type="dxa" w:w="2380"/>
            <w:vAlign w:val="center"/>
          </w:tcPr>
          <w:p>
            <w:pPr>
              <w:spacing w:after="20"/>
            </w:pPr>
            <w:r>
              <w:rPr>
                <w:rFonts w:ascii="Aptos" w:hAnsi="Aptos" w:eastAsia="Aptos"/>
                <w:color w:val="181F26"/>
                <w:sz w:val="17"/>
              </w:rPr>
              <w:t>—</w:t>
            </w:r>
          </w:p>
        </w:tc>
        <w:tc>
          <w:tcPr>
            <w:tcW w:type="dxa" w:w="2380"/>
            <w:vAlign w:val="center"/>
          </w:tcPr>
          <w:p>
            <w:pPr>
              <w:spacing w:after="20"/>
            </w:pPr>
            <w:r>
              <w:rPr>
                <w:rFonts w:ascii="Aptos" w:hAnsi="Aptos" w:eastAsia="Aptos"/>
                <w:color w:val="181F26"/>
                <w:sz w:val="17"/>
              </w:rPr>
              <w:t>—</w:t>
            </w:r>
          </w:p>
        </w:tc>
        <w:tc>
          <w:tcPr>
            <w:tcW w:type="dxa" w:w="2400"/>
            <w:vAlign w:val="center"/>
          </w:tcPr>
          <w:p>
            <w:pPr>
              <w:spacing w:after="20"/>
            </w:pPr>
            <w:r>
              <w:rPr>
                <w:rFonts w:ascii="Aptos" w:hAnsi="Aptos" w:eastAsia="Aptos"/>
                <w:color w:val="181F26"/>
                <w:sz w:val="17"/>
              </w:rPr>
              <w:t>Recurrent or provenance state</w:t>
            </w:r>
          </w:p>
        </w:tc>
      </w:tr>
    </w:tbl>
    <w:p>
      <w:pPr>
        <w:spacing w:after="20"/>
      </w:pPr>
    </w:p>
    <w:p>
      <w:pPr>
        <w:pStyle w:val="Heading2"/>
      </w:pPr>
      <w:r>
        <w:t>2.3 Geometry is not topology</w:t>
      </w:r>
    </w:p>
    <w:p>
      <w:r>
        <w:t>Derdikman et al. found that grid maps fragmented into repeating submaps in a hairpin maze, with transitions near turns [3]. Spiers et al. and subsequent work found repeated place fields in multicompartment environments [4,5]. These findings show that a single global positional law can be a poor description when environmental geometry is compartmentalized. They do not establish a nontrivial covering, because local labels must be compared on overlaps and around cycles before a monodromy class can be inferred. The operational separation is:</w:t>
      </w:r>
    </w:p>
    <w:p>
      <w:pPr>
        <w:pStyle w:val="Equation"/>
      </w:pPr>
      <w:r>
        <w:t>Geometry: does the locally fitted law change?     Topology: do locally valid laws glue globally?</w:t>
      </w:r>
    </w:p>
    <w:p>
      <w:pPr>
        <w:pStyle w:val="Heading1"/>
      </w:pPr>
      <w:r>
        <w:t>3. Data Model and Local Transport Estimation</w:t>
      </w:r>
    </w:p>
    <w:p>
      <w:r>
        <w:t>Let z(t) ∈ ℝᵈ be a population activity vector after standard preprocessing, and let b(t) be a candidate base state containing physical position plus selected behavioral variables. For nearby observations assigned to source bin i and target bin j under displacement or short path segment Δ, estimate a regularized linear transport MΔ(i) by minimizing held-out prediction error. Nonlinear alternatives may be used, but local linearization provides comparable operators and uncertainty estimates.</w:t>
      </w:r>
    </w:p>
    <w:p>
      <w:pPr>
        <w:pStyle w:val="Equation"/>
      </w:pPr>
      <w:r>
        <w:t>M̂Δ(i) = arg min over M  Σₜ ||z(t+Δ) − M z(t)||² + λ||M||²F</w:t>
      </w:r>
    </w:p>
    <w:p>
      <w:r>
        <w:t>Population coordinates are not intrinsically aligned across patches or sessions. Within a session, shared neurons provide a default fibre identification; across sessions, cell turnover and representational drift require an explicit alignment model. Orthogonal Procrustes, canonical correlation, latent dynamical models, or optimal transport may be used, but the choice is part of the hypothesis. A reported cross-session connection without an identification convention is gauge dependent.</w:t>
      </w:r>
    </w:p>
    <w:p>
      <w:r>
        <w:t>Operator uncertainty should be estimated by blocked bootstrap over trajectories, not by treating adjacent time bins as independent. All defects below are compared with matched nulls that preserve occupancy, speed, firing-rate autocorrelation, and trial structure. Model complexity is controlled by nested cross-validation: base variables are selected on training folds, operators are fitted on inner folds, and defects are evaluated on held-out trajectories.</w:t>
      </w:r>
    </w:p>
    <w:p>
      <w:pPr>
        <w:pStyle w:val="Heading1"/>
      </w:pPr>
      <w:r>
        <w:t>4. Ordered Transport Audits</w:t>
      </w:r>
    </w:p>
    <w:p>
      <w:pPr>
        <w:pStyle w:val="Heading2"/>
      </w:pPr>
      <w:r>
        <w:t>4.1 Audit 1: metric feasibility</w:t>
      </w:r>
    </w:p>
    <w:p>
      <w:r>
        <w:t>A norm defect cannot be computed before a fibre metric is declared. A metric-free question is whether the invertible transports are simultaneously conjugate to isometries: does there exist a positive-definite Gram matrix G satisfying T*GT = G for every transport in the fitted family? For a group of finite-dimensional operators, uniform boundedness of the operators and their inverses is the relevant feasibility condition; when the closure is compact, an invariant metric can be obtained by averaging. In finite noisy data, solve the semidefinite feasibility problem with slack and report the minimum normalized residual.</w:t>
      </w:r>
    </w:p>
    <w:p>
      <w:pPr>
        <w:pStyle w:val="Equation"/>
      </w:pPr>
      <w:r>
        <w:t>Dmetric = min over G ≻ εI  Σγ ||T(γ)*GT(γ) − G||²F / ||G||²F</w:t>
      </w:r>
    </w:p>
    <w:p>
      <w:r>
        <w:t>A large residual closes the unitary interpretation but says nothing yet about curvature. It may reflect gain modulation, decay, under-sampling, or a nonlinear code whose linearization changes with state.</w:t>
      </w:r>
    </w:p>
    <w:p>
      <w:pPr>
        <w:pStyle w:val="Heading2"/>
      </w:pPr>
      <w:r>
        <w:t>4.2 Audit 2: reversal</w:t>
      </w:r>
    </w:p>
    <w:p>
      <w:pPr>
        <w:pStyle w:val="Equation"/>
      </w:pPr>
      <w:r>
        <w:t>Drev(γ) = ||T(γ̄)T(γ) − I||F</w:t>
      </w:r>
    </w:p>
    <w:p>
      <w:r>
        <w:t>A two-edge out-and-back loop tests whether forward transport is inverted by the reverse traversal. It is a groupoid-compatibility test, not a curvature test. If forward and reverse maps are independently parameterized, Drev is informative; if the implementation enforces T(γ̄) = T(γ)⁻¹, it is a construction invariant and should not be reported as evidence. Persistent reversal failure after base augmentation indicates either non-invertible dynamics, hysteresis, or irreversible history, and bundle language should be used cautiously.</w:t>
      </w:r>
    </w:p>
    <w:p>
      <w:pPr>
        <w:pStyle w:val="Heading2"/>
      </w:pPr>
      <w:r>
        <w:t>4.3 Audit 3: contractible-loop defect</w:t>
      </w:r>
    </w:p>
    <w:p>
      <w:r>
        <w:t>Curvature requires an alternative route. For a small plaquette with directed edges a, b, ā, b̄, form the ordered holonomy:</w:t>
      </w:r>
    </w:p>
    <w:p>
      <w:pPr>
        <w:pStyle w:val="Equation"/>
      </w:pPr>
      <w:r>
        <w:t>H□ = T(b̄)T(ā)T(b)T(a),        Dflat = ||H□ − I||F</w:t>
      </w:r>
    </w:p>
    <w:p>
      <w:r>
        <w:t>The loop must be contractible in the augmented base and must survive occupancy-matched resampling. Under a smooth connection, small-loop holonomy is governed at leading order by the curvature two-form. A one-dimensional track has no spatial two-form Fxx; sequence asymmetry on that track may still be real, but it is not spatial curvature. A second base coordinate—heading, task phase, or learning epoch—must be explicit before a mixed curvature component can be discussed.</w:t>
      </w:r>
    </w:p>
    <w:p>
      <w:pPr>
        <w:pStyle w:val="Heading2"/>
      </w:pPr>
      <w:r>
        <w:t>4.4 Audit 4: noncommutativity</w:t>
      </w:r>
    </w:p>
    <w:p>
      <w:pPr>
        <w:pStyle w:val="Equation"/>
      </w:pPr>
      <w:r>
        <w:t>K(a,b) = H(a) H(b) H(a)⁻¹ H(b)⁻¹</w:t>
      </w:r>
    </w:p>
    <w:p>
      <w:r>
        <w:t>Order sensitivity of plasticity does not by itself imply a nonabelian holonomy group. Nonabelianity is tested by composing two independently estimated loop holonomies in opposite orders. The commutator differs from identity only when the represented loop actions fail to commute. Area and orientation experiments estimate curvature; loop-order commutators estimate nonabelianity. Keeping those experiments separate prevents a mechanistic story from substituting for an algebraic measurement.</w:t>
      </w:r>
    </w:p>
    <w:p>
      <w:pPr>
        <w:pStyle w:val="Heading1"/>
      </w:pPr>
      <w:r>
        <w:t>5. Nested Base Augmentation</w:t>
      </w:r>
    </w:p>
    <w:p>
      <w:r>
        <w:t>The physical arena X is rarely the full predictive state. Let Hₖ be a nested sequence of candidate augmentations, for example: none; heading; heading plus speed; previous arm; intended goal; elapsed time; learning epoch. For each Bₖ = X × Hₖ, refit transport and rerun all audits. Select the smallest Bₖ whose held-out prediction and defect profile are statistically indistinguishable from the next richer model.</w:t>
      </w:r>
    </w:p>
    <w:tbl>
      <w:tblPr>
        <w:tblStyle w:val="TableGrid"/>
        <w:tblW w:type="dxa" w:w="9360"/>
        <w:jc w:val="center"/>
        <w:tblLayout w:type="fixed"/>
        <w:tblLook w:firstColumn="1" w:firstRow="1" w:lastColumn="0" w:lastRow="0" w:noHBand="0" w:noVBand="1" w:val="04A0"/>
        <w:tblInd w:w="120" w:type="dxa"/>
      </w:tblPr>
      <w:tblGrid>
        <w:gridCol w:w="3000"/>
        <w:gridCol w:w="3100"/>
        <w:gridCol w:w="3260"/>
      </w:tblGrid>
      <w:tr>
        <w:trPr>
          <w:tblHeader w:val="true"/>
          <w:cantSplit/>
        </w:trPr>
        <w:tc>
          <w:tcPr>
            <w:tcW w:type="dxa" w:w="3000"/>
            <w:shd w:fill="DDE8EF"/>
            <w:vAlign w:val="center"/>
          </w:tcPr>
          <w:p>
            <w:pPr>
              <w:jc w:val="left"/>
            </w:pPr>
            <w:r>
              <w:rPr>
                <w:rFonts w:ascii="Aptos" w:hAnsi="Aptos" w:eastAsia="Aptos"/>
                <w:b/>
                <w:color w:val="163752"/>
                <w:sz w:val="17"/>
              </w:rPr>
              <w:t>Outcome after augmentation</w:t>
            </w:r>
          </w:p>
        </w:tc>
        <w:tc>
          <w:tcPr>
            <w:tcW w:type="dxa" w:w="3100"/>
            <w:shd w:fill="DDE8EF"/>
            <w:vAlign w:val="center"/>
          </w:tcPr>
          <w:p>
            <w:pPr>
              <w:jc w:val="left"/>
            </w:pPr>
            <w:r>
              <w:rPr>
                <w:rFonts w:ascii="Aptos" w:hAnsi="Aptos" w:eastAsia="Aptos"/>
                <w:b/>
                <w:color w:val="163752"/>
                <w:sz w:val="17"/>
              </w:rPr>
              <w:t>Interpretation</w:t>
            </w:r>
          </w:p>
        </w:tc>
        <w:tc>
          <w:tcPr>
            <w:tcW w:type="dxa" w:w="3260"/>
            <w:shd w:fill="DDE8EF"/>
            <w:vAlign w:val="center"/>
          </w:tcPr>
          <w:p>
            <w:pPr>
              <w:jc w:val="left"/>
            </w:pPr>
            <w:r>
              <w:rPr>
                <w:rFonts w:ascii="Aptos" w:hAnsi="Aptos" w:eastAsia="Aptos"/>
                <w:b/>
                <w:color w:val="163752"/>
                <w:sz w:val="17"/>
              </w:rPr>
              <w:t>Preferred object</w:t>
            </w:r>
          </w:p>
        </w:tc>
      </w:tr>
      <w:tr>
        <w:trPr>
          <w:cantSplit/>
        </w:trPr>
        <w:tc>
          <w:tcPr>
            <w:tcW w:type="dxa" w:w="3000"/>
            <w:vAlign w:val="center"/>
          </w:tcPr>
          <w:p>
            <w:pPr>
              <w:spacing w:after="20"/>
            </w:pPr>
            <w:r>
              <w:rPr>
                <w:rFonts w:ascii="Aptos" w:hAnsi="Aptos" w:eastAsia="Aptos"/>
                <w:color w:val="181F26"/>
                <w:sz w:val="17"/>
              </w:rPr>
              <w:t>Displacement-only, bounded, reversible</w:t>
            </w:r>
          </w:p>
        </w:tc>
        <w:tc>
          <w:tcPr>
            <w:tcW w:type="dxa" w:w="3100"/>
            <w:vAlign w:val="center"/>
          </w:tcPr>
          <w:p>
            <w:pPr>
              <w:spacing w:after="20"/>
            </w:pPr>
            <w:r>
              <w:rPr>
                <w:rFonts w:ascii="Aptos" w:hAnsi="Aptos" w:eastAsia="Aptos"/>
                <w:color w:val="181F26"/>
                <w:sz w:val="17"/>
              </w:rPr>
              <w:t>Global symmetry sufficient</w:t>
            </w:r>
          </w:p>
        </w:tc>
        <w:tc>
          <w:tcPr>
            <w:tcW w:type="dxa" w:w="3260"/>
            <w:vAlign w:val="center"/>
          </w:tcPr>
          <w:p>
            <w:pPr>
              <w:spacing w:after="20"/>
            </w:pPr>
            <w:r>
              <w:rPr>
                <w:rFonts w:ascii="Aptos" w:hAnsi="Aptos" w:eastAsia="Aptos"/>
                <w:color w:val="181F26"/>
                <w:sz w:val="17"/>
              </w:rPr>
              <w:t>Group representation</w:t>
            </w:r>
          </w:p>
        </w:tc>
      </w:tr>
      <w:tr>
        <w:trPr>
          <w:cantSplit/>
        </w:trPr>
        <w:tc>
          <w:tcPr>
            <w:tcW w:type="dxa" w:w="3000"/>
            <w:vAlign w:val="center"/>
          </w:tcPr>
          <w:p>
            <w:pPr>
              <w:spacing w:after="20"/>
            </w:pPr>
            <w:r>
              <w:rPr>
                <w:rFonts w:ascii="Aptos" w:hAnsi="Aptos" w:eastAsia="Aptos"/>
                <w:color w:val="181F26"/>
                <w:sz w:val="17"/>
              </w:rPr>
              <w:t>Discrete H restores flat reversible transport</w:t>
            </w:r>
          </w:p>
        </w:tc>
        <w:tc>
          <w:tcPr>
            <w:tcW w:type="dxa" w:w="3100"/>
            <w:vAlign w:val="center"/>
          </w:tcPr>
          <w:p>
            <w:pPr>
              <w:spacing w:after="20"/>
            </w:pPr>
            <w:r>
              <w:rPr>
                <w:rFonts w:ascii="Aptos" w:hAnsi="Aptos" w:eastAsia="Aptos"/>
                <w:color w:val="181F26"/>
                <w:sz w:val="17"/>
              </w:rPr>
              <w:t>Latent sheet/context state</w:t>
            </w:r>
          </w:p>
        </w:tc>
        <w:tc>
          <w:tcPr>
            <w:tcW w:type="dxa" w:w="3260"/>
            <w:vAlign w:val="center"/>
          </w:tcPr>
          <w:p>
            <w:pPr>
              <w:spacing w:after="20"/>
            </w:pPr>
            <w:r>
              <w:rPr>
                <w:rFonts w:ascii="Aptos" w:hAnsi="Aptos" w:eastAsia="Aptos"/>
                <w:color w:val="181F26"/>
                <w:sz w:val="17"/>
              </w:rPr>
              <w:t>Covering or local system</w:t>
            </w:r>
          </w:p>
        </w:tc>
      </w:tr>
      <w:tr>
        <w:trPr>
          <w:cantSplit/>
        </w:trPr>
        <w:tc>
          <w:tcPr>
            <w:tcW w:type="dxa" w:w="3000"/>
            <w:vAlign w:val="center"/>
          </w:tcPr>
          <w:p>
            <w:pPr>
              <w:spacing w:after="20"/>
            </w:pPr>
            <w:r>
              <w:rPr>
                <w:rFonts w:ascii="Aptos" w:hAnsi="Aptos" w:eastAsia="Aptos"/>
                <w:color w:val="181F26"/>
                <w:sz w:val="17"/>
              </w:rPr>
              <w:t>Continuous H restores transport</w:t>
            </w:r>
          </w:p>
        </w:tc>
        <w:tc>
          <w:tcPr>
            <w:tcW w:type="dxa" w:w="3100"/>
            <w:vAlign w:val="center"/>
          </w:tcPr>
          <w:p>
            <w:pPr>
              <w:spacing w:after="20"/>
            </w:pPr>
            <w:r>
              <w:rPr>
                <w:rFonts w:ascii="Aptos" w:hAnsi="Aptos" w:eastAsia="Aptos"/>
                <w:color w:val="181F26"/>
                <w:sz w:val="17"/>
              </w:rPr>
              <w:t>Omitted continuous state</w:t>
            </w:r>
          </w:p>
        </w:tc>
        <w:tc>
          <w:tcPr>
            <w:tcW w:type="dxa" w:w="3260"/>
            <w:vAlign w:val="center"/>
          </w:tcPr>
          <w:p>
            <w:pPr>
              <w:spacing w:after="20"/>
            </w:pPr>
            <w:r>
              <w:rPr>
                <w:rFonts w:ascii="Aptos" w:hAnsi="Aptos" w:eastAsia="Aptos"/>
                <w:color w:val="181F26"/>
                <w:sz w:val="17"/>
              </w:rPr>
              <w:t>Bundle over augmented base</w:t>
            </w:r>
          </w:p>
        </w:tc>
      </w:tr>
      <w:tr>
        <w:trPr>
          <w:cantSplit/>
        </w:trPr>
        <w:tc>
          <w:tcPr>
            <w:tcW w:type="dxa" w:w="3000"/>
            <w:vAlign w:val="center"/>
          </w:tcPr>
          <w:p>
            <w:pPr>
              <w:spacing w:after="20"/>
            </w:pPr>
            <w:r>
              <w:rPr>
                <w:rFonts w:ascii="Aptos" w:hAnsi="Aptos" w:eastAsia="Aptos"/>
                <w:color w:val="181F26"/>
                <w:sz w:val="17"/>
              </w:rPr>
              <w:t>Contractible-loop defect remains reproducible</w:t>
            </w:r>
          </w:p>
        </w:tc>
        <w:tc>
          <w:tcPr>
            <w:tcW w:type="dxa" w:w="3100"/>
            <w:vAlign w:val="center"/>
          </w:tcPr>
          <w:p>
            <w:pPr>
              <w:spacing w:after="20"/>
            </w:pPr>
            <w:r>
              <w:rPr>
                <w:rFonts w:ascii="Aptos" w:hAnsi="Aptos" w:eastAsia="Aptos"/>
                <w:color w:val="181F26"/>
                <w:sz w:val="17"/>
              </w:rPr>
              <w:t>Path geometry remains</w:t>
            </w:r>
          </w:p>
        </w:tc>
        <w:tc>
          <w:tcPr>
            <w:tcW w:type="dxa" w:w="3260"/>
            <w:vAlign w:val="center"/>
          </w:tcPr>
          <w:p>
            <w:pPr>
              <w:spacing w:after="20"/>
            </w:pPr>
            <w:r>
              <w:rPr>
                <w:rFonts w:ascii="Aptos" w:hAnsi="Aptos" w:eastAsia="Aptos"/>
                <w:color w:val="181F26"/>
                <w:sz w:val="17"/>
              </w:rPr>
              <w:t>Connection with curvature</w:t>
            </w:r>
          </w:p>
        </w:tc>
      </w:tr>
      <w:tr>
        <w:trPr>
          <w:cantSplit/>
        </w:trPr>
        <w:tc>
          <w:tcPr>
            <w:tcW w:type="dxa" w:w="3000"/>
            <w:vAlign w:val="center"/>
          </w:tcPr>
          <w:p>
            <w:pPr>
              <w:spacing w:after="20"/>
            </w:pPr>
            <w:r>
              <w:rPr>
                <w:rFonts w:ascii="Aptos" w:hAnsi="Aptos" w:eastAsia="Aptos"/>
                <w:color w:val="181F26"/>
                <w:sz w:val="17"/>
              </w:rPr>
              <w:t>No H restores reversal</w:t>
            </w:r>
          </w:p>
        </w:tc>
        <w:tc>
          <w:tcPr>
            <w:tcW w:type="dxa" w:w="3100"/>
            <w:vAlign w:val="center"/>
          </w:tcPr>
          <w:p>
            <w:pPr>
              <w:spacing w:after="20"/>
            </w:pPr>
            <w:r>
              <w:rPr>
                <w:rFonts w:ascii="Aptos" w:hAnsi="Aptos" w:eastAsia="Aptos"/>
                <w:color w:val="181F26"/>
                <w:sz w:val="17"/>
              </w:rPr>
              <w:t>Irreversibility or accumulation</w:t>
            </w:r>
          </w:p>
        </w:tc>
        <w:tc>
          <w:tcPr>
            <w:tcW w:type="dxa" w:w="3260"/>
            <w:vAlign w:val="center"/>
          </w:tcPr>
          <w:p>
            <w:pPr>
              <w:spacing w:after="20"/>
            </w:pPr>
            <w:r>
              <w:rPr>
                <w:rFonts w:ascii="Aptos" w:hAnsi="Aptos" w:eastAsia="Aptos"/>
                <w:color w:val="181F26"/>
                <w:sz w:val="17"/>
              </w:rPr>
              <w:t>Directed category / semigroup</w:t>
            </w:r>
          </w:p>
        </w:tc>
      </w:tr>
      <w:tr>
        <w:trPr>
          <w:cantSplit/>
        </w:trPr>
        <w:tc>
          <w:tcPr>
            <w:tcW w:type="dxa" w:w="3000"/>
            <w:vAlign w:val="center"/>
          </w:tcPr>
          <w:p>
            <w:pPr>
              <w:spacing w:after="20"/>
            </w:pPr>
            <w:r>
              <w:rPr>
                <w:rFonts w:ascii="Aptos" w:hAnsi="Aptos" w:eastAsia="Aptos"/>
                <w:color w:val="181F26"/>
                <w:sz w:val="17"/>
              </w:rPr>
              <w:t>Only gain defect remains</w:t>
            </w:r>
          </w:p>
        </w:tc>
        <w:tc>
          <w:tcPr>
            <w:tcW w:type="dxa" w:w="3100"/>
            <w:vAlign w:val="center"/>
          </w:tcPr>
          <w:p>
            <w:pPr>
              <w:spacing w:after="20"/>
            </w:pPr>
            <w:r>
              <w:rPr>
                <w:rFonts w:ascii="Aptos" w:hAnsi="Aptos" w:eastAsia="Aptos"/>
                <w:color w:val="181F26"/>
                <w:sz w:val="17"/>
              </w:rPr>
              <w:t>Attrition without route geometry</w:t>
            </w:r>
          </w:p>
        </w:tc>
        <w:tc>
          <w:tcPr>
            <w:tcW w:type="dxa" w:w="3260"/>
            <w:vAlign w:val="center"/>
          </w:tcPr>
          <w:p>
            <w:pPr>
              <w:spacing w:after="20"/>
            </w:pPr>
            <w:r>
              <w:rPr>
                <w:rFonts w:ascii="Aptos" w:hAnsi="Aptos" w:eastAsia="Aptos"/>
                <w:color w:val="181F26"/>
                <w:sz w:val="17"/>
              </w:rPr>
              <w:t>Non-unitary flat transport</w:t>
            </w:r>
          </w:p>
        </w:tc>
      </w:tr>
    </w:tbl>
    <w:p>
      <w:pPr>
        <w:spacing w:after="20"/>
      </w:pPr>
    </w:p>
    <w:p>
      <w:r>
        <w:t>Augmentation can alter topology. Adding heading gives X × S¹ and introduces a winding number even if X is simply connected. Thus an augmentation that removes apparent curvature may reveal monodromy in the enlarged state space. This is not a contradiction: it specifies which route information has become a state variable.</w:t>
      </w:r>
    </w:p>
    <w:p>
      <w:pPr>
        <w:pStyle w:val="Heading1"/>
      </w:pPr>
      <w:r>
        <w:t>6. Seam and Descent Tests</w:t>
      </w:r>
    </w:p>
    <w:p>
      <w:pPr>
        <w:pStyle w:val="Heading2"/>
      </w:pPr>
      <w:r>
        <w:t>6.1 Local patches and transition maps</w:t>
      </w:r>
    </w:p>
    <w:p>
      <w:r>
        <w:t>Cover the behavioral state space by overlapping patches Uᵢ within which a stable local latent coordinate φᵢ can be fitted. On an overlap Uᵢ ∩ Uⱼ, estimate a transition gᵢⱼ that maps labels or coordinates from chart i to chart j. For discrete repeated compartments, gᵢⱼ is a permutation; for linear latent codes it may be orthogonal or general linear; for nonlinear charts it is a local diffeomorphism or learned map.</w:t>
      </w:r>
    </w:p>
    <w:p>
      <w:r>
        <w:t>Three tests are applied. Reproducibility asks whether gᵢⱼ generalizes across held-out traversals. Cocycle consistency asks, on every sufficiently sampled triple overlap, whether gᵢⱼ gⱼₖ gₖᵢ is identity within uncertainty. Trivializability asks whether there exist local relabelings hᵢ such that gᵢⱼ = hᵢ⁻¹hⱼ. For nonabelian transition groups, the resulting H¹ is a pointed set rather than an abelian group; computation is therefore phrased as synchronization and gauge fitting rather than additive cohomology.</w:t>
      </w:r>
    </w:p>
    <w:p>
      <w:pPr>
        <w:pStyle w:val="Equation"/>
      </w:pPr>
      <w:r>
        <w:t>min over hᵢ Σ(i,j) d(gᵢⱼ, hᵢ⁻¹hⱼ)²</w:t>
      </w:r>
    </w:p>
    <w:p>
      <w:r>
        <w:t>If the minimum is at the noise floor, the seams are removable changes of chart. If cocycle consistency holds but trivialization fails around cycles, a nontrivial local system or covering remains. If cocycles fail reproducibly, the patch family or latent state is incomplete, or transport carries connection-level information not representable by static transitions.</w:t>
      </w:r>
    </w:p>
    <w:p>
      <w:pPr>
        <w:pStyle w:val="Heading2"/>
      </w:pPr>
      <w:r>
        <w:t>6.2 Cyclic repeated-compartment experiment</w:t>
      </w:r>
    </w:p>
    <w:p>
      <w:r>
        <w:t>The proposed arena contains n visually similar compartments connected in a ring. Overlap regions straddle each doorway and are traversed in both directions. Local sensory geometry is deliberately repeated, while distal cues can be manipulated factorially. The patch nerve contains one fundamental cycle. Estimate g₁₂, …, gₙ₁ and compute the ordered monodromy:</w:t>
      </w:r>
    </w:p>
    <w:p>
      <w:pPr>
        <w:pStyle w:val="Equation"/>
      </w:pPr>
      <w:r>
        <w:t>M = gₙ₁ gₙ₋₁,ₙ ⋯ g₂₃ g₁₂</w:t>
      </w:r>
    </w:p>
    <w:p>
      <w:r>
        <w:t>The primary null is M = e after uncertainty propagation. A covering with r sheets predicts that the internal sheet state advances after one circuit and returns only after the smallest r for which Mʳ = e. The prediction concerns population state at the same physical location under matched movement and sensory conditions; it is stronger than observing repeated fields. Direction reversal provides an additional check: the reverse-circuit monodromy should estimate M⁻¹ if transport is groupoid compatible.</w:t>
      </w:r>
    </w:p>
    <w:p>
      <w:pPr>
        <w:pStyle w:val="Heading1"/>
      </w:pPr>
      <w:r>
        <w:t>7. Synthetic Validation of Discrete Monodromy Recovery</w:t>
      </w:r>
    </w:p>
    <w:p>
      <w:r>
        <w:t>To verify the discrete estimator before application to neural data, we simulated an eight-patch cycle with three latent sheets. Seven seams used the identity permutation and the closing seam used the 3-cycle (1 2 3), giving order-three monodromy. At each seam and source sheet, repeated destination observations were correct with probability p and otherwise assigned uniformly to an incorrect sheet. Each seam permutation was estimated by maximum-weight bipartite assignment. The experiment was repeated 250 times per condition with seed 11.</w:t>
      </w:r>
    </w:p>
    <w:p>
      <w:pPr>
        <w:keepNext/>
        <w:jc w:val="center"/>
      </w:pPr>
      <w:r/>
    </w:p>
    <w:p>
      <w:pPr>
        <w:pStyle w:val="Caption"/>
        <w:keepNext w:val="0"/>
        <w:jc w:val="center"/>
      </w:pPr>
      <w:r>
        <w:t>Figure 1. Recovery of order-three monodromy from noisy discrete seam observations. Successful recovery requires all estimated seam permutations to compose to the true cycle; the curve therefore measures the end-to-end audit, not merely per-edge label accuracy.</w:t>
      </w:r>
    </w:p>
    <w:tbl>
      <w:tblPr>
        <w:tblStyle w:val="TableGrid"/>
        <w:tblW w:type="dxa" w:w="9360"/>
        <w:jc w:val="center"/>
        <w:tblLayout w:type="fixed"/>
        <w:tblLook w:firstColumn="1" w:firstRow="1" w:lastColumn="0" w:lastRow="0" w:noHBand="0" w:noVBand="1" w:val="04A0"/>
        <w:tblInd w:w="120" w:type="dxa"/>
      </w:tblPr>
      <w:tblGrid>
        <w:gridCol w:w="2500"/>
        <w:gridCol w:w="1715"/>
        <w:gridCol w:w="1715"/>
        <w:gridCol w:w="1715"/>
        <w:gridCol w:w="1715"/>
      </w:tblGrid>
      <w:tr>
        <w:trPr>
          <w:tblHeader w:val="true"/>
          <w:cantSplit/>
        </w:trPr>
        <w:tc>
          <w:tcPr>
            <w:tcW w:type="dxa" w:w="2500"/>
            <w:shd w:fill="DDE8EF"/>
            <w:vAlign w:val="center"/>
          </w:tcPr>
          <w:p>
            <w:pPr>
              <w:jc w:val="left"/>
            </w:pPr>
            <w:r>
              <w:rPr>
                <w:rFonts w:ascii="Aptos" w:hAnsi="Aptos" w:eastAsia="Aptos"/>
                <w:b/>
                <w:color w:val="163752"/>
                <w:sz w:val="17"/>
              </w:rPr>
              <w:t>Observations/state/seam</w:t>
            </w:r>
          </w:p>
        </w:tc>
        <w:tc>
          <w:tcPr>
            <w:tcW w:type="dxa" w:w="1715"/>
            <w:shd w:fill="DDE8EF"/>
            <w:vAlign w:val="center"/>
          </w:tcPr>
          <w:p>
            <w:pPr>
              <w:jc w:val="left"/>
            </w:pPr>
            <w:r>
              <w:rPr>
                <w:rFonts w:ascii="Aptos" w:hAnsi="Aptos" w:eastAsia="Aptos"/>
                <w:b/>
                <w:color w:val="163752"/>
                <w:sz w:val="17"/>
              </w:rPr>
              <w:t>p = 0.60</w:t>
            </w:r>
          </w:p>
        </w:tc>
        <w:tc>
          <w:tcPr>
            <w:tcW w:type="dxa" w:w="1715"/>
            <w:shd w:fill="DDE8EF"/>
            <w:vAlign w:val="center"/>
          </w:tcPr>
          <w:p>
            <w:pPr>
              <w:jc w:val="left"/>
            </w:pPr>
            <w:r>
              <w:rPr>
                <w:rFonts w:ascii="Aptos" w:hAnsi="Aptos" w:eastAsia="Aptos"/>
                <w:b/>
                <w:color w:val="163752"/>
                <w:sz w:val="17"/>
              </w:rPr>
              <w:t>p = 0.70</w:t>
            </w:r>
          </w:p>
        </w:tc>
        <w:tc>
          <w:tcPr>
            <w:tcW w:type="dxa" w:w="1715"/>
            <w:shd w:fill="DDE8EF"/>
            <w:vAlign w:val="center"/>
          </w:tcPr>
          <w:p>
            <w:pPr>
              <w:jc w:val="left"/>
            </w:pPr>
            <w:r>
              <w:rPr>
                <w:rFonts w:ascii="Aptos" w:hAnsi="Aptos" w:eastAsia="Aptos"/>
                <w:b/>
                <w:color w:val="163752"/>
                <w:sz w:val="17"/>
              </w:rPr>
              <w:t>p = 0.80</w:t>
            </w:r>
          </w:p>
        </w:tc>
        <w:tc>
          <w:tcPr>
            <w:tcW w:type="dxa" w:w="1715"/>
            <w:shd w:fill="DDE8EF"/>
            <w:vAlign w:val="center"/>
          </w:tcPr>
          <w:p>
            <w:pPr>
              <w:jc w:val="left"/>
            </w:pPr>
            <w:r>
              <w:rPr>
                <w:rFonts w:ascii="Aptos" w:hAnsi="Aptos" w:eastAsia="Aptos"/>
                <w:b/>
                <w:color w:val="163752"/>
                <w:sz w:val="17"/>
              </w:rPr>
              <w:t>p = 0.90</w:t>
            </w:r>
          </w:p>
        </w:tc>
      </w:tr>
      <w:tr>
        <w:trPr>
          <w:cantSplit/>
        </w:trPr>
        <w:tc>
          <w:tcPr>
            <w:tcW w:type="dxa" w:w="2500"/>
            <w:vAlign w:val="center"/>
          </w:tcPr>
          <w:p>
            <w:pPr>
              <w:spacing w:after="20"/>
            </w:pPr>
            <w:r>
              <w:rPr>
                <w:rFonts w:ascii="Aptos" w:hAnsi="Aptos" w:eastAsia="Aptos"/>
                <w:color w:val="181F26"/>
                <w:sz w:val="17"/>
              </w:rPr>
              <w:t>3</w:t>
            </w:r>
          </w:p>
        </w:tc>
        <w:tc>
          <w:tcPr>
            <w:tcW w:type="dxa" w:w="1715"/>
            <w:vAlign w:val="center"/>
          </w:tcPr>
          <w:p>
            <w:pPr>
              <w:spacing w:after="20"/>
            </w:pPr>
            <w:r>
              <w:rPr>
                <w:rFonts w:ascii="Aptos" w:hAnsi="Aptos" w:eastAsia="Aptos"/>
                <w:color w:val="181F26"/>
                <w:sz w:val="17"/>
              </w:rPr>
              <w:t>0.220</w:t>
            </w:r>
          </w:p>
        </w:tc>
        <w:tc>
          <w:tcPr>
            <w:tcW w:type="dxa" w:w="1715"/>
            <w:vAlign w:val="center"/>
          </w:tcPr>
          <w:p>
            <w:pPr>
              <w:spacing w:after="20"/>
            </w:pPr>
            <w:r>
              <w:rPr>
                <w:rFonts w:ascii="Aptos" w:hAnsi="Aptos" w:eastAsia="Aptos"/>
                <w:color w:val="181F26"/>
                <w:sz w:val="17"/>
              </w:rPr>
              <w:t>0.408</w:t>
            </w:r>
          </w:p>
        </w:tc>
        <w:tc>
          <w:tcPr>
            <w:tcW w:type="dxa" w:w="1715"/>
            <w:vAlign w:val="center"/>
          </w:tcPr>
          <w:p>
            <w:pPr>
              <w:spacing w:after="20"/>
            </w:pPr>
            <w:r>
              <w:rPr>
                <w:rFonts w:ascii="Aptos" w:hAnsi="Aptos" w:eastAsia="Aptos"/>
                <w:color w:val="181F26"/>
                <w:sz w:val="17"/>
              </w:rPr>
              <w:t>0.740</w:t>
            </w:r>
          </w:p>
        </w:tc>
        <w:tc>
          <w:tcPr>
            <w:tcW w:type="dxa" w:w="1715"/>
            <w:vAlign w:val="center"/>
          </w:tcPr>
          <w:p>
            <w:pPr>
              <w:spacing w:after="20"/>
            </w:pPr>
            <w:r>
              <w:rPr>
                <w:rFonts w:ascii="Aptos" w:hAnsi="Aptos" w:eastAsia="Aptos"/>
                <w:color w:val="181F26"/>
                <w:sz w:val="17"/>
              </w:rPr>
              <w:t>0.956</w:t>
            </w:r>
          </w:p>
        </w:tc>
      </w:tr>
      <w:tr>
        <w:trPr>
          <w:cantSplit/>
        </w:trPr>
        <w:tc>
          <w:tcPr>
            <w:tcW w:type="dxa" w:w="2500"/>
            <w:vAlign w:val="center"/>
          </w:tcPr>
          <w:p>
            <w:pPr>
              <w:spacing w:after="20"/>
            </w:pPr>
            <w:r>
              <w:rPr>
                <w:rFonts w:ascii="Aptos" w:hAnsi="Aptos" w:eastAsia="Aptos"/>
                <w:color w:val="181F26"/>
                <w:sz w:val="17"/>
              </w:rPr>
              <w:t>5</w:t>
            </w:r>
          </w:p>
        </w:tc>
        <w:tc>
          <w:tcPr>
            <w:tcW w:type="dxa" w:w="1715"/>
            <w:vAlign w:val="center"/>
          </w:tcPr>
          <w:p>
            <w:pPr>
              <w:spacing w:after="20"/>
            </w:pPr>
            <w:r>
              <w:rPr>
                <w:rFonts w:ascii="Aptos" w:hAnsi="Aptos" w:eastAsia="Aptos"/>
                <w:color w:val="181F26"/>
                <w:sz w:val="17"/>
              </w:rPr>
              <w:t>0.284</w:t>
            </w:r>
          </w:p>
        </w:tc>
        <w:tc>
          <w:tcPr>
            <w:tcW w:type="dxa" w:w="1715"/>
            <w:vAlign w:val="center"/>
          </w:tcPr>
          <w:p>
            <w:pPr>
              <w:spacing w:after="20"/>
            </w:pPr>
            <w:r>
              <w:rPr>
                <w:rFonts w:ascii="Aptos" w:hAnsi="Aptos" w:eastAsia="Aptos"/>
                <w:color w:val="181F26"/>
                <w:sz w:val="17"/>
              </w:rPr>
              <w:t>0.700</w:t>
            </w:r>
          </w:p>
        </w:tc>
        <w:tc>
          <w:tcPr>
            <w:tcW w:type="dxa" w:w="1715"/>
            <w:vAlign w:val="center"/>
          </w:tcPr>
          <w:p>
            <w:pPr>
              <w:spacing w:after="20"/>
            </w:pPr>
            <w:r>
              <w:rPr>
                <w:rFonts w:ascii="Aptos" w:hAnsi="Aptos" w:eastAsia="Aptos"/>
                <w:color w:val="181F26"/>
                <w:sz w:val="17"/>
              </w:rPr>
              <w:t>0.976</w:t>
            </w:r>
          </w:p>
        </w:tc>
        <w:tc>
          <w:tcPr>
            <w:tcW w:type="dxa" w:w="1715"/>
            <w:vAlign w:val="center"/>
          </w:tcPr>
          <w:p>
            <w:pPr>
              <w:spacing w:after="20"/>
            </w:pPr>
            <w:r>
              <w:rPr>
                <w:rFonts w:ascii="Aptos" w:hAnsi="Aptos" w:eastAsia="Aptos"/>
                <w:color w:val="181F26"/>
                <w:sz w:val="17"/>
              </w:rPr>
              <w:t>1.000</w:t>
            </w:r>
          </w:p>
        </w:tc>
      </w:tr>
      <w:tr>
        <w:trPr>
          <w:cantSplit/>
        </w:trPr>
        <w:tc>
          <w:tcPr>
            <w:tcW w:type="dxa" w:w="2500"/>
            <w:vAlign w:val="center"/>
          </w:tcPr>
          <w:p>
            <w:pPr>
              <w:spacing w:after="20"/>
            </w:pPr>
            <w:r>
              <w:rPr>
                <w:rFonts w:ascii="Aptos" w:hAnsi="Aptos" w:eastAsia="Aptos"/>
                <w:color w:val="181F26"/>
                <w:sz w:val="17"/>
              </w:rPr>
              <w:t>8</w:t>
            </w:r>
          </w:p>
        </w:tc>
        <w:tc>
          <w:tcPr>
            <w:tcW w:type="dxa" w:w="1715"/>
            <w:vAlign w:val="center"/>
          </w:tcPr>
          <w:p>
            <w:pPr>
              <w:spacing w:after="20"/>
            </w:pPr>
            <w:r>
              <w:rPr>
                <w:rFonts w:ascii="Aptos" w:hAnsi="Aptos" w:eastAsia="Aptos"/>
                <w:color w:val="181F26"/>
                <w:sz w:val="17"/>
              </w:rPr>
              <w:t>0.580</w:t>
            </w:r>
          </w:p>
        </w:tc>
        <w:tc>
          <w:tcPr>
            <w:tcW w:type="dxa" w:w="1715"/>
            <w:vAlign w:val="center"/>
          </w:tcPr>
          <w:p>
            <w:pPr>
              <w:spacing w:after="20"/>
            </w:pPr>
            <w:r>
              <w:rPr>
                <w:rFonts w:ascii="Aptos" w:hAnsi="Aptos" w:eastAsia="Aptos"/>
                <w:color w:val="181F26"/>
                <w:sz w:val="17"/>
              </w:rPr>
              <w:t>0.904</w:t>
            </w:r>
          </w:p>
        </w:tc>
        <w:tc>
          <w:tcPr>
            <w:tcW w:type="dxa" w:w="1715"/>
            <w:vAlign w:val="center"/>
          </w:tcPr>
          <w:p>
            <w:pPr>
              <w:spacing w:after="20"/>
            </w:pPr>
            <w:r>
              <w:rPr>
                <w:rFonts w:ascii="Aptos" w:hAnsi="Aptos" w:eastAsia="Aptos"/>
                <w:color w:val="181F26"/>
                <w:sz w:val="17"/>
              </w:rPr>
              <w:t>0.988</w:t>
            </w:r>
          </w:p>
        </w:tc>
        <w:tc>
          <w:tcPr>
            <w:tcW w:type="dxa" w:w="1715"/>
            <w:vAlign w:val="center"/>
          </w:tcPr>
          <w:p>
            <w:pPr>
              <w:spacing w:after="20"/>
            </w:pPr>
            <w:r>
              <w:rPr>
                <w:rFonts w:ascii="Aptos" w:hAnsi="Aptos" w:eastAsia="Aptos"/>
                <w:color w:val="181F26"/>
                <w:sz w:val="17"/>
              </w:rPr>
              <w:t>1.000</w:t>
            </w:r>
          </w:p>
        </w:tc>
      </w:tr>
      <w:tr>
        <w:trPr>
          <w:cantSplit/>
        </w:trPr>
        <w:tc>
          <w:tcPr>
            <w:tcW w:type="dxa" w:w="2500"/>
            <w:vAlign w:val="center"/>
          </w:tcPr>
          <w:p>
            <w:pPr>
              <w:spacing w:after="20"/>
            </w:pPr>
            <w:r>
              <w:rPr>
                <w:rFonts w:ascii="Aptos" w:hAnsi="Aptos" w:eastAsia="Aptos"/>
                <w:color w:val="181F26"/>
                <w:sz w:val="17"/>
              </w:rPr>
              <w:t>12</w:t>
            </w:r>
          </w:p>
        </w:tc>
        <w:tc>
          <w:tcPr>
            <w:tcW w:type="dxa" w:w="1715"/>
            <w:vAlign w:val="center"/>
          </w:tcPr>
          <w:p>
            <w:pPr>
              <w:spacing w:after="20"/>
            </w:pPr>
            <w:r>
              <w:rPr>
                <w:rFonts w:ascii="Aptos" w:hAnsi="Aptos" w:eastAsia="Aptos"/>
                <w:color w:val="181F26"/>
                <w:sz w:val="17"/>
              </w:rPr>
              <w:t>0.772</w:t>
            </w:r>
          </w:p>
        </w:tc>
        <w:tc>
          <w:tcPr>
            <w:tcW w:type="dxa" w:w="1715"/>
            <w:vAlign w:val="center"/>
          </w:tcPr>
          <w:p>
            <w:pPr>
              <w:spacing w:after="20"/>
            </w:pPr>
            <w:r>
              <w:rPr>
                <w:rFonts w:ascii="Aptos" w:hAnsi="Aptos" w:eastAsia="Aptos"/>
                <w:color w:val="181F26"/>
                <w:sz w:val="17"/>
              </w:rPr>
              <w:t>0.984</w:t>
            </w:r>
          </w:p>
        </w:tc>
        <w:tc>
          <w:tcPr>
            <w:tcW w:type="dxa" w:w="1715"/>
            <w:vAlign w:val="center"/>
          </w:tcPr>
          <w:p>
            <w:pPr>
              <w:spacing w:after="20"/>
            </w:pPr>
            <w:r>
              <w:rPr>
                <w:rFonts w:ascii="Aptos" w:hAnsi="Aptos" w:eastAsia="Aptos"/>
                <w:color w:val="181F26"/>
                <w:sz w:val="17"/>
              </w:rPr>
              <w:t>1.000</w:t>
            </w:r>
          </w:p>
        </w:tc>
        <w:tc>
          <w:tcPr>
            <w:tcW w:type="dxa" w:w="1715"/>
            <w:vAlign w:val="center"/>
          </w:tcPr>
          <w:p>
            <w:pPr>
              <w:spacing w:after="20"/>
            </w:pPr>
            <w:r>
              <w:rPr>
                <w:rFonts w:ascii="Aptos" w:hAnsi="Aptos" w:eastAsia="Aptos"/>
                <w:color w:val="181F26"/>
                <w:sz w:val="17"/>
              </w:rPr>
              <w:t>1.000</w:t>
            </w:r>
          </w:p>
        </w:tc>
      </w:tr>
      <w:tr>
        <w:trPr>
          <w:cantSplit/>
        </w:trPr>
        <w:tc>
          <w:tcPr>
            <w:tcW w:type="dxa" w:w="2500"/>
            <w:vAlign w:val="center"/>
          </w:tcPr>
          <w:p>
            <w:pPr>
              <w:spacing w:after="20"/>
            </w:pPr>
            <w:r>
              <w:rPr>
                <w:rFonts w:ascii="Aptos" w:hAnsi="Aptos" w:eastAsia="Aptos"/>
                <w:color w:val="181F26"/>
                <w:sz w:val="17"/>
              </w:rPr>
              <w:t>20</w:t>
            </w:r>
          </w:p>
        </w:tc>
        <w:tc>
          <w:tcPr>
            <w:tcW w:type="dxa" w:w="1715"/>
            <w:vAlign w:val="center"/>
          </w:tcPr>
          <w:p>
            <w:pPr>
              <w:spacing w:after="20"/>
            </w:pPr>
            <w:r>
              <w:rPr>
                <w:rFonts w:ascii="Aptos" w:hAnsi="Aptos" w:eastAsia="Aptos"/>
                <w:color w:val="181F26"/>
                <w:sz w:val="17"/>
              </w:rPr>
              <w:t>0.964</w:t>
            </w:r>
          </w:p>
        </w:tc>
        <w:tc>
          <w:tcPr>
            <w:tcW w:type="dxa" w:w="1715"/>
            <w:vAlign w:val="center"/>
          </w:tcPr>
          <w:p>
            <w:pPr>
              <w:spacing w:after="20"/>
            </w:pPr>
            <w:r>
              <w:rPr>
                <w:rFonts w:ascii="Aptos" w:hAnsi="Aptos" w:eastAsia="Aptos"/>
                <w:color w:val="181F26"/>
                <w:sz w:val="17"/>
              </w:rPr>
              <w:t>1.000</w:t>
            </w:r>
          </w:p>
        </w:tc>
        <w:tc>
          <w:tcPr>
            <w:tcW w:type="dxa" w:w="1715"/>
            <w:vAlign w:val="center"/>
          </w:tcPr>
          <w:p>
            <w:pPr>
              <w:spacing w:after="20"/>
            </w:pPr>
            <w:r>
              <w:rPr>
                <w:rFonts w:ascii="Aptos" w:hAnsi="Aptos" w:eastAsia="Aptos"/>
                <w:color w:val="181F26"/>
                <w:sz w:val="17"/>
              </w:rPr>
              <w:t>1.000</w:t>
            </w:r>
          </w:p>
        </w:tc>
        <w:tc>
          <w:tcPr>
            <w:tcW w:type="dxa" w:w="1715"/>
            <w:vAlign w:val="center"/>
          </w:tcPr>
          <w:p>
            <w:pPr>
              <w:spacing w:after="20"/>
            </w:pPr>
            <w:r>
              <w:rPr>
                <w:rFonts w:ascii="Aptos" w:hAnsi="Aptos" w:eastAsia="Aptos"/>
                <w:color w:val="181F26"/>
                <w:sz w:val="17"/>
              </w:rPr>
              <w:t>1.000</w:t>
            </w:r>
          </w:p>
        </w:tc>
      </w:tr>
      <w:tr>
        <w:trPr>
          <w:cantSplit/>
        </w:trPr>
        <w:tc>
          <w:tcPr>
            <w:tcW w:type="dxa" w:w="2500"/>
            <w:vAlign w:val="center"/>
          </w:tcPr>
          <w:p>
            <w:pPr>
              <w:spacing w:after="20"/>
            </w:pPr>
            <w:r>
              <w:rPr>
                <w:rFonts w:ascii="Aptos" w:hAnsi="Aptos" w:eastAsia="Aptos"/>
                <w:color w:val="181F26"/>
                <w:sz w:val="17"/>
              </w:rPr>
              <w:t>40</w:t>
            </w:r>
          </w:p>
        </w:tc>
        <w:tc>
          <w:tcPr>
            <w:tcW w:type="dxa" w:w="1715"/>
            <w:vAlign w:val="center"/>
          </w:tcPr>
          <w:p>
            <w:pPr>
              <w:spacing w:after="20"/>
            </w:pPr>
            <w:r>
              <w:rPr>
                <w:rFonts w:ascii="Aptos" w:hAnsi="Aptos" w:eastAsia="Aptos"/>
                <w:color w:val="181F26"/>
                <w:sz w:val="17"/>
              </w:rPr>
              <w:t>1.000</w:t>
            </w:r>
          </w:p>
        </w:tc>
        <w:tc>
          <w:tcPr>
            <w:tcW w:type="dxa" w:w="1715"/>
            <w:vAlign w:val="center"/>
          </w:tcPr>
          <w:p>
            <w:pPr>
              <w:spacing w:after="20"/>
            </w:pPr>
            <w:r>
              <w:rPr>
                <w:rFonts w:ascii="Aptos" w:hAnsi="Aptos" w:eastAsia="Aptos"/>
                <w:color w:val="181F26"/>
                <w:sz w:val="17"/>
              </w:rPr>
              <w:t>1.000</w:t>
            </w:r>
          </w:p>
        </w:tc>
        <w:tc>
          <w:tcPr>
            <w:tcW w:type="dxa" w:w="1715"/>
            <w:vAlign w:val="center"/>
          </w:tcPr>
          <w:p>
            <w:pPr>
              <w:spacing w:after="20"/>
            </w:pPr>
            <w:r>
              <w:rPr>
                <w:rFonts w:ascii="Aptos" w:hAnsi="Aptos" w:eastAsia="Aptos"/>
                <w:color w:val="181F26"/>
                <w:sz w:val="17"/>
              </w:rPr>
              <w:t>1.000</w:t>
            </w:r>
          </w:p>
        </w:tc>
        <w:tc>
          <w:tcPr>
            <w:tcW w:type="dxa" w:w="1715"/>
            <w:vAlign w:val="center"/>
          </w:tcPr>
          <w:p>
            <w:pPr>
              <w:spacing w:after="20"/>
            </w:pPr>
            <w:r>
              <w:rPr>
                <w:rFonts w:ascii="Aptos" w:hAnsi="Aptos" w:eastAsia="Aptos"/>
                <w:color w:val="181F26"/>
                <w:sz w:val="17"/>
              </w:rPr>
              <w:t>1.000</w:t>
            </w:r>
          </w:p>
        </w:tc>
      </w:tr>
    </w:tbl>
    <w:p>
      <w:pPr>
        <w:spacing w:after="20"/>
      </w:pPr>
    </w:p>
    <w:p>
      <w:r>
        <w:t>The simulation illustrates two design facts. First, monodromy estimation compounds seam errors; an apparently adequate per-edge classifier can still produce unreliable cycle-level conclusions. Second, increasing repeated traversal rapidly improves recovery when the seam signal is above chance. A neural experiment should therefore preregister a cycle-level power analysis, include uncertainty on the permutation product, and avoid interpreting the most likely monodromy without a posterior or bootstrap mass on competing conjugacy classes.</w:t>
      </w:r>
    </w:p>
    <w:p>
      <w:pPr>
        <w:pStyle w:val="Heading1"/>
      </w:pPr>
      <w:r>
        <w:t>8. Experimental Design and Statistical Plan</w:t>
      </w:r>
    </w:p>
    <w:p>
      <w:pPr>
        <w:pStyle w:val="ListBullet"/>
        <w:spacing w:after="60" w:line="269" w:lineRule="auto"/>
        <w:ind w:left="605" w:hanging="288"/>
      </w:pPr>
      <w:r>
        <w:t>Subjects and recording: high-channel-count MEC and CA1 recordings, with cell-type and module identification performed without using the cyclic hypothesis.</w:t>
      </w:r>
    </w:p>
    <w:p>
      <w:pPr>
        <w:pStyle w:val="ListBullet"/>
        <w:spacing w:after="60" w:line="269" w:lineRule="auto"/>
        <w:ind w:left="605" w:hanging="288"/>
      </w:pPr>
      <w:r>
        <w:t>Conditions: open field baseline; linear repeated compartments; cyclic repeated compartments; cue-rotation and compartment-identity controls.</w:t>
      </w:r>
    </w:p>
    <w:p>
      <w:pPr>
        <w:pStyle w:val="ListBullet"/>
        <w:spacing w:after="60" w:line="269" w:lineRule="auto"/>
        <w:ind w:left="605" w:hanging="288"/>
      </w:pPr>
      <w:r>
        <w:t>Sampling: balanced clockwise and counter-clockwise circuits, matched speed and dwell-time distributions, and sufficient repeated doorway traversals for each latent state.</w:t>
      </w:r>
    </w:p>
    <w:p>
      <w:pPr>
        <w:pStyle w:val="ListBullet"/>
        <w:spacing w:after="60" w:line="269" w:lineRule="auto"/>
        <w:ind w:left="605" w:hanging="288"/>
      </w:pPr>
      <w:r>
        <w:t>Preprocessing: spike-count or deconvolved-activity vectors, occupancy correction, within-session normalization, and blocked train/test splits by circuit rather than time bin.</w:t>
      </w:r>
    </w:p>
    <w:p>
      <w:pPr>
        <w:pStyle w:val="ListBullet"/>
        <w:spacing w:after="60" w:line="269" w:lineRule="auto"/>
        <w:ind w:left="605" w:hanging="288"/>
      </w:pPr>
      <w:r>
        <w:t>Primary endpoint: held-out evidence for M ≠ e with uncertainty and reverse-path consistency; secondary endpoint: smallest r with Mʳ = e.</w:t>
      </w:r>
    </w:p>
    <w:p>
      <w:pPr>
        <w:pStyle w:val="ListBullet"/>
        <w:spacing w:after="60" w:line="269" w:lineRule="auto"/>
        <w:ind w:left="605" w:hanging="288"/>
      </w:pPr>
      <w:r>
        <w:t>Model comparison: cross-validated likelihood or prediction error penalized for state dimension, accompanied by defect statistics and matched behavioral nulls.</w:t>
      </w:r>
    </w:p>
    <w:p>
      <w:pPr>
        <w:pStyle w:val="ListBullet"/>
        <w:spacing w:after="60" w:line="269" w:lineRule="auto"/>
        <w:ind w:left="605" w:hanging="288"/>
      </w:pPr>
      <w:r>
        <w:t>Kill conditions: loss of monodromy under minor resampling, failure of transition reproducibility, elimination by a low-dimensional contextual augmentation, or equivalent effects in sensory-control populations.</w:t>
      </w:r>
    </w:p>
    <w:p>
      <w:r>
        <w:t>Longitudinal learning introduces a further complication. Learning epoch τ is monotone, so a physical closed loop in the x–τ plane cannot be traversed. Mixed change must be inferred by comparing operators across sessions under an explicit alignment. Drift that is removable by a coordinate transformation corresponds to a gauge change; drift that changes how spatial displacement acts survives as an interaction. The analysis should report the alignment convention and sensitivity to alternative alignments rather than assign a gauge-dependent number biological meaning.</w:t>
      </w:r>
    </w:p>
    <w:p>
      <w:pPr>
        <w:pStyle w:val="Heading1"/>
      </w:pPr>
      <w:r>
        <w:t>9. Relation to Existing Findings</w:t>
      </w:r>
    </w:p>
    <w:p>
      <w:r>
        <w:t>Grid-map fragmentation in the hairpin maze demonstrates that a global open-field representation need not survive compartment geometry [3,6]. Stable head-direction maps during fragmentation show that heading alone may not explain the transition [6]. Global grid representations can re-emerge in connected environments with sufficient experience [7], emphasizing that patch structure is task and learning dependent. Place-field repetition across similar compartments likewise supplies local ambiguity but not a measured covering [4,5]. These data motivate the seam estimator and provide candidate reanalysis targets, yet a chain-shaped nerve cannot answer the monodromy question.</w:t>
      </w:r>
    </w:p>
    <w:p>
      <w:r>
        <w:t>Toroidal population activity in grid-cell modules [2] concerns the topology of the neural state manifold. The present proposal concerns transition data over a behavioral base. Either can exist without the other: a toroidal attractor may be globally driven without nontrivial environmental monodromy, and a discrete covering state may occur without a toroidal fibre. Similarly, extrinsic or intrinsic curvature of an embedded neural manifold is distinct from curvature of a connection assigning transport between fibres. The shared word 'curvature' should not be allowed to merge those measurements.</w:t>
      </w:r>
    </w:p>
    <w:p>
      <w:r>
        <w:t>Experience-dependent asymmetric place-field expansion [13] and splitter cells [14–16] motivate learned and trajectory-dependent operators. They do not establish noncommutativity or spatial curvature. The ordered protocol turns those mechanistic suggestions into candidate variables and falsifiable defects.</w:t>
      </w:r>
    </w:p>
    <w:p>
      <w:pPr>
        <w:pStyle w:val="Heading1"/>
      </w:pPr>
      <w:r>
        <w:t>10. Limitations</w:t>
      </w:r>
    </w:p>
    <w:p>
      <w:r>
        <w:t>Local linear transport may be a poor approximation when population dynamics are strongly nonlinear or when the fibre dimension changes. Patch selection can manufacture or erase seams; results must be stable across a multiscale cover. Cell dropout can mimic non-unitarity. Behavioral policies can correlate route, speed, reward, and attention despite matching. Discrete permutation models require identifiable latent states; weakly separated states can create arbitrary label switching. Finally, negative monodromy does not prove the absence of all path memory. It closes one model class at the tested scale and under the tested augmentation.</w:t>
      </w:r>
    </w:p>
    <w:p>
      <w:r>
        <w:t>The protocol is deliberately a null-result machine in the constructive sense: each failed audit rules out an over-elaborate interpretation and identifies the simpler object that remains. Its scientific value depends on applying the full sequence to real population data. Until then, the cyclic paradigm is a prospective method rather than evidence that mammalian spatial codes carry monodromy.</w:t>
      </w:r>
    </w:p>
    <w:p>
      <w:pPr>
        <w:pStyle w:val="Heading1"/>
      </w:pPr>
      <w:r>
        <w:t>11. Conclusion</w:t>
      </w:r>
    </w:p>
    <w:p>
      <w:r>
        <w:t>The question is not whether the hippocampal–entorhinal system 'is curved.' The question is which quotient of state and path history its population transport survives. Metric feasibility separates isometry from attrition; reversal separates connection-like transport from irreversibility; contractible loops test flatness; commutators test nonabelianity; and descent tests determine whether local descriptions glue. A cyclic repeated-compartment experiment supplies the missing observable for a covering hypothesis. The resulting report is a transport signature, not a metaphor: the least elaborate mathematical object that the data force us to retain.</w:t>
      </w:r>
    </w:p>
    <w:p>
      <w:pPr>
        <w:pStyle w:val="Equation"/>
      </w:pPr>
      <w:r>
        <w:t>Do not name the geometry before running the descent tests.</w:t>
      </w:r>
    </w:p>
    <w:p>
      <w:pPr>
        <w:pStyle w:val="Heading1"/>
      </w:pPr>
      <w:r>
        <w:t>Appendix A. Recommended Reporting Checklist</w:t>
      </w:r>
    </w:p>
    <w:p>
      <w:pPr>
        <w:pStyle w:val="ListBullet"/>
        <w:spacing w:after="60" w:line="269" w:lineRule="auto"/>
        <w:ind w:left="605" w:hanging="288"/>
      </w:pPr>
      <w:r>
        <w:t>State the base variables and every augmentation tested.</w:t>
      </w:r>
    </w:p>
    <w:p>
      <w:pPr>
        <w:pStyle w:val="ListBullet"/>
        <w:spacing w:after="60" w:line="269" w:lineRule="auto"/>
        <w:ind w:left="605" w:hanging="288"/>
      </w:pPr>
      <w:r>
        <w:t>State the fibre identification and cross-session alignment convention.</w:t>
      </w:r>
    </w:p>
    <w:p>
      <w:pPr>
        <w:pStyle w:val="ListBullet"/>
        <w:spacing w:after="60" w:line="269" w:lineRule="auto"/>
        <w:ind w:left="605" w:hanging="288"/>
      </w:pPr>
      <w:r>
        <w:t>Report operator invertibility and conditioning before holonomy.</w:t>
      </w:r>
    </w:p>
    <w:p>
      <w:pPr>
        <w:pStyle w:val="ListBullet"/>
        <w:spacing w:after="60" w:line="269" w:lineRule="auto"/>
        <w:ind w:left="605" w:hanging="288"/>
      </w:pPr>
      <w:r>
        <w:t>Separate reversal, loop defect, and loop commutator statistics.</w:t>
      </w:r>
    </w:p>
    <w:p>
      <w:pPr>
        <w:pStyle w:val="ListBullet"/>
        <w:spacing w:after="60" w:line="269" w:lineRule="auto"/>
        <w:ind w:left="605" w:hanging="288"/>
      </w:pPr>
      <w:r>
        <w:t>Show the patch cover, its nerve, overlap sample sizes, and cycle basis.</w:t>
      </w:r>
    </w:p>
    <w:p>
      <w:pPr>
        <w:pStyle w:val="ListBullet"/>
        <w:spacing w:after="60" w:line="269" w:lineRule="auto"/>
        <w:ind w:left="605" w:hanging="288"/>
      </w:pPr>
      <w:r>
        <w:t>Propagate uncertainty through products of transition maps.</w:t>
      </w:r>
    </w:p>
    <w:p>
      <w:pPr>
        <w:pStyle w:val="ListBullet"/>
        <w:spacing w:after="60" w:line="269" w:lineRule="auto"/>
        <w:ind w:left="605" w:hanging="288"/>
      </w:pPr>
      <w:r>
        <w:t>Report trivializability relative to multiple gauges and cover scales.</w:t>
      </w:r>
    </w:p>
    <w:p>
      <w:pPr>
        <w:pStyle w:val="ListBullet"/>
        <w:spacing w:after="60" w:line="269" w:lineRule="auto"/>
        <w:ind w:left="605" w:hanging="288"/>
      </w:pPr>
      <w:r>
        <w:t>Label synthetic, reanalyzed, and newly collected data unambiguously.</w:t>
      </w:r>
    </w:p>
    <w:p>
      <w:pPr>
        <w:pStyle w:val="Heading1"/>
      </w:pPr>
      <w:r>
        <w:t>References</w:t>
      </w:r>
    </w:p>
    <w:p>
      <w:pPr>
        <w:spacing w:after="60" w:line="240" w:lineRule="auto"/>
        <w:ind w:left="403" w:hanging="403"/>
      </w:pPr>
      <w:r>
        <w:rPr>
          <w:rFonts w:ascii="Aptos" w:hAnsi="Aptos" w:eastAsia="Aptos"/>
          <w:b/>
          <w:color w:val="163752"/>
          <w:sz w:val="17"/>
        </w:rPr>
        <w:t xml:space="preserve">[1] </w:t>
      </w:r>
      <w:r>
        <w:rPr>
          <w:rFonts w:ascii="Aptos" w:hAnsi="Aptos" w:eastAsia="Aptos"/>
          <w:color w:val="181F26"/>
          <w:sz w:val="17"/>
        </w:rPr>
        <w:t>Hafting, T., Fyhn, M., Molden, S., Moser, M.-B., &amp; Moser, E. I. (2005). Microstructure of a spatial map in the entorhinal cortex. Nature, 436, 801–806. https://doi.org/10.1038/nature03721</w:t>
      </w:r>
    </w:p>
    <w:p>
      <w:pPr>
        <w:spacing w:after="60" w:line="240" w:lineRule="auto"/>
        <w:ind w:left="403" w:hanging="403"/>
      </w:pPr>
      <w:r>
        <w:rPr>
          <w:rFonts w:ascii="Aptos" w:hAnsi="Aptos" w:eastAsia="Aptos"/>
          <w:b/>
          <w:color w:val="163752"/>
          <w:sz w:val="17"/>
        </w:rPr>
        <w:t xml:space="preserve">[2] </w:t>
      </w:r>
      <w:r>
        <w:rPr>
          <w:rFonts w:ascii="Aptos" w:hAnsi="Aptos" w:eastAsia="Aptos"/>
          <w:color w:val="181F26"/>
          <w:sz w:val="17"/>
        </w:rPr>
        <w:t>Gardner, R. J., Hermansen, E., Pachitariu, M., et al. (2022). Toroidal topology of population activity in grid cells. Nature, 602, 123–128. https://doi.org/10.1038/s41586-021-04268-7</w:t>
      </w:r>
    </w:p>
    <w:p>
      <w:pPr>
        <w:spacing w:after="60" w:line="240" w:lineRule="auto"/>
        <w:ind w:left="403" w:hanging="403"/>
      </w:pPr>
      <w:r>
        <w:rPr>
          <w:rFonts w:ascii="Aptos" w:hAnsi="Aptos" w:eastAsia="Aptos"/>
          <w:b/>
          <w:color w:val="163752"/>
          <w:sz w:val="17"/>
        </w:rPr>
        <w:t xml:space="preserve">[3] </w:t>
      </w:r>
      <w:r>
        <w:rPr>
          <w:rFonts w:ascii="Aptos" w:hAnsi="Aptos" w:eastAsia="Aptos"/>
          <w:color w:val="181F26"/>
          <w:sz w:val="17"/>
        </w:rPr>
        <w:t>Derdikman, D., Whitlock, J. R., Tsao, A., et al. (2009). Fragmentation of grid cell maps in a multicompartment environment. Nature Neuroscience, 12, 1325–1332. https://doi.org/10.1038/nn.2396</w:t>
      </w:r>
    </w:p>
    <w:p>
      <w:pPr>
        <w:spacing w:after="60" w:line="240" w:lineRule="auto"/>
        <w:ind w:left="403" w:hanging="403"/>
      </w:pPr>
      <w:r>
        <w:rPr>
          <w:rFonts w:ascii="Aptos" w:hAnsi="Aptos" w:eastAsia="Aptos"/>
          <w:b/>
          <w:color w:val="163752"/>
          <w:sz w:val="17"/>
        </w:rPr>
        <w:t xml:space="preserve">[4] </w:t>
      </w:r>
      <w:r>
        <w:rPr>
          <w:rFonts w:ascii="Aptos" w:hAnsi="Aptos" w:eastAsia="Aptos"/>
          <w:color w:val="181F26"/>
          <w:sz w:val="17"/>
        </w:rPr>
        <w:t>Spiers, H. J., Hayman, R. M. A., Jovalekic, A., Marozzi, E., &amp; Jeffery, K. J. (2015). Place field repetition and purely local remapping in a multicompartment environment. Cerebral Cortex, 25, 10–25. https://doi.org/10.1093/cercor/bht198</w:t>
      </w:r>
    </w:p>
    <w:p>
      <w:pPr>
        <w:spacing w:after="60" w:line="240" w:lineRule="auto"/>
        <w:ind w:left="403" w:hanging="403"/>
      </w:pPr>
      <w:r>
        <w:rPr>
          <w:rFonts w:ascii="Aptos" w:hAnsi="Aptos" w:eastAsia="Aptos"/>
          <w:b/>
          <w:color w:val="163752"/>
          <w:sz w:val="17"/>
        </w:rPr>
        <w:t xml:space="preserve">[5] </w:t>
      </w:r>
      <w:r>
        <w:rPr>
          <w:rFonts w:ascii="Aptos" w:hAnsi="Aptos" w:eastAsia="Aptos"/>
          <w:color w:val="181F26"/>
          <w:sz w:val="17"/>
        </w:rPr>
        <w:t>Grieves, R. M., Wood, E. R., &amp; Dudchenko, P. A. (2017). Field repetition and local mapping in the hippocampus and the medial entorhinal cortex. Journal of Neurophysiology, 117, 2378–2388. https://doi.org/10.1152/jn.00933.2016</w:t>
      </w:r>
    </w:p>
    <w:p>
      <w:pPr>
        <w:spacing w:after="60" w:line="240" w:lineRule="auto"/>
        <w:ind w:left="403" w:hanging="403"/>
      </w:pPr>
      <w:r>
        <w:rPr>
          <w:rFonts w:ascii="Aptos" w:hAnsi="Aptos" w:eastAsia="Aptos"/>
          <w:b/>
          <w:color w:val="163752"/>
          <w:sz w:val="17"/>
        </w:rPr>
        <w:t xml:space="preserve">[6] </w:t>
      </w:r>
      <w:r>
        <w:rPr>
          <w:rFonts w:ascii="Aptos" w:hAnsi="Aptos" w:eastAsia="Aptos"/>
          <w:color w:val="181F26"/>
          <w:sz w:val="17"/>
        </w:rPr>
        <w:t>Whitlock, J. R., &amp; Derdikman, D. (2012). Head direction maps remain stable despite grid map fragmentation. Frontiers in Neural Circuits, 6, 9. https://doi.org/10.3389/fncir.2012.00009</w:t>
      </w:r>
    </w:p>
    <w:p>
      <w:pPr>
        <w:spacing w:after="60" w:line="240" w:lineRule="auto"/>
        <w:ind w:left="403" w:hanging="403"/>
      </w:pPr>
      <w:r>
        <w:rPr>
          <w:rFonts w:ascii="Aptos" w:hAnsi="Aptos" w:eastAsia="Aptos"/>
          <w:b/>
          <w:color w:val="163752"/>
          <w:sz w:val="17"/>
        </w:rPr>
        <w:t xml:space="preserve">[7] </w:t>
      </w:r>
      <w:r>
        <w:rPr>
          <w:rFonts w:ascii="Aptos" w:hAnsi="Aptos" w:eastAsia="Aptos"/>
          <w:color w:val="181F26"/>
          <w:sz w:val="17"/>
        </w:rPr>
        <w:t>Carpenter, F., Manson, D., Jeffery, K., Burgess, N., &amp; Barry, C. (2015). Grid cells form a global representation of connected environments. Current Biology, 25, 1176–1182. https://doi.org/10.1016/j.cub.2015.02.037</w:t>
      </w:r>
    </w:p>
    <w:p>
      <w:pPr>
        <w:spacing w:after="60" w:line="240" w:lineRule="auto"/>
        <w:ind w:left="403" w:hanging="403"/>
      </w:pPr>
      <w:r>
        <w:rPr>
          <w:rFonts w:ascii="Aptos" w:hAnsi="Aptos" w:eastAsia="Aptos"/>
          <w:b/>
          <w:color w:val="163752"/>
          <w:sz w:val="17"/>
        </w:rPr>
        <w:t xml:space="preserve">[8] </w:t>
      </w:r>
      <w:r>
        <w:rPr>
          <w:rFonts w:ascii="Aptos" w:hAnsi="Aptos" w:eastAsia="Aptos"/>
          <w:color w:val="181F26"/>
          <w:sz w:val="17"/>
        </w:rPr>
        <w:t>Schreiber, U., &amp; Waldorf, K. (2009). Parallel transport and functors. Journal of Homotopy and Related Structures, 4, 187–244. arXiv:0705.0452</w:t>
      </w:r>
    </w:p>
    <w:p>
      <w:pPr>
        <w:spacing w:after="60" w:line="240" w:lineRule="auto"/>
        <w:ind w:left="403" w:hanging="403"/>
      </w:pPr>
      <w:r>
        <w:rPr>
          <w:rFonts w:ascii="Aptos" w:hAnsi="Aptos" w:eastAsia="Aptos"/>
          <w:b/>
          <w:color w:val="163752"/>
          <w:sz w:val="17"/>
        </w:rPr>
        <w:t xml:space="preserve">[9] </w:t>
      </w:r>
      <w:r>
        <w:rPr>
          <w:rFonts w:ascii="Aptos" w:hAnsi="Aptos" w:eastAsia="Aptos"/>
          <w:color w:val="181F26"/>
          <w:sz w:val="17"/>
        </w:rPr>
        <w:t>Barrett, J. W. (1991). Holonomy and path structures in general relativity and Yang–Mills theory. International Journal of Theoretical Physics, 30, 1171–1215. https://doi.org/10.1007/BF00671007</w:t>
      </w:r>
    </w:p>
    <w:p>
      <w:pPr>
        <w:spacing w:after="60" w:line="240" w:lineRule="auto"/>
        <w:ind w:left="403" w:hanging="403"/>
      </w:pPr>
      <w:r>
        <w:rPr>
          <w:rFonts w:ascii="Aptos" w:hAnsi="Aptos" w:eastAsia="Aptos"/>
          <w:b/>
          <w:color w:val="163752"/>
          <w:sz w:val="17"/>
        </w:rPr>
        <w:t xml:space="preserve">[10] </w:t>
      </w:r>
      <w:r>
        <w:rPr>
          <w:rFonts w:ascii="Aptos" w:hAnsi="Aptos" w:eastAsia="Aptos"/>
          <w:color w:val="181F26"/>
          <w:sz w:val="17"/>
        </w:rPr>
        <w:t>Singer, A. (2011). Angular synchronization by eigenvectors and semidefinite programming. Applied and Computational Harmonic Analysis, 30, 20–36. https://doi.org/10.1016/j.acha.2010.02.001</w:t>
      </w:r>
    </w:p>
    <w:p>
      <w:pPr>
        <w:spacing w:after="60" w:line="240" w:lineRule="auto"/>
        <w:ind w:left="403" w:hanging="403"/>
      </w:pPr>
      <w:r>
        <w:rPr>
          <w:rFonts w:ascii="Aptos" w:hAnsi="Aptos" w:eastAsia="Aptos"/>
          <w:b/>
          <w:color w:val="163752"/>
          <w:sz w:val="17"/>
        </w:rPr>
        <w:t xml:space="preserve">[11] </w:t>
      </w:r>
      <w:r>
        <w:rPr>
          <w:rFonts w:ascii="Aptos" w:hAnsi="Aptos" w:eastAsia="Aptos"/>
          <w:color w:val="181F26"/>
          <w:sz w:val="17"/>
        </w:rPr>
        <w:t>Bandeira, A. S., Boumal, N., &amp; Singer, A. (2017). Tightness of the maximum likelihood semidefinite relaxation for angular synchronization. Mathematical Programming, 163, 145–167. https://doi.org/10.1007/s10107-016-1059-6</w:t>
      </w:r>
    </w:p>
    <w:p>
      <w:pPr>
        <w:spacing w:after="60" w:line="240" w:lineRule="auto"/>
        <w:ind w:left="403" w:hanging="403"/>
      </w:pPr>
      <w:r>
        <w:rPr>
          <w:rFonts w:ascii="Aptos" w:hAnsi="Aptos" w:eastAsia="Aptos"/>
          <w:b/>
          <w:color w:val="163752"/>
          <w:sz w:val="17"/>
        </w:rPr>
        <w:t xml:space="preserve">[12] </w:t>
      </w:r>
      <w:r>
        <w:rPr>
          <w:rFonts w:ascii="Aptos" w:hAnsi="Aptos" w:eastAsia="Aptos"/>
          <w:color w:val="181F26"/>
          <w:sz w:val="17"/>
        </w:rPr>
        <w:t>Müller, M., &amp; Wehner, R. (1988). Path integration in desert ants, Cataglyphis fortis. Proceedings of the National Academy of Sciences USA, 85, 5287–5290. https://doi.org/10.1073/pnas.85.14.5287</w:t>
      </w:r>
    </w:p>
    <w:p>
      <w:pPr>
        <w:spacing w:after="60" w:line="240" w:lineRule="auto"/>
        <w:ind w:left="403" w:hanging="403"/>
      </w:pPr>
      <w:r>
        <w:rPr>
          <w:rFonts w:ascii="Aptos" w:hAnsi="Aptos" w:eastAsia="Aptos"/>
          <w:b/>
          <w:color w:val="163752"/>
          <w:sz w:val="17"/>
        </w:rPr>
        <w:t xml:space="preserve">[13] </w:t>
      </w:r>
      <w:r>
        <w:rPr>
          <w:rFonts w:ascii="Aptos" w:hAnsi="Aptos" w:eastAsia="Aptos"/>
          <w:color w:val="181F26"/>
          <w:sz w:val="17"/>
        </w:rPr>
        <w:t>Mehta, M. R., Barnes, C. A., &amp; McNaughton, B. L. (1997). Experience-dependent, asymmetric expansion of hippocampal place fields. Proceedings of the National Academy of Sciences USA, 94, 8918–8921. https://doi.org/10.1073/pnas.94.16.8918</w:t>
      </w:r>
    </w:p>
    <w:p>
      <w:pPr>
        <w:spacing w:after="60" w:line="240" w:lineRule="auto"/>
        <w:ind w:left="403" w:hanging="403"/>
      </w:pPr>
      <w:r>
        <w:rPr>
          <w:rFonts w:ascii="Aptos" w:hAnsi="Aptos" w:eastAsia="Aptos"/>
          <w:b/>
          <w:color w:val="163752"/>
          <w:sz w:val="17"/>
        </w:rPr>
        <w:t xml:space="preserve">[14] </w:t>
      </w:r>
      <w:r>
        <w:rPr>
          <w:rFonts w:ascii="Aptos" w:hAnsi="Aptos" w:eastAsia="Aptos"/>
          <w:color w:val="181F26"/>
          <w:sz w:val="17"/>
        </w:rPr>
        <w:t>Wood, E. R., Dudchenko, P. A., Robitsek, R. J., &amp; Eichenbaum, H. (2000). Hippocampal neurons encode information about different types of memory episodes occurring in the same location. Neuron, 27, 623–633. https://doi.org/10.1016/S0896-6273(00)00071-4</w:t>
      </w:r>
    </w:p>
    <w:p>
      <w:pPr>
        <w:spacing w:after="60" w:line="240" w:lineRule="auto"/>
        <w:ind w:left="403" w:hanging="403"/>
      </w:pPr>
      <w:r>
        <w:rPr>
          <w:rFonts w:ascii="Aptos" w:hAnsi="Aptos" w:eastAsia="Aptos"/>
          <w:b/>
          <w:color w:val="163752"/>
          <w:sz w:val="17"/>
        </w:rPr>
        <w:t xml:space="preserve">[15] </w:t>
      </w:r>
      <w:r>
        <w:rPr>
          <w:rFonts w:ascii="Aptos" w:hAnsi="Aptos" w:eastAsia="Aptos"/>
          <w:color w:val="181F26"/>
          <w:sz w:val="17"/>
        </w:rPr>
        <w:t>Duvelle, É., Grieves, R. M., Hok, V., et al. (2023). Temporal context and latent state inference in the hippocampal place cell representation. Trends in Neurosciences, 46, 505–518. https://doi.org/10.1016/j.tins.2023.03.006</w:t>
      </w:r>
    </w:p>
    <w:p>
      <w:pPr>
        <w:spacing w:after="60" w:line="240" w:lineRule="auto"/>
        <w:ind w:left="403" w:hanging="403"/>
      </w:pPr>
      <w:r>
        <w:rPr>
          <w:rFonts w:ascii="Aptos" w:hAnsi="Aptos" w:eastAsia="Aptos"/>
          <w:b/>
          <w:color w:val="163752"/>
          <w:sz w:val="17"/>
        </w:rPr>
        <w:t xml:space="preserve">[16] </w:t>
      </w:r>
      <w:r>
        <w:rPr>
          <w:rFonts w:ascii="Aptos" w:hAnsi="Aptos" w:eastAsia="Aptos"/>
          <w:color w:val="181F26"/>
          <w:sz w:val="17"/>
        </w:rPr>
        <w:t>Kinsky, N. R., Sullivan, D. W., Mau, W., Hasselmo, M. E., &amp; Eichenbaum, H. B. (2020). Trajectory-modulated hippocampal neurons persist throughout memory-guided navigation. Nature Communications, 11, 2443. https://doi.org/10.1038/s41467-020-16226-4</w:t>
      </w:r>
    </w:p>
    <w:p>
      <w:pPr>
        <w:spacing w:after="60" w:line="240" w:lineRule="auto"/>
        <w:ind w:left="403" w:hanging="403"/>
      </w:pPr>
      <w:r>
        <w:rPr>
          <w:rFonts w:ascii="Aptos" w:hAnsi="Aptos" w:eastAsia="Aptos"/>
          <w:b/>
          <w:color w:val="163752"/>
          <w:sz w:val="17"/>
        </w:rPr>
        <w:t xml:space="preserve">[17] </w:t>
      </w:r>
      <w:r>
        <w:rPr>
          <w:rFonts w:ascii="Aptos" w:hAnsi="Aptos" w:eastAsia="Aptos"/>
          <w:color w:val="181F26"/>
          <w:sz w:val="17"/>
        </w:rPr>
        <w:t>Rule, M. E., O'Leary, T., &amp; Harvey, C. D. (2020). Causes and consequences of representational drift. Current Opinion in Neurobiology, 58, 141–147. https://doi.org/10.1016/j.conb.2019.08.005</w:t>
      </w:r>
    </w:p>
    <w:p>
      <w:pPr>
        <w:spacing w:after="60" w:line="240" w:lineRule="auto"/>
        <w:ind w:left="403" w:hanging="403"/>
      </w:pPr>
      <w:r>
        <w:rPr>
          <w:rFonts w:ascii="Aptos" w:hAnsi="Aptos" w:eastAsia="Aptos"/>
          <w:b/>
          <w:color w:val="163752"/>
          <w:sz w:val="17"/>
        </w:rPr>
        <w:t xml:space="preserve">[18] </w:t>
      </w:r>
      <w:r>
        <w:rPr>
          <w:rFonts w:ascii="Aptos" w:hAnsi="Aptos" w:eastAsia="Aptos"/>
          <w:color w:val="181F26"/>
          <w:sz w:val="17"/>
        </w:rPr>
        <w:t>Aitken, K., Garrett, M., Olsen, S., &amp; Mihalas, S. (2022). The geometry of representational drift in natural and artificial neural networks. PLOS Computational Biology, 18, e1010716. https://doi.org/10.1371/journal.pcbi.1010716</w:t>
      </w:r>
    </w:p>
    <w:p>
      <w:pPr>
        <w:spacing w:after="60" w:line="240" w:lineRule="auto"/>
        <w:ind w:left="403" w:hanging="403"/>
      </w:pPr>
      <w:r>
        <w:rPr>
          <w:rFonts w:ascii="Aptos" w:hAnsi="Aptos" w:eastAsia="Aptos"/>
          <w:b/>
          <w:color w:val="163752"/>
          <w:sz w:val="17"/>
        </w:rPr>
        <w:t xml:space="preserve">[19] </w:t>
      </w:r>
      <w:r>
        <w:rPr>
          <w:rFonts w:ascii="Aptos" w:hAnsi="Aptos" w:eastAsia="Aptos"/>
          <w:color w:val="181F26"/>
          <w:sz w:val="17"/>
        </w:rPr>
        <w:t>Krupic, J., Bauza, M., Burton, S., Barry, C., &amp; O'Keefe, J. (2015). Grid cell symmetry is shaped by environmental geometry. Nature, 518, 232–235. https://doi.org/10.1038/nature14153</w:t>
      </w:r>
    </w:p>
    <w:p>
      <w:pPr>
        <w:spacing w:after="60" w:line="240" w:lineRule="auto"/>
        <w:ind w:left="403" w:hanging="403"/>
      </w:pPr>
      <w:r>
        <w:rPr>
          <w:rFonts w:ascii="Aptos" w:hAnsi="Aptos" w:eastAsia="Aptos"/>
          <w:b/>
          <w:color w:val="163752"/>
          <w:sz w:val="17"/>
        </w:rPr>
        <w:t xml:space="preserve">[20] </w:t>
      </w:r>
      <w:r>
        <w:rPr>
          <w:rFonts w:ascii="Aptos" w:hAnsi="Aptos" w:eastAsia="Aptos"/>
          <w:color w:val="181F26"/>
          <w:sz w:val="17"/>
        </w:rPr>
        <w:t>Stensola, H., Stensola, T., Solstad, T., et al. (2012). The entorhinal grid map is discretized. Nature, 492, 72–78. https://doi.org/10.1038/nature11649</w:t>
      </w:r>
    </w:p>
    <w:sectPr w:rsidR="00FC693F" w:rsidRPr="0006063C" w:rsidSect="00034616">
      <w:headerReference w:type="default" r:id="rId9"/>
      <w:footerReference w:type="default" r:id="rId10"/>
      <w:pgSz w:w="12240" w:h="15840"/>
      <w:pgMar w:top="1181" w:right="1325" w:bottom="1181" w:left="1325"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A636C"/>
        <w:sz w:val="16"/>
      </w:rPr>
      <w:t xml:space="preserve">PREPRINT DRAFT  |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5" w:color="CBD5DC"/>
      </w:pBdr>
    </w:pPr>
    <w:r>
      <w:rPr>
        <w:rFonts w:ascii="Aptos" w:hAnsi="Aptos" w:eastAsia="Aptos"/>
        <w:b/>
        <w:color w:val="5A636C"/>
        <w:sz w:val="16"/>
      </w:rPr>
      <w:t>TRANSPORT AT THE SEAMS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Aptos" w:hAnsi="Aptos"/>
      <w:color w:val="18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6375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A5B7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637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pPr>
    <w:rPr>
      <w:rFonts w:ascii="Aptos" w:hAnsi="Aptos"/>
      <w:i w:val="0"/>
      <w:iCs/>
      <w:color w:val="5A636C"/>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ptos" w:hAnsi="Aptos"/>
      <w:b/>
      <w:bCs/>
      <w:i/>
      <w:color w:val="5A63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40"/>
      <w:jc w:val="center"/>
    </w:pPr>
    <w:rPr>
      <w:rFonts w:ascii="Cambria Math" w:hAnsi="Cambria Math"/>
      <w:sz w:val="21"/>
    </w:rPr>
  </w:style>
  <w:style w:type="paragraph" w:customStyle="1" w:styleId="Theorem">
    <w:name w:val="Theorem"/>
    <w:pPr>
      <w:spacing w:before="120" w:after="120" w:line="269" w:lineRule="auto"/>
      <w:ind w:left="317" w:right="173"/>
    </w:pPr>
    <w:rPr>
      <w:rFonts w:ascii="Aptos" w:hAnsi="Aptos"/>
      <w:color w:val="181F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at the Seams: Descent Tests for Path Dependence in Neural Population Codes</dc:title>
  <dc:subject>Neuroscience-AGI research preprint</dc:subject>
  <dc:creator>Debiprasad Ghosh</dc:creator>
  <cp:keywords>provenance, neural transport, SE(2), grid cells, defensible intelligence</cp:keywords>
  <dc:description>Prepared as a complete preprint draft; empirical claims are limited to cited work and explicitly labelled synthetic validation.</dc:description>
  <cp:lastModifiedBy/>
  <cp:revision>1</cp:revision>
  <dcterms:created xsi:type="dcterms:W3CDTF">2013-12-23T23:15:00Z</dcterms:created>
  <dcterms:modified xsi:type="dcterms:W3CDTF">2013-12-23T23:15:00Z</dcterms:modified>
  <cp:category/>
</cp:coreProperties>
</file>