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color w:val="000000"/>
        </w:rPr>
        <w:t xml:space="preserve">The</w:t>
      </w:r>
      <w:r>
        <w:rPr>
          <w:color w:val="000000"/>
        </w:rPr>
        <w:t xml:space="preserve"> </w:t>
      </w:r>
      <w:r>
        <w:rPr>
          <w:color w:val="000000"/>
        </w:rPr>
        <w:t xml:space="preserve">Purpose</w:t>
      </w:r>
      <w:r>
        <w:rPr>
          <w:color w:val="000000"/>
        </w:rPr>
        <w:t xml:space="preserve"> </w:t>
      </w:r>
      <w:r>
        <w:rPr>
          <w:color w:val="000000"/>
        </w:rPr>
        <w:t xml:space="preserve">of</w:t>
      </w:r>
      <w:r>
        <w:rPr>
          <w:color w:val="000000"/>
        </w:rPr>
        <w:t xml:space="preserve"> </w:t>
      </w:r>
      <w:r>
        <w:rPr>
          <w:color w:val="000000"/>
        </w:rPr>
        <w:t xml:space="preserve">Long-term</w:t>
      </w:r>
      <w:r>
        <w:rPr>
          <w:color w:val="000000"/>
        </w:rPr>
        <w:t xml:space="preserve"> </w:t>
      </w:r>
      <w:r>
        <w:rPr>
          <w:color w:val="000000"/>
        </w:rPr>
        <w:t xml:space="preserve">Memory</w:t>
      </w:r>
      <w:r>
        <w:rPr>
          <w:color w:val="000000"/>
        </w:rPr>
        <w:t xml:space="preserve"> </w:t>
      </w:r>
      <w:r>
        <w:rPr>
          <w:color w:val="000000"/>
        </w:rPr>
        <w:t xml:space="preserve">is</w:t>
      </w:r>
      <w:r>
        <w:rPr>
          <w:color w:val="000000"/>
        </w:rPr>
        <w:t xml:space="preserve"> </w:t>
      </w:r>
      <w:r>
        <w:rPr>
          <w:color w:val="000000"/>
        </w:rPr>
        <w:t xml:space="preserve">Context-Free</w:t>
      </w:r>
      <w:r>
        <w:rPr>
          <w:color w:val="000000"/>
        </w:rPr>
        <w:t xml:space="preserve"> </w:t>
      </w:r>
      <w:r>
        <w:rPr>
          <w:color w:val="000000"/>
        </w:rPr>
        <w:t xml:space="preserve">Short-term</w:t>
      </w:r>
      <w:r>
        <w:rPr>
          <w:color w:val="000000"/>
        </w:rPr>
        <w:t xml:space="preserve"> </w:t>
      </w:r>
      <w:r>
        <w:rPr>
          <w:color w:val="000000"/>
        </w:rPr>
        <w:t xml:space="preserve">Memory</w:t>
      </w:r>
    </w:p>
    <w:p>
      <w:pPr>
        <w:pStyle w:val="Author"/>
        <w:jc w:val="center"/>
      </w:pPr>
      <w:r>
        <w:rPr>
          <w:color w:val="000000"/>
        </w:rPr>
        <w:t xml:space="preserve">Debi</w:t>
      </w:r>
      <w:r>
        <w:rPr>
          <w:color w:val="000000"/>
        </w:rPr>
        <w:t xml:space="preserve"> </w:t>
      </w:r>
      <w:r>
        <w:rPr>
          <w:color w:val="000000"/>
        </w:rPr>
        <w:t xml:space="preserve">Prasad</w:t>
      </w:r>
      <w:r>
        <w:rPr>
          <w:color w:val="000000"/>
        </w:rPr>
        <w:t xml:space="preserve"> </w:t>
      </w:r>
      <w:r>
        <w:rPr>
          <w:color w:val="000000"/>
        </w:rPr>
        <w:t xml:space="preserve">Ghosh</w:t>
      </w:r>
    </w:p>
    <w:p>
      <w:pPr>
        <w:pStyle w:val="Date"/>
        <w:jc w:val="center"/>
      </w:pPr>
      <w:r>
        <w:rPr>
          <w:color w:val="000000"/>
        </w:rPr>
        <w:t xml:space="preserve">18</w:t>
      </w:r>
      <w:r>
        <w:rPr>
          <w:color w:val="000000"/>
        </w:rPr>
        <w:t xml:space="preserve"> </w:t>
      </w:r>
      <w:r>
        <w:rPr>
          <w:color w:val="000000"/>
        </w:rPr>
        <w:t xml:space="preserve">September</w:t>
      </w:r>
      <w:r>
        <w:rPr>
          <w:color w:val="000000"/>
        </w:rPr>
        <w:t xml:space="preserve"> </w:t>
      </w:r>
      <w:r>
        <w:rPr>
          <w:color w:val="000000"/>
        </w:rPr>
        <w:t xml:space="preserve">2026</w:t>
      </w:r>
    </w:p>
    <w:p>
      <w:pPr>
        <w:pStyle w:val="Affiliation"/>
        <w:jc w:val="center"/>
      </w:pPr>
      <w:r>
        <w:rPr>
          <w:color w:val="000000"/>
        </w:rPr>
        <w:t xml:space="preserve">Debias Parametric Guru, Kolkata, India</w:t>
      </w:r>
    </w:p>
    <w:p>
      <w:pPr>
        <w:pStyle w:val="ArticleType"/>
        <w:jc w:val="center"/>
      </w:pPr>
      <w:r>
        <w:rPr>
          <w:color w:val="000000"/>
        </w:rPr>
        <w:t xml:space="preserve">Theoretical framework and experimental protocol</w:t>
      </w:r>
    </w:p>
    <w:bookmarkStart w:id="20" w:name="abstract"/>
    <w:p>
      <w:pPr>
        <w:pStyle w:val="Heading1"/>
        <w:spacing w:before="260"/>
        <w:jc w:val="left"/>
      </w:pPr>
      <w:r>
        <w:rPr>
          <w:color w:val="000000"/>
        </w:rPr>
        <w:t xml:space="preserve">Abstract</w:t>
      </w:r>
    </w:p>
    <w:p>
      <w:pPr>
        <w:pStyle w:val="FirstParagraph"/>
        <w:jc w:val="both"/>
      </w:pPr>
      <w:r>
        <w:rPr>
          <w:color w:val="000000"/>
        </w:rPr>
        <w:t xml:space="preserve">We advance the hypothesis that a central computational purpose of long-term memory is to reduce the historical context that present cognition must maintain in active state. Context-free processing is defined relative to a task family and an error tolerance: a bounded working window, together with selectively recalled information, should preserve the predictions and decisions available from the full experienced history. We instantiate this hypothesis through a Transformer memory bank of aligned KV trajectories addressed by short leading cues. Observed histories are consolidated by a count-weighted online mean when their cues and continuations agree, with functional distortion constraining the merge. Two architectural commitments are central: all memory slots are populated by a random repertoire before pre-training, and memory participates throughout pre-training. We specify a uniform distribution in calibrated coordinates, distinguish random initialization from evidential support, and show why first assignment, unused entries, and encoder drift remain substantive design problems. Joint training enables adaptation to the memory interface but does not guarantee preservation of previously stored representations. We derive conditions for mean-preserving coordinate transport, a sufficient attention-distortion bound, and an information requirement for resolving histories with indistinguishable cues. We also show that the online mean can encode accumulated experience through a reciprocal update gain without an explicit integer counter. Biological comparisons distinguish evidence for partial-cue recollection and consolidation from the contested interpretation of preplay and the unestablished identification of myelination with an experience counter. The paper provides analytical examples and a controlled evaluation protocol; it reports no trained-model benchmark results. The main empirical predictions concern competence under context truncation, functional merge error, memory utilisation during pre-training, and preservation of rare consequential events. Long-term memory is thereby evaluated by the active historical context it makes dispensable, subject to the information and resource costs of maintaining that capability.</w:t>
      </w:r>
    </w:p>
    <w:p>
      <w:pPr>
        <w:pStyle w:val="BodyText"/>
        <w:jc w:val="both"/>
      </w:pPr>
      <w:r>
        <w:rPr>
          <w:bCs/>
          <w:b/>
          <w:color w:val="000000"/>
        </w:rPr>
        <w:t xml:space="preserve">Keywords:</w:t>
      </w:r>
      <w:r>
        <w:rPr>
          <w:color w:val="000000"/>
        </w:rPr>
        <w:t xml:space="preserve"> </w:t>
      </w:r>
      <w:r>
        <w:rPr>
          <w:color w:val="000000"/>
        </w:rPr>
        <w:t xml:space="preserve">long-term memory; working memory; Transformer; KV cache; sequence prototypes; vector quantization; consolidation; preplay; adaptive myelination</w:t>
      </w:r>
    </w:p>
    <w:bookmarkEnd w:id="20"/>
    <w:bookmarkStart w:id="21" w:name="introduction"/>
    <w:p>
      <w:pPr>
        <w:pStyle w:val="Heading1"/>
        <w:jc w:val="left"/>
      </w:pPr>
      <w:r>
        <w:rPr>
          <w:color w:val="000000"/>
        </w:rPr>
        <w:t xml:space="preserve">1 Introduction</w:t>
      </w:r>
    </w:p>
    <w:p>
      <w:pPr>
        <w:pStyle w:val="FirstParagraph"/>
        <w:jc w:val="both"/>
      </w:pPr>
      <w:r>
        <w:rPr>
          <w:color w:val="000000"/>
        </w:rPr>
        <w:t xml:space="preserve">The useful output of a memory system is not exhausted by the amount of experience it stores. Memory also changes how much of that experience must be carried into the next computation. An experienced engineer can apply a familiar procedure without rehearsing every earlier project in which it was learned. The current task still supplies conditions, measurements, and unresolved decisions, but an extensive learning history can remain outside the active workspace. This paper treats that reduction in active historical dependence as a computational objective.</w:t>
      </w:r>
    </w:p>
    <w:p>
      <w:pPr>
        <w:pStyle w:val="BodyText"/>
        <w:jc w:val="both"/>
      </w:pPr>
      <w:r>
        <w:rPr>
          <w:color w:val="000000"/>
        </w:rPr>
        <w:t xml:space="preserve">In an autoregressive Transformer, cached keys and values retain representations of preceding tokens for subsequent attention [1]. Extending this cache preserves access to more context, but also increases storage and memory-access requirements. The present proposal asks whether recurring histories can be consolidated outside the active cache and recalled through short cues, allowing the active window to remain bounded. Its memory unit is a short ordered trajectory of internal states. Multiple compatible occurrences update one trajectory prototype, while incompatible continuations remain distinguishable.</w:t>
      </w:r>
    </w:p>
    <w:p>
      <w:pPr>
        <w:pStyle w:val="BodyText"/>
        <w:jc w:val="both"/>
      </w:pPr>
      <w:r>
        <w:rPr>
          <w:color w:val="000000"/>
        </w:rPr>
        <w:t xml:space="preserve">The title states a functional hypothesis, not an exclusive evolutionary explanation of all biological memory. It does not assert that cognition becomes independent of its current task or that information can be reconstructed after every record of it has been destroyed. Context can be compressed, stored elsewhere, or made implicit in learned parameters. The claim is that consolidated memory can make much of the original acquisition history unnecessary for current processing.</w:t>
      </w:r>
    </w:p>
    <w:p>
      <w:pPr>
        <w:pStyle w:val="BodyText"/>
        <w:jc w:val="both"/>
      </w:pPr>
      <w:r>
        <w:rPr>
          <w:color w:val="000000"/>
        </w:rPr>
        <w:t xml:space="preserve">Two commitments distinguish the proposed implementation. First, the bank contains a randomly initialized repertoire before training begins. Learning selects and modifies pre-existing slots. Second, the Transformer is trained with this memory mechanism from the outset, so its representations and predictions can adapt to retrieval, approximation, and a limited active window. These commitments specify a research programme. Neither random coverage nor successful co-adaptation follows merely from adopting them.</w:t>
      </w:r>
    </w:p>
    <w:p>
      <w:pPr>
        <w:pStyle w:val="BodyText"/>
        <w:jc w:val="both"/>
      </w:pPr>
      <w:r>
        <w:rPr>
          <w:color w:val="000000"/>
        </w:rPr>
        <w:t xml:space="preserve">The contributions are a task-relative definition of context independence; an explicit mechanism for cue-addressed trajectory consolidation; a treatment of random initialization, evidence counts, and moving representation spaces; elementary analytical results identifying sufficient conditions and unavoidable failures; and an experimental protocol connecting the computational proposal to carefully bounded biological analogies. The analysis separates established research, deductions within stated assumptions, and proposed design choices. All numerical examples are calculations on specified idealized systems rather than measurements from a trained Transformer.</w:t>
      </w:r>
    </w:p>
    <w:bookmarkEnd w:id="21"/>
    <w:bookmarkStart w:id="22" w:name="relation-to-existing-memory-mechanisms"/>
    <w:p>
      <w:pPr>
        <w:pStyle w:val="Heading1"/>
        <w:jc w:val="left"/>
      </w:pPr>
      <w:r>
        <w:rPr>
          <w:color w:val="000000"/>
        </w:rPr>
        <w:t xml:space="preserve">2 Relation to existing memory mechanisms</w:t>
      </w:r>
    </w:p>
    <w:p>
      <w:pPr>
        <w:pStyle w:val="FirstParagraph"/>
        <w:jc w:val="both"/>
      </w:pPr>
      <w:r>
        <w:rPr>
          <w:color w:val="000000"/>
        </w:rPr>
        <w:t xml:space="preserve">Several components have substantial precedent. Compressive Transformer retains compressed representations of older activations [2]. Memorizing Transformers retrieve previous key-value representations through approximate nearest-neighbour lookup [3]. KVMerger combines selected KV states using similarity-based weighted merging [4], while ClusterKV retrieves cached tokens at the granularity of semantic clusters [5]. These methods establish that compression, external activation memory, and clustered retrieval are viable research directions. They do not by themselves validate persistent, count-averaged, whole-history prototypes across a lifetime of changing representations.</w:t>
      </w:r>
    </w:p>
    <w:p>
      <w:pPr>
        <w:pStyle w:val="BodyText"/>
        <w:jc w:val="both"/>
      </w:pPr>
      <w:r>
        <w:rPr>
          <w:color w:val="000000"/>
        </w:rPr>
        <w:t xml:space="preserve">Vector quantization provides a second connection. VQ-VAE learns an encoder together with a discrete codebook and uses commitment mechanisms to couple representations to the available codes [6]. Nearest-centroid assignment and arithmetic-mean updates reduce to online k-means in a stationary Euclidean representation space. The proposed mechanism is more specifically gated online trajectory quantization: candidate selection uses a partial cue, admission checks the continuation, and a functional criterion can reject a geometrically close merge. Consequently, ordinary k-means convergence claims cannot be transferred without additional assumptions.</w:t>
      </w:r>
    </w:p>
    <w:p>
      <w:pPr>
        <w:pStyle w:val="BodyText"/>
        <w:jc w:val="both"/>
      </w:pPr>
      <w:r>
        <w:rPr>
          <w:color w:val="000000"/>
        </w:rPr>
        <w:t xml:space="preserve">Lu et al. identify encoder non-stationarity as a cause of codebook collapse and propose NS-VQ and TransVQ to update otherwise unselected codes [7]. Their evidence concerns vector-quantized image models. For the present architecture, the implication is a testable risk: encoder movement may make neglected entries unreachable. Utilisation must therefore be measured during pre-training. This preprint does not establish the performance of persistent KV trajectory memory.</w:t>
      </w:r>
    </w:p>
    <w:p>
      <w:pPr>
        <w:pStyle w:val="BodyText"/>
        <w:jc w:val="both"/>
      </w:pPr>
      <w:r>
        <w:rPr>
          <w:color w:val="000000"/>
        </w:rPr>
        <w:t xml:space="preserve">Transformer attention also has a connection to modern associative-memory formulations [8]. That connection motivates retrieval from incomplete cues, but it supplies no guarantee that arbitrary prefixes uniquely identify arbitrary continuations. Addressability depends on the cue distribution, the stored repertoire, and the distinctions required by the task.</w:t>
      </w:r>
    </w:p>
    <w:p>
      <w:pPr>
        <w:pStyle w:val="BodyText"/>
        <w:keepNext/>
        <w:spacing w:before="140" w:after="100"/>
        <w:jc w:val="both"/>
      </w:pPr>
      <w:r>
        <w:rPr>
          <w:color w:val="000000"/>
          <w:sz w:val="19"/>
        </w:rPr>
        <w:t xml:space="preserve">Table 1 identifies the intended point of comparison. The proposal’s contribution lies in the specified combination and its constraints, rather than a claim to have originated activation storage, vector quantization, or associative recall.</w:t>
      </w:r>
    </w:p>
    <w:p>
      <w:pPr>
        <w:pStyle w:val="BodyText"/>
        <w:keepNext/>
        <w:spacing w:before="140" w:after="100"/>
        <w:jc w:val="both"/>
      </w:pPr>
      <w:r>
        <w:rPr>
          <w:bCs/>
          <w:b/>
          <w:color w:val="000000"/>
          <w:sz w:val="19"/>
        </w:rPr>
        <w:t xml:space="preserve">Table 1. Position of the proposed mechanism relative to related work.</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312"/>
        <w:gridCol w:w="4248"/>
      </w:tblGrid>
      <w:tr>
        <w:trPr>
          <w:tblHeader w:val="true"/>
          <w:cantSplit/>
          <w:tblHeader w:val="true"/>
        </w:trPr>
        <w:tc>
          <w:tcPr>
            <w:tcW w:type="dxa" w:w="2232"/>
            <w:vAlign w:val="center"/>
            <w:tcMar>
              <w:top w:w="85" w:type="dxa"/>
              <w:bottom w:w="85" w:type="dxa"/>
              <w:left w:w="100" w:type="dxa"/>
              <w:right w:w="100" w:type="dxa"/>
            </w:tcMar>
            <w:shd w:fill="E8EDF1" w:val="clear"/>
          </w:tcPr>
          <w:p>
            <w:pPr>
              <w:pStyle w:val="Compact"/>
              <w:spacing w:after="0" w:before="0" w:line="245" w:lineRule="auto"/>
              <w:jc w:val="left"/>
            </w:pPr>
            <w:r>
              <w:rPr>
                <w:b/>
                <w:color w:val="000000"/>
                <w:sz w:val="19"/>
              </w:rPr>
              <w:t xml:space="preserve">Mechanism</w:t>
            </w:r>
          </w:p>
        </w:tc>
        <w:tc>
          <w:tcPr>
            <w:tcW w:type="dxa" w:w="3312"/>
            <w:vAlign w:val="center"/>
            <w:tcMar>
              <w:top w:w="85" w:type="dxa"/>
              <w:bottom w:w="85" w:type="dxa"/>
              <w:left w:w="100" w:type="dxa"/>
              <w:right w:w="100" w:type="dxa"/>
            </w:tcMar>
            <w:shd w:fill="E8EDF1" w:val="clear"/>
          </w:tcPr>
          <w:p>
            <w:pPr>
              <w:pStyle w:val="Compact"/>
              <w:spacing w:after="0" w:before="0" w:line="245" w:lineRule="auto"/>
              <w:jc w:val="left"/>
            </w:pPr>
            <w:r>
              <w:rPr>
                <w:b/>
                <w:color w:val="000000"/>
                <w:sz w:val="19"/>
              </w:rPr>
              <w:t xml:space="preserve">Relevant capability</w:t>
            </w:r>
          </w:p>
        </w:tc>
        <w:tc>
          <w:tcPr>
            <w:tcW w:type="dxa" w:w="4248"/>
            <w:vAlign w:val="center"/>
            <w:tcMar>
              <w:top w:w="85" w:type="dxa"/>
              <w:bottom w:w="85" w:type="dxa"/>
              <w:left w:w="100" w:type="dxa"/>
              <w:right w:w="100" w:type="dxa"/>
            </w:tcMar>
            <w:shd w:fill="E8EDF1" w:val="clear"/>
          </w:tcPr>
          <w:p>
            <w:pPr>
              <w:pStyle w:val="Compact"/>
              <w:spacing w:after="0" w:before="0" w:line="245" w:lineRule="auto"/>
              <w:jc w:val="left"/>
            </w:pPr>
            <w:r>
              <w:rPr>
                <w:b/>
                <w:color w:val="000000"/>
                <w:sz w:val="19"/>
              </w:rPr>
              <w:t xml:space="preserve">Additional question addressed here</w:t>
            </w:r>
          </w:p>
        </w:tc>
      </w:tr>
      <w:tr>
        <w:trPr>
          <w:cantSplit/>
        </w:trPr>
        <w:tc>
          <w:tcPr>
            <w:tcW w:type="dxa" w:w="2232"/>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Compressive Transformer [2]</w:t>
            </w:r>
          </w:p>
        </w:tc>
        <w:tc>
          <w:tcPr>
            <w:tcW w:type="dxa" w:w="3312"/>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Compression of older activations</w:t>
            </w:r>
          </w:p>
        </w:tc>
        <w:tc>
          <w:tcPr>
            <w:tcW w:type="dxa" w:w="4248"/>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Can repeated complete trajectories share a persistent prototype?</w:t>
            </w:r>
          </w:p>
        </w:tc>
      </w:tr>
      <w:tr>
        <w:trPr>
          <w:cantSplit/>
        </w:trPr>
        <w:tc>
          <w:tcPr>
            <w:tcW w:type="dxa" w:w="2232"/>
            <w:vAlign w:val="center"/>
            <w:tcMar>
              <w:top w:w="85" w:type="dxa"/>
              <w:bottom w:w="85" w:type="dxa"/>
              <w:left w:w="100" w:type="dxa"/>
              <w:right w:w="100" w:type="dxa"/>
            </w:tcMar>
            <w:shd w:fill="F8F9FA" w:val="clear"/>
          </w:tcPr>
          <w:p>
            <w:pPr>
              <w:pStyle w:val="Compact"/>
              <w:spacing w:after="0" w:before="0" w:line="245" w:lineRule="auto"/>
              <w:jc w:val="left"/>
            </w:pPr>
            <w:r>
              <w:rPr>
                <w:b w:val="0"/>
                <w:color w:val="000000"/>
                <w:sz w:val="19"/>
              </w:rPr>
              <w:t xml:space="preserve">Memorizing Transformers [3]</w:t>
            </w:r>
          </w:p>
        </w:tc>
        <w:tc>
          <w:tcPr>
            <w:tcW w:type="dxa" w:w="3312"/>
            <w:vAlign w:val="center"/>
            <w:tcMar>
              <w:top w:w="85" w:type="dxa"/>
              <w:bottom w:w="85" w:type="dxa"/>
              <w:left w:w="100" w:type="dxa"/>
              <w:right w:w="100" w:type="dxa"/>
            </w:tcMar>
            <w:shd w:fill="F8F9FA" w:val="clear"/>
          </w:tcPr>
          <w:p>
            <w:pPr>
              <w:pStyle w:val="Compact"/>
              <w:spacing w:after="0" w:before="0" w:line="245" w:lineRule="auto"/>
              <w:jc w:val="left"/>
            </w:pPr>
            <w:r>
              <w:rPr>
                <w:b w:val="0"/>
                <w:color w:val="000000"/>
                <w:sz w:val="19"/>
              </w:rPr>
              <w:t xml:space="preserve">Retrieval of previous KV representations</w:t>
            </w:r>
          </w:p>
        </w:tc>
        <w:tc>
          <w:tcPr>
            <w:tcW w:type="dxa" w:w="4248"/>
            <w:vAlign w:val="center"/>
            <w:tcMar>
              <w:top w:w="85" w:type="dxa"/>
              <w:bottom w:w="85" w:type="dxa"/>
              <w:left w:w="100" w:type="dxa"/>
              <w:right w:w="100" w:type="dxa"/>
            </w:tcMar>
            <w:shd w:fill="F8F9FA" w:val="clear"/>
          </w:tcPr>
          <w:p>
            <w:pPr>
              <w:pStyle w:val="Compact"/>
              <w:spacing w:after="0" w:before="0" w:line="245" w:lineRule="auto"/>
              <w:jc w:val="left"/>
            </w:pPr>
            <w:r>
              <w:rPr>
                <w:b w:val="0"/>
                <w:color w:val="000000"/>
                <w:sz w:val="19"/>
              </w:rPr>
              <w:t xml:space="preserve">Can a short cue retrieve an ordered, consolidated history?</w:t>
            </w:r>
          </w:p>
        </w:tc>
      </w:tr>
      <w:tr>
        <w:trPr>
          <w:cantSplit/>
        </w:trPr>
        <w:tc>
          <w:tcPr>
            <w:tcW w:type="dxa" w:w="2232"/>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KVMerger [4]</w:t>
            </w:r>
          </w:p>
        </w:tc>
        <w:tc>
          <w:tcPr>
            <w:tcW w:type="dxa" w:w="3312"/>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Similarity-based KV merging</w:t>
            </w:r>
          </w:p>
        </w:tc>
        <w:tc>
          <w:tcPr>
            <w:tcW w:type="dxa" w:w="4248"/>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Can merging preserve consequential continuation differences?</w:t>
            </w:r>
          </w:p>
        </w:tc>
      </w:tr>
      <w:tr>
        <w:trPr>
          <w:cantSplit/>
        </w:trPr>
        <w:tc>
          <w:tcPr>
            <w:tcW w:type="dxa" w:w="2232"/>
            <w:vAlign w:val="center"/>
            <w:tcMar>
              <w:top w:w="85" w:type="dxa"/>
              <w:bottom w:w="85" w:type="dxa"/>
              <w:left w:w="100" w:type="dxa"/>
              <w:right w:w="100" w:type="dxa"/>
            </w:tcMar>
            <w:shd w:fill="F8F9FA" w:val="clear"/>
          </w:tcPr>
          <w:p>
            <w:pPr>
              <w:pStyle w:val="Compact"/>
              <w:spacing w:after="0" w:before="0" w:line="245" w:lineRule="auto"/>
              <w:jc w:val="left"/>
            </w:pPr>
            <w:r>
              <w:rPr>
                <w:b w:val="0"/>
                <w:color w:val="000000"/>
                <w:sz w:val="19"/>
              </w:rPr>
              <w:t xml:space="preserve">ClusterKV [5]</w:t>
            </w:r>
          </w:p>
        </w:tc>
        <w:tc>
          <w:tcPr>
            <w:tcW w:type="dxa" w:w="3312"/>
            <w:vAlign w:val="center"/>
            <w:tcMar>
              <w:top w:w="85" w:type="dxa"/>
              <w:bottom w:w="85" w:type="dxa"/>
              <w:left w:w="100" w:type="dxa"/>
              <w:right w:w="100" w:type="dxa"/>
            </w:tcMar>
            <w:shd w:fill="F8F9FA" w:val="clear"/>
          </w:tcPr>
          <w:p>
            <w:pPr>
              <w:pStyle w:val="Compact"/>
              <w:spacing w:after="0" w:before="0" w:line="245" w:lineRule="auto"/>
              <w:jc w:val="left"/>
            </w:pPr>
            <w:r>
              <w:rPr>
                <w:b w:val="0"/>
                <w:color w:val="000000"/>
                <w:sz w:val="19"/>
              </w:rPr>
              <w:t xml:space="preserve">Cluster-based recall of cached tokens</w:t>
            </w:r>
          </w:p>
        </w:tc>
        <w:tc>
          <w:tcPr>
            <w:tcW w:type="dxa" w:w="4248"/>
            <w:vAlign w:val="center"/>
            <w:tcMar>
              <w:top w:w="85" w:type="dxa"/>
              <w:bottom w:w="85" w:type="dxa"/>
              <w:left w:w="100" w:type="dxa"/>
              <w:right w:w="100" w:type="dxa"/>
            </w:tcMar>
            <w:shd w:fill="F8F9FA" w:val="clear"/>
          </w:tcPr>
          <w:p>
            <w:pPr>
              <w:pStyle w:val="Compact"/>
              <w:spacing w:after="0" w:before="0" w:line="245" w:lineRule="auto"/>
              <w:jc w:val="left"/>
            </w:pPr>
            <w:r>
              <w:rPr>
                <w:b w:val="0"/>
                <w:color w:val="000000"/>
                <w:sz w:val="19"/>
              </w:rPr>
              <w:t xml:space="preserve">Can the bank remain useful across training and repeated episodes?</w:t>
            </w:r>
          </w:p>
        </w:tc>
      </w:tr>
      <w:tr>
        <w:trPr>
          <w:cantSplit/>
        </w:trPr>
        <w:tc>
          <w:tcPr>
            <w:tcW w:type="dxa" w:w="2232"/>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VQ-VAE and NS-VQ [6, 7]</w:t>
            </w:r>
          </w:p>
        </w:tc>
        <w:tc>
          <w:tcPr>
            <w:tcW w:type="dxa" w:w="3312"/>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Learned codebooks and drift-aware updates</w:t>
            </w:r>
          </w:p>
        </w:tc>
        <w:tc>
          <w:tcPr>
            <w:tcW w:type="dxa" w:w="4248"/>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How should counts and functional validity survive encoder changes?</w:t>
            </w:r>
          </w:p>
        </w:tc>
      </w:tr>
    </w:tbl>
    <w:bookmarkEnd w:id="22"/>
    <w:bookmarkStart w:id="25" w:name="task-relative-context-independence"/>
    <w:p>
      <w:pPr>
        <w:pStyle w:val="Heading1"/>
        <w:jc w:val="left"/>
      </w:pPr>
      <w:r>
        <w:rPr>
          <w:color w:val="000000"/>
        </w:rPr>
        <w:t xml:space="preserve">3 Task relative context independence</w:t>
      </w:r>
    </w:p>
    <w:bookmarkStart w:id="23" w:name="states-and-the-evaluation-target"/>
    <w:p>
      <w:pPr>
        <w:pStyle w:val="Heading2"/>
        <w:jc w:val="left"/>
      </w:pPr>
      <w:r>
        <w:rPr>
          <w:color w:val="000000"/>
        </w:rPr>
        <w:t xml:space="preserve">3.1 States and the evaluation target</w:t>
      </w:r>
    </w:p>
    <w:p>
      <w:pPr>
        <w:pStyle w:val="FirstParagraph"/>
        <w:jc w:val="both"/>
      </w:pPr>
      <w:r>
        <w:rPr>
          <w:color w:val="000000"/>
        </w:rPr>
        <w:t xml:space="preserve">Let</w:t>
      </w:r>
      <w:r>
        <w:rPr>
          <w:color w:val="000000"/>
        </w:rPr>
        <w:t xml:space="preserve"> </w:t>
      </w:r>
      <m:oMath>
        <m:r>
          <m:t>t</m:t>
        </m:r>
      </m:oMath>
      <w:r>
        <w:rPr>
          <w:color w:val="000000"/>
        </w:rPr>
        <w:t xml:space="preserve"> </w:t>
      </w:r>
      <w:r>
        <w:rPr>
          <w:color w:val="000000"/>
        </w:rPr>
        <w:t xml:space="preserve">denote interaction time and</w:t>
      </w:r>
      <w:r>
        <w:rPr>
          <w:color w:val="000000"/>
        </w:rPr>
        <w:t xml:space="preserve"> </w:t>
      </w:r>
      <m:oMath>
        <m:r>
          <m:t>s</m:t>
        </m:r>
      </m:oMath>
      <w:r>
        <w:rPr>
          <w:color w:val="000000"/>
        </w:rPr>
        <w:t xml:space="preserve"> </w:t>
      </w:r>
      <w:r>
        <w:rPr>
          <w:color w:val="000000"/>
        </w:rPr>
        <w:t xml:space="preserve">denote the parameter-update step during pre-training. Let</w:t>
      </w:r>
      <w:r>
        <w:rPr>
          <w:color w:val="000000"/>
        </w:rPr>
        <w:t xml:space="preserve"> </w:t>
      </w:r>
      <m:oMath>
        <m:sSub>
          <m:e>
            <m:r>
              <m:t>H</m:t>
            </m:r>
          </m:e>
          <m:sub>
            <m:r>
              <m:t>t</m:t>
            </m:r>
          </m:sub>
        </m:sSub>
      </m:oMath>
      <w:r>
        <w:rPr>
          <w:color w:val="000000"/>
        </w:rPr>
        <w:t xml:space="preserve"> </w:t>
      </w:r>
      <w:r>
        <w:rPr>
          <w:color w:val="000000"/>
        </w:rPr>
        <w:t xml:space="preserve">be the complete causally available experienced history,</w:t>
      </w:r>
      <w:r>
        <w:rPr>
          <w:color w:val="000000"/>
        </w:rPr>
        <w:t xml:space="preserve"> </w:t>
      </w:r>
      <m:oMath>
        <m:sSub>
          <m:e>
            <m:r>
              <m:t>W</m:t>
            </m:r>
          </m:e>
          <m:sub>
            <m:r>
              <m:t>t</m:t>
            </m:r>
          </m:sub>
        </m:sSub>
      </m:oMath>
      <w:r>
        <w:rPr>
          <w:color w:val="000000"/>
        </w:rPr>
        <w:t xml:space="preserve"> </w:t>
      </w:r>
      <w:r>
        <w:rPr>
          <w:color w:val="000000"/>
        </w:rPr>
        <w:t xml:space="preserve">a bounded recent window,</w:t>
      </w:r>
      <w:r>
        <w:rPr>
          <w:color w:val="000000"/>
        </w:rPr>
        <w:t xml:space="preserve"> </w:t>
      </w:r>
      <m:oMath>
        <m:sSub>
          <m:e>
            <m:r>
              <m:rPr>
                <m:sty m:val="p"/>
                <m:scr m:val="script"/>
              </m:rPr>
              <m:t>M</m:t>
            </m:r>
          </m:e>
          <m:sub>
            <m:r>
              <m:t>t</m:t>
            </m:r>
          </m:sub>
        </m:sSub>
      </m:oMath>
      <w:r>
        <w:rPr>
          <w:color w:val="000000"/>
        </w:rPr>
        <w:t xml:space="preserve"> </w:t>
      </w:r>
      <w:r>
        <w:rPr>
          <w:color w:val="000000"/>
        </w:rPr>
        <w:t xml:space="preserve">the external memory bank, and</w:t>
      </w:r>
      <w:r>
        <w:rPr>
          <w:color w:val="000000"/>
        </w:rPr>
        <w:t xml:space="preserve"> </w:t>
      </w:r>
      <m:oMath>
        <m:r>
          <m:t>τ</m:t>
        </m:r>
        <m:r>
          <m:rPr>
            <m:sty m:val="p"/>
          </m:rPr>
          <m:t>∈</m:t>
        </m:r>
        <m:r>
          <m:rPr>
            <m:sty m:val="p"/>
            <m:scr m:val="script"/>
          </m:rPr>
          <m:t>T</m:t>
        </m:r>
      </m:oMath>
      <w:r>
        <w:rPr>
          <w:color w:val="000000"/>
        </w:rPr>
        <w:t xml:space="preserve"> </w:t>
      </w:r>
      <w:r>
        <w:rPr>
          <w:color w:val="000000"/>
        </w:rPr>
        <w:t xml:space="preserve">the current task. A causal reader returns</w:t>
      </w:r>
      <w:r>
        <w:rPr>
          <w:color w:val="000000"/>
        </w:rPr>
        <w:t xml:space="preserve"> </w:t>
      </w:r>
      <m:oMath>
        <m:sSub>
          <m:e>
            <m:r>
              <m:t>R</m:t>
            </m:r>
          </m:e>
          <m:sub>
            <m:r>
              <m:t>t</m:t>
            </m:r>
          </m:sub>
        </m:sSub>
        <m:r>
          <m:rPr>
            <m:sty m:val="p"/>
          </m:rPr>
          <m:t>=</m:t>
        </m:r>
        <m:r>
          <m:rPr>
            <m:sty m:val="p"/>
            <m:scr m:val="script"/>
          </m:rPr>
          <m:t>R</m:t>
        </m:r>
        <m:d>
          <m:dPr>
            <m:begChr m:val="("/>
            <m:endChr m:val=")"/>
            <m:sepChr m:val=""/>
            <m:grow/>
          </m:dPr>
          <m:e>
            <m:sSub>
              <m:e>
                <m:r>
                  <m:t>W</m:t>
                </m:r>
              </m:e>
              <m:sub>
                <m:r>
                  <m:t>t</m:t>
                </m:r>
              </m:sub>
            </m:sSub>
            <m:r>
              <m:rPr>
                <m:sty m:val="p"/>
              </m:rPr>
              <m:t>,</m:t>
            </m:r>
            <m:sSub>
              <m:e>
                <m:r>
                  <m:rPr>
                    <m:sty m:val="p"/>
                    <m:scr m:val="script"/>
                  </m:rPr>
                  <m:t>M</m:t>
                </m:r>
              </m:e>
              <m:sub>
                <m:r>
                  <m:t>t</m:t>
                </m:r>
              </m:sub>
            </m:sSub>
            <m:r>
              <m:rPr>
                <m:sty m:val="p"/>
              </m:rPr>
              <m:t>,</m:t>
            </m:r>
            <m:r>
              <m:t>τ</m:t>
            </m:r>
          </m:e>
        </m:d>
      </m:oMath>
      <w:r>
        <w:rPr>
          <w:color w:val="000000"/>
        </w:rPr>
        <w:t xml:space="preserve">. The target variable</w:t>
      </w:r>
      <w:r>
        <w:rPr>
          <w:color w:val="000000"/>
        </w:rPr>
        <w:t xml:space="preserve"> </w:t>
      </w:r>
      <m:oMath>
        <m:r>
          <m:t>Y</m:t>
        </m:r>
      </m:oMath>
      <w:r>
        <w:rPr>
          <w:color w:val="000000"/>
        </w:rPr>
        <w:t xml:space="preserve"> </w:t>
      </w:r>
      <w:r>
        <w:rPr>
          <w:color w:val="000000"/>
        </w:rPr>
        <w:t xml:space="preserve">can be a next observation, an answer, an action outcome, or a required justification. Where actions affect subsequent observations, the task also specifies the intervention or evaluation policy.</w:t>
      </w:r>
    </w:p>
    <w:p>
      <w:pPr>
        <w:pStyle w:val="BodyText"/>
        <w:jc w:val="both"/>
        <w:keepNext/>
      </w:pPr>
      <w:r>
        <w:rPr>
          <w:color w:val="000000"/>
        </w:rPr>
        <w:t xml:space="preserve">The hypothesis is expressed informally by</w:t>
      </w:r>
    </w:p>
    <w:p>
      <w:pPr>
        <w:pStyle w:val="BodyText"/>
        <w:keepLines/>
        <w:tabs>
          <w:tab w:pos="4896" w:val="center"/>
          <w:tab w:pos="9792" w:val="right"/>
        </w:tabs>
        <w:spacing w:before="100" w:after="140"/>
        <w:jc w:val="left"/>
      </w:pPr>
      <w:r>
        <w:rPr>
          <w:color w:val="000000"/>
        </w:rPr>
        <w:tab/>
      </w:r>
      <m:oMath>
        <m:sSub>
          <m:e>
            <m:r>
              <m:t>p</m:t>
            </m:r>
          </m:e>
          <m:sub>
            <m:r>
              <m:t>τ</m:t>
            </m:r>
          </m:sub>
        </m:sSub>
        <m:d>
          <m:dPr>
            <m:begChr m:val="("/>
            <m:endChr m:val=")"/>
            <m:sepChr m:val=""/>
            <m:grow/>
          </m:dPr>
          <m:e>
            <m:r>
              <m:t>Y</m:t>
            </m:r>
            <m:r>
              <m:rPr>
                <m:sty m:val="p"/>
              </m:rPr>
              <m:t>∣</m:t>
            </m:r>
            <m:sSub>
              <m:e>
                <m:r>
                  <m:t>H</m:t>
                </m:r>
              </m:e>
              <m:sub>
                <m:r>
                  <m:t>t</m:t>
                </m:r>
              </m:sub>
            </m:sSub>
          </m:e>
        </m:d>
        <m:sSub>
          <m:e>
            <m:r>
              <m:rPr>
                <m:sty m:val="p"/>
              </m:rPr>
              <m:t>≈</m:t>
            </m:r>
          </m:e>
          <m:sub>
            <m:r>
              <m:t>ε</m:t>
            </m:r>
          </m:sub>
        </m:sSub>
        <m:sSub>
          <m:e>
            <m:r>
              <m:t>p</m:t>
            </m:r>
          </m:e>
          <m:sub>
            <m:r>
              <m:t>τ</m:t>
            </m:r>
          </m:sub>
        </m:sSub>
        <m:d>
          <m:dPr>
            <m:begChr m:val="("/>
            <m:endChr m:val=")"/>
            <m:sepChr m:val=""/>
            <m:grow/>
          </m:dPr>
          <m:e>
            <m:r>
              <m:t>Y</m:t>
            </m:r>
            <m:r>
              <m:rPr>
                <m:sty m:val="p"/>
              </m:rPr>
              <m:t>∣</m:t>
            </m:r>
            <m:sSub>
              <m:e>
                <m:r>
                  <m:t>W</m:t>
                </m:r>
              </m:e>
              <m:sub>
                <m:r>
                  <m:t>t</m:t>
                </m:r>
              </m:sub>
            </m:sSub>
            <m:r>
              <m:rPr>
                <m:sty m:val="p"/>
              </m:rPr>
              <m:t>,</m:t>
            </m:r>
            <m:sSub>
              <m:e>
                <m:r>
                  <m:t>R</m:t>
                </m:r>
              </m:e>
              <m:sub>
                <m:r>
                  <m:t>t</m:t>
                </m:r>
              </m:sub>
            </m:sSub>
          </m:e>
        </m:d>
        <m:r>
          <m:rPr>
            <m:sty m:val="p"/>
          </m:rPr>
          <m:t>.</m:t>
        </m:r>
      </m:oMath>
      <w:r>
        <w:rPr>
          <w:color w:val="000000"/>
        </w:rPr>
        <w:tab/>
        <w:t>(1)</w:t>
      </w:r>
    </w:p>
    <w:p>
      <w:pPr>
        <w:pStyle w:val="FirstParagraph"/>
        <w:jc w:val="both"/>
        <w:keepNext/>
      </w:pPr>
      <w:r>
        <w:rPr>
          <w:color w:val="000000"/>
        </w:rPr>
        <w:t xml:space="preserve">For a precise operational definition, choose a task distribution and a discrepancy, such as total variation, and require</w:t>
      </w:r>
    </w:p>
    <w:p>
      <w:pPr>
        <w:pStyle w:val="BodyText"/>
        <w:keepLines/>
        <w:tabs>
          <w:tab w:pos="4896" w:val="center"/>
          <w:tab w:pos="9792" w:val="right"/>
        </w:tabs>
        <w:spacing w:before="100" w:after="140"/>
        <w:jc w:val="left"/>
      </w:pPr>
      <w:r>
        <w:rPr>
          <w:color w:val="000000"/>
        </w:rPr>
        <w:tab/>
      </w:r>
      <m:oMath>
        <m:limLow>
          <m:e>
            <m:r>
              <m:rPr>
                <m:sty m:val="p"/>
              </m:rPr>
              <m:t>sup</m:t>
            </m:r>
          </m:e>
          <m:lim>
            <m:r>
              <m:t>τ</m:t>
            </m:r>
            <m:r>
              <m:rPr>
                <m:sty m:val="p"/>
              </m:rPr>
              <m:t>∈</m:t>
            </m:r>
            <m:r>
              <m:rPr>
                <m:sty m:val="p"/>
                <m:scr m:val="script"/>
              </m:rPr>
              <m:t>T</m:t>
            </m:r>
          </m:lim>
        </m:limLow>
        <m:sSub>
          <m:e>
            <m:r>
              <m:rPr>
                <m:sty m:val="p"/>
                <m:scr m:val="double-struck"/>
              </m:rPr>
              <m:t>E</m:t>
            </m:r>
          </m:e>
          <m:sub>
            <m:sSub>
              <m:e>
                <m:r>
                  <m:t>H</m:t>
                </m:r>
              </m:e>
              <m:sub>
                <m:r>
                  <m:t>t</m:t>
                </m:r>
              </m:sub>
            </m:sSub>
            <m:r>
              <m:rPr>
                <m:sty m:val="p"/>
              </m:rPr>
              <m:t>∼</m:t>
            </m:r>
            <m:sSub>
              <m:e>
                <m:r>
                  <m:t>P</m:t>
                </m:r>
              </m:e>
              <m:sub>
                <m:r>
                  <m:t>τ</m:t>
                </m:r>
              </m:sub>
            </m:sSub>
          </m:sub>
        </m:sSub>
        <m:d>
          <m:dPr>
            <m:begChr m:val="["/>
            <m:endChr m:val="]"/>
            <m:sepChr m:val=""/>
            <m:grow/>
          </m:dPr>
          <m:e>
            <m:sSub>
              <m:e>
                <m:r>
                  <m:t>D</m:t>
                </m:r>
              </m:e>
              <m:sub>
                <m:r>
                  <m:rPr>
                    <m:sty m:val="p"/>
                  </m:rPr>
                  <m:t>T</m:t>
                </m:r>
                <m:r>
                  <m:rPr>
                    <m:sty m:val="p"/>
                  </m:rPr>
                  <m:t>V</m:t>
                </m:r>
              </m:sub>
            </m:sSub>
            <m:r>
              <m:t>​</m:t>
            </m:r>
            <m:d>
              <m:dPr>
                <m:begChr m:val="("/>
                <m:endChr m:val=")"/>
                <m:sepChr m:val=""/>
                <m:grow/>
              </m:dPr>
              <m:e>
                <m:sSub>
                  <m:e>
                    <m:r>
                      <m:t>P</m:t>
                    </m:r>
                  </m:e>
                  <m:sub>
                    <m:r>
                      <m:t>τ</m:t>
                    </m:r>
                  </m:sub>
                </m:sSub>
                <m:d>
                  <m:dPr>
                    <m:begChr m:val="("/>
                    <m:endChr m:val=")"/>
                    <m:sepChr m:val=""/>
                    <m:grow/>
                  </m:dPr>
                  <m:e>
                    <m:r>
                      <m:t>Y</m:t>
                    </m:r>
                    <m:r>
                      <m:rPr>
                        <m:sty m:val="p"/>
                      </m:rPr>
                      <m:t>∣</m:t>
                    </m:r>
                    <m:sSub>
                      <m:e>
                        <m:r>
                          <m:t>H</m:t>
                        </m:r>
                      </m:e>
                      <m:sub>
                        <m:r>
                          <m:t>t</m:t>
                        </m:r>
                      </m:sub>
                    </m:sSub>
                  </m:e>
                </m:d>
                <m:r>
                  <m:rPr>
                    <m:sty m:val="p"/>
                  </m:rPr>
                  <m:t>,</m:t>
                </m:r>
                <m:sSub>
                  <m:e>
                    <m:r>
                      <m:t>P</m:t>
                    </m:r>
                  </m:e>
                  <m:sub>
                    <m:r>
                      <m:t>τ</m:t>
                    </m:r>
                  </m:sub>
                </m:sSub>
                <m:d>
                  <m:dPr>
                    <m:begChr m:val="("/>
                    <m:endChr m:val=")"/>
                    <m:sepChr m:val=""/>
                    <m:grow/>
                  </m:dPr>
                  <m:e>
                    <m:r>
                      <m:t>Y</m:t>
                    </m:r>
                    <m:r>
                      <m:rPr>
                        <m:sty m:val="p"/>
                      </m:rPr>
                      <m:t>∣</m:t>
                    </m:r>
                    <m:sSub>
                      <m:e>
                        <m:r>
                          <m:t>W</m:t>
                        </m:r>
                      </m:e>
                      <m:sub>
                        <m:r>
                          <m:t>t</m:t>
                        </m:r>
                      </m:sub>
                    </m:sSub>
                    <m:r>
                      <m:rPr>
                        <m:sty m:val="p"/>
                      </m:rPr>
                      <m:t>,</m:t>
                    </m:r>
                    <m:sSub>
                      <m:e>
                        <m:r>
                          <m:t>R</m:t>
                        </m:r>
                      </m:e>
                      <m:sub>
                        <m:r>
                          <m:t>t</m:t>
                        </m:r>
                      </m:sub>
                    </m:sSub>
                  </m:e>
                </m:d>
              </m:e>
            </m:d>
          </m:e>
        </m:d>
        <m:r>
          <m:rPr>
            <m:sty m:val="p"/>
          </m:rPr>
          <m:t>≤</m:t>
        </m:r>
        <m:r>
          <m:t>ε</m:t>
        </m:r>
        <m:r>
          <m:rPr>
            <m:sty m:val="p"/>
          </m:rPr>
          <m:t>.</m:t>
        </m:r>
      </m:oMath>
      <w:r>
        <w:rPr>
          <w:color w:val="000000"/>
        </w:rPr>
        <w:tab/>
        <w:t>(2)</w:t>
      </w:r>
    </w:p>
    <w:p>
      <w:pPr>
        <w:pStyle w:val="FirstParagraph"/>
        <w:jc w:val="both"/>
      </w:pPr>
      <w:r>
        <w:rPr>
          <w:color w:val="000000"/>
        </w:rPr>
        <w:t xml:space="preserve">Equation (2) measures average discrepancy within each specified task; it is not a guarantee for every possible history. A stronger worst-case condition replaces the expectation by a supremum over an explicitly declared set of histories. In actual model evaluation, the true conditional distribution is usually unknown. A full-context model supplies a comparative reference, while task outcomes supply an independent check. Agreement with that model alone does not establish agreement with the true task distribution.</w:t>
      </w:r>
    </w:p>
    <w:p>
      <w:pPr>
        <w:pStyle w:val="BodyText"/>
        <w:jc w:val="both"/>
        <w:keepNext/>
      </w:pPr>
      <w:r>
        <w:rPr>
          <w:color w:val="000000"/>
        </w:rPr>
        <w:t xml:space="preserve">All model parameters and pretrained knowledge are held fixed when comparing a full-history and a truncated-history inference condition. Otherwise, improved performance could result from a different backbone rather than from the memory intervention. When the exact conditional independence holds, the older history contains no additional information about the task target given the active window and retrieved state:</w:t>
      </w:r>
    </w:p>
    <w:p>
      <w:pPr>
        <w:pStyle w:val="BodyText"/>
        <w:keepLines/>
        <w:tabs>
          <w:tab w:pos="4896" w:val="center"/>
          <w:tab w:pos="9792" w:val="right"/>
        </w:tabs>
        <w:spacing w:before="100" w:after="140"/>
        <w:jc w:val="left"/>
      </w:pPr>
      <w:r>
        <w:rPr>
          <w:color w:val="000000"/>
        </w:rPr>
        <w:tab/>
      </w:r>
      <m:oMath>
        <m:r>
          <m:t>I</m:t>
        </m:r>
        <m:d>
          <m:dPr>
            <m:begChr m:val="("/>
            <m:endChr m:val=")"/>
            <m:sepChr m:val=""/>
            <m:grow/>
          </m:dPr>
          <m:e>
            <m:r>
              <m:t>Y</m:t>
            </m:r>
            <m:r>
              <m:rPr>
                <m:sty m:val="p"/>
              </m:rPr>
              <m:t>;</m:t>
            </m:r>
            <m:sSub>
              <m:e>
                <m:r>
                  <m:t>H</m:t>
                </m:r>
              </m:e>
              <m:sub>
                <m:r>
                  <m:t>t</m:t>
                </m:r>
              </m:sub>
            </m:sSub>
            <m:r>
              <m:rPr>
                <m:sty m:val="p"/>
              </m:rPr>
              <m:t>∣</m:t>
            </m:r>
            <m:sSub>
              <m:e>
                <m:r>
                  <m:t>W</m:t>
                </m:r>
              </m:e>
              <m:sub>
                <m:r>
                  <m:t>t</m:t>
                </m:r>
              </m:sub>
            </m:sSub>
            <m:r>
              <m:rPr>
                <m:sty m:val="p"/>
              </m:rPr>
              <m:t>,</m:t>
            </m:r>
            <m:sSub>
              <m:e>
                <m:r>
                  <m:t>R</m:t>
                </m:r>
              </m:e>
              <m:sub>
                <m:r>
                  <m:t>t</m:t>
                </m:r>
              </m:sub>
            </m:sSub>
            <m:r>
              <m:rPr>
                <m:sty m:val="p"/>
              </m:rPr>
              <m:t>,</m:t>
            </m:r>
            <m:r>
              <m:t>τ</m:t>
            </m:r>
          </m:e>
        </m:d>
        <m:r>
          <m:rPr>
            <m:sty m:val="p"/>
          </m:rPr>
          <m:t>=</m:t>
        </m:r>
        <m:r>
          <m:t>0</m:t>
        </m:r>
        <m:r>
          <m:rPr>
            <m:sty m:val="p"/>
          </m:rPr>
          <m:t>.</m:t>
        </m:r>
      </m:oMath>
      <w:r>
        <w:rPr>
          <w:color w:val="000000"/>
        </w:rPr>
        <w:tab/>
        <w:t>(3)</w:t>
      </w:r>
    </w:p>
    <w:p>
      <w:pPr>
        <w:pStyle w:val="FirstParagraph"/>
        <w:jc w:val="both"/>
      </w:pPr>
      <w:r>
        <w:rPr>
          <w:color w:val="000000"/>
        </w:rPr>
        <w:t xml:space="preserve">This is a sufficiency condition. It neither requires that the memory reproduce every historical detail nor implies that a fixed-size representation exists for every task family.</w:t>
      </w:r>
    </w:p>
    <w:bookmarkEnd w:id="23"/>
    <w:bookmarkStart w:id="24" w:name="which-histories-may-share-a-memory"/>
    <w:p>
      <w:pPr>
        <w:pStyle w:val="Heading2"/>
        <w:jc w:val="left"/>
      </w:pPr>
      <w:r>
        <w:rPr>
          <w:color w:val="000000"/>
        </w:rPr>
        <w:t xml:space="preserve">3.2 Which histories may share a memory</w:t>
      </w:r>
    </w:p>
    <w:p>
      <w:pPr>
        <w:pStyle w:val="FirstParagraph"/>
        <w:jc w:val="both"/>
      </w:pPr>
      <w:r>
        <w:rPr>
          <w:color w:val="000000"/>
        </w:rPr>
        <w:t xml:space="preserve">Two histories are exactly task-equivalent when, under every admissible continuation or intervention in the declared task family, they induce the same relevant predictive and decision distributions. If provenance is required, provenance is included in the target. Histories that produce the same immediate answer but require different future actions are not equivalent under that enlarged task family.</w:t>
      </w:r>
    </w:p>
    <w:p>
      <w:pPr>
        <w:pStyle w:val="BodyText"/>
        <w:jc w:val="both"/>
      </w:pPr>
      <w:r>
        <w:rPr>
          <w:color w:val="000000"/>
        </w:rPr>
        <w:t xml:space="preserve">Approximate closeness is generally not transitive. One history may be close to a second and the second close to a third, although the first and third differ consequentially. A chain of locally acceptable assignments can therefore produce a drifting prototype. A defensible consolidation rule constrains the updated prototype relative to the represented histories, using retained witnesses, dispersion bounds, or periodic re-evaluation. A pairwise threshold applied only to the newest item cannot certify the whole cluster.</w:t>
      </w:r>
    </w:p>
    <w:p>
      <w:pPr>
        <w:pStyle w:val="BodyText"/>
        <w:jc w:val="both"/>
      </w:pPr>
      <w:r>
        <w:rPr>
          <w:color w:val="000000"/>
        </w:rPr>
        <w:t xml:space="preserve">The task family also determines what forgetting means. Discarding a measurement that never affects any future target may be harmless under one task. The same measurement may become essential when the task adds diagnosis, auditing, or explanation. Thus, forgetting policy and the scope of the sufficiency claim must be stated together.</w:t>
      </w:r>
    </w:p>
    <w:bookmarkEnd w:id="24"/>
    <w:bookmarkEnd w:id="25"/>
    <w:bookmarkStart w:id="32" w:name="a-memory-bank-of-aligned-trajectories"/>
    <w:p>
      <w:pPr>
        <w:pStyle w:val="Heading1"/>
        <w:jc w:val="left"/>
      </w:pPr>
      <w:r>
        <w:rPr>
          <w:color w:val="000000"/>
        </w:rPr>
        <w:t xml:space="preserve">4 A memory bank of aligned trajectories</w:t>
      </w:r>
    </w:p>
    <w:bookmarkStart w:id="26" w:name="representation-and-entry-state"/>
    <w:p>
      <w:pPr>
        <w:pStyle w:val="Heading2"/>
        <w:jc w:val="left"/>
      </w:pPr>
      <w:r>
        <w:rPr>
          <w:color w:val="000000"/>
        </w:rPr>
        <w:t xml:space="preserve">4.1 Representation and entry state</w:t>
      </w:r>
    </w:p>
    <w:p>
      <w:pPr>
        <w:pStyle w:val="FirstParagraph"/>
        <w:jc w:val="both"/>
      </w:pPr>
      <w:r>
        <w:rPr>
          <w:color w:val="000000"/>
        </w:rPr>
        <w:t xml:space="preserve">An observed segment about to leave the active cache is represented as</w:t>
      </w:r>
      <w:r>
        <w:rPr>
          <w:color w:val="000000"/>
        </w:rPr>
        <w:t xml:space="preserve"> </w:t>
      </w:r>
      <m:oMath>
        <m:sSub>
          <m:e>
            <m:r>
              <m:t>X</m:t>
            </m:r>
          </m:e>
          <m:sub>
            <m:r>
              <m:t>s</m:t>
            </m:r>
          </m:sub>
        </m:sSub>
        <m:r>
          <m:rPr>
            <m:sty m:val="p"/>
          </m:rPr>
          <m:t>=</m:t>
        </m:r>
        <m:d>
          <m:dPr>
            <m:begChr m:val="("/>
            <m:endChr m:val=")"/>
            <m:sepChr m:val=""/>
            <m:grow/>
          </m:dPr>
          <m:e>
            <m:sSub>
              <m:e>
                <m:r>
                  <m:t>x</m:t>
                </m:r>
              </m:e>
              <m:sub>
                <m:r>
                  <m:t>1</m:t>
                </m:r>
              </m:sub>
            </m:sSub>
            <m:r>
              <m:rPr>
                <m:sty m:val="p"/>
              </m:rPr>
              <m:t>,</m:t>
            </m:r>
            <m:r>
              <m:rPr>
                <m:sty m:val="p"/>
              </m:rPr>
              <m:t>…</m:t>
            </m:r>
            <m:r>
              <m:rPr>
                <m:sty m:val="p"/>
              </m:rPr>
              <m:t>,</m:t>
            </m:r>
            <m:sSub>
              <m:e>
                <m:r>
                  <m:t>x</m:t>
                </m:r>
              </m:e>
              <m:sub>
                <m:r>
                  <m:t>m</m:t>
                </m:r>
              </m:sub>
            </m:sSub>
          </m:e>
        </m:d>
      </m:oMath>
      <w:r>
        <w:rPr>
          <w:color w:val="000000"/>
        </w:rPr>
        <w:t xml:space="preserve"> </w:t>
      </w:r>
      <w:r>
        <w:rPr>
          <w:color w:val="000000"/>
        </w:rPr>
        <w:t xml:space="preserve">in the current representation space. A raw implementation concatenates the selected keys and values at each of</w:t>
      </w:r>
      <w:r>
        <w:rPr>
          <w:color w:val="000000"/>
        </w:rPr>
        <w:t xml:space="preserve"> </w:t>
      </w:r>
      <m:oMath>
        <m:r>
          <m:t>m</m:t>
        </m:r>
      </m:oMath>
      <w:r>
        <w:rPr>
          <w:color w:val="000000"/>
        </w:rPr>
        <w:t xml:space="preserve"> </w:t>
      </w:r>
      <w:r>
        <w:rPr>
          <w:color w:val="000000"/>
        </w:rPr>
        <w:t xml:space="preserve">positions. A compressed implementation uses an encoder</w:t>
      </w:r>
      <w:r>
        <w:rPr>
          <w:color w:val="000000"/>
        </w:rPr>
        <w:t xml:space="preserve"> </w:t>
      </w:r>
      <m:oMath>
        <m:sSub>
          <m:e>
            <m:r>
              <m:t>E</m:t>
            </m:r>
          </m:e>
          <m:sub>
            <m:sSub>
              <m:e>
                <m:r>
                  <m:t>θ</m:t>
                </m:r>
              </m:e>
              <m:sub>
                <m:r>
                  <m:t>s</m:t>
                </m:r>
              </m:sub>
            </m:sSub>
            <m:r>
              <m:rPr>
                <m:sty m:val="p"/>
              </m:rPr>
              <m:t>,</m:t>
            </m:r>
            <m:sSub>
              <m:e>
                <m:r>
                  <m:t>ϕ</m:t>
                </m:r>
              </m:e>
              <m:sub>
                <m:r>
                  <m:t>s</m:t>
                </m:r>
              </m:sub>
            </m:sSub>
          </m:sub>
        </m:sSub>
      </m:oMath>
      <w:r>
        <w:rPr>
          <w:color w:val="000000"/>
        </w:rPr>
        <w:t xml:space="preserve"> </w:t>
      </w:r>
      <w:r>
        <w:rPr>
          <w:color w:val="000000"/>
        </w:rPr>
        <w:t xml:space="preserve">and a decoder or memory-attention interface; its reconstruction error is an additional measured cost. The baseline uses fixed-length, non-overlapping segments and a leading cue of length</w:t>
      </w:r>
      <w:r>
        <w:rPr>
          <w:color w:val="000000"/>
        </w:rPr>
        <w:t xml:space="preserve"> </w:t>
      </w:r>
      <m:oMath>
        <m:r>
          <m:t>r</m:t>
        </m:r>
        <m:r>
          <m:rPr>
            <m:sty m:val="p"/>
          </m:rPr>
          <m:t>&lt;</m:t>
        </m:r>
        <m:r>
          <m:t>m</m:t>
        </m:r>
      </m:oMath>
      <w:r>
        <w:rPr>
          <w:color w:val="000000"/>
        </w:rPr>
        <w:t xml:space="preserve">. Event-based or overlapping segmentation is an explicit extension.</w:t>
      </w:r>
    </w:p>
    <w:p>
      <w:pPr>
        <w:pStyle w:val="BodyText"/>
        <w:jc w:val="both"/>
      </w:pPr>
      <w:r>
        <w:rPr>
          <w:color w:val="000000"/>
        </w:rPr>
        <w:t xml:space="preserve">Each of</w:t>
      </w:r>
      <w:r>
        <w:rPr>
          <w:color w:val="000000"/>
        </w:rPr>
        <w:t xml:space="preserve"> </w:t>
      </w:r>
      <m:oMath>
        <m:r>
          <m:t>N</m:t>
        </m:r>
      </m:oMath>
      <w:r>
        <w:rPr>
          <w:color w:val="000000"/>
        </w:rPr>
        <w:t xml:space="preserve"> </w:t>
      </w:r>
      <w:r>
        <w:rPr>
          <w:color w:val="000000"/>
        </w:rPr>
        <w:t xml:space="preserve">pre-existing slots contains a sequence prototype</w:t>
      </w:r>
      <w:r>
        <w:rPr>
          <w:color w:val="000000"/>
        </w:rPr>
        <w:t xml:space="preserve"> </w:t>
      </w:r>
      <m:oMath>
        <m:sSub>
          <m:e>
            <m:r>
              <m:t>μ</m:t>
            </m:r>
          </m:e>
          <m:sub>
            <m:r>
              <m:t>j</m:t>
            </m:r>
          </m:sub>
        </m:sSub>
      </m:oMath>
      <w:r>
        <w:rPr>
          <w:color w:val="000000"/>
        </w:rPr>
        <w:t xml:space="preserve">, an observed assignment count</w:t>
      </w:r>
      <w:r>
        <w:rPr>
          <w:color w:val="000000"/>
        </w:rPr>
        <w:t xml:space="preserve"> </w:t>
      </w:r>
      <m:oMath>
        <m:sSub>
          <m:e>
            <m:r>
              <m:t>n</m:t>
            </m:r>
          </m:e>
          <m:sub>
            <m:r>
              <m:t>j</m:t>
            </m:r>
          </m:sub>
        </m:sSub>
      </m:oMath>
      <w:r>
        <w:rPr>
          <w:color w:val="000000"/>
        </w:rPr>
        <w:t xml:space="preserve">, a dispersion summary</w:t>
      </w:r>
      <w:r>
        <w:rPr>
          <w:color w:val="000000"/>
        </w:rPr>
        <w:t xml:space="preserve"> </w:t>
      </w:r>
      <m:oMath>
        <m:sSub>
          <m:e>
            <m:r>
              <m:t>S</m:t>
            </m:r>
          </m:e>
          <m:sub>
            <m:r>
              <m:t>j</m:t>
            </m:r>
          </m:sub>
        </m:sSub>
      </m:oMath>
      <w:r>
        <w:rPr>
          <w:color w:val="000000"/>
        </w:rPr>
        <w:t xml:space="preserve">, a coordinate-version identifier, and separate access and successful-use statistics. A small set of witness histories or source-token records can support validation and re-encoding. Witness storage is charged to the long-term memory budget. A seed with</w:t>
      </w:r>
      <w:r>
        <w:rPr>
          <w:color w:val="000000"/>
        </w:rPr>
        <w:t xml:space="preserve"> </w:t>
      </w:r>
      <m:oMath>
        <m:sSub>
          <m:e>
            <m:r>
              <m:t>n</m:t>
            </m:r>
          </m:e>
          <m:sub>
            <m:r>
              <m:t>j</m:t>
            </m:r>
          </m:sub>
        </m:sSub>
        <m:r>
          <m:rPr>
            <m:sty m:val="p"/>
          </m:rPr>
          <m:t>=</m:t>
        </m:r>
        <m:r>
          <m:t>0</m:t>
        </m:r>
      </m:oMath>
      <w:r>
        <w:rPr>
          <w:color w:val="000000"/>
        </w:rPr>
        <w:t xml:space="preserve"> </w:t>
      </w:r>
      <w:r>
        <w:rPr>
          <w:color w:val="000000"/>
        </w:rPr>
        <w:t xml:space="preserve">has initialization state but no evidential support.</w:t>
      </w:r>
    </w:p>
    <w:p>
      <w:pPr>
        <w:pStyle w:val="BodyText"/>
        <w:jc w:val="both"/>
      </w:pPr>
      <w:r>
        <w:rPr>
          <w:color w:val="000000"/>
        </w:rPr>
        <w:t xml:space="preserve">The cue is a compressed representation</w:t>
      </w:r>
      <w:r>
        <w:rPr>
          <w:color w:val="000000"/>
        </w:rPr>
        <w:t xml:space="preserve"> </w:t>
      </w:r>
      <m:oMath>
        <m:sSub>
          <m:e>
            <m:r>
              <m:t>c</m:t>
            </m:r>
          </m:e>
          <m:sub>
            <m:r>
              <m:t>j</m:t>
            </m:r>
          </m:sub>
        </m:sSub>
        <m:r>
          <m:rPr>
            <m:sty m:val="p"/>
          </m:rPr>
          <m:t>=</m:t>
        </m:r>
        <m:r>
          <m:t>g</m:t>
        </m:r>
        <m:d>
          <m:dPr>
            <m:begChr m:val="("/>
            <m:endChr m:val=")"/>
            <m:sepChr m:val=""/>
            <m:grow/>
          </m:dPr>
          <m:e>
            <m:sSub>
              <m:e>
                <m:r>
                  <m:t>μ</m:t>
                </m:r>
              </m:e>
              <m:sub>
                <m:r>
                  <m:t>j</m:t>
                </m:r>
                <m:r>
                  <m:rPr>
                    <m:sty m:val="p"/>
                  </m:rPr>
                  <m:t>,</m:t>
                </m:r>
                <m:r>
                  <m:t>1</m:t>
                </m:r>
                <m:r>
                  <m:rPr>
                    <m:sty m:val="p"/>
                  </m:rPr>
                  <m:t>:</m:t>
                </m:r>
                <m:r>
                  <m:t>r</m:t>
                </m:r>
              </m:sub>
            </m:sSub>
          </m:e>
        </m:d>
      </m:oMath>
      <w:r>
        <w:rPr>
          <w:color w:val="000000"/>
        </w:rPr>
        <w:t xml:space="preserve"> </w:t>
      </w:r>
      <w:r>
        <w:rPr>
          <w:color w:val="000000"/>
        </w:rPr>
        <w:t xml:space="preserve">of the prototype’s first</w:t>
      </w:r>
      <w:r>
        <w:rPr>
          <w:color w:val="000000"/>
        </w:rPr>
        <w:t xml:space="preserve"> </w:t>
      </w:r>
      <m:oMath>
        <m:r>
          <m:t>r</m:t>
        </m:r>
      </m:oMath>
      <w:r>
        <w:rPr>
          <w:color w:val="000000"/>
        </w:rPr>
        <w:t xml:space="preserve"> </w:t>
      </w:r>
      <w:r>
        <w:rPr>
          <w:color w:val="000000"/>
        </w:rPr>
        <w:t xml:space="preserve">positions. The encoder for a query cue is causal: it uses only information available at the moment of recall. A continuation that has not yet occurred cannot be used to choose among retrieved branches. At storage time, by contrast, the complete observed segment is available and may be used to validate assignment.</w:t>
      </w:r>
    </w:p>
    <w:bookmarkEnd w:id="26"/>
    <w:bookmarkStart w:id="27" w:name="candidate-selection-and-admission"/>
    <w:p>
      <w:pPr>
        <w:pStyle w:val="Heading2"/>
        <w:jc w:val="left"/>
      </w:pPr>
      <w:r>
        <w:rPr>
          <w:color w:val="000000"/>
        </w:rPr>
        <w:t xml:space="preserve">4.2 Candidate selection and admission</w:t>
      </w:r>
    </w:p>
    <w:p>
      <w:pPr>
        <w:pStyle w:val="FirstParagraph"/>
        <w:jc w:val="both"/>
        <w:keepNext/>
      </w:pPr>
      <w:r>
        <w:rPr>
          <w:color w:val="000000"/>
        </w:rPr>
        <w:t xml:space="preserve">The cue search returns a small set</w:t>
      </w:r>
      <w:r>
        <w:rPr>
          <w:color w:val="000000"/>
        </w:rPr>
        <w:t xml:space="preserve"> </w:t>
      </w:r>
      <m:oMath>
        <m:r>
          <m:rPr>
            <m:sty m:val="p"/>
            <m:scr m:val="script"/>
          </m:rPr>
          <m:t>C</m:t>
        </m:r>
        <m:d>
          <m:dPr>
            <m:begChr m:val="("/>
            <m:endChr m:val=")"/>
            <m:sepChr m:val=""/>
            <m:grow/>
          </m:dPr>
          <m:e>
            <m:r>
              <m:t>X</m:t>
            </m:r>
          </m:e>
        </m:d>
      </m:oMath>
      <w:r>
        <w:rPr>
          <w:color w:val="000000"/>
        </w:rPr>
        <w:t xml:space="preserve"> </w:t>
      </w:r>
      <w:r>
        <w:rPr>
          <w:color w:val="000000"/>
        </w:rPr>
        <w:t xml:space="preserve">of candidate entries. For a candidate</w:t>
      </w:r>
      <w:r>
        <w:rPr>
          <w:color w:val="000000"/>
        </w:rPr>
        <w:t xml:space="preserve"> </w:t>
      </w:r>
      <m:oMath>
        <m:r>
          <m:t>j</m:t>
        </m:r>
      </m:oMath>
      <w:r>
        <w:rPr>
          <w:color w:val="000000"/>
        </w:rPr>
        <w:t xml:space="preserve">, the basic two-gate rule is</w:t>
      </w:r>
    </w:p>
    <w:p>
      <w:pPr>
        <w:pStyle w:val="BodyText"/>
        <w:keepLines/>
        <w:tabs>
          <w:tab w:pos="4896" w:val="center"/>
          <w:tab w:pos="9792" w:val="right"/>
        </w:tabs>
        <w:spacing w:before="100" w:after="140"/>
        <w:jc w:val="left"/>
      </w:pPr>
      <w:r>
        <w:rPr>
          <w:color w:val="000000"/>
        </w:rPr>
        <w:tab/>
      </w:r>
      <m:oMath>
        <m:sSub>
          <m:e>
            <m:r>
              <m:t>d</m:t>
            </m:r>
          </m:e>
          <m:sub>
            <m:r>
              <m:t>c</m:t>
            </m:r>
          </m:sub>
        </m:sSub>
        <m:d>
          <m:dPr>
            <m:begChr m:val="("/>
            <m:endChr m:val=")"/>
            <m:sepChr m:val=""/>
            <m:grow/>
          </m:dPr>
          <m:e>
            <m:sSub>
              <m:e>
                <m:r>
                  <m:t>X</m:t>
                </m:r>
              </m:e>
              <m:sub>
                <m:r>
                  <m:t>1</m:t>
                </m:r>
                <m:r>
                  <m:rPr>
                    <m:sty m:val="p"/>
                  </m:rPr>
                  <m:t>:</m:t>
                </m:r>
                <m:r>
                  <m:t>r</m:t>
                </m:r>
              </m:sub>
            </m:sSub>
            <m:r>
              <m:rPr>
                <m:sty m:val="p"/>
              </m:rPr>
              <m:t>,</m:t>
            </m:r>
            <m:sSub>
              <m:e>
                <m:r>
                  <m:t>μ</m:t>
                </m:r>
              </m:e>
              <m:sub>
                <m:r>
                  <m:t>j</m:t>
                </m:r>
                <m:r>
                  <m:rPr>
                    <m:sty m:val="p"/>
                  </m:rPr>
                  <m:t>,</m:t>
                </m:r>
                <m:r>
                  <m:t>1</m:t>
                </m:r>
                <m:r>
                  <m:rPr>
                    <m:sty m:val="p"/>
                  </m:rPr>
                  <m:t>:</m:t>
                </m:r>
                <m:r>
                  <m:t>r</m:t>
                </m:r>
              </m:sub>
            </m:sSub>
          </m:e>
        </m:d>
        <m:r>
          <m:rPr>
            <m:sty m:val="p"/>
          </m:rPr>
          <m:t>≤</m:t>
        </m:r>
        <m:sSub>
          <m:e>
            <m:r>
              <m:t>ϵ</m:t>
            </m:r>
          </m:e>
          <m:sub>
            <m:r>
              <m:t>c</m:t>
            </m:r>
          </m:sub>
        </m:sSub>
        <m:r>
          <m:rPr>
            <m:sty m:val="p"/>
          </m:rPr>
          <m:t>,</m:t>
        </m:r>
        <m:r>
          <m:t>  </m:t>
        </m:r>
        <m:sSub>
          <m:e>
            <m:r>
              <m:t>d</m:t>
            </m:r>
          </m:e>
          <m:sub>
            <m:r>
              <m:t>t</m:t>
            </m:r>
          </m:sub>
        </m:sSub>
        <m:d>
          <m:dPr>
            <m:begChr m:val="("/>
            <m:endChr m:val=")"/>
            <m:sepChr m:val=""/>
            <m:grow/>
          </m:dPr>
          <m:e>
            <m:sSub>
              <m:e>
                <m:r>
                  <m:t>X</m:t>
                </m:r>
              </m:e>
              <m:sub>
                <m:r>
                  <m:t>r</m:t>
                </m:r>
                <m:r>
                  <m:rPr>
                    <m:sty m:val="p"/>
                  </m:rPr>
                  <m:t>+</m:t>
                </m:r>
                <m:r>
                  <m:t>1</m:t>
                </m:r>
                <m:r>
                  <m:rPr>
                    <m:sty m:val="p"/>
                  </m:rPr>
                  <m:t>:</m:t>
                </m:r>
                <m:r>
                  <m:t>m</m:t>
                </m:r>
              </m:sub>
            </m:sSub>
            <m:r>
              <m:rPr>
                <m:sty m:val="p"/>
              </m:rPr>
              <m:t>,</m:t>
            </m:r>
            <m:sSub>
              <m:e>
                <m:r>
                  <m:t>μ</m:t>
                </m:r>
              </m:e>
              <m:sub>
                <m:r>
                  <m:t>j</m:t>
                </m:r>
                <m:r>
                  <m:rPr>
                    <m:sty m:val="p"/>
                  </m:rPr>
                  <m:t>,</m:t>
                </m:r>
                <m:r>
                  <m:t>r</m:t>
                </m:r>
                <m:r>
                  <m:rPr>
                    <m:sty m:val="p"/>
                  </m:rPr>
                  <m:t>+</m:t>
                </m:r>
                <m:r>
                  <m:t>1</m:t>
                </m:r>
                <m:r>
                  <m:rPr>
                    <m:sty m:val="p"/>
                  </m:rPr>
                  <m:t>:</m:t>
                </m:r>
                <m:r>
                  <m:t>m</m:t>
                </m:r>
              </m:sub>
            </m:sSub>
          </m:e>
        </m:d>
        <m:r>
          <m:rPr>
            <m:sty m:val="p"/>
          </m:rPr>
          <m:t>≤</m:t>
        </m:r>
        <m:sSub>
          <m:e>
            <m:r>
              <m:t>ϵ</m:t>
            </m:r>
          </m:e>
          <m:sub>
            <m:r>
              <m:t>t</m:t>
            </m:r>
          </m:sub>
        </m:sSub>
        <m:r>
          <m:rPr>
            <m:sty m:val="p"/>
          </m:rPr>
          <m:t>.</m:t>
        </m:r>
      </m:oMath>
      <w:r>
        <w:rPr>
          <w:color w:val="000000"/>
        </w:rPr>
        <w:tab/>
        <w:t>(4)</w:t>
      </w:r>
    </w:p>
    <w:p>
      <w:pPr>
        <w:pStyle w:val="FirstParagraph"/>
        <w:jc w:val="both"/>
      </w:pPr>
      <w:r>
        <w:rPr>
          <w:color w:val="000000"/>
        </w:rPr>
        <w:t xml:space="preserve">The distances are normalized by layer, head, and feature scale. Alignment is required before averaging: equal array positions must have comparable roles. Variable-length alignment must be declared explicitly, because unrestricted time warping can remove meaningful order or timing. A scalar mean-square distance can conceal a decisive difference at one position, so admission also tracks localized errors and a functional validation score.</w:t>
      </w:r>
    </w:p>
    <w:p>
      <w:pPr>
        <w:pStyle w:val="BodyText"/>
        <w:jc w:val="both"/>
        <w:keepNext/>
      </w:pPr>
      <w:r>
        <w:rPr>
          <w:color w:val="000000"/>
        </w:rPr>
        <w:t xml:space="preserve">For an accepted unit-weight observation,</w:t>
      </w:r>
    </w:p>
    <w:p>
      <w:pPr>
        <w:pStyle w:val="BodyText"/>
        <w:keepLines/>
        <w:tabs>
          <w:tab w:pos="4896" w:val="center"/>
          <w:tab w:pos="9792" w:val="right"/>
        </w:tabs>
        <w:spacing w:before="100" w:after="140"/>
        <w:jc w:val="left"/>
      </w:pPr>
      <w:r>
        <w:rPr>
          <w:color w:val="000000"/>
        </w:rPr>
        <w:tab/>
      </w:r>
      <m:oMath>
        <m:sSubSup>
          <m:e>
            <m:r>
              <m:t>μ</m:t>
            </m:r>
          </m:e>
          <m:sub>
            <m:r>
              <m:t>j</m:t>
            </m:r>
          </m:sub>
          <m:sup>
            <m:r>
              <m:rPr>
                <m:sty m:val="p"/>
              </m:rPr>
              <m:t>+</m:t>
            </m:r>
          </m:sup>
        </m:sSubSup>
        <m:r>
          <m:rPr>
            <m:sty m:val="p"/>
          </m:rPr>
          <m:t>=</m:t>
        </m:r>
        <m:sSub>
          <m:e>
            <m:r>
              <m:t>μ</m:t>
            </m:r>
          </m:e>
          <m:sub>
            <m:r>
              <m:t>j</m:t>
            </m:r>
          </m:sub>
        </m:sSub>
        <m:r>
          <m:rPr>
            <m:sty m:val="p"/>
          </m:rPr>
          <m:t>+</m:t>
        </m:r>
        <m:f>
          <m:fPr>
            <m:type m:val="bar"/>
          </m:fPr>
          <m:num>
            <m:sSub>
              <m:e>
                <m:r>
                  <m:t>X</m:t>
                </m:r>
              </m:e>
              <m:sub>
                <m:r>
                  <m:t>s</m:t>
                </m:r>
              </m:sub>
            </m:sSub>
            <m:r>
              <m:rPr>
                <m:sty m:val="p"/>
              </m:rPr>
              <m:t>−</m:t>
            </m:r>
            <m:sSub>
              <m:e>
                <m:r>
                  <m:t>μ</m:t>
                </m:r>
              </m:e>
              <m:sub>
                <m:r>
                  <m:t>j</m:t>
                </m:r>
              </m:sub>
            </m:sSub>
          </m:num>
          <m:den>
            <m:sSub>
              <m:e>
                <m:r>
                  <m:t>n</m:t>
                </m:r>
              </m:e>
              <m:sub>
                <m:r>
                  <m:t>j</m:t>
                </m:r>
              </m:sub>
            </m:sSub>
            <m:r>
              <m:rPr>
                <m:sty m:val="p"/>
              </m:rPr>
              <m:t>+</m:t>
            </m:r>
            <m:r>
              <m:t>1</m:t>
            </m:r>
          </m:den>
        </m:f>
        <m:r>
          <m:rPr>
            <m:sty m:val="p"/>
          </m:rPr>
          <m:t>,</m:t>
        </m:r>
        <m:r>
          <m:t>  </m:t>
        </m:r>
        <m:sSubSup>
          <m:e>
            <m:r>
              <m:t>n</m:t>
            </m:r>
          </m:e>
          <m:sub>
            <m:r>
              <m:t>j</m:t>
            </m:r>
          </m:sub>
          <m:sup>
            <m:r>
              <m:rPr>
                <m:sty m:val="p"/>
              </m:rPr>
              <m:t>+</m:t>
            </m:r>
          </m:sup>
        </m:sSubSup>
        <m:r>
          <m:rPr>
            <m:sty m:val="p"/>
          </m:rPr>
          <m:t>=</m:t>
        </m:r>
        <m:sSub>
          <m:e>
            <m:r>
              <m:t>n</m:t>
            </m:r>
          </m:e>
          <m:sub>
            <m:r>
              <m:t>j</m:t>
            </m:r>
          </m:sub>
        </m:sSub>
        <m:r>
          <m:rPr>
            <m:sty m:val="p"/>
          </m:rPr>
          <m:t>+</m:t>
        </m:r>
        <m:r>
          <m:t>1</m:t>
        </m:r>
        <m:r>
          <m:rPr>
            <m:sty m:val="p"/>
          </m:rPr>
          <m:t>.</m:t>
        </m:r>
      </m:oMath>
      <w:r>
        <w:rPr>
          <w:color w:val="000000"/>
        </w:rPr>
        <w:tab/>
        <w:t>(5)</w:t>
      </w:r>
    </w:p>
    <w:p>
      <w:pPr>
        <w:pStyle w:val="FirstParagraph"/>
        <w:jc w:val="both"/>
      </w:pPr>
      <w:r>
        <w:rPr>
          <w:color w:val="000000"/>
        </w:rPr>
        <w:t xml:space="preserve">Within one fixed coordinate system, this is the exact arithmetic mean of assigned trajectories. Correlated repetitions still contribute to the empirical mean, but the count must not be interpreted as an independent-sample confidence level. A fresh external observation increments</w:t>
      </w:r>
      <w:r>
        <w:rPr>
          <w:color w:val="000000"/>
        </w:rPr>
        <w:t xml:space="preserve"> </w:t>
      </w:r>
      <m:oMath>
        <m:sSub>
          <m:e>
            <m:r>
              <m:t>n</m:t>
            </m:r>
          </m:e>
          <m:sub>
            <m:r>
              <m:t>j</m:t>
            </m:r>
          </m:sub>
        </m:sSub>
      </m:oMath>
      <w:r>
        <w:rPr>
          <w:color w:val="000000"/>
        </w:rPr>
        <w:t xml:space="preserve">. Reading a prototype, replaying it for training, or transporting it to new coordinates does not.</w:t>
      </w:r>
    </w:p>
    <w:p>
      <w:pPr>
        <w:pStyle w:val="BodyText"/>
        <w:jc w:val="both"/>
      </w:pPr>
      <w:r>
        <w:rPr>
          <w:color w:val="000000"/>
        </w:rPr>
        <w:t xml:space="preserve">If cues agree but continuations fail the gate, the entries represent different branches. A fixed-capacity implementation can recruit an unused pre-existing slot if that slot passes the current admission rule. It cannot silently create unlimited capacity. If no slot is eligible, the strict model rejects the write. A bounded episodic exception store and dead-slot reassignment are evaluated as declared extensions, not hidden repairs to the strict rule.</w:t>
      </w:r>
    </w:p>
    <w:bookmarkEnd w:id="27"/>
    <w:bookmarkStart w:id="31" w:name="recall-and-integration"/>
    <w:p>
      <w:pPr>
        <w:pStyle w:val="Heading2"/>
        <w:jc w:val="left"/>
      </w:pPr>
      <w:r>
        <w:rPr>
          <w:color w:val="000000"/>
        </w:rPr>
        <w:t xml:space="preserve">4.3 Recall and integration</w:t>
      </w:r>
    </w:p>
    <w:p>
      <w:pPr>
        <w:pStyle w:val="FirstParagraph"/>
        <w:jc w:val="both"/>
      </w:pPr>
      <w:r>
        <w:rPr>
          <w:color w:val="000000"/>
        </w:rPr>
        <w:t xml:space="preserve">The reader retrieves a small number of candidate histories, computes confidence and ambiguity features, and supplies a gated memory-attention contribution to the backbone. A useful implementation keeps local attention and memory attention separately normalized before their outputs are combined. This allows a weak or conflicting recall to receive little weight while preserving a trained path through which helpful memory can influence prediction.</w:t>
      </w:r>
    </w:p>
    <w:p>
      <w:pPr>
        <w:pStyle w:val="BodyText"/>
        <w:jc w:val="both"/>
      </w:pPr>
      <w:r>
        <w:rPr>
          <w:color w:val="000000"/>
        </w:rPr>
        <w:t xml:space="preserve">The first experiment should distinguish restoring raw KV states into ordinary attention from reading them through the trained memory interface. Cached representations contain their original preceding context. CacheBlend illustrates why reusing a chunk in a different context can require selective recomputation [9]. RoPE additionally attaches position-dependent rotations to keys [10]. Removing a direct rotation does not remove contextual information already present in the hidden state. Joint training may learn a suitable interface, but it does not make old raw states universally interchangeable.</w:t>
      </w:r>
    </w:p>
    <w:p>
      <w:pPr>
        <w:pStyle w:val="BodyText"/>
        <w:jc w:val="both"/>
      </w:pPr>
      <w:r>
        <w:rPr>
          <w:color w:val="000000"/>
        </w:rPr>
        <w:t xml:space="preserve">With</w:t>
      </w:r>
      <w:r>
        <w:rPr>
          <w:color w:val="000000"/>
        </w:rPr>
        <w:t xml:space="preserve"> </w:t>
      </w:r>
      <m:oMath>
        <m:r>
          <m:t>k</m:t>
        </m:r>
      </m:oMath>
      <w:r>
        <w:rPr>
          <w:color w:val="000000"/>
        </w:rPr>
        <w:t xml:space="preserve"> </w:t>
      </w:r>
      <w:r>
        <w:rPr>
          <w:color w:val="000000"/>
        </w:rPr>
        <w:t xml:space="preserve">retrieved histories of length</w:t>
      </w:r>
      <w:r>
        <w:rPr>
          <w:color w:val="000000"/>
        </w:rPr>
        <w:t xml:space="preserve"> </w:t>
      </w:r>
      <m:oMath>
        <m:r>
          <m:t>m</m:t>
        </m:r>
      </m:oMath>
      <w:r>
        <w:rPr>
          <w:color w:val="000000"/>
        </w:rPr>
        <w:t xml:space="preserve"> </w:t>
      </w:r>
      <w:r>
        <w:rPr>
          <w:color w:val="000000"/>
        </w:rPr>
        <w:t xml:space="preserve">and a local window of</w:t>
      </w:r>
      <w:r>
        <w:rPr>
          <w:color w:val="000000"/>
        </w:rPr>
        <w:t xml:space="preserve"> </w:t>
      </w:r>
      <m:oMath>
        <m:r>
          <m:t>w</m:t>
        </m:r>
      </m:oMath>
      <w:r>
        <w:rPr>
          <w:color w:val="000000"/>
        </w:rPr>
        <w:t xml:space="preserve"> </w:t>
      </w:r>
      <w:r>
        <w:rPr>
          <w:color w:val="000000"/>
        </w:rPr>
        <w:t xml:space="preserve">tokens, the attention-visible state is bounded by</w:t>
      </w:r>
      <w:r>
        <w:rPr>
          <w:color w:val="000000"/>
        </w:rPr>
        <w:t xml:space="preserve"> </w:t>
      </w:r>
      <m:oMath>
        <m:r>
          <m:t>w</m:t>
        </m:r>
        <m:r>
          <m:rPr>
            <m:sty m:val="p"/>
          </m:rPr>
          <m:t>+</m:t>
        </m:r>
        <m:r>
          <m:t>k</m:t>
        </m:r>
        <m:r>
          <m:t>m</m:t>
        </m:r>
      </m:oMath>
      <w:r>
        <w:rPr>
          <w:color w:val="000000"/>
        </w:rPr>
        <w:t xml:space="preserve"> </w:t>
      </w:r>
      <w:r>
        <w:rPr>
          <w:color w:val="000000"/>
        </w:rPr>
        <w:t xml:space="preserve">positions, before any further compression. The bank itself may be much larger. Retrieval reduces active context only if the index, transport, validation, and transfer costs remain acceptable.</w:t>
      </w:r>
    </w:p>
    <w:p>
      <w:pPr>
        <w:pStyle w:val="CaptionedFigure"/>
        <w:keepNext/>
        <w:spacing w:before="140" w:after="60"/>
        <w:jc w:val="center"/>
      </w:pPr>
      <w:r>
        <w:rPr>
          <w:color w:val="000000"/>
        </w:rPr>
        <w:drawing>
          <wp:inline>
            <wp:extent cx="5334000" cy="3461255"/>
            <wp:effectExtent b="0" l="0" r="0" t="0"/>
            <wp:docPr descr="Figure 1. Memory operations during training and inference. Only completed observed segments enter the writer. Random slots exist before pre-training; admission creates evidential support, and coordinate transport changes representation without adding evidence." title="" id="29" name="Picture"/>
            <a:graphic>
              <a:graphicData uri="http://schemas.openxmlformats.org/drawingml/2006/picture">
                <pic:pic>
                  <pic:nvPicPr>
                    <pic:cNvPr descr="figures/architecture.png" id="30" name="Picture"/>
                    <pic:cNvPicPr>
                      <a:picLocks noChangeArrowheads="1" noChangeAspect="1"/>
                    </pic:cNvPicPr>
                  </pic:nvPicPr>
                  <pic:blipFill>
                    <a:blip r:embed="rId28"/>
                    <a:stretch>
                      <a:fillRect/>
                    </a:stretch>
                  </pic:blipFill>
                  <pic:spPr bwMode="auto">
                    <a:xfrm>
                      <a:off x="0" y="0"/>
                      <a:ext cx="5334000" cy="3461255"/>
                    </a:xfrm>
                    <a:prstGeom prst="rect">
                      <a:avLst/>
                    </a:prstGeom>
                    <a:noFill/>
                    <a:ln w="9525">
                      <a:noFill/>
                      <a:headEnd/>
                      <a:tailEnd/>
                    </a:ln>
                  </pic:spPr>
                </pic:pic>
              </a:graphicData>
            </a:graphic>
          </wp:inline>
        </w:drawing>
      </w:r>
    </w:p>
    <w:p>
      <w:pPr>
        <w:pStyle w:val="ImageCaption"/>
        <w:keepLines/>
        <w:jc w:val="both"/>
      </w:pPr>
      <w:r>
        <w:rPr>
          <w:color w:val="000000"/>
        </w:rPr>
        <w:t xml:space="preserve">Figure 1. Memory operations during training and inference. Only completed observed segments enter the writer. Random slots exist before pre-training; admission creates evidential support, and coordinate transport changes representation without adding evidence.</w:t>
      </w:r>
    </w:p>
    <w:bookmarkEnd w:id="31"/>
    <w:bookmarkEnd w:id="32"/>
    <w:bookmarkStart w:id="36" w:name="a-random-repertoire-before-pretraining"/>
    <w:p>
      <w:pPr>
        <w:pStyle w:val="Heading1"/>
        <w:jc w:val="left"/>
      </w:pPr>
      <w:r>
        <w:rPr>
          <w:color w:val="000000"/>
        </w:rPr>
        <w:t xml:space="preserve">5 A random repertoire before pretraining</w:t>
      </w:r>
    </w:p>
    <w:bookmarkStart w:id="33" w:name="specifying-uniform-randomness"/>
    <w:p>
      <w:pPr>
        <w:pStyle w:val="Heading2"/>
        <w:jc w:val="left"/>
      </w:pPr>
      <w:r>
        <w:rPr>
          <w:color w:val="000000"/>
        </w:rPr>
        <w:t xml:space="preserve">5.1 Specifying uniform randomness</w:t>
      </w:r>
    </w:p>
    <w:p>
      <w:pPr>
        <w:pStyle w:val="FirstParagraph"/>
        <w:jc w:val="both"/>
      </w:pPr>
      <w:r>
        <w:rPr>
          <w:color w:val="000000"/>
        </w:rPr>
        <w:t xml:space="preserve">There is no uniform probability distribution over all of</w:t>
      </w:r>
      <w:r>
        <w:rPr>
          <w:color w:val="000000"/>
        </w:rPr>
        <w:t xml:space="preserve"> </w:t>
      </w:r>
      <m:oMath>
        <m:sSup>
          <m:e>
            <m:r>
              <m:rPr>
                <m:sty m:val="p"/>
                <m:scr m:val="double-struck"/>
              </m:rPr>
              <m:t>R</m:t>
            </m:r>
          </m:e>
          <m:sup>
            <m:r>
              <m:t>D</m:t>
            </m:r>
          </m:sup>
        </m:sSup>
      </m:oMath>
      <w:r>
        <w:rPr>
          <w:color w:val="000000"/>
        </w:rPr>
        <w:t xml:space="preserve">. Uniform initialization therefore requires a bounded support and a coordinate system. Independent coordinates from a bounded cube are a valid baseline, but their scales must be specified. Independent isotropic directions are approximately orthogonal in high dimension, and proximity to a particular structured trajectory is not guaranteed.</w:t>
      </w:r>
    </w:p>
    <w:p>
      <w:pPr>
        <w:pStyle w:val="BodyText"/>
        <w:jc w:val="both"/>
      </w:pPr>
      <w:r>
        <w:rPr>
          <w:color w:val="000000"/>
        </w:rPr>
        <w:t xml:space="preserve">For a spherical direction</w:t>
      </w:r>
      <w:r>
        <w:rPr>
          <w:color w:val="000000"/>
        </w:rPr>
        <w:t xml:space="preserve"> </w:t>
      </w:r>
      <m:oMath>
        <m:r>
          <m:t>u</m:t>
        </m:r>
      </m:oMath>
      <w:r>
        <w:rPr>
          <w:color w:val="000000"/>
        </w:rPr>
        <w:t xml:space="preserve"> </w:t>
      </w:r>
      <w:r>
        <w:rPr>
          <w:color w:val="000000"/>
        </w:rPr>
        <w:t xml:space="preserve">drawn uniformly at random and any fixed unit vector</w:t>
      </w:r>
      <w:r>
        <w:rPr>
          <w:color w:val="000000"/>
        </w:rPr>
        <w:t xml:space="preserve"> </w:t>
      </w:r>
      <m:oMath>
        <m:r>
          <m:t>v</m:t>
        </m:r>
      </m:oMath>
      <w:r>
        <w:rPr>
          <w:color w:val="000000"/>
        </w:rPr>
        <w:t xml:space="preserve">,</w:t>
      </w:r>
      <w:r>
        <w:rPr>
          <w:color w:val="000000"/>
        </w:rPr>
        <w:t xml:space="preserve"> </w:t>
      </w:r>
      <m:oMath>
        <m:r>
          <m:rPr>
            <m:sty m:val="p"/>
            <m:scr m:val="double-struck"/>
          </m:rPr>
          <m:t>E</m:t>
        </m:r>
        <m:d>
          <m:dPr>
            <m:begChr m:val="("/>
            <m:endChr m:val=")"/>
            <m:sepChr m:val=""/>
            <m:grow/>
          </m:dPr>
          <m:e>
            <m:sSup>
              <m:e>
                <m:r>
                  <m:t>u</m:t>
                </m:r>
              </m:e>
              <m:sup>
                <m:r>
                  <m:rPr>
                    <m:sty m:val="p"/>
                  </m:rPr>
                  <m:t>⊤</m:t>
                </m:r>
              </m:sup>
            </m:sSup>
            <m:r>
              <m:t>v</m:t>
            </m:r>
          </m:e>
        </m:d>
        <m:r>
          <m:rPr>
            <m:sty m:val="p"/>
          </m:rPr>
          <m:t>=</m:t>
        </m:r>
        <m:r>
          <m:t>0</m:t>
        </m:r>
      </m:oMath>
      <w:r>
        <w:rPr>
          <w:color w:val="000000"/>
        </w:rPr>
        <w:t xml:space="preserve"> </w:t>
      </w:r>
      <w:r>
        <w:rPr>
          <w:color w:val="000000"/>
        </w:rPr>
        <w:t xml:space="preserve">and</w:t>
      </w:r>
      <w:r>
        <w:rPr>
          <w:color w:val="000000"/>
        </w:rPr>
        <w:t xml:space="preserve"> </w:t>
      </w:r>
      <m:oMath>
        <m:r>
          <m:rPr>
            <m:sty m:val="p"/>
          </m:rPr>
          <m:t>Var</m:t>
        </m:r>
        <m:d>
          <m:dPr>
            <m:begChr m:val="("/>
            <m:endChr m:val=")"/>
            <m:sepChr m:val=""/>
            <m:grow/>
          </m:dPr>
          <m:e>
            <m:sSup>
              <m:e>
                <m:r>
                  <m:t>u</m:t>
                </m:r>
              </m:e>
              <m:sup>
                <m:r>
                  <m:rPr>
                    <m:sty m:val="p"/>
                  </m:rPr>
                  <m:t>⊤</m:t>
                </m:r>
              </m:sup>
            </m:sSup>
            <m:r>
              <m:t>v</m:t>
            </m:r>
          </m:e>
        </m:d>
        <m:r>
          <m:rPr>
            <m:sty m:val="p"/>
          </m:rPr>
          <m:t>=</m:t>
        </m:r>
        <m:r>
          <m:t>1</m:t>
        </m:r>
        <m:r>
          <m:rPr>
            <m:sty m:val="p"/>
          </m:rPr>
          <m:t>/</m:t>
        </m:r>
        <m:r>
          <m:t>D</m:t>
        </m:r>
      </m:oMath>
      <w:r>
        <w:rPr>
          <w:color w:val="000000"/>
        </w:rPr>
        <w:t xml:space="preserve">. Independent symmetric cube draws have similar concentration after normalization under standard high-dimensional conditions, although the spherical identity is not literally the cube distribution. A finite set of such samples need not cover the regions that a trained encoder later occupies. Even an untrained Transformer has structure induced by its embeddings, masks, residual paths, and positional scheme, so arbitrary raw-coordinate initialization is not automatically harmless at step zero.</w:t>
      </w:r>
    </w:p>
    <w:p>
      <w:pPr>
        <w:pStyle w:val="BodyText"/>
        <w:jc w:val="both"/>
        <w:keepNext/>
      </w:pPr>
      <w:r>
        <w:rPr>
          <w:color w:val="000000"/>
        </w:rPr>
        <w:t xml:space="preserve">We define the main calibrated variant using uniformly random coordinates with second-order structure measured before parameter training:</w:t>
      </w:r>
    </w:p>
    <w:p>
      <w:pPr>
        <w:pStyle w:val="BodyText"/>
        <w:keepLines/>
        <w:tabs>
          <w:tab w:pos="4896" w:val="center"/>
          <w:tab w:pos="9792" w:val="right"/>
        </w:tabs>
        <w:spacing w:before="100" w:after="140"/>
        <w:jc w:val="left"/>
      </w:pPr>
      <w:r>
        <w:rPr>
          <w:color w:val="000000"/>
        </w:rPr>
        <w:tab/>
      </w:r>
      <m:oMath>
        <m:sSub>
          <m:e>
            <m:r>
              <m:t>z</m:t>
            </m:r>
          </m:e>
          <m:sub>
            <m:r>
              <m:t>j</m:t>
            </m:r>
          </m:sub>
        </m:sSub>
        <m:limUpp>
          <m:e>
            <m:r>
              <m:rPr>
                <m:sty m:val="p"/>
              </m:rPr>
              <m:t>∼</m:t>
            </m:r>
          </m:e>
          <m:lim>
            <m:r>
              <m:rPr>
                <m:sty m:val="p"/>
              </m:rPr>
              <m:t>i</m:t>
            </m:r>
            <m:r>
              <m:rPr>
                <m:sty m:val="p"/>
              </m:rPr>
              <m:t>i</m:t>
            </m:r>
            <m:r>
              <m:rPr>
                <m:sty m:val="p"/>
              </m:rPr>
              <m:t>d</m:t>
            </m:r>
          </m:lim>
        </m:limUpp>
        <m:r>
          <m:rPr>
            <m:sty m:val="p"/>
          </m:rPr>
          <m:t>Unif</m:t>
        </m:r>
        <m:d>
          <m:dPr>
            <m:begChr m:val="("/>
            <m:endChr m:val=")"/>
            <m:sepChr m:val=""/>
            <m:grow/>
          </m:dPr>
          <m:e>
            <m:sSup>
              <m:e>
                <m:d>
                  <m:dPr>
                    <m:begChr m:val="["/>
                    <m:endChr m:val="]"/>
                    <m:sepChr m:val=""/>
                    <m:grow/>
                  </m:dPr>
                  <m:e>
                    <m:r>
                      <m:rPr>
                        <m:sty m:val="p"/>
                      </m:rPr>
                      <m:t>−</m:t>
                    </m:r>
                    <m:rad>
                      <m:radPr>
                        <m:degHide m:val="on"/>
                      </m:radPr>
                      <m:deg/>
                      <m:e>
                        <m:r>
                          <m:t>3</m:t>
                        </m:r>
                      </m:e>
                    </m:rad>
                    <m:r>
                      <m:rPr>
                        <m:sty m:val="p"/>
                      </m:rPr>
                      <m:t>,</m:t>
                    </m:r>
                    <m:rad>
                      <m:radPr>
                        <m:degHide m:val="on"/>
                      </m:radPr>
                      <m:deg/>
                      <m:e>
                        <m:r>
                          <m:t>3</m:t>
                        </m:r>
                      </m:e>
                    </m:rad>
                  </m:e>
                </m:d>
              </m:e>
              <m:sup>
                <m:r>
                  <m:t>D</m:t>
                </m:r>
              </m:sup>
            </m:sSup>
          </m:e>
        </m:d>
        <m:r>
          <m:rPr>
            <m:sty m:val="p"/>
          </m:rPr>
          <m:t>,</m:t>
        </m:r>
        <m:r>
          <m:t>  </m:t>
        </m:r>
        <m:sSubSup>
          <m:e>
            <m:r>
              <m:t>μ</m:t>
            </m:r>
          </m:e>
          <m:sub>
            <m:r>
              <m:t>j</m:t>
            </m:r>
          </m:sub>
          <m:sup>
            <m:d>
              <m:dPr>
                <m:begChr m:val="("/>
                <m:endChr m:val=")"/>
                <m:sepChr m:val=""/>
                <m:grow/>
              </m:dPr>
              <m:e>
                <m:r>
                  <m:t>0</m:t>
                </m:r>
              </m:e>
            </m:d>
          </m:sup>
        </m:sSubSup>
        <m:r>
          <m:rPr>
            <m:sty m:val="p"/>
          </m:rPr>
          <m:t>=</m:t>
        </m:r>
        <m:sSub>
          <m:e>
            <m:r>
              <m:t>a</m:t>
            </m:r>
          </m:e>
          <m:sub>
            <m:r>
              <m:t>0</m:t>
            </m:r>
          </m:sub>
        </m:sSub>
        <m:r>
          <m:rPr>
            <m:sty m:val="p"/>
          </m:rPr>
          <m:t>+</m:t>
        </m:r>
        <m:sSubSup>
          <m:e>
            <m:r>
              <m:t>C</m:t>
            </m:r>
          </m:e>
          <m:sub>
            <m:r>
              <m:t>0</m:t>
            </m:r>
          </m:sub>
          <m:sup>
            <m:r>
              <m:t>1</m:t>
            </m:r>
            <m:r>
              <m:rPr>
                <m:sty m:val="p"/>
              </m:rPr>
              <m:t>/</m:t>
            </m:r>
            <m:r>
              <m:t>2</m:t>
            </m:r>
          </m:sup>
        </m:sSubSup>
        <m:sSub>
          <m:e>
            <m:r>
              <m:t>z</m:t>
            </m:r>
          </m:e>
          <m:sub>
            <m:r>
              <m:t>j</m:t>
            </m:r>
          </m:sub>
        </m:sSub>
        <m:r>
          <m:rPr>
            <m:sty m:val="p"/>
          </m:rPr>
          <m:t>.</m:t>
        </m:r>
      </m:oMath>
      <w:r>
        <w:rPr>
          <w:color w:val="000000"/>
        </w:rPr>
        <w:tab/>
        <w:t>(6)</w:t>
      </w:r>
    </w:p>
    <w:p>
      <w:pPr>
        <w:pStyle w:val="FirstParagraph"/>
        <w:jc w:val="both"/>
      </w:pPr>
      <w:r>
        <w:rPr>
          <w:color w:val="000000"/>
        </w:rPr>
        <w:t xml:space="preserve">Here</w:t>
      </w:r>
      <w:r>
        <w:rPr>
          <w:color w:val="000000"/>
        </w:rPr>
        <w:t xml:space="preserve"> </w:t>
      </w:r>
      <m:oMath>
        <m:sSub>
          <m:e>
            <m:r>
              <m:t>a</m:t>
            </m:r>
          </m:e>
          <m:sub>
            <m:r>
              <m:t>0</m:t>
            </m:r>
          </m:sub>
        </m:sSub>
      </m:oMath>
      <w:r>
        <w:rPr>
          <w:color w:val="000000"/>
        </w:rPr>
        <w:t xml:space="preserve"> </w:t>
      </w:r>
      <w:r>
        <w:rPr>
          <w:color w:val="000000"/>
        </w:rPr>
        <w:t xml:space="preserve">and</w:t>
      </w:r>
      <w:r>
        <w:rPr>
          <w:color w:val="000000"/>
        </w:rPr>
        <w:t xml:space="preserve"> </w:t>
      </w:r>
      <m:oMath>
        <m:sSub>
          <m:e>
            <m:r>
              <m:t>C</m:t>
            </m:r>
          </m:e>
          <m:sub>
            <m:r>
              <m:t>0</m:t>
            </m:r>
          </m:sub>
        </m:sSub>
      </m:oMath>
      <w:r>
        <w:rPr>
          <w:color w:val="000000"/>
        </w:rPr>
        <w:t xml:space="preserve"> </w:t>
      </w:r>
      <w:r>
        <w:rPr>
          <w:color w:val="000000"/>
        </w:rPr>
        <w:t xml:space="preserve">estimate the mean and covariance of the untrained backbone’s memory representations under a declared synthetic calibration distribution</w:t>
      </w:r>
      <w:r>
        <w:rPr>
          <w:color w:val="000000"/>
        </w:rPr>
        <w:t xml:space="preserve"> </w:t>
      </w:r>
      <m:oMath>
        <m:sSub>
          <m:e>
            <m:r>
              <m:t>q</m:t>
            </m:r>
          </m:e>
          <m:sub>
            <m:r>
              <m:t>0</m:t>
            </m:r>
          </m:sub>
        </m:sSub>
      </m:oMath>
      <w:r>
        <w:rPr>
          <w:color w:val="000000"/>
        </w:rPr>
        <w:t xml:space="preserve">. A reproducible</w:t>
      </w:r>
      <w:r>
        <w:rPr>
          <w:color w:val="000000"/>
        </w:rPr>
        <w:t xml:space="preserve"> </w:t>
      </w:r>
      <m:oMath>
        <m:sSub>
          <m:e>
            <m:r>
              <m:t>q</m:t>
            </m:r>
          </m:e>
          <m:sub>
            <m:r>
              <m:t>0</m:t>
            </m:r>
          </m:sub>
        </m:sSub>
      </m:oMath>
      <w:r>
        <w:rPr>
          <w:color w:val="000000"/>
        </w:rPr>
        <w:t xml:space="preserve"> </w:t>
      </w:r>
      <w:r>
        <w:rPr>
          <w:color w:val="000000"/>
        </w:rPr>
        <w:t xml:space="preserve">can consist of random token sequences with a fixed length and seed. No task episode, target answer, or pretrained semantic memory is inserted into the repertoire. Calibration still depends on this synthetic input distribution and must be reported; it is not an assumption-free definition of randomness.</w:t>
      </w:r>
    </w:p>
    <w:p>
      <w:pPr>
        <w:pStyle w:val="BodyText"/>
        <w:jc w:val="both"/>
      </w:pPr>
      <w:r>
        <w:rPr>
          <w:color w:val="000000"/>
        </w:rPr>
        <w:t xml:space="preserve">For nonsingular</w:t>
      </w:r>
      <w:r>
        <w:rPr>
          <w:color w:val="000000"/>
        </w:rPr>
        <w:t xml:space="preserve"> </w:t>
      </w:r>
      <m:oMath>
        <m:sSub>
          <m:e>
            <m:r>
              <m:t>C</m:t>
            </m:r>
          </m:e>
          <m:sub>
            <m:r>
              <m:t>0</m:t>
            </m:r>
          </m:sub>
        </m:sSub>
      </m:oMath>
      <w:r>
        <w:rPr>
          <w:color w:val="000000"/>
        </w:rPr>
        <w:t xml:space="preserve">, equation (6) is uniform on a transformed bounded parallelepiped and has covariance</w:t>
      </w:r>
      <w:r>
        <w:rPr>
          <w:color w:val="000000"/>
        </w:rPr>
        <w:t xml:space="preserve"> </w:t>
      </w:r>
      <m:oMath>
        <m:sSub>
          <m:e>
            <m:r>
              <m:t>C</m:t>
            </m:r>
          </m:e>
          <m:sub>
            <m:r>
              <m:t>0</m:t>
            </m:r>
          </m:sub>
        </m:sSub>
      </m:oMath>
      <w:r>
        <w:rPr>
          <w:color w:val="000000"/>
        </w:rPr>
        <w:t xml:space="preserve">. A block or Kronecker approximation can model per-layer and per-head feature scales together with within-sequence covariance. Full</w:t>
      </w:r>
      <w:r>
        <w:rPr>
          <w:color w:val="000000"/>
        </w:rPr>
        <w:t xml:space="preserve"> </w:t>
      </w:r>
      <m:oMath>
        <m:r>
          <m:t>D</m:t>
        </m:r>
        <m:r>
          <m:rPr>
            <m:sty m:val="p"/>
          </m:rPr>
          <m:t>×</m:t>
        </m:r>
        <m:r>
          <m:t>D</m:t>
        </m:r>
      </m:oMath>
      <w:r>
        <w:rPr>
          <w:color w:val="000000"/>
        </w:rPr>
        <w:t xml:space="preserve"> </w:t>
      </w:r>
      <w:r>
        <w:rPr>
          <w:color w:val="000000"/>
        </w:rPr>
        <w:t xml:space="preserve">covariance storage would defeat the purpose at realistic KV dimensions. Covariance shrinkage and a small diagonal floor keep the chosen transform well defined. Matching second-order statistics does not ensure that samples lie on the nonlinear manifold of attainable histories, so raw uniform and calibrated uniform initializations must be compared empirically.</w:t>
      </w:r>
    </w:p>
    <w:bookmarkEnd w:id="33"/>
    <w:bookmarkStart w:id="34" w:name="X97aabc8a679c3120e462f0eafe981988ac6f407"/>
    <w:p>
      <w:pPr>
        <w:pStyle w:val="Heading2"/>
        <w:jc w:val="left"/>
      </w:pPr>
      <w:r>
        <w:rPr>
          <w:color w:val="000000"/>
        </w:rPr>
        <w:t xml:space="preserve">5.2 Correct dimension and coverage accounting</w:t>
      </w:r>
    </w:p>
    <w:p>
      <w:pPr>
        <w:pStyle w:val="FirstParagraph"/>
        <w:jc w:val="both"/>
        <w:keepNext/>
      </w:pPr>
      <w:r>
        <w:rPr>
          <w:color w:val="000000"/>
        </w:rPr>
        <w:t xml:space="preserve">For</w:t>
      </w:r>
      <w:r>
        <w:rPr>
          <w:color w:val="000000"/>
        </w:rPr>
        <w:t xml:space="preserve"> </w:t>
      </w:r>
      <m:oMath>
        <m:r>
          <m:t>L</m:t>
        </m:r>
      </m:oMath>
      <w:r>
        <w:rPr>
          <w:color w:val="000000"/>
        </w:rPr>
        <w:t xml:space="preserve"> </w:t>
      </w:r>
      <w:r>
        <w:rPr>
          <w:color w:val="000000"/>
        </w:rPr>
        <w:t xml:space="preserve">layers,</w:t>
      </w:r>
      <w:r>
        <w:rPr>
          <w:color w:val="000000"/>
        </w:rPr>
        <w:t xml:space="preserve"> </w:t>
      </w:r>
      <m:oMath>
        <m:sSub>
          <m:e>
            <m:r>
              <m:t>h</m:t>
            </m:r>
          </m:e>
          <m:sub>
            <m:r>
              <m:t>k</m:t>
            </m:r>
            <m:r>
              <m:t>v</m:t>
            </m:r>
          </m:sub>
        </m:sSub>
      </m:oMath>
      <w:r>
        <w:rPr>
          <w:color w:val="000000"/>
        </w:rPr>
        <w:t xml:space="preserve"> </w:t>
      </w:r>
      <w:r>
        <w:rPr>
          <w:color w:val="000000"/>
        </w:rPr>
        <w:t xml:space="preserve">KV heads, head width</w:t>
      </w:r>
      <w:r>
        <w:rPr>
          <w:color w:val="000000"/>
        </w:rPr>
        <w:t xml:space="preserve"> </w:t>
      </w:r>
      <m:oMath>
        <m:sSub>
          <m:e>
            <m:r>
              <m:t>d</m:t>
            </m:r>
          </m:e>
          <m:sub>
            <m:r>
              <m:t>h</m:t>
            </m:r>
          </m:sub>
        </m:sSub>
      </m:oMath>
      <w:r>
        <w:rPr>
          <w:color w:val="000000"/>
        </w:rPr>
        <w:t xml:space="preserve">, and trajectory length</w:t>
      </w:r>
      <w:r>
        <w:rPr>
          <w:color w:val="000000"/>
        </w:rPr>
        <w:t xml:space="preserve"> </w:t>
      </w:r>
      <m:oMath>
        <m:r>
          <m:t>m</m:t>
        </m:r>
      </m:oMath>
      <w:r>
        <w:rPr>
          <w:color w:val="000000"/>
        </w:rPr>
        <w:t xml:space="preserve">, the raw scalar dimension is</w:t>
      </w:r>
    </w:p>
    <w:p>
      <w:pPr>
        <w:pStyle w:val="BodyText"/>
        <w:keepLines/>
        <w:tabs>
          <w:tab w:pos="4896" w:val="center"/>
          <w:tab w:pos="9792" w:val="right"/>
        </w:tabs>
        <w:spacing w:before="100" w:after="140"/>
        <w:jc w:val="left"/>
      </w:pPr>
      <w:r>
        <w:rPr>
          <w:color w:val="000000"/>
        </w:rPr>
        <w:tab/>
      </w:r>
      <m:oMath>
        <m:r>
          <m:t>D</m:t>
        </m:r>
        <m:r>
          <m:rPr>
            <m:sty m:val="p"/>
          </m:rPr>
          <m:t>=</m:t>
        </m:r>
        <m:r>
          <m:t>2</m:t>
        </m:r>
        <m:r>
          <m:t>L</m:t>
        </m:r>
        <m:r>
          <m:t>m</m:t>
        </m:r>
        <m:sSub>
          <m:e>
            <m:r>
              <m:t>h</m:t>
            </m:r>
          </m:e>
          <m:sub>
            <m:r>
              <m:t>k</m:t>
            </m:r>
            <m:r>
              <m:t>v</m:t>
            </m:r>
          </m:sub>
        </m:sSub>
        <m:sSub>
          <m:e>
            <m:r>
              <m:t>d</m:t>
            </m:r>
          </m:e>
          <m:sub>
            <m:r>
              <m:t>h</m:t>
            </m:r>
          </m:sub>
        </m:sSub>
        <m:r>
          <m:rPr>
            <m:sty m:val="p"/>
          </m:rPr>
          <m:t>.</m:t>
        </m:r>
      </m:oMath>
      <w:r>
        <w:rPr>
          <w:color w:val="000000"/>
        </w:rPr>
        <w:tab/>
        <w:t>(7)</w:t>
      </w:r>
    </w:p>
    <w:p>
      <w:pPr>
        <w:pStyle w:val="FirstParagraph"/>
        <w:jc w:val="both"/>
      </w:pPr>
      <w:r>
        <w:rPr>
          <w:color w:val="000000"/>
        </w:rPr>
        <w:t xml:space="preserve">At</w:t>
      </w:r>
      <w:r>
        <w:rPr>
          <w:color w:val="000000"/>
        </w:rPr>
        <w:t xml:space="preserve"> </w:t>
      </w:r>
      <m:oMath>
        <m:r>
          <m:t>L</m:t>
        </m:r>
        <m:r>
          <m:rPr>
            <m:sty m:val="p"/>
          </m:rPr>
          <m:t>=</m:t>
        </m:r>
        <m:r>
          <m:t>32</m:t>
        </m:r>
      </m:oMath>
      <w:r>
        <w:rPr>
          <w:color w:val="000000"/>
        </w:rPr>
        <w:t xml:space="preserve">,</w:t>
      </w:r>
      <w:r>
        <w:rPr>
          <w:color w:val="000000"/>
        </w:rPr>
        <w:t xml:space="preserve"> </w:t>
      </w:r>
      <m:oMath>
        <m:sSub>
          <m:e>
            <m:r>
              <m:t>h</m:t>
            </m:r>
          </m:e>
          <m:sub>
            <m:r>
              <m:t>k</m:t>
            </m:r>
            <m:r>
              <m:t>v</m:t>
            </m:r>
          </m:sub>
        </m:sSub>
        <m:r>
          <m:rPr>
            <m:sty m:val="p"/>
          </m:rPr>
          <m:t>=</m:t>
        </m:r>
        <m:r>
          <m:t>8</m:t>
        </m:r>
      </m:oMath>
      <w:r>
        <w:rPr>
          <w:color w:val="000000"/>
        </w:rPr>
        <w:t xml:space="preserve">, and</w:t>
      </w:r>
      <w:r>
        <w:rPr>
          <w:color w:val="000000"/>
        </w:rPr>
        <w:t xml:space="preserve"> </w:t>
      </w:r>
      <m:oMath>
        <m:sSub>
          <m:e>
            <m:r>
              <m:t>d</m:t>
            </m:r>
          </m:e>
          <m:sub>
            <m:r>
              <m:t>h</m:t>
            </m:r>
          </m:sub>
        </m:sSub>
        <m:r>
          <m:rPr>
            <m:sty m:val="p"/>
          </m:rPr>
          <m:t>=</m:t>
        </m:r>
        <m:r>
          <m:t>128</m:t>
        </m:r>
      </m:oMath>
      <w:r>
        <w:rPr>
          <w:color w:val="000000"/>
        </w:rPr>
        <w:t xml:space="preserve">, one token contains 65,536 KV scalars. A 32-token trajectory contains 2,097,152 scalars. Thus the approximately</w:t>
      </w:r>
      <w:r>
        <w:rPr>
          <w:color w:val="000000"/>
        </w:rPr>
        <w:t xml:space="preserve"> </w:t>
      </w:r>
      <m:oMath>
        <m:r>
          <m:t>6.5</m:t>
        </m:r>
        <m:r>
          <m:rPr>
            <m:sty m:val="p"/>
          </m:rPr>
          <m:t>×</m:t>
        </m:r>
        <m:sSup>
          <m:e>
            <m:r>
              <m:t>10</m:t>
            </m:r>
          </m:e>
          <m:sup>
            <m:r>
              <m:t>4</m:t>
            </m:r>
          </m:sup>
        </m:sSup>
      </m:oMath>
      <w:r>
        <w:rPr>
          <w:color w:val="000000"/>
        </w:rPr>
        <w:t xml:space="preserve"> </w:t>
      </w:r>
      <w:r>
        <w:rPr>
          <w:color w:val="000000"/>
        </w:rPr>
        <w:t xml:space="preserve">value applies to a single token, not a 32-token history. For the latter dimension, the spherical standard deviation of cosine similarity is approximately</w:t>
      </w:r>
      <w:r>
        <w:rPr>
          <w:color w:val="000000"/>
        </w:rPr>
        <w:t xml:space="preserve"> </w:t>
      </w:r>
      <m:oMath>
        <m:r>
          <m:t>6.91</m:t>
        </m:r>
        <m:r>
          <m:rPr>
            <m:sty m:val="p"/>
          </m:rPr>
          <m:t>×</m:t>
        </m:r>
        <m:sSup>
          <m:e>
            <m:r>
              <m:t>10</m:t>
            </m:r>
          </m:e>
          <m:sup>
            <m:r>
              <m:rPr>
                <m:sty m:val="p"/>
              </m:rPr>
              <m:t>−</m:t>
            </m:r>
            <m:r>
              <m:t>4</m:t>
            </m:r>
          </m:sup>
        </m:sSup>
      </m:oMath>
      <w:r>
        <w:rPr>
          <w:color w:val="000000"/>
        </w:rPr>
        <w:t xml:space="preserve">.</w:t>
      </w:r>
    </w:p>
    <w:p>
      <w:pPr>
        <w:pStyle w:val="BodyText"/>
        <w:jc w:val="both"/>
      </w:pPr>
      <w:r>
        <w:rPr>
          <w:color w:val="000000"/>
        </w:rPr>
        <w:t xml:space="preserve">The relevant coverage dimension may be much smaller after a learned projection, but that is a property to measure. A calibrated covariance does not prove low intrinsic dimension. Moreover, clustering by a short cue can have a much lower search dimension than the full stored trajectory without reducing the payload dimension.</w:t>
      </w:r>
    </w:p>
    <w:bookmarkEnd w:id="34"/>
    <w:bookmarkStart w:id="35" w:name="random-state-and-observed-evidence"/>
    <w:p>
      <w:pPr>
        <w:pStyle w:val="Heading2"/>
        <w:jc w:val="left"/>
      </w:pPr>
      <w:r>
        <w:rPr>
          <w:color w:val="000000"/>
        </w:rPr>
        <w:t xml:space="preserve">5.3 Random state and observed evidence</w:t>
      </w:r>
    </w:p>
    <w:p>
      <w:pPr>
        <w:pStyle w:val="FirstParagraph"/>
        <w:jc w:val="both"/>
      </w:pPr>
      <w:r>
        <w:rPr>
          <w:color w:val="000000"/>
        </w:rPr>
        <w:t xml:space="preserve">A randomly populated slot should begin with</w:t>
      </w:r>
      <w:r>
        <w:rPr>
          <w:color w:val="000000"/>
        </w:rPr>
        <w:t xml:space="preserve"> </w:t>
      </w:r>
      <m:oMath>
        <m:sSub>
          <m:e>
            <m:r>
              <m:t>n</m:t>
            </m:r>
          </m:e>
          <m:sub>
            <m:r>
              <m:t>j</m:t>
            </m:r>
          </m:sub>
        </m:sSub>
        <m:r>
          <m:rPr>
            <m:sty m:val="p"/>
          </m:rPr>
          <m:t>=</m:t>
        </m:r>
        <m:r>
          <m:t>0</m:t>
        </m:r>
      </m:oMath>
      <w:r>
        <w:rPr>
          <w:color w:val="000000"/>
        </w:rPr>
        <w:t xml:space="preserve">. Equation (5) then makes its first accepted update exactly</w:t>
      </w:r>
      <w:r>
        <w:rPr>
          <w:color w:val="000000"/>
        </w:rPr>
        <w:t xml:space="preserve"> </w:t>
      </w:r>
      <m:oMath>
        <m:sSubSup>
          <m:e>
            <m:r>
              <m:t>μ</m:t>
            </m:r>
          </m:e>
          <m:sub>
            <m:r>
              <m:t>j</m:t>
            </m:r>
          </m:sub>
          <m:sup>
            <m:r>
              <m:rPr>
                <m:sty m:val="p"/>
              </m:rPr>
              <m:t>+</m:t>
            </m:r>
          </m:sup>
        </m:sSubSup>
        <m:r>
          <m:rPr>
            <m:sty m:val="p"/>
          </m:rPr>
          <m:t>=</m:t>
        </m:r>
        <m:sSub>
          <m:e>
            <m:r>
              <m:t>X</m:t>
            </m:r>
          </m:e>
          <m:sub>
            <m:r>
              <m:t>s</m:t>
            </m:r>
          </m:sub>
        </m:sSub>
      </m:oMath>
      <w:r>
        <w:rPr>
          <w:color w:val="000000"/>
        </w:rPr>
        <w:t xml:space="preserve">: the random seed influences initial assignment and training geometry but has no weight in the empirical mean. This is an unavoidable consequence of combining zero evidential support with the specified arithmetic update.</w:t>
      </w:r>
    </w:p>
    <w:p>
      <w:pPr>
        <w:pStyle w:val="BodyText"/>
        <w:jc w:val="both"/>
        <w:keepNext/>
      </w:pPr>
      <w:r>
        <w:rPr>
          <w:color w:val="000000"/>
        </w:rPr>
        <w:t xml:space="preserve">If a retained seed influence is desired, it must be declared as prior mass</w:t>
      </w:r>
      <w:r>
        <w:rPr>
          <w:color w:val="000000"/>
        </w:rPr>
        <w:t xml:space="preserve"> </w:t>
      </w:r>
      <m:oMath>
        <m:r>
          <m:t>κ</m:t>
        </m:r>
      </m:oMath>
      <w:r>
        <w:rPr>
          <w:color w:val="000000"/>
        </w:rPr>
        <w:t xml:space="preserve">, giving</w:t>
      </w:r>
    </w:p>
    <w:p>
      <w:pPr>
        <w:pStyle w:val="BodyText"/>
        <w:keepLines/>
        <w:tabs>
          <w:tab w:pos="4896" w:val="center"/>
          <w:tab w:pos="9792" w:val="right"/>
        </w:tabs>
        <w:spacing w:before="100" w:after="140"/>
        <w:jc w:val="left"/>
      </w:pPr>
      <w:r>
        <w:rPr>
          <w:color w:val="000000"/>
        </w:rPr>
        <w:tab/>
      </w:r>
      <m:oMath>
        <m:sSubSup>
          <m:e>
            <m:r>
              <m:t>μ</m:t>
            </m:r>
          </m:e>
          <m:sub>
            <m:r>
              <m:t>j</m:t>
            </m:r>
          </m:sub>
          <m:sup>
            <m:d>
              <m:dPr>
                <m:begChr m:val="("/>
                <m:endChr m:val=")"/>
                <m:sepChr m:val=""/>
                <m:grow/>
              </m:dPr>
              <m:e>
                <m:r>
                  <m:t>n</m:t>
                </m:r>
              </m:e>
            </m:d>
          </m:sup>
        </m:sSubSup>
        <m:r>
          <m:rPr>
            <m:sty m:val="p"/>
          </m:rPr>
          <m:t>=</m:t>
        </m:r>
        <m:f>
          <m:fPr>
            <m:type m:val="bar"/>
          </m:fPr>
          <m:num>
            <m:r>
              <m:t>κ</m:t>
            </m:r>
            <m:sSubSup>
              <m:e>
                <m:r>
                  <m:t>μ</m:t>
                </m:r>
              </m:e>
              <m:sub>
                <m:r>
                  <m:t>j</m:t>
                </m:r>
              </m:sub>
              <m:sup>
                <m:d>
                  <m:dPr>
                    <m:begChr m:val="("/>
                    <m:endChr m:val=")"/>
                    <m:sepChr m:val=""/>
                    <m:grow/>
                  </m:dPr>
                  <m:e>
                    <m:r>
                      <m:t>0</m:t>
                    </m:r>
                  </m:e>
                </m:d>
              </m:sup>
            </m:sSubSup>
            <m:r>
              <m:rPr>
                <m:sty m:val="p"/>
              </m:rPr>
              <m:t>+</m:t>
            </m:r>
            <m:nary>
              <m:naryPr>
                <m:chr m:val="∑"/>
                <m:limLoc m:val="undOvr"/>
                <m:subHide m:val="off"/>
                <m:supHide m:val="off"/>
              </m:naryPr>
              <m:sub>
                <m:r>
                  <m:t>i</m:t>
                </m:r>
                <m:r>
                  <m:rPr>
                    <m:sty m:val="p"/>
                  </m:rPr>
                  <m:t>=</m:t>
                </m:r>
                <m:r>
                  <m:t>1</m:t>
                </m:r>
              </m:sub>
              <m:sup>
                <m:r>
                  <m:t>n</m:t>
                </m:r>
              </m:sup>
              <m:e>
                <m:sSub>
                  <m:e>
                    <m:r>
                      <m:t>X</m:t>
                    </m:r>
                  </m:e>
                  <m:sub>
                    <m:r>
                      <m:t>i</m:t>
                    </m:r>
                  </m:sub>
                </m:sSub>
              </m:e>
            </m:nary>
          </m:num>
          <m:den>
            <m:r>
              <m:t>κ</m:t>
            </m:r>
            <m:r>
              <m:rPr>
                <m:sty m:val="p"/>
              </m:rPr>
              <m:t>+</m:t>
            </m:r>
            <m:r>
              <m:t>n</m:t>
            </m:r>
          </m:den>
        </m:f>
        <m:r>
          <m:rPr>
            <m:sty m:val="p"/>
          </m:rPr>
          <m:t>.</m:t>
        </m:r>
      </m:oMath>
      <w:r>
        <w:rPr>
          <w:color w:val="000000"/>
        </w:rPr>
        <w:tab/>
        <w:t>(8)</w:t>
      </w:r>
    </w:p>
    <w:p>
      <w:pPr>
        <w:pStyle w:val="FirstParagraph"/>
        <w:jc w:val="both"/>
      </w:pPr>
      <w:r>
        <w:rPr>
          <w:color w:val="000000"/>
        </w:rPr>
        <w:t xml:space="preserve">The prior mass is a modelling choice, not a count of observed experiences. The baseline uses</w:t>
      </w:r>
      <w:r>
        <w:rPr>
          <w:color w:val="000000"/>
        </w:rPr>
        <w:t xml:space="preserve"> </w:t>
      </w:r>
      <m:oMath>
        <m:r>
          <m:t>κ</m:t>
        </m:r>
        <m:r>
          <m:rPr>
            <m:sty m:val="p"/>
          </m:rPr>
          <m:t>=</m:t>
        </m:r>
        <m:r>
          <m:t>0</m:t>
        </m:r>
      </m:oMath>
      <w:r>
        <w:rPr>
          <w:color w:val="000000"/>
        </w:rPr>
        <w:t xml:space="preserve">; a nonzero-prior variant is an ablation. Seed geometry, observation count, read count, and successful-use count remain separate throughout training and deployment.</w:t>
      </w:r>
    </w:p>
    <w:p>
      <w:pPr>
        <w:pStyle w:val="BodyText"/>
        <w:jc w:val="both"/>
      </w:pPr>
      <w:r>
        <w:rPr>
          <w:color w:val="000000"/>
        </w:rPr>
        <w:t xml:space="preserve">Populating the bank eliminates an empty data structure, but a strict similarity gate can still accept no histories. Pre-training must therefore specify how assignments begin. We propose permissive, scheduled thresholds for unsupported seeds, together with a predictive objective and an encoder commitment loss. Once a slot acquires observations, stricter continuation and functional checks apply. A comparator retains the same strict thresholds from the first step. If that comparator never acquires useful assignments, initialization has not solved admission.</w:t>
      </w:r>
    </w:p>
    <w:p>
      <w:pPr>
        <w:pStyle w:val="BodyText"/>
        <w:jc w:val="both"/>
      </w:pPr>
      <w:r>
        <w:rPr>
          <w:color w:val="000000"/>
        </w:rPr>
        <w:t xml:space="preserve">This schedule relaxes the initial acceptance tolerance; it does not add new slots or pretend that random values are observed histories. Unsupported entries can participate as low-weight exploratory features during training, but they are masked from evidential recall at evaluation until supported. The task loss must train the model to use informative memory while an ambiguity-sensitive gate limits reliance on unsuitable entries.</w:t>
      </w:r>
    </w:p>
    <w:bookmarkEnd w:id="35"/>
    <w:bookmarkEnd w:id="36"/>
    <w:bookmarkStart w:id="41" w:name="Xade501c7967bfa8c388195b3ed248be9282ca87"/>
    <w:p>
      <w:pPr>
        <w:pStyle w:val="Heading1"/>
        <w:jc w:val="left"/>
      </w:pPr>
      <w:r>
        <w:rPr>
          <w:color w:val="000000"/>
        </w:rPr>
        <w:t xml:space="preserve">6 Pretraining with memory and a moving encoder</w:t>
      </w:r>
    </w:p>
    <w:bookmarkStart w:id="37" w:name="joint-objectives-and-causal-ordering"/>
    <w:p>
      <w:pPr>
        <w:pStyle w:val="Heading2"/>
        <w:jc w:val="left"/>
      </w:pPr>
      <w:r>
        <w:rPr>
          <w:color w:val="000000"/>
        </w:rPr>
        <w:t xml:space="preserve">6.1 Joint objectives and causal ordering</w:t>
      </w:r>
    </w:p>
    <w:p>
      <w:pPr>
        <w:pStyle w:val="FirstParagraph"/>
        <w:jc w:val="both"/>
      </w:pPr>
      <w:r>
        <w:rPr>
          <w:color w:val="000000"/>
        </w:rPr>
        <w:t xml:space="preserve">Memory participates from the first parameter update. Training alternates causal reading and prediction with writing completed segments. The writer must never insert a target token into memory before the prediction of that token. Training batches that share a bank use an explicit serialization or a causally valid snapshot so that parallel computation cannot create access to future observations.</w:t>
      </w:r>
    </w:p>
    <w:p>
      <w:pPr>
        <w:pStyle w:val="BodyText"/>
        <w:jc w:val="both"/>
        <w:keepNext/>
      </w:pPr>
      <w:r>
        <w:rPr>
          <w:color w:val="000000"/>
        </w:rPr>
        <w:t xml:space="preserve">A proposed objective is</w:t>
      </w:r>
    </w:p>
    <w:p>
      <w:pPr>
        <w:pStyle w:val="BodyText"/>
        <w:keepLines/>
        <w:tabs>
          <w:tab w:pos="4896" w:val="center"/>
          <w:tab w:pos="9792" w:val="right"/>
        </w:tabs>
        <w:spacing w:before="100" w:after="140"/>
        <w:jc w:val="left"/>
      </w:pPr>
      <w:r>
        <w:rPr>
          <w:color w:val="000000"/>
        </w:rPr>
        <w:tab/>
      </w:r>
      <m:oMath>
        <m:r>
          <m:rPr>
            <m:sty m:val="p"/>
            <m:scr m:val="script"/>
          </m:rPr>
          <m:t>L</m:t>
        </m:r>
        <m:r>
          <m:rPr>
            <m:sty m:val="p"/>
          </m:rPr>
          <m:t>=</m:t>
        </m:r>
        <m:sSub>
          <m:e>
            <m:r>
              <m:rPr>
                <m:sty m:val="p"/>
                <m:scr m:val="script"/>
              </m:rPr>
              <m:t>L</m:t>
            </m:r>
          </m:e>
          <m:sub>
            <m:r>
              <m:rPr>
                <m:sty m:val="p"/>
              </m:rPr>
              <m:t>t</m:t>
            </m:r>
            <m:r>
              <m:rPr>
                <m:sty m:val="p"/>
              </m:rPr>
              <m:t>a</m:t>
            </m:r>
            <m:r>
              <m:rPr>
                <m:sty m:val="p"/>
              </m:rPr>
              <m:t>s</m:t>
            </m:r>
            <m:r>
              <m:rPr>
                <m:sty m:val="p"/>
              </m:rPr>
              <m:t>k</m:t>
            </m:r>
          </m:sub>
        </m:sSub>
        <m:r>
          <m:rPr>
            <m:sty m:val="p"/>
          </m:rPr>
          <m:t>+</m:t>
        </m:r>
        <m:sSub>
          <m:e>
            <m:r>
              <m:t>λ</m:t>
            </m:r>
          </m:e>
          <m:sub>
            <m:r>
              <m:t>d</m:t>
            </m:r>
          </m:sub>
        </m:sSub>
        <m:sSub>
          <m:e>
            <m:r>
              <m:rPr>
                <m:sty m:val="p"/>
                <m:scr m:val="script"/>
              </m:rPr>
              <m:t>L</m:t>
            </m:r>
          </m:e>
          <m:sub>
            <m:r>
              <m:rPr>
                <m:sty m:val="p"/>
              </m:rPr>
              <m:t>d</m:t>
            </m:r>
            <m:r>
              <m:rPr>
                <m:sty m:val="p"/>
              </m:rPr>
              <m:t>i</m:t>
            </m:r>
            <m:r>
              <m:rPr>
                <m:sty m:val="p"/>
              </m:rPr>
              <m:t>s</m:t>
            </m:r>
            <m:r>
              <m:rPr>
                <m:sty m:val="p"/>
              </m:rPr>
              <m:t>t</m:t>
            </m:r>
            <m:r>
              <m:rPr>
                <m:sty m:val="p"/>
              </m:rPr>
              <m:t>i</m:t>
            </m:r>
            <m:r>
              <m:rPr>
                <m:sty m:val="p"/>
              </m:rPr>
              <m:t>l</m:t>
            </m:r>
            <m:r>
              <m:rPr>
                <m:sty m:val="p"/>
              </m:rPr>
              <m:t>l</m:t>
            </m:r>
          </m:sub>
        </m:sSub>
        <m:r>
          <m:rPr>
            <m:sty m:val="p"/>
          </m:rPr>
          <m:t>+</m:t>
        </m:r>
        <m:sSub>
          <m:e>
            <m:r>
              <m:t>λ</m:t>
            </m:r>
          </m:e>
          <m:sub>
            <m:r>
              <m:t>c</m:t>
            </m:r>
          </m:sub>
        </m:sSub>
        <m:sSub>
          <m:e>
            <m:r>
              <m:rPr>
                <m:sty m:val="p"/>
                <m:scr m:val="script"/>
              </m:rPr>
              <m:t>L</m:t>
            </m:r>
          </m:e>
          <m:sub>
            <m:r>
              <m:rPr>
                <m:sty m:val="p"/>
              </m:rPr>
              <m:t>c</m:t>
            </m:r>
            <m:r>
              <m:rPr>
                <m:sty m:val="p"/>
              </m:rPr>
              <m:t>o</m:t>
            </m:r>
            <m:r>
              <m:rPr>
                <m:sty m:val="p"/>
              </m:rPr>
              <m:t>m</m:t>
            </m:r>
            <m:r>
              <m:rPr>
                <m:sty m:val="p"/>
              </m:rPr>
              <m:t>m</m:t>
            </m:r>
            <m:r>
              <m:rPr>
                <m:sty m:val="p"/>
              </m:rPr>
              <m:t>i</m:t>
            </m:r>
            <m:r>
              <m:rPr>
                <m:sty m:val="p"/>
              </m:rPr>
              <m:t>t</m:t>
            </m:r>
          </m:sub>
        </m:sSub>
        <m:r>
          <m:rPr>
            <m:sty m:val="p"/>
          </m:rPr>
          <m:t>+</m:t>
        </m:r>
        <m:sSub>
          <m:e>
            <m:r>
              <m:t>λ</m:t>
            </m:r>
          </m:e>
          <m:sub>
            <m:r>
              <m:t>u</m:t>
            </m:r>
          </m:sub>
        </m:sSub>
        <m:sSub>
          <m:e>
            <m:r>
              <m:rPr>
                <m:sty m:val="p"/>
                <m:scr m:val="script"/>
              </m:rPr>
              <m:t>L</m:t>
            </m:r>
          </m:e>
          <m:sub>
            <m:r>
              <m:rPr>
                <m:sty m:val="p"/>
              </m:rPr>
              <m:t>u</m:t>
            </m:r>
            <m:r>
              <m:rPr>
                <m:sty m:val="p"/>
              </m:rPr>
              <m:t>s</m:t>
            </m:r>
            <m:r>
              <m:rPr>
                <m:sty m:val="p"/>
              </m:rPr>
              <m:t>a</m:t>
            </m:r>
            <m:r>
              <m:rPr>
                <m:sty m:val="p"/>
              </m:rPr>
              <m:t>g</m:t>
            </m:r>
            <m:r>
              <m:rPr>
                <m:sty m:val="p"/>
              </m:rPr>
              <m:t>e</m:t>
            </m:r>
          </m:sub>
        </m:sSub>
        <m:r>
          <m:rPr>
            <m:sty m:val="p"/>
          </m:rPr>
          <m:t>+</m:t>
        </m:r>
        <m:sSub>
          <m:e>
            <m:r>
              <m:t>λ</m:t>
            </m:r>
          </m:e>
          <m:sub>
            <m:r>
              <m:t>a</m:t>
            </m:r>
          </m:sub>
        </m:sSub>
        <m:sSub>
          <m:e>
            <m:r>
              <m:rPr>
                <m:sty m:val="p"/>
                <m:scr m:val="script"/>
              </m:rPr>
              <m:t>L</m:t>
            </m:r>
          </m:e>
          <m:sub>
            <m:r>
              <m:rPr>
                <m:sty m:val="p"/>
              </m:rPr>
              <m:t>a</m:t>
            </m:r>
            <m:r>
              <m:rPr>
                <m:sty m:val="p"/>
              </m:rPr>
              <m:t>l</m:t>
            </m:r>
            <m:r>
              <m:rPr>
                <m:sty m:val="p"/>
              </m:rPr>
              <m:t>i</m:t>
            </m:r>
            <m:r>
              <m:rPr>
                <m:sty m:val="p"/>
              </m:rPr>
              <m:t>g</m:t>
            </m:r>
            <m:r>
              <m:rPr>
                <m:sty m:val="p"/>
              </m:rPr>
              <m:t>n</m:t>
            </m:r>
          </m:sub>
        </m:sSub>
        <m:r>
          <m:rPr>
            <m:sty m:val="p"/>
          </m:rPr>
          <m:t>.</m:t>
        </m:r>
      </m:oMath>
      <w:r>
        <w:rPr>
          <w:color w:val="000000"/>
        </w:rPr>
        <w:tab/>
        <w:t>(9)</w:t>
      </w:r>
    </w:p>
    <w:p>
      <w:pPr>
        <w:pStyle w:val="FirstParagraph"/>
        <w:jc w:val="both"/>
      </w:pPr>
      <w:r>
        <w:rPr>
          <w:color w:val="000000"/>
        </w:rPr>
        <w:t xml:space="preserve">The task loss trains actual predictions from the bounded window and retrieved state. Distillation compares this student path with a full-context reference on sampled training segments; the reference distribution is stop-gradient and is not evidence of ground truth by itself. Commitment pulls encoded trajectories toward selected prototypes, while the exact prototype payload update remains equation (5). Usage regularization acts on soft assignment probabilities during training. Alignment measures how well coordinate transport preserves re-encoded anchor histories.</w:t>
      </w:r>
    </w:p>
    <w:p>
      <w:pPr>
        <w:pStyle w:val="BodyText"/>
        <w:jc w:val="both"/>
      </w:pPr>
      <w:r>
        <w:rPr>
          <w:color w:val="000000"/>
        </w:rPr>
        <w:t xml:space="preserve">The codebook mean and gradient-based backbone learning serve different roles. Direct unrestricted gradient updates to every prototype would generally invalidate its interpretation as an empirical mean. The baseline therefore trains the encoder, cue reader, decoder, and gate by gradients, and updates prototype payloads through assignment and coordinate transport. Straight-through or soft routing can provide a gradient approximation [6]; these devices are optimization choices and do not establish correctness of recall.</w:t>
      </w:r>
    </w:p>
    <w:p>
      <w:pPr>
        <w:pStyle w:val="BodyText"/>
        <w:jc w:val="both"/>
      </w:pPr>
      <w:r>
        <w:rPr>
          <w:color w:val="000000"/>
        </w:rPr>
        <w:t xml:space="preserve">A uniform usage penalty can be inappropriate when the task distribution itself is imbalanced. The usage target is declared with the workload and is compared with an occupancy reference. It must not force unrelated histories into different entries merely to improve a utilisation score. A model can also learn to ignore memory while optimizing local prediction; targeted long-dependency tasks, memory ablations, and the loss increase when useful entries are masked detect that failure.</w:t>
      </w:r>
    </w:p>
    <w:bookmarkEnd w:id="37"/>
    <w:bookmarkStart w:id="38" w:name="X3b781cbbd467ffe8a1a5d35601c89aa21456c0c"/>
    <w:p>
      <w:pPr>
        <w:pStyle w:val="Heading2"/>
        <w:jc w:val="left"/>
      </w:pPr>
      <w:r>
        <w:rPr>
          <w:color w:val="000000"/>
        </w:rPr>
        <w:t xml:space="preserve">6.2 Why joint training does not eliminate stale state</w:t>
      </w:r>
    </w:p>
    <w:p>
      <w:pPr>
        <w:pStyle w:val="FirstParagraph"/>
        <w:jc w:val="both"/>
      </w:pPr>
      <w:r>
        <w:rPr>
          <w:color w:val="000000"/>
        </w:rPr>
        <w:t xml:space="preserve">At training step</w:t>
      </w:r>
      <w:r>
        <w:rPr>
          <w:color w:val="000000"/>
        </w:rPr>
        <w:t xml:space="preserve"> </w:t>
      </w:r>
      <m:oMath>
        <m:r>
          <m:t>s</m:t>
        </m:r>
      </m:oMath>
      <w:r>
        <w:rPr>
          <w:color w:val="000000"/>
        </w:rPr>
        <w:t xml:space="preserve">, a historical sequence</w:t>
      </w:r>
      <w:r>
        <w:rPr>
          <w:color w:val="000000"/>
        </w:rPr>
        <w:t xml:space="preserve"> </w:t>
      </w:r>
      <m:oMath>
        <m:r>
          <m:t>h</m:t>
        </m:r>
      </m:oMath>
      <w:r>
        <w:rPr>
          <w:color w:val="000000"/>
        </w:rPr>
        <w:t xml:space="preserve"> </w:t>
      </w:r>
      <w:r>
        <w:rPr>
          <w:color w:val="000000"/>
        </w:rPr>
        <w:t xml:space="preserve">has representation</w:t>
      </w:r>
      <w:r>
        <w:rPr>
          <w:color w:val="000000"/>
        </w:rPr>
        <w:t xml:space="preserve"> </w:t>
      </w:r>
      <m:oMath>
        <m:sSub>
          <m:e>
            <m:r>
              <m:t>E</m:t>
            </m:r>
          </m:e>
          <m:sub>
            <m:r>
              <m:t>s</m:t>
            </m:r>
          </m:sub>
        </m:sSub>
        <m:d>
          <m:dPr>
            <m:begChr m:val="("/>
            <m:endChr m:val=")"/>
            <m:sepChr m:val=""/>
            <m:grow/>
          </m:dPr>
          <m:e>
            <m:r>
              <m:t>h</m:t>
            </m:r>
          </m:e>
        </m:d>
      </m:oMath>
      <w:r>
        <w:rPr>
          <w:color w:val="000000"/>
        </w:rPr>
        <w:t xml:space="preserve">. At the next step,</w:t>
      </w:r>
      <w:r>
        <w:rPr>
          <w:color w:val="000000"/>
        </w:rPr>
        <w:t xml:space="preserve"> </w:t>
      </w:r>
      <m:oMath>
        <m:sSub>
          <m:e>
            <m:r>
              <m:t>E</m:t>
            </m:r>
          </m:e>
          <m:sub>
            <m:r>
              <m:t>s</m:t>
            </m:r>
            <m:r>
              <m:rPr>
                <m:sty m:val="p"/>
              </m:rPr>
              <m:t>+</m:t>
            </m:r>
            <m:r>
              <m:t>1</m:t>
            </m:r>
          </m:sub>
        </m:sSub>
        <m:d>
          <m:dPr>
            <m:begChr m:val="("/>
            <m:endChr m:val=")"/>
            <m:sepChr m:val=""/>
            <m:grow/>
          </m:dPr>
          <m:e>
            <m:r>
              <m:t>h</m:t>
            </m:r>
          </m:e>
        </m:d>
      </m:oMath>
      <w:r>
        <w:rPr>
          <w:color w:val="000000"/>
        </w:rPr>
        <w:t xml:space="preserve"> </w:t>
      </w:r>
      <w:r>
        <w:rPr>
          <w:color w:val="000000"/>
        </w:rPr>
        <w:t xml:space="preserve">can change even if</w:t>
      </w:r>
      <w:r>
        <w:rPr>
          <w:color w:val="000000"/>
        </w:rPr>
        <w:t xml:space="preserve"> </w:t>
      </w:r>
      <m:oMath>
        <m:r>
          <m:t>h</m:t>
        </m:r>
      </m:oMath>
      <w:r>
        <w:rPr>
          <w:color w:val="000000"/>
        </w:rPr>
        <w:t xml:space="preserve"> </w:t>
      </w:r>
      <w:r>
        <w:rPr>
          <w:color w:val="000000"/>
        </w:rPr>
        <w:t xml:space="preserve">is never presented again. A prototype formed from past representations can therefore become incompatible with current cues, decoders, or attention queries. Co-training exposes the model to its memory interface but does not automatically re-encode historical contents.</w:t>
      </w:r>
    </w:p>
    <w:p>
      <w:pPr>
        <w:pStyle w:val="BodyText"/>
        <w:jc w:val="both"/>
      </w:pPr>
      <w:r>
        <w:rPr>
          <w:color w:val="000000"/>
        </w:rPr>
        <w:t xml:space="preserve">Unselected entries are especially vulnerable: their empirical update is zero while the encoder continues moving. This is the failure mechanism that motivates applying drift-aware quantization ideas to this architecture [7]. Missing one assignment does not make an entry permanently dead, and commitment losses are neither universally necessary nor sufficient to prevent collapse. The relevant question is whether the complete learning dynamics keep useful regions of the bank reachable.</w:t>
      </w:r>
    </w:p>
    <w:p>
      <w:pPr>
        <w:pStyle w:val="BodyText"/>
        <w:jc w:val="both"/>
      </w:pPr>
      <w:r>
        <w:rPr>
          <w:color w:val="000000"/>
        </w:rPr>
        <w:t xml:space="preserve">The preprint in [7] formulates its non-stationary analysis from a codebook already fitted to the initial latent distribution and reports improvement from updating otherwise neglected codes. That is sufficient motivation for a moving-encoder control here. It should not be strengthened into a claim that every jointly trained Transformer must collapse or that a specific converged-backbone experiment has already been performed for KV histories.</w:t>
      </w:r>
    </w:p>
    <w:bookmarkEnd w:id="38"/>
    <w:bookmarkStart w:id="39" w:name="Xdda2c7649dd53ebee092ac31083a0138d437d6b"/>
    <w:p>
      <w:pPr>
        <w:pStyle w:val="Heading2"/>
        <w:jc w:val="left"/>
      </w:pPr>
      <w:r>
        <w:rPr>
          <w:color w:val="000000"/>
        </w:rPr>
        <w:t xml:space="preserve">6.3 Transporting prototypes without adding observations</w:t>
      </w:r>
    </w:p>
    <w:p>
      <w:pPr>
        <w:pStyle w:val="FirstParagraph"/>
        <w:jc w:val="both"/>
        <w:keepNext/>
      </w:pPr>
      <w:r>
        <w:rPr>
          <w:color w:val="000000"/>
        </w:rPr>
        <w:t xml:space="preserve">Maintain a bounded anchor set of source segments that can be encoded under both the old and new representations. Fit a regularized affine transport</w:t>
      </w:r>
      <w:r>
        <w:rPr>
          <w:color w:val="000000"/>
        </w:rPr>
        <w:t xml:space="preserve"> </w:t>
      </w:r>
      <m:oMath>
        <m:sSub>
          <m:e>
            <m:r>
              <m:t>T</m:t>
            </m:r>
          </m:e>
          <m:sub>
            <m:r>
              <m:t>s</m:t>
            </m:r>
          </m:sub>
        </m:sSub>
        <m:d>
          <m:dPr>
            <m:begChr m:val="("/>
            <m:endChr m:val=")"/>
            <m:sepChr m:val=""/>
            <m:grow/>
          </m:dPr>
          <m:e>
            <m:r>
              <m:t>z</m:t>
            </m:r>
          </m:e>
        </m:d>
        <m:r>
          <m:rPr>
            <m:sty m:val="p"/>
          </m:rPr>
          <m:t>=</m:t>
        </m:r>
        <m:sSub>
          <m:e>
            <m:r>
              <m:t>A</m:t>
            </m:r>
          </m:e>
          <m:sub>
            <m:r>
              <m:t>s</m:t>
            </m:r>
          </m:sub>
        </m:sSub>
        <m:r>
          <m:t>z</m:t>
        </m:r>
        <m:r>
          <m:rPr>
            <m:sty m:val="p"/>
          </m:rPr>
          <m:t>+</m:t>
        </m:r>
        <m:sSub>
          <m:e>
            <m:r>
              <m:t>b</m:t>
            </m:r>
          </m:e>
          <m:sub>
            <m:r>
              <m:t>s</m:t>
            </m:r>
          </m:sub>
        </m:sSub>
      </m:oMath>
      <w:r>
        <w:rPr>
          <w:color w:val="000000"/>
        </w:rPr>
        <w:t xml:space="preserve"> </w:t>
      </w:r>
      <w:r>
        <w:rPr>
          <w:color w:val="000000"/>
        </w:rPr>
        <w:t xml:space="preserve">from paired anchor encodings. A block-diagonal or low-rank parameterization limits fitting and application cost. Transport the entire bank, including unselected entries:</w:t>
      </w:r>
    </w:p>
    <w:p>
      <w:pPr>
        <w:pStyle w:val="BodyText"/>
        <w:keepLines/>
        <w:tabs>
          <w:tab w:pos="4896" w:val="center"/>
          <w:tab w:pos="9792" w:val="right"/>
        </w:tabs>
        <w:spacing w:before="100" w:after="140"/>
        <w:jc w:val="left"/>
      </w:pPr>
      <w:r>
        <w:rPr>
          <w:color w:val="000000"/>
        </w:rPr>
        <w:tab/>
      </w:r>
      <m:oMath>
        <m:sSub>
          <m:e>
            <m:acc>
              <m:accPr>
                <m:chr m:val="̃"/>
              </m:accPr>
              <m:e>
                <m:r>
                  <m:t>μ</m:t>
                </m:r>
              </m:e>
            </m:acc>
          </m:e>
          <m:sub>
            <m:r>
              <m:t>j</m:t>
            </m:r>
          </m:sub>
        </m:sSub>
        <m:r>
          <m:rPr>
            <m:sty m:val="p"/>
          </m:rPr>
          <m:t>=</m:t>
        </m:r>
        <m:sSub>
          <m:e>
            <m:r>
              <m:t>T</m:t>
            </m:r>
          </m:e>
          <m:sub>
            <m:r>
              <m:t>s</m:t>
            </m:r>
          </m:sub>
        </m:sSub>
        <m:d>
          <m:dPr>
            <m:begChr m:val="("/>
            <m:endChr m:val=")"/>
            <m:sepChr m:val=""/>
            <m:grow/>
          </m:dPr>
          <m:e>
            <m:sSub>
              <m:e>
                <m:r>
                  <m:t>μ</m:t>
                </m:r>
              </m:e>
              <m:sub>
                <m:r>
                  <m:t>j</m:t>
                </m:r>
              </m:sub>
            </m:sSub>
          </m:e>
        </m:d>
        <m:r>
          <m:rPr>
            <m:sty m:val="p"/>
          </m:rPr>
          <m:t>,</m:t>
        </m:r>
        <m:r>
          <m:t>  </m:t>
        </m:r>
        <m:sSub>
          <m:e>
            <m:acc>
              <m:accPr>
                <m:chr m:val="̃"/>
              </m:accPr>
              <m:e>
                <m:r>
                  <m:t>n</m:t>
                </m:r>
              </m:e>
            </m:acc>
          </m:e>
          <m:sub>
            <m:r>
              <m:t>j</m:t>
            </m:r>
          </m:sub>
        </m:sSub>
        <m:r>
          <m:rPr>
            <m:sty m:val="p"/>
          </m:rPr>
          <m:t>=</m:t>
        </m:r>
        <m:sSub>
          <m:e>
            <m:r>
              <m:t>n</m:t>
            </m:r>
          </m:e>
          <m:sub>
            <m:r>
              <m:t>j</m:t>
            </m:r>
          </m:sub>
        </m:sSub>
        <m:r>
          <m:rPr>
            <m:sty m:val="p"/>
          </m:rPr>
          <m:t>.</m:t>
        </m:r>
      </m:oMath>
      <w:r>
        <w:rPr>
          <w:color w:val="000000"/>
        </w:rPr>
        <w:tab/>
        <w:t>(10)</w:t>
      </w:r>
    </w:p>
    <w:p>
      <w:pPr>
        <w:pStyle w:val="FirstParagraph"/>
        <w:jc w:val="both"/>
      </w:pPr>
      <w:r>
        <w:rPr>
          <w:color w:val="000000"/>
        </w:rPr>
        <w:t xml:space="preserve">Only subsequent accepted observations change the count. For an exact affine coordinate change, the transported mean equals the mean of the transported observations. A nonlinear learned map need not have this property. Even an affine map fitted on anchors is only an approximation outside the anchor distribution; transport residuals and functional recall checks must therefore be reported.</w:t>
      </w:r>
    </w:p>
    <w:p>
      <w:pPr>
        <w:pStyle w:val="BodyText"/>
        <w:jc w:val="both"/>
      </w:pPr>
      <w:r>
        <w:rPr>
          <w:color w:val="000000"/>
        </w:rPr>
        <w:t xml:space="preserve">The training loop can perform transport periodically rather than at every gradient step. This trades computational cost against version lag. Lazy versioned application avoids repeatedly materializing every payload but still incurs transport cost when an entry is read. It also requires stable composition and explicit version checks. Momentum encoders or alternating frozen-encoder intervals are useful controls, but they reduce drift rather than proving its absence. None of these procedures can reconstruct episode-specific information already lost through a destructive merge.</w:t>
      </w:r>
    </w:p>
    <w:bookmarkEnd w:id="39"/>
    <w:bookmarkStart w:id="40" w:name="utilisation-and-adaptation"/>
    <w:p>
      <w:pPr>
        <w:pStyle w:val="Heading2"/>
        <w:jc w:val="left"/>
      </w:pPr>
      <w:r>
        <w:rPr>
          <w:color w:val="000000"/>
        </w:rPr>
        <w:t xml:space="preserve">6.4 Utilisation and adaptation</w:t>
      </w:r>
    </w:p>
    <w:p>
      <w:pPr>
        <w:pStyle w:val="FirstParagraph"/>
        <w:jc w:val="both"/>
        <w:keepNext/>
      </w:pPr>
      <w:r>
        <w:rPr>
          <w:color w:val="000000"/>
        </w:rPr>
        <w:t xml:space="preserve">Let</w:t>
      </w:r>
      <w:r>
        <w:rPr>
          <w:color w:val="000000"/>
        </w:rPr>
        <w:t xml:space="preserve"> </w:t>
      </w:r>
      <m:oMath>
        <m:sSub>
          <m:e>
            <m:r>
              <m:t>a</m:t>
            </m:r>
          </m:e>
          <m:sub>
            <m:r>
              <m:t>j</m:t>
            </m:r>
          </m:sub>
        </m:sSub>
        <m:d>
          <m:dPr>
            <m:begChr m:val="("/>
            <m:endChr m:val=")"/>
            <m:sepChr m:val=""/>
            <m:grow/>
          </m:dPr>
          <m:e>
            <m:r>
              <m:t>s</m:t>
            </m:r>
          </m:e>
        </m:d>
      </m:oMath>
      <w:r>
        <w:rPr>
          <w:color w:val="000000"/>
        </w:rPr>
        <w:t xml:space="preserve"> </w:t>
      </w:r>
      <w:r>
        <w:rPr>
          <w:color w:val="000000"/>
        </w:rPr>
        <w:t xml:space="preserve">count accepted assignments up to update</w:t>
      </w:r>
      <w:r>
        <w:rPr>
          <w:color w:val="000000"/>
        </w:rPr>
        <w:t xml:space="preserve"> </w:t>
      </w:r>
      <m:oMath>
        <m:r>
          <m:t>s</m:t>
        </m:r>
      </m:oMath>
      <w:r>
        <w:rPr>
          <w:color w:val="000000"/>
        </w:rPr>
        <w:t xml:space="preserve">. A rolling-window utilisation statistic is</w:t>
      </w:r>
    </w:p>
    <w:p>
      <w:pPr>
        <w:pStyle w:val="BodyText"/>
        <w:keepLines/>
        <w:tabs>
          <w:tab w:pos="4896" w:val="center"/>
          <w:tab w:pos="9792" w:val="right"/>
        </w:tabs>
        <w:spacing w:before="100" w:after="140"/>
        <w:jc w:val="left"/>
      </w:pPr>
      <w:r>
        <w:rPr>
          <w:color w:val="000000"/>
        </w:rPr>
        <w:tab/>
      </w:r>
      <m:oMath>
        <m:sSub>
          <m:e>
            <m:r>
              <m:t>U</m:t>
            </m:r>
          </m:e>
          <m:sub>
            <m:r>
              <m:t>s</m:t>
            </m:r>
          </m:sub>
        </m:sSub>
        <m:d>
          <m:dPr>
            <m:begChr m:val="("/>
            <m:endChr m:val=")"/>
            <m:sepChr m:val=""/>
            <m:grow/>
          </m:dPr>
          <m:e>
            <m:r>
              <m:t>Δ</m:t>
            </m:r>
          </m:e>
        </m:d>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r>
              <m:rPr>
                <m:sty m:val="b"/>
              </m:rPr>
              <m:t>1</m:t>
            </m:r>
          </m:e>
        </m:nary>
        <m:r>
          <m:rPr>
            <m:sty m:val="p"/>
          </m:rPr>
          <m:t>{</m:t>
        </m:r>
        <m:sSub>
          <m:e>
            <m:r>
              <m:t>a</m:t>
            </m:r>
          </m:e>
          <m:sub>
            <m:r>
              <m:t>j</m:t>
            </m:r>
          </m:sub>
        </m:sSub>
        <m:d>
          <m:dPr>
            <m:begChr m:val="("/>
            <m:endChr m:val=")"/>
            <m:sepChr m:val=""/>
            <m:grow/>
          </m:dPr>
          <m:e>
            <m:r>
              <m:t>s</m:t>
            </m:r>
          </m:e>
        </m:d>
        <m:r>
          <m:rPr>
            <m:sty m:val="p"/>
          </m:rPr>
          <m:t>−</m:t>
        </m:r>
        <m:sSub>
          <m:e>
            <m:r>
              <m:t>a</m:t>
            </m:r>
          </m:e>
          <m:sub>
            <m:r>
              <m:t>j</m:t>
            </m:r>
          </m:sub>
        </m:sSub>
        <m:d>
          <m:dPr>
            <m:begChr m:val="("/>
            <m:endChr m:val=")"/>
            <m:sepChr m:val=""/>
            <m:grow/>
          </m:dPr>
          <m:e>
            <m:r>
              <m:t>s</m:t>
            </m:r>
            <m:r>
              <m:rPr>
                <m:sty m:val="p"/>
              </m:rPr>
              <m:t>−</m:t>
            </m:r>
            <m:r>
              <m:t>Δ</m:t>
            </m:r>
          </m:e>
        </m:d>
        <m:r>
          <m:rPr>
            <m:sty m:val="p"/>
          </m:rPr>
          <m:t>&gt;</m:t>
        </m:r>
        <m:r>
          <m:t>0</m:t>
        </m:r>
        <m:r>
          <m:rPr>
            <m:sty m:val="p"/>
          </m:rPr>
          <m:t>}</m:t>
        </m:r>
        <m:r>
          <m:rPr>
            <m:sty m:val="p"/>
          </m:rPr>
          <m:t>.</m:t>
        </m:r>
      </m:oMath>
      <w:r>
        <w:rPr>
          <w:color w:val="000000"/>
        </w:rPr>
        <w:tab/>
        <w:t>(11)</w:t>
      </w:r>
    </w:p>
    <w:p>
      <w:pPr>
        <w:pStyle w:val="FirstParagraph"/>
        <w:jc w:val="both"/>
      </w:pPr>
      <w:r>
        <w:rPr>
          <w:color w:val="000000"/>
        </w:rPr>
        <w:t xml:space="preserve">Unlike lifetime occupancy, this statistic can decline and therefore detect abandonment. Report it with assignment probabilities</w:t>
      </w:r>
      <w:r>
        <w:rPr>
          <w:color w:val="000000"/>
        </w:rPr>
        <w:t xml:space="preserve"> </w:t>
      </w:r>
      <m:oMath>
        <m:sSub>
          <m:e>
            <m:r>
              <m:t>p</m:t>
            </m:r>
          </m:e>
          <m:sub>
            <m:r>
              <m:t>j</m:t>
            </m:r>
          </m:sub>
        </m:sSub>
      </m:oMath>
      <w:r>
        <w:rPr>
          <w:color w:val="000000"/>
        </w:rPr>
        <w:t xml:space="preserve">, effective occupancy</w:t>
      </w:r>
      <w:r>
        <w:rPr>
          <w:color w:val="000000"/>
        </w:rPr>
        <w:t xml:space="preserve"> </w:t>
      </w:r>
      <m:oMath>
        <m:r>
          <m:rPr>
            <m:sty m:val="p"/>
          </m:rPr>
          <m:t>exp</m:t>
        </m:r>
        <m:d>
          <m:dPr>
            <m:begChr m:val="("/>
            <m:endChr m:val=")"/>
            <m:sepChr m:val=""/>
            <m:grow/>
          </m:dPr>
          <m:e>
            <m:r>
              <m:rPr>
                <m:sty m:val="p"/>
              </m:rPr>
              <m:t>−</m:t>
            </m:r>
            <m:nary>
              <m:naryPr>
                <m:chr m:val="∑"/>
                <m:limLoc m:val="undOvr"/>
                <m:subHide m:val="off"/>
                <m:supHide m:val="on"/>
              </m:naryPr>
              <m:sub>
                <m:r>
                  <m:t>j</m:t>
                </m:r>
              </m:sub>
              <m:sup>
                <m:r>
                  <m:t>​</m:t>
                </m:r>
              </m:sup>
              <m:e>
                <m:sSub>
                  <m:e>
                    <m:r>
                      <m:t>p</m:t>
                    </m:r>
                  </m:e>
                  <m:sub>
                    <m:r>
                      <m:t>j</m:t>
                    </m:r>
                  </m:sub>
                </m:sSub>
              </m:e>
            </m:nary>
            <m:r>
              <m:rPr>
                <m:sty m:val="p"/>
              </m:rPr>
              <m:t>log</m:t>
            </m:r>
            <m:sSub>
              <m:e>
                <m:r>
                  <m:t>p</m:t>
                </m:r>
              </m:e>
              <m:sub>
                <m:r>
                  <m:t>j</m:t>
                </m:r>
              </m:sub>
            </m:sSub>
          </m:e>
        </m:d>
      </m:oMath>
      <w:r>
        <w:rPr>
          <w:color w:val="000000"/>
        </w:rPr>
        <w:t xml:space="preserve">, time since last assignment, and read utilisation. Accepted-write utilisation and query utilisation answer different questions. Low utilisation indicates failure only relative to the workload’s diversity and a suitable reference; an oversized bank need not use every slot.</w:t>
      </w:r>
    </w:p>
    <w:p>
      <w:pPr>
        <w:pStyle w:val="BodyText"/>
        <w:jc w:val="both"/>
      </w:pPr>
      <w:r>
        <w:rPr>
          <w:color w:val="000000"/>
        </w:rPr>
        <w:t xml:space="preserve">The exact lifetime mean also has a plasticity limit. As</w:t>
      </w:r>
      <w:r>
        <w:rPr>
          <w:color w:val="000000"/>
        </w:rPr>
        <w:t xml:space="preserve"> </w:t>
      </w:r>
      <m:oMath>
        <m:sSub>
          <m:e>
            <m:r>
              <m:t>n</m:t>
            </m:r>
          </m:e>
          <m:sub>
            <m:r>
              <m:t>j</m:t>
            </m:r>
          </m:sub>
        </m:sSub>
      </m:oMath>
      <w:r>
        <w:rPr>
          <w:color w:val="000000"/>
        </w:rPr>
        <w:t xml:space="preserve"> </w:t>
      </w:r>
      <w:r>
        <w:rPr>
          <w:color w:val="000000"/>
        </w:rPr>
        <w:t xml:space="preserve">grows, each new observation has less influence. Under a changed task regime, the appropriate action can be a new branch rather than a slow compromise between incompatible regimes. A recency-weighted update is another option, but it is a different estimator and must not be described as the original count-weighted mean. Resetting a used slot discards represented evidence and requires a declared retirement policy; resetting a never-used seed changes geometry without fabricating experience.</w:t>
      </w:r>
    </w:p>
    <w:bookmarkEnd w:id="40"/>
    <w:bookmarkEnd w:id="41"/>
    <w:bookmarkStart w:id="50" w:name="analytical-results-and-limiting-cases"/>
    <w:p>
      <w:pPr>
        <w:pStyle w:val="Heading1"/>
        <w:jc w:val="left"/>
      </w:pPr>
      <w:r>
        <w:rPr>
          <w:color w:val="000000"/>
        </w:rPr>
        <w:t xml:space="preserve">7 Analytical results and limiting cases</w:t>
      </w:r>
    </w:p>
    <w:p>
      <w:pPr>
        <w:pStyle w:val="FirstParagraph"/>
        <w:jc w:val="both"/>
      </w:pPr>
      <w:r>
        <w:rPr>
          <w:color w:val="000000"/>
        </w:rPr>
        <w:t xml:space="preserve">The following results apply to the specified mathematical mechanisms. They establish neither successful large-scale optimization nor biological implementation. Their purpose is to make the architecture’s commitments precise enough to test.</w:t>
      </w:r>
    </w:p>
    <w:bookmarkStart w:id="42" w:name="exact-averaging-with-an-implicit-gain"/>
    <w:p>
      <w:pPr>
        <w:pStyle w:val="Heading2"/>
        <w:jc w:val="left"/>
      </w:pPr>
      <w:r>
        <w:rPr>
          <w:color w:val="000000"/>
        </w:rPr>
        <w:t xml:space="preserve">7.1 Exact averaging with an implicit gain</w:t>
      </w:r>
    </w:p>
    <w:p>
      <w:pPr>
        <w:pStyle w:val="FirstParagraph"/>
        <w:jc w:val="both"/>
        <w:keepNext/>
      </w:pPr>
      <w:r>
        <w:rPr>
          <w:bCs/>
          <w:b/>
          <w:color w:val="000000"/>
        </w:rPr>
        <w:t xml:space="preserve">Proposition 1.</w:t>
      </w:r>
      <w:r>
        <w:rPr>
          <w:color w:val="000000"/>
        </w:rPr>
        <w:t xml:space="preserve"> </w:t>
      </w:r>
      <w:r>
        <w:rPr>
          <w:color w:val="000000"/>
        </w:rPr>
        <w:t xml:space="preserve">In a fixed coordinate system, suppose</w:t>
      </w:r>
      <w:r>
        <w:rPr>
          <w:color w:val="000000"/>
        </w:rPr>
        <w:t xml:space="preserve"> </w:t>
      </w:r>
      <m:oMath>
        <m:sSub>
          <m:e>
            <m:r>
              <m:t>μ</m:t>
            </m:r>
          </m:e>
          <m:sub>
            <m:r>
              <m:t>n</m:t>
            </m:r>
          </m:sub>
        </m:sSub>
      </m:oMath>
      <w:r>
        <w:rPr>
          <w:color w:val="000000"/>
        </w:rPr>
        <w:t xml:space="preserve"> </w:t>
      </w:r>
      <w:r>
        <w:rPr>
          <w:color w:val="000000"/>
        </w:rPr>
        <w:t xml:space="preserve">is the mean of</w:t>
      </w:r>
      <w:r>
        <w:rPr>
          <w:color w:val="000000"/>
        </w:rPr>
        <w:t xml:space="preserve"> </w:t>
      </w:r>
      <m:oMath>
        <m:r>
          <m:t>n</m:t>
        </m:r>
      </m:oMath>
      <w:r>
        <w:rPr>
          <w:color w:val="000000"/>
        </w:rPr>
        <w:t xml:space="preserve"> </w:t>
      </w:r>
      <w:r>
        <w:rPr>
          <w:color w:val="000000"/>
        </w:rPr>
        <w:t xml:space="preserve">unit-weight observations. The recursions</w:t>
      </w:r>
    </w:p>
    <w:p>
      <w:pPr>
        <w:pStyle w:val="BodyText"/>
        <w:keepLines/>
        <w:tabs>
          <w:tab w:pos="4896" w:val="center"/>
          <w:tab w:pos="9792" w:val="right"/>
        </w:tabs>
        <w:spacing w:before="100" w:after="140"/>
        <w:jc w:val="left"/>
      </w:pPr>
      <w:r>
        <w:rPr>
          <w:color w:val="000000"/>
        </w:rPr>
        <w:tab/>
      </w:r>
      <m:oMath>
        <m:sSub>
          <m:e>
            <m:r>
              <m:t>μ</m:t>
            </m:r>
          </m:e>
          <m:sub>
            <m:r>
              <m:t>n</m:t>
            </m:r>
            <m:r>
              <m:rPr>
                <m:sty m:val="p"/>
              </m:rPr>
              <m:t>+</m:t>
            </m:r>
            <m:r>
              <m:t>1</m:t>
            </m:r>
          </m:sub>
        </m:sSub>
        <m:r>
          <m:rPr>
            <m:sty m:val="p"/>
          </m:rPr>
          <m:t>=</m:t>
        </m:r>
        <m:sSub>
          <m:e>
            <m:r>
              <m:t>μ</m:t>
            </m:r>
          </m:e>
          <m:sub>
            <m:r>
              <m:t>n</m:t>
            </m:r>
          </m:sub>
        </m:sSub>
        <m:r>
          <m:rPr>
            <m:sty m:val="p"/>
          </m:rPr>
          <m:t>+</m:t>
        </m:r>
        <m:sSub>
          <m:e>
            <m:r>
              <m:t>η</m:t>
            </m:r>
          </m:e>
          <m:sub>
            <m:r>
              <m:t>n</m:t>
            </m:r>
          </m:sub>
        </m:sSub>
        <m:d>
          <m:dPr>
            <m:begChr m:val="("/>
            <m:endChr m:val=")"/>
            <m:sepChr m:val=""/>
            <m:grow/>
          </m:dPr>
          <m:e>
            <m:sSub>
              <m:e>
                <m:r>
                  <m:t>X</m:t>
                </m:r>
              </m:e>
              <m:sub>
                <m:r>
                  <m:t>n</m:t>
                </m:r>
                <m:r>
                  <m:rPr>
                    <m:sty m:val="p"/>
                  </m:rPr>
                  <m:t>+</m:t>
                </m:r>
                <m:r>
                  <m:t>1</m:t>
                </m:r>
              </m:sub>
            </m:sSub>
            <m:r>
              <m:rPr>
                <m:sty m:val="p"/>
              </m:rPr>
              <m:t>−</m:t>
            </m:r>
            <m:sSub>
              <m:e>
                <m:r>
                  <m:t>μ</m:t>
                </m:r>
              </m:e>
              <m:sub>
                <m:r>
                  <m:t>n</m:t>
                </m:r>
              </m:sub>
            </m:sSub>
          </m:e>
        </m:d>
        <m:r>
          <m:rPr>
            <m:sty m:val="p"/>
          </m:rPr>
          <m:t>,</m:t>
        </m:r>
        <m:r>
          <m:t>  </m:t>
        </m:r>
        <m:sSub>
          <m:e>
            <m:r>
              <m:t>η</m:t>
            </m:r>
          </m:e>
          <m:sub>
            <m:r>
              <m:t>n</m:t>
            </m:r>
            <m:r>
              <m:rPr>
                <m:sty m:val="p"/>
              </m:rPr>
              <m:t>+</m:t>
            </m:r>
            <m:r>
              <m:t>1</m:t>
            </m:r>
          </m:sub>
        </m:sSub>
        <m:r>
          <m:rPr>
            <m:sty m:val="p"/>
          </m:rPr>
          <m:t>=</m:t>
        </m:r>
        <m:f>
          <m:fPr>
            <m:type m:val="bar"/>
          </m:fPr>
          <m:num>
            <m:sSub>
              <m:e>
                <m:r>
                  <m:t>η</m:t>
                </m:r>
              </m:e>
              <m:sub>
                <m:r>
                  <m:t>n</m:t>
                </m:r>
              </m:sub>
            </m:sSub>
          </m:num>
          <m:den>
            <m:r>
              <m:t>1</m:t>
            </m:r>
            <m:r>
              <m:rPr>
                <m:sty m:val="p"/>
              </m:rPr>
              <m:t>+</m:t>
            </m:r>
            <m:sSub>
              <m:e>
                <m:r>
                  <m:t>η</m:t>
                </m:r>
              </m:e>
              <m:sub>
                <m:r>
                  <m:t>n</m:t>
                </m:r>
              </m:sub>
            </m:sSub>
          </m:den>
        </m:f>
        <m:r>
          <m:rPr>
            <m:sty m:val="p"/>
          </m:rPr>
          <m:t>,</m:t>
        </m:r>
        <m:r>
          <m:t>  </m:t>
        </m:r>
        <m:sSub>
          <m:e>
            <m:r>
              <m:t>η</m:t>
            </m:r>
          </m:e>
          <m:sub>
            <m:r>
              <m:t>0</m:t>
            </m:r>
          </m:sub>
        </m:sSub>
        <m:r>
          <m:rPr>
            <m:sty m:val="p"/>
          </m:rPr>
          <m:t>=</m:t>
        </m:r>
        <m:r>
          <m:t>1</m:t>
        </m:r>
      </m:oMath>
      <w:r>
        <w:rPr>
          <w:color w:val="000000"/>
        </w:rPr>
        <w:tab/>
        <w:t>(12)</w:t>
      </w:r>
    </w:p>
    <w:p>
      <w:pPr>
        <w:pStyle w:val="FirstParagraph"/>
        <w:jc w:val="both"/>
      </w:pPr>
      <w:r>
        <w:rPr>
          <w:color w:val="000000"/>
        </w:rPr>
        <w:t xml:space="preserve">produce the ordinary empirical mean, because</w:t>
      </w:r>
      <w:r>
        <w:rPr>
          <w:color w:val="000000"/>
        </w:rPr>
        <w:t xml:space="preserve"> </w:t>
      </w:r>
      <m:oMath>
        <m:sSub>
          <m:e>
            <m:r>
              <m:t>η</m:t>
            </m:r>
          </m:e>
          <m:sub>
            <m:r>
              <m:t>n</m:t>
            </m:r>
          </m:sub>
        </m:sSub>
        <m:r>
          <m:rPr>
            <m:sty m:val="p"/>
          </m:rPr>
          <m:t>=</m:t>
        </m:r>
        <m:r>
          <m:t>1</m:t>
        </m:r>
        <m:r>
          <m:rPr>
            <m:sty m:val="p"/>
          </m:rPr>
          <m:t>/</m:t>
        </m:r>
        <m:d>
          <m:dPr>
            <m:begChr m:val="("/>
            <m:endChr m:val=")"/>
            <m:sepChr m:val=""/>
            <m:grow/>
          </m:dPr>
          <m:e>
            <m:r>
              <m:t>n</m:t>
            </m:r>
            <m:r>
              <m:rPr>
                <m:sty m:val="p"/>
              </m:rPr>
              <m:t>+</m:t>
            </m:r>
            <m:r>
              <m:t>1</m:t>
            </m:r>
          </m:e>
        </m:d>
      </m:oMath>
      <w:r>
        <w:rPr>
          <w:color w:val="000000"/>
        </w:rPr>
        <w:t xml:space="preserve">. For</w:t>
      </w:r>
      <w:r>
        <w:rPr>
          <w:color w:val="000000"/>
        </w:rPr>
        <w:t xml:space="preserve"> </w:t>
      </w:r>
      <m:oMath>
        <m:r>
          <m:t>n</m:t>
        </m:r>
        <m:r>
          <m:rPr>
            <m:sty m:val="p"/>
          </m:rPr>
          <m:t>=</m:t>
        </m:r>
        <m:r>
          <m:t>0</m:t>
        </m:r>
      </m:oMath>
      <w:r>
        <w:rPr>
          <w:color w:val="000000"/>
        </w:rPr>
        <w:t xml:space="preserve">,</w:t>
      </w:r>
      <w:r>
        <w:rPr>
          <w:color w:val="000000"/>
        </w:rPr>
        <w:t xml:space="preserve"> </w:t>
      </w:r>
      <m:oMath>
        <m:sSub>
          <m:e>
            <m:r>
              <m:t>μ</m:t>
            </m:r>
          </m:e>
          <m:sub>
            <m:r>
              <m:t>0</m:t>
            </m:r>
          </m:sub>
        </m:sSub>
      </m:oMath>
      <w:r>
        <w:rPr>
          <w:color w:val="000000"/>
        </w:rPr>
        <w:t xml:space="preserve"> </w:t>
      </w:r>
      <w:r>
        <w:rPr>
          <w:color w:val="000000"/>
        </w:rPr>
        <w:t xml:space="preserve">may be any seed; the first update replaces it with the first observation. The identity follows by induction and is proved in Appendix B.</w:t>
      </w:r>
    </w:p>
    <w:p>
      <w:pPr>
        <w:pStyle w:val="BodyText"/>
        <w:jc w:val="both"/>
      </w:pPr>
      <w:r>
        <w:rPr>
          <w:color w:val="000000"/>
        </w:rPr>
        <w:t xml:space="preserve">Equation (12) removes the explicit integer from the update rule but preserves its information in the reciprocal gain. In exact arithmetic,</w:t>
      </w:r>
      <w:r>
        <w:rPr>
          <w:color w:val="000000"/>
        </w:rPr>
        <w:t xml:space="preserve"> </w:t>
      </w:r>
      <m:oMath>
        <m:r>
          <m:t>n</m:t>
        </m:r>
        <m:r>
          <m:rPr>
            <m:sty m:val="p"/>
          </m:rPr>
          <m:t>=</m:t>
        </m:r>
        <m:r>
          <m:t>1</m:t>
        </m:r>
        <m:r>
          <m:rPr>
            <m:sty m:val="p"/>
          </m:rPr>
          <m:t>/</m:t>
        </m:r>
        <m:sSub>
          <m:e>
            <m:r>
              <m:t>η</m:t>
            </m:r>
          </m:e>
          <m:sub>
            <m:r>
              <m:t>n</m:t>
            </m:r>
          </m:sub>
        </m:sSub>
        <m:r>
          <m:rPr>
            <m:sty m:val="p"/>
          </m:rPr>
          <m:t>−</m:t>
        </m:r>
        <m:r>
          <m:t>1</m:t>
        </m:r>
      </m:oMath>
      <w:r>
        <w:rPr>
          <w:color w:val="000000"/>
        </w:rPr>
        <w:t xml:space="preserve">. This is a reparameterization, not elimination of the memory required to track accumulated evidence. Finite-precision implementations need a numerical policy once the gain becomes too small to change the stored prototype. A biological interpretation can concern experience-dependent plasticity, but the identity does not identify a cellular implementation.</w:t>
      </w:r>
    </w:p>
    <w:bookmarkEnd w:id="42"/>
    <w:bookmarkStart w:id="43" w:name="X15a4ab8c87c82d81448f4586258429e05d497c0"/>
    <w:p>
      <w:pPr>
        <w:pStyle w:val="Heading2"/>
        <w:jc w:val="left"/>
      </w:pPr>
      <w:r>
        <w:rPr>
          <w:color w:val="000000"/>
        </w:rPr>
        <w:t xml:space="preserve">7.2 When coordinate transport preserves a mean</w:t>
      </w:r>
    </w:p>
    <w:p>
      <w:pPr>
        <w:pStyle w:val="FirstParagraph"/>
        <w:jc w:val="both"/>
        <w:keepNext/>
      </w:pPr>
      <w:r>
        <w:rPr>
          <w:bCs/>
          <w:b/>
          <w:color w:val="000000"/>
        </w:rPr>
        <w:t xml:space="preserve">Proposition 2.</w:t>
      </w:r>
      <w:r>
        <w:rPr>
          <w:color w:val="000000"/>
        </w:rPr>
        <w:t xml:space="preserve"> </w:t>
      </w:r>
      <w:r>
        <w:rPr>
          <w:color w:val="000000"/>
        </w:rPr>
        <w:t xml:space="preserve">For a common affine map</w:t>
      </w:r>
      <w:r>
        <w:rPr>
          <w:color w:val="000000"/>
        </w:rPr>
        <w:t xml:space="preserve"> </w:t>
      </w:r>
      <m:oMath>
        <m:r>
          <m:t>T</m:t>
        </m:r>
        <m:d>
          <m:dPr>
            <m:begChr m:val="("/>
            <m:endChr m:val=")"/>
            <m:sepChr m:val=""/>
            <m:grow/>
          </m:dPr>
          <m:e>
            <m:r>
              <m:t>x</m:t>
            </m:r>
          </m:e>
        </m:d>
        <m:r>
          <m:rPr>
            <m:sty m:val="p"/>
          </m:rPr>
          <m:t>=</m:t>
        </m:r>
        <m:r>
          <m:t>A</m:t>
        </m:r>
        <m:r>
          <m:t>x</m:t>
        </m:r>
        <m:r>
          <m:rPr>
            <m:sty m:val="p"/>
          </m:rPr>
          <m:t>+</m:t>
        </m:r>
        <m:r>
          <m:t>b</m:t>
        </m:r>
      </m:oMath>
      <w:r>
        <w:rPr>
          <w:color w:val="000000"/>
        </w:rPr>
        <w:t xml:space="preserve"> </w:t>
      </w:r>
      <w:r>
        <w:rPr>
          <w:color w:val="000000"/>
        </w:rPr>
        <w:t xml:space="preserve">and observations with mean</w:t>
      </w:r>
      <w:r>
        <w:rPr>
          <w:color w:val="000000"/>
        </w:rPr>
        <w:t xml:space="preserve"> </w:t>
      </w:r>
      <m:oMath>
        <m:r>
          <m:t>μ</m:t>
        </m:r>
      </m:oMath>
      <w:r>
        <w:rPr>
          <w:color w:val="000000"/>
        </w:rPr>
        <w:t xml:space="preserve">, transporting the mean is exact:</w:t>
      </w:r>
    </w:p>
    <w:p>
      <w:pPr>
        <w:pStyle w:val="BodyText"/>
        <w:keepLines/>
        <w:tabs>
          <w:tab w:pos="4896" w:val="center"/>
          <w:tab w:pos="9792" w:val="right"/>
        </w:tabs>
        <w:spacing w:before="100" w:after="140"/>
        <w:jc w:val="left"/>
      </w:pPr>
      <w:r>
        <w:rPr>
          <w:color w:val="000000"/>
        </w:rPr>
        <w:tab/>
      </w:r>
      <m:oMath>
        <m:r>
          <m:t>T</m:t>
        </m:r>
        <m:d>
          <m:dPr>
            <m:begChr m:val="("/>
            <m:endChr m:val=")"/>
            <m:sepChr m:val=""/>
            <m:grow/>
          </m:dPr>
          <m:e>
            <m:r>
              <m:t>μ</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T</m:t>
            </m:r>
          </m:e>
        </m:nary>
        <m:d>
          <m:dPr>
            <m:begChr m:val="("/>
            <m:endChr m:val=")"/>
            <m:sepChr m:val=""/>
            <m:grow/>
          </m:dPr>
          <m:e>
            <m:sSub>
              <m:e>
                <m:r>
                  <m:t>X</m:t>
                </m:r>
              </m:e>
              <m:sub>
                <m:r>
                  <m:t>i</m:t>
                </m:r>
              </m:sub>
            </m:sSub>
          </m:e>
        </m:d>
        <m:r>
          <m:rPr>
            <m:sty m:val="p"/>
          </m:rPr>
          <m:t>.</m:t>
        </m:r>
      </m:oMath>
      <w:r>
        <w:rPr>
          <w:color w:val="000000"/>
        </w:rPr>
        <w:tab/>
        <w:t>(13)</w:t>
      </w:r>
    </w:p>
    <w:p>
      <w:pPr>
        <w:pStyle w:val="FirstParagraph"/>
        <w:jc w:val="both"/>
      </w:pPr>
      <w:r>
        <w:rPr>
          <w:color w:val="000000"/>
        </w:rPr>
        <w:t xml:space="preserve">This result justifies keeping the observation count unchanged under an exact affine coordinate change. For nonlinear</w:t>
      </w:r>
      <w:r>
        <w:rPr>
          <w:color w:val="000000"/>
        </w:rPr>
        <w:t xml:space="preserve"> </w:t>
      </w:r>
      <m:oMath>
        <m:r>
          <m:t>T</m:t>
        </m:r>
      </m:oMath>
      <w:r>
        <w:rPr>
          <w:color w:val="000000"/>
        </w:rPr>
        <w:t xml:space="preserve">, the equality generally fails. A scalar counterexample is</w:t>
      </w:r>
      <w:r>
        <w:rPr>
          <w:color w:val="000000"/>
        </w:rPr>
        <w:t xml:space="preserve"> </w:t>
      </w:r>
      <m:oMath>
        <m:r>
          <m:t>T</m:t>
        </m:r>
        <m:d>
          <m:dPr>
            <m:begChr m:val="("/>
            <m:endChr m:val=")"/>
            <m:sepChr m:val=""/>
            <m:grow/>
          </m:dPr>
          <m:e>
            <m:r>
              <m:t>x</m:t>
            </m:r>
          </m:e>
        </m:d>
        <m:r>
          <m:rPr>
            <m:sty m:val="p"/>
          </m:rPr>
          <m:t>=</m:t>
        </m:r>
        <m:sSup>
          <m:e>
            <m:r>
              <m:t>x</m:t>
            </m:r>
          </m:e>
          <m:sup>
            <m:r>
              <m:t>2</m:t>
            </m:r>
          </m:sup>
        </m:sSup>
      </m:oMath>
      <w:r>
        <w:rPr>
          <w:color w:val="000000"/>
        </w:rPr>
        <w:t xml:space="preserve"> </w:t>
      </w:r>
      <w:r>
        <w:rPr>
          <w:color w:val="000000"/>
        </w:rPr>
        <w:t xml:space="preserve">with observations</w:t>
      </w:r>
      <w:r>
        <w:rPr>
          <w:color w:val="000000"/>
        </w:rPr>
        <w:t xml:space="preserve"> </w:t>
      </w:r>
      <m:oMath>
        <m:r>
          <m:rPr>
            <m:sty m:val="p"/>
          </m:rPr>
          <m:t>−</m:t>
        </m:r>
        <m:r>
          <m:t>1</m:t>
        </m:r>
      </m:oMath>
      <w:r>
        <w:rPr>
          <w:color w:val="000000"/>
        </w:rPr>
        <w:t xml:space="preserve"> </w:t>
      </w:r>
      <w:r>
        <w:rPr>
          <w:color w:val="000000"/>
        </w:rPr>
        <w:t xml:space="preserve">and</w:t>
      </w:r>
      <w:r>
        <w:rPr>
          <w:color w:val="000000"/>
        </w:rPr>
        <w:t xml:space="preserve"> </w:t>
      </w:r>
      <m:oMath>
        <m:r>
          <m:t>1</m:t>
        </m:r>
      </m:oMath>
      <w:r>
        <w:rPr>
          <w:color w:val="000000"/>
        </w:rPr>
        <w:t xml:space="preserve">: transforming the mean gives zero, whereas the mean of transformed observations is one. Thus an adaptive map over the bank is not automatically compatible with exact count-based semantics.</w:t>
      </w:r>
    </w:p>
    <w:p>
      <w:pPr>
        <w:pStyle w:val="BodyText"/>
        <w:jc w:val="both"/>
      </w:pPr>
      <w:r>
        <w:rPr>
          <w:color w:val="000000"/>
        </w:rPr>
        <w:t xml:space="preserve">For an approximate affine transport, define anchor residuals</w:t>
      </w:r>
      <w:r>
        <w:rPr>
          <w:color w:val="000000"/>
        </w:rPr>
        <w:t xml:space="preserve"> </w:t>
      </w:r>
      <m:oMath>
        <m:sSub>
          <m:e>
            <m:r>
              <m:t>e</m:t>
            </m:r>
          </m:e>
          <m:sub>
            <m:r>
              <m:t>i</m:t>
            </m:r>
          </m:sub>
        </m:sSub>
        <m:r>
          <m:rPr>
            <m:sty m:val="p"/>
          </m:rPr>
          <m:t>=</m:t>
        </m:r>
        <m:sSub>
          <m:e>
            <m:r>
              <m:t>E</m:t>
            </m:r>
          </m:e>
          <m:sub>
            <m:r>
              <m:t>s</m:t>
            </m:r>
            <m:r>
              <m:rPr>
                <m:sty m:val="p"/>
              </m:rPr>
              <m:t>+</m:t>
            </m:r>
            <m:r>
              <m:t>1</m:t>
            </m:r>
          </m:sub>
        </m:sSub>
        <m:d>
          <m:dPr>
            <m:begChr m:val="("/>
            <m:endChr m:val=")"/>
            <m:sepChr m:val=""/>
            <m:grow/>
          </m:dPr>
          <m:e>
            <m:sSub>
              <m:e>
                <m:r>
                  <m:t>h</m:t>
                </m:r>
              </m:e>
              <m:sub>
                <m:r>
                  <m:t>i</m:t>
                </m:r>
              </m:sub>
            </m:sSub>
          </m:e>
        </m:d>
        <m:r>
          <m:rPr>
            <m:sty m:val="p"/>
          </m:rPr>
          <m:t>−</m:t>
        </m:r>
        <m:sSub>
          <m:e>
            <m:r>
              <m:t>T</m:t>
            </m:r>
          </m:e>
          <m:sub>
            <m:r>
              <m:t>s</m:t>
            </m:r>
          </m:sub>
        </m:sSub>
        <m:d>
          <m:dPr>
            <m:begChr m:val="("/>
            <m:endChr m:val=")"/>
            <m:sepChr m:val=""/>
            <m:grow/>
          </m:dPr>
          <m:e>
            <m:sSub>
              <m:e>
                <m:r>
                  <m:t>E</m:t>
                </m:r>
              </m:e>
              <m:sub>
                <m:r>
                  <m:t>s</m:t>
                </m:r>
              </m:sub>
            </m:sSub>
            <m:d>
              <m:dPr>
                <m:begChr m:val="("/>
                <m:endChr m:val=")"/>
                <m:sepChr m:val=""/>
                <m:grow/>
              </m:dPr>
              <m:e>
                <m:sSub>
                  <m:e>
                    <m:r>
                      <m:t>h</m:t>
                    </m:r>
                  </m:e>
                  <m:sub>
                    <m:r>
                      <m:t>i</m:t>
                    </m:r>
                  </m:sub>
                </m:sSub>
              </m:e>
            </m:d>
          </m:e>
        </m:d>
      </m:oMath>
      <w:r>
        <w:rPr>
          <w:color w:val="000000"/>
        </w:rPr>
        <w:t xml:space="preserve">. Their mean bounds the discrepancy of the corresponding transported empirical mean by</w:t>
      </w:r>
      <w:r>
        <w:rPr>
          <w:color w:val="000000"/>
        </w:rPr>
        <w:t xml:space="preserve"> </w:t>
      </w:r>
      <m:oMath>
        <m:r>
          <m:rPr>
            <m:sty m:val="p"/>
          </m:rPr>
          <m:t>∥</m:t>
        </m:r>
        <m:sSup>
          <m:e>
            <m:r>
              <m:t>n</m:t>
            </m:r>
          </m:e>
          <m:sup>
            <m:r>
              <m:rPr>
                <m:sty m:val="p"/>
              </m:rPr>
              <m:t>−</m:t>
            </m:r>
            <m:r>
              <m:t>1</m:t>
            </m:r>
          </m:sup>
        </m:sSup>
        <m:nary>
          <m:naryPr>
            <m:chr m:val="∑"/>
            <m:limLoc m:val="undOvr"/>
            <m:subHide m:val="off"/>
            <m:supHide m:val="on"/>
          </m:naryPr>
          <m:sub>
            <m:r>
              <m:t>i</m:t>
            </m:r>
          </m:sub>
          <m:sup>
            <m:r>
              <m:t>​</m:t>
            </m:r>
          </m:sup>
          <m:e>
            <m:sSub>
              <m:e>
                <m:r>
                  <m:t>e</m:t>
                </m:r>
              </m:e>
              <m:sub>
                <m:r>
                  <m:t>i</m:t>
                </m:r>
              </m:sub>
            </m:sSub>
          </m:e>
        </m:nary>
        <m:r>
          <m:rPr>
            <m:sty m:val="p"/>
          </m:rPr>
          <m:t>∥</m:t>
        </m:r>
        <m:r>
          <m:rPr>
            <m:sty m:val="p"/>
          </m:rPr>
          <m:t>≤</m:t>
        </m:r>
        <m:sSup>
          <m:e>
            <m:r>
              <m:t>n</m:t>
            </m:r>
          </m:e>
          <m:sup>
            <m:r>
              <m:rPr>
                <m:sty m:val="p"/>
              </m:rPr>
              <m:t>−</m:t>
            </m:r>
            <m:r>
              <m:t>1</m:t>
            </m:r>
          </m:sup>
        </m:sSup>
        <m:nary>
          <m:naryPr>
            <m:chr m:val="∑"/>
            <m:limLoc m:val="undOvr"/>
            <m:subHide m:val="off"/>
            <m:supHide m:val="on"/>
          </m:naryPr>
          <m:sub>
            <m:r>
              <m:t>i</m:t>
            </m:r>
          </m:sub>
          <m:sup>
            <m:r>
              <m:t>​</m:t>
            </m:r>
          </m:sup>
          <m:e>
            <m:r>
              <m:rPr>
                <m:sty m:val="p"/>
              </m:rPr>
              <m:t>∥</m:t>
            </m:r>
          </m:e>
        </m:nary>
        <m:sSub>
          <m:e>
            <m:r>
              <m:t>e</m:t>
            </m:r>
          </m:e>
          <m:sub>
            <m:r>
              <m:t>i</m:t>
            </m:r>
          </m:sub>
        </m:sSub>
        <m:r>
          <m:rPr>
            <m:sty m:val="p"/>
          </m:rPr>
          <m:t>∥</m:t>
        </m:r>
      </m:oMath>
      <w:r>
        <w:rPr>
          <w:color w:val="000000"/>
        </w:rPr>
        <w:t xml:space="preserve">. A small anchor residual supports validity only on the represented anchor distribution. It does not certify rare or unobserved trajectories.</w:t>
      </w:r>
    </w:p>
    <w:bookmarkEnd w:id="43"/>
    <w:bookmarkStart w:id="44" w:name="X2c50dfe75701d86593c230d93b606231d505660"/>
    <w:p>
      <w:pPr>
        <w:pStyle w:val="Heading2"/>
        <w:jc w:val="left"/>
      </w:pPr>
      <w:r>
        <w:rPr>
          <w:color w:val="000000"/>
        </w:rPr>
        <w:t xml:space="preserve">7.3 A sufficient bound on attention distortion</w:t>
      </w:r>
    </w:p>
    <w:p>
      <w:pPr>
        <w:pStyle w:val="FirstParagraph"/>
        <w:jc w:val="both"/>
        <w:keepNext/>
      </w:pPr>
      <w:r>
        <w:rPr>
          <w:color w:val="000000"/>
        </w:rPr>
        <w:t xml:space="preserve">Let one attention head have query</w:t>
      </w:r>
      <w:r>
        <w:rPr>
          <w:color w:val="000000"/>
        </w:rPr>
        <w:t xml:space="preserve"> </w:t>
      </w:r>
      <m:oMath>
        <m:r>
          <m:t>q</m:t>
        </m:r>
      </m:oMath>
      <w:r>
        <w:rPr>
          <w:color w:val="000000"/>
        </w:rPr>
        <w:t xml:space="preserve">, keys</w:t>
      </w:r>
      <w:r>
        <w:rPr>
          <w:color w:val="000000"/>
        </w:rPr>
        <w:t xml:space="preserve"> </w:t>
      </w:r>
      <m:oMath>
        <m:sSub>
          <m:e>
            <m:r>
              <m:t>k</m:t>
            </m:r>
          </m:e>
          <m:sub>
            <m:r>
              <m:t>i</m:t>
            </m:r>
          </m:sub>
        </m:sSub>
      </m:oMath>
      <w:r>
        <w:rPr>
          <w:color w:val="000000"/>
        </w:rPr>
        <w:t xml:space="preserve">, and values</w:t>
      </w:r>
      <w:r>
        <w:rPr>
          <w:color w:val="000000"/>
        </w:rPr>
        <w:t xml:space="preserve"> </w:t>
      </w:r>
      <m:oMath>
        <m:sSub>
          <m:e>
            <m:r>
              <m:t>v</m:t>
            </m:r>
          </m:e>
          <m:sub>
            <m:r>
              <m:t>i</m:t>
            </m:r>
          </m:sub>
        </m:sSub>
      </m:oMath>
      <w:r>
        <w:rPr>
          <w:color w:val="000000"/>
        </w:rPr>
        <w:t xml:space="preserve">, with an approximation</w:t>
      </w:r>
      <w:r>
        <w:rPr>
          <w:color w:val="000000"/>
        </w:rPr>
        <w:t xml:space="preserve"> </w:t>
      </w:r>
      <m:oMath>
        <m:sSub>
          <m:e>
            <m:acc>
              <m:accPr>
                <m:chr m:val="̂"/>
              </m:accPr>
              <m:e>
                <m:r>
                  <m:t>k</m:t>
                </m:r>
              </m:e>
            </m:acc>
          </m:e>
          <m:sub>
            <m:r>
              <m:t>i</m:t>
            </m:r>
          </m:sub>
        </m:sSub>
        <m:r>
          <m:rPr>
            <m:sty m:val="p"/>
          </m:rPr>
          <m:t>,</m:t>
        </m:r>
        <m:sSub>
          <m:e>
            <m:acc>
              <m:accPr>
                <m:chr m:val="̂"/>
              </m:accPr>
              <m:e>
                <m:r>
                  <m:t>v</m:t>
                </m:r>
              </m:e>
            </m:acc>
          </m:e>
          <m:sub>
            <m:r>
              <m:t>i</m:t>
            </m:r>
          </m:sub>
        </m:sSub>
      </m:oMath>
      <w:r>
        <w:rPr>
          <w:color w:val="000000"/>
        </w:rPr>
        <w:t xml:space="preserve"> </w:t>
      </w:r>
      <w:r>
        <w:rPr>
          <w:color w:val="000000"/>
        </w:rPr>
        <w:t xml:space="preserve">at the same aligned positions. Assume</w:t>
      </w:r>
    </w:p>
    <w:p>
      <w:pPr>
        <w:pStyle w:val="BodyText"/>
        <w:keepLines/>
        <w:tabs>
          <w:tab w:pos="4896" w:val="center"/>
          <w:tab w:pos="9792" w:val="right"/>
        </w:tabs>
        <w:spacing w:before="100" w:after="140"/>
        <w:jc w:val="left"/>
      </w:pPr>
      <w:r>
        <w:rPr>
          <w:color w:val="000000"/>
        </w:rPr>
        <w:tab/>
      </w:r>
      <m:oMath>
        <m:r>
          <m:rPr>
            <m:sty m:val="p"/>
          </m:rPr>
          <m:t>∥</m:t>
        </m:r>
        <m:r>
          <m:t>q</m:t>
        </m:r>
        <m:sSub>
          <m:e>
            <m:r>
              <m:rPr>
                <m:sty m:val="p"/>
              </m:rPr>
              <m:t>∥</m:t>
            </m:r>
          </m:e>
          <m:sub>
            <m:r>
              <m:t>2</m:t>
            </m:r>
          </m:sub>
        </m:sSub>
        <m:r>
          <m:rPr>
            <m:sty m:val="p"/>
          </m:rPr>
          <m:t>≤</m:t>
        </m:r>
        <m:r>
          <m:t>Q</m:t>
        </m:r>
        <m:r>
          <m:rPr>
            <m:sty m:val="p"/>
          </m:rPr>
          <m:t>,</m:t>
        </m:r>
        <m:r>
          <m:t> </m:t>
        </m:r>
        <m:limLow>
          <m:e>
            <m:r>
              <m:rPr>
                <m:sty m:val="p"/>
              </m:rPr>
              <m:t>max</m:t>
            </m:r>
          </m:e>
          <m:lim>
            <m:r>
              <m:t>i</m:t>
            </m:r>
          </m:lim>
        </m:limLow>
        <m:r>
          <m:rPr>
            <m:sty m:val="p"/>
          </m:rPr>
          <m:t>∥</m:t>
        </m:r>
        <m:sSub>
          <m:e>
            <m:r>
              <m:t>k</m:t>
            </m:r>
          </m:e>
          <m:sub>
            <m:r>
              <m:t>i</m:t>
            </m:r>
          </m:sub>
        </m:sSub>
        <m:r>
          <m:rPr>
            <m:sty m:val="p"/>
          </m:rPr>
          <m:t>−</m:t>
        </m:r>
        <m:sSub>
          <m:e>
            <m:acc>
              <m:accPr>
                <m:chr m:val="̂"/>
              </m:accPr>
              <m:e>
                <m:r>
                  <m:t>k</m:t>
                </m:r>
              </m:e>
            </m:acc>
          </m:e>
          <m:sub>
            <m:r>
              <m:t>i</m:t>
            </m:r>
          </m:sub>
        </m:sSub>
        <m:sSub>
          <m:e>
            <m:r>
              <m:rPr>
                <m:sty m:val="p"/>
              </m:rPr>
              <m:t>∥</m:t>
            </m:r>
          </m:e>
          <m:sub>
            <m:r>
              <m:t>2</m:t>
            </m:r>
          </m:sub>
        </m:sSub>
        <m:r>
          <m:rPr>
            <m:sty m:val="p"/>
          </m:rPr>
          <m:t>≤</m:t>
        </m:r>
        <m:sSub>
          <m:e>
            <m:r>
              <m:t>ϵ</m:t>
            </m:r>
          </m:e>
          <m:sub>
            <m:r>
              <m:t>K</m:t>
            </m:r>
          </m:sub>
        </m:sSub>
        <m:r>
          <m:rPr>
            <m:sty m:val="p"/>
          </m:rPr>
          <m:t>,</m:t>
        </m:r>
        <m:r>
          <m:t> </m:t>
        </m:r>
        <m:limLow>
          <m:e>
            <m:r>
              <m:rPr>
                <m:sty m:val="p"/>
              </m:rPr>
              <m:t>max</m:t>
            </m:r>
          </m:e>
          <m:lim>
            <m:r>
              <m:t>i</m:t>
            </m:r>
          </m:lim>
        </m:limLow>
        <m:r>
          <m:rPr>
            <m:sty m:val="p"/>
          </m:rPr>
          <m:t>∥</m:t>
        </m:r>
        <m:sSub>
          <m:e>
            <m:r>
              <m:t>v</m:t>
            </m:r>
          </m:e>
          <m:sub>
            <m:r>
              <m:t>i</m:t>
            </m:r>
          </m:sub>
        </m:sSub>
        <m:r>
          <m:rPr>
            <m:sty m:val="p"/>
          </m:rPr>
          <m:t>−</m:t>
        </m:r>
        <m:sSub>
          <m:e>
            <m:acc>
              <m:accPr>
                <m:chr m:val="̂"/>
              </m:accPr>
              <m:e>
                <m:r>
                  <m:t>v</m:t>
                </m:r>
              </m:e>
            </m:acc>
          </m:e>
          <m:sub>
            <m:r>
              <m:t>i</m:t>
            </m:r>
          </m:sub>
        </m:sSub>
        <m:sSub>
          <m:e>
            <m:r>
              <m:rPr>
                <m:sty m:val="p"/>
              </m:rPr>
              <m:t>∥</m:t>
            </m:r>
          </m:e>
          <m:sub>
            <m:r>
              <m:t>2</m:t>
            </m:r>
          </m:sub>
        </m:sSub>
        <m:r>
          <m:rPr>
            <m:sty m:val="p"/>
          </m:rPr>
          <m:t>≤</m:t>
        </m:r>
        <m:sSub>
          <m:e>
            <m:r>
              <m:t>ϵ</m:t>
            </m:r>
          </m:e>
          <m:sub>
            <m:r>
              <m:t>V</m:t>
            </m:r>
          </m:sub>
        </m:sSub>
        <m:r>
          <m:rPr>
            <m:sty m:val="p"/>
          </m:rPr>
          <m:t>,</m:t>
        </m:r>
        <m:r>
          <m:t> </m:t>
        </m:r>
        <m:limLow>
          <m:e>
            <m:r>
              <m:rPr>
                <m:sty m:val="p"/>
              </m:rPr>
              <m:t>max</m:t>
            </m:r>
          </m:e>
          <m:lim>
            <m:r>
              <m:t>i</m:t>
            </m:r>
          </m:lim>
        </m:limLow>
        <m:r>
          <m:rPr>
            <m:sty m:val="p"/>
          </m:rPr>
          <m:t>∥</m:t>
        </m:r>
        <m:sSub>
          <m:e>
            <m:acc>
              <m:accPr>
                <m:chr m:val="̂"/>
              </m:accPr>
              <m:e>
                <m:r>
                  <m:t>v</m:t>
                </m:r>
              </m:e>
            </m:acc>
          </m:e>
          <m:sub>
            <m:r>
              <m:t>i</m:t>
            </m:r>
          </m:sub>
        </m:sSub>
        <m:sSub>
          <m:e>
            <m:r>
              <m:rPr>
                <m:sty m:val="p"/>
              </m:rPr>
              <m:t>∥</m:t>
            </m:r>
          </m:e>
          <m:sub>
            <m:r>
              <m:t>2</m:t>
            </m:r>
          </m:sub>
        </m:sSub>
        <m:r>
          <m:rPr>
            <m:sty m:val="p"/>
          </m:rPr>
          <m:t>≤</m:t>
        </m:r>
        <m:sSub>
          <m:e>
            <m:r>
              <m:t>V</m:t>
            </m:r>
          </m:e>
          <m:sub>
            <m:r>
              <m:rPr>
                <m:sty m:val="p"/>
              </m:rPr>
              <m:t>max</m:t>
            </m:r>
          </m:sub>
        </m:sSub>
        <m:r>
          <m:rPr>
            <m:sty m:val="p"/>
          </m:rPr>
          <m:t>.</m:t>
        </m:r>
      </m:oMath>
      <w:r>
        <w:rPr>
          <w:color w:val="000000"/>
        </w:rPr>
        <w:tab/>
        <w:t>(14)</w:t>
      </w:r>
    </w:p>
    <w:p>
      <w:pPr>
        <w:pStyle w:val="FirstParagraph"/>
        <w:jc w:val="both"/>
        <w:keepNext/>
      </w:pPr>
      <w:r>
        <w:rPr>
          <w:bCs/>
          <w:b/>
          <w:color w:val="000000"/>
        </w:rPr>
        <w:t xml:space="preserve">Proposition 3.</w:t>
      </w:r>
      <w:r>
        <w:rPr>
          <w:color w:val="000000"/>
        </w:rPr>
        <w:t xml:space="preserve"> </w:t>
      </w:r>
      <w:r>
        <w:rPr>
          <w:color w:val="000000"/>
        </w:rPr>
        <w:t xml:space="preserve">Under these assumptions, the attention-output error is bounded by</w:t>
      </w:r>
    </w:p>
    <w:p>
      <w:pPr>
        <w:pStyle w:val="BodyText"/>
        <w:keepLines/>
        <w:tabs>
          <w:tab w:pos="4896" w:val="center"/>
          <w:tab w:pos="9792" w:val="right"/>
        </w:tabs>
        <w:spacing w:before="100" w:after="140"/>
        <w:jc w:val="left"/>
      </w:pPr>
      <w:r>
        <w:rPr>
          <w:color w:val="000000"/>
        </w:rPr>
        <w:tab/>
      </w:r>
      <m:oMath>
        <m:r>
          <m:rPr>
            <m:sty m:val="p"/>
          </m:rPr>
          <m:t>∥</m:t>
        </m:r>
        <m:r>
          <m:t>A</m:t>
        </m:r>
        <m:d>
          <m:dPr>
            <m:begChr m:val="("/>
            <m:endChr m:val=")"/>
            <m:sepChr m:val=""/>
            <m:grow/>
          </m:dPr>
          <m:e>
            <m:r>
              <m:t>q</m:t>
            </m:r>
            <m:r>
              <m:rPr>
                <m:sty m:val="p"/>
              </m:rPr>
              <m:t>,</m:t>
            </m:r>
            <m:r>
              <m:t>K</m:t>
            </m:r>
            <m:r>
              <m:rPr>
                <m:sty m:val="p"/>
              </m:rPr>
              <m:t>,</m:t>
            </m:r>
            <m:r>
              <m:t>V</m:t>
            </m:r>
          </m:e>
        </m:d>
        <m:r>
          <m:rPr>
            <m:sty m:val="p"/>
          </m:rPr>
          <m:t>−</m:t>
        </m:r>
        <m:r>
          <m:t>A</m:t>
        </m:r>
        <m:d>
          <m:dPr>
            <m:begChr m:val="("/>
            <m:endChr m:val=")"/>
            <m:sepChr m:val=""/>
            <m:grow/>
          </m:dPr>
          <m:e>
            <m:r>
              <m:t>q</m:t>
            </m:r>
            <m:r>
              <m:rPr>
                <m:sty m:val="p"/>
              </m:rPr>
              <m:t>,</m:t>
            </m:r>
            <m:acc>
              <m:accPr>
                <m:chr m:val="̂"/>
              </m:accPr>
              <m:e>
                <m:r>
                  <m:t>K</m:t>
                </m:r>
              </m:e>
            </m:acc>
            <m:r>
              <m:rPr>
                <m:sty m:val="p"/>
              </m:rPr>
              <m:t>,</m:t>
            </m:r>
            <m:acc>
              <m:accPr>
                <m:chr m:val="̂"/>
              </m:accPr>
              <m:e>
                <m:r>
                  <m:t>V</m:t>
                </m:r>
              </m:e>
            </m:acc>
          </m:e>
        </m:d>
        <m:sSub>
          <m:e>
            <m:r>
              <m:rPr>
                <m:sty m:val="p"/>
              </m:rPr>
              <m:t>∥</m:t>
            </m:r>
          </m:e>
          <m:sub>
            <m:r>
              <m:t>2</m:t>
            </m:r>
          </m:sub>
        </m:sSub>
        <m:r>
          <m:rPr>
            <m:sty m:val="p"/>
          </m:rPr>
          <m:t>≤</m:t>
        </m:r>
        <m:sSub>
          <m:e>
            <m:r>
              <m:t>ϵ</m:t>
            </m:r>
          </m:e>
          <m:sub>
            <m:r>
              <m:t>V</m:t>
            </m:r>
          </m:sub>
        </m:sSub>
        <m:r>
          <m:rPr>
            <m:sty m:val="p"/>
          </m:rPr>
          <m:t>+</m:t>
        </m:r>
        <m:f>
          <m:fPr>
            <m:type m:val="bar"/>
          </m:fPr>
          <m:num>
            <m:r>
              <m:t>2</m:t>
            </m:r>
            <m:sSub>
              <m:e>
                <m:r>
                  <m:t>V</m:t>
                </m:r>
              </m:e>
              <m:sub>
                <m:r>
                  <m:rPr>
                    <m:sty m:val="p"/>
                  </m:rPr>
                  <m:t>max</m:t>
                </m:r>
              </m:sub>
            </m:sSub>
            <m:r>
              <m:t>Q</m:t>
            </m:r>
            <m:sSub>
              <m:e>
                <m:r>
                  <m:t>ϵ</m:t>
                </m:r>
              </m:e>
              <m:sub>
                <m:r>
                  <m:t>K</m:t>
                </m:r>
              </m:sub>
            </m:sSub>
          </m:num>
          <m:den>
            <m:rad>
              <m:radPr>
                <m:degHide m:val="on"/>
              </m:radPr>
              <m:deg/>
              <m:e>
                <m:sSub>
                  <m:e>
                    <m:r>
                      <m:t>d</m:t>
                    </m:r>
                  </m:e>
                  <m:sub>
                    <m:r>
                      <m:t>h</m:t>
                    </m:r>
                  </m:sub>
                </m:sSub>
              </m:e>
            </m:rad>
          </m:den>
        </m:f>
        <m:r>
          <m:rPr>
            <m:sty m:val="p"/>
          </m:rPr>
          <m:t>.</m:t>
        </m:r>
      </m:oMath>
      <w:r>
        <w:rPr>
          <w:color w:val="000000"/>
        </w:rPr>
        <w:tab/>
        <w:t>(15)</w:t>
      </w:r>
    </w:p>
    <w:p>
      <w:pPr>
        <w:pStyle w:val="FirstParagraph"/>
        <w:jc w:val="both"/>
      </w:pPr>
      <w:r>
        <w:rPr>
          <w:color w:val="000000"/>
        </w:rPr>
        <w:t xml:space="preserve">The proof uses the logit perturbation bound and the softmax Lipschitz bound from the infinity norm to the one norm. Equation (15) is sufficient and potentially conservative. It applies to the specified query and value bounds, the same positions and masks, and one attention operation. Extending it through a deep network requires further amplification bounds. It also shows why normalized mean-square trajectory distance alone cannot certify all future queries: the query norm and localized key or value errors matter.</w:t>
      </w:r>
    </w:p>
    <w:p>
      <w:pPr>
        <w:pStyle w:val="BodyText"/>
        <w:jc w:val="both"/>
      </w:pPr>
      <w:r>
        <w:rPr>
          <w:color w:val="000000"/>
        </w:rPr>
        <w:t xml:space="preserve">A direct numerical example illustrates the nonlinearity. Take</w:t>
      </w:r>
      <w:r>
        <w:rPr>
          <w:color w:val="000000"/>
        </w:rPr>
        <w:t xml:space="preserve"> </w:t>
      </w:r>
      <m:oMath>
        <m:r>
          <m:t>q</m:t>
        </m:r>
        <m:r>
          <m:rPr>
            <m:sty m:val="p"/>
          </m:rPr>
          <m:t>=</m:t>
        </m:r>
        <m:r>
          <m:t>1</m:t>
        </m:r>
      </m:oMath>
      <w:r>
        <w:rPr>
          <w:color w:val="000000"/>
        </w:rPr>
        <w:t xml:space="preserve">,</w:t>
      </w:r>
      <w:r>
        <w:rPr>
          <w:color w:val="000000"/>
        </w:rPr>
        <w:t xml:space="preserve"> </w:t>
      </w:r>
      <m:oMath>
        <m:sSub>
          <m:e>
            <m:r>
              <m:t>d</m:t>
            </m:r>
          </m:e>
          <m:sub>
            <m:r>
              <m:t>h</m:t>
            </m:r>
          </m:sub>
        </m:sSub>
        <m:r>
          <m:rPr>
            <m:sty m:val="p"/>
          </m:rPr>
          <m:t>=</m:t>
        </m:r>
        <m:r>
          <m:t>1</m:t>
        </m:r>
      </m:oMath>
      <w:r>
        <w:rPr>
          <w:color w:val="000000"/>
        </w:rPr>
        <w:t xml:space="preserve">, and values</w:t>
      </w:r>
      <w:r>
        <w:rPr>
          <w:color w:val="000000"/>
        </w:rPr>
        <w:t xml:space="preserve"> </w:t>
      </w:r>
      <m:oMath>
        <m:d>
          <m:dPr>
            <m:begChr m:val="("/>
            <m:endChr m:val=")"/>
            <m:sepChr m:val=""/>
            <m:grow/>
          </m:dPr>
          <m:e>
            <m:r>
              <m:t>0</m:t>
            </m:r>
            <m:r>
              <m:rPr>
                <m:sty m:val="p"/>
              </m:rPr>
              <m:t>,</m:t>
            </m:r>
            <m:r>
              <m:t>1</m:t>
            </m:r>
          </m:e>
        </m:d>
      </m:oMath>
      <w:r>
        <w:rPr>
          <w:color w:val="000000"/>
        </w:rPr>
        <w:t xml:space="preserve"> </w:t>
      </w:r>
      <w:r>
        <w:rPr>
          <w:color w:val="000000"/>
        </w:rPr>
        <w:t xml:space="preserve">in each of two histories. Their keys are</w:t>
      </w:r>
      <w:r>
        <w:rPr>
          <w:color w:val="000000"/>
        </w:rPr>
        <w:t xml:space="preserve"> </w:t>
      </w:r>
      <m:oMath>
        <m:d>
          <m:dPr>
            <m:begChr m:val="("/>
            <m:endChr m:val=")"/>
            <m:sepChr m:val=""/>
            <m:grow/>
          </m:dPr>
          <m:e>
            <m:r>
              <m:t>0</m:t>
            </m:r>
            <m:r>
              <m:rPr>
                <m:sty m:val="p"/>
              </m:rPr>
              <m:t>,</m:t>
            </m:r>
            <m:r>
              <m:t>0</m:t>
            </m:r>
          </m:e>
        </m:d>
      </m:oMath>
      <w:r>
        <w:rPr>
          <w:color w:val="000000"/>
        </w:rPr>
        <w:t xml:space="preserve"> </w:t>
      </w:r>
      <w:r>
        <w:rPr>
          <w:color w:val="000000"/>
        </w:rPr>
        <w:t xml:space="preserve">and</w:t>
      </w:r>
      <w:r>
        <w:rPr>
          <w:color w:val="000000"/>
        </w:rPr>
        <w:t xml:space="preserve"> </w:t>
      </w:r>
      <m:oMath>
        <m:d>
          <m:dPr>
            <m:begChr m:val="("/>
            <m:endChr m:val=")"/>
            <m:sepChr m:val=""/>
            <m:grow/>
          </m:dPr>
          <m:e>
            <m:r>
              <m:t>0</m:t>
            </m:r>
            <m:r>
              <m:rPr>
                <m:sty m:val="p"/>
              </m:rPr>
              <m:t>,</m:t>
            </m:r>
            <m:r>
              <m:t>2</m:t>
            </m:r>
          </m:e>
        </m:d>
      </m:oMath>
      <w:r>
        <w:rPr>
          <w:color w:val="000000"/>
        </w:rPr>
        <w:t xml:space="preserve">. The attention outputs are 0.5 and approximately 0.880797, with average 0.690399. Averaging the keys first gives</w:t>
      </w:r>
      <w:r>
        <w:rPr>
          <w:color w:val="000000"/>
        </w:rPr>
        <w:t xml:space="preserve"> </w:t>
      </w:r>
      <m:oMath>
        <m:d>
          <m:dPr>
            <m:begChr m:val="("/>
            <m:endChr m:val=")"/>
            <m:sepChr m:val=""/>
            <m:grow/>
          </m:dPr>
          <m:e>
            <m:r>
              <m:t>0</m:t>
            </m:r>
            <m:r>
              <m:rPr>
                <m:sty m:val="p"/>
              </m:rPr>
              <m:t>,</m:t>
            </m:r>
            <m:r>
              <m:t>1</m:t>
            </m:r>
          </m:e>
        </m:d>
      </m:oMath>
      <w:r>
        <w:rPr>
          <w:color w:val="000000"/>
        </w:rPr>
        <w:t xml:space="preserve"> </w:t>
      </w:r>
      <w:r>
        <w:rPr>
          <w:color w:val="000000"/>
        </w:rPr>
        <w:t xml:space="preserve">and output 0.731059. The difference is approximately 0.040660. These are calculated scalar values, not model measurements.</w:t>
      </w:r>
    </w:p>
    <w:p>
      <w:pPr>
        <w:pStyle w:val="BodyText"/>
        <w:jc w:val="both"/>
      </w:pPr>
      <w:r>
        <w:rPr>
          <w:color w:val="000000"/>
        </w:rPr>
        <w:t xml:space="preserve">Functional validation can compare attention outputs, predictive distributions, task actions, or all three. A finite probe set detects some harmful merges but is not a proof for all future contexts. The paper’s operational tolerance must therefore specify the query or task distribution on which the bound or measured distortion applies.</w:t>
      </w:r>
    </w:p>
    <w:bookmarkEnd w:id="44"/>
    <w:bookmarkStart w:id="45" w:name="Xf0dff183a658afd0e079c096b8ad78f5eba7870"/>
    <w:p>
      <w:pPr>
        <w:pStyle w:val="Heading2"/>
        <w:jc w:val="left"/>
      </w:pPr>
      <w:r>
        <w:rPr>
          <w:color w:val="000000"/>
        </w:rPr>
        <w:t xml:space="preserve">7.4 Information needed to resolve a shared cue</w:t>
      </w:r>
    </w:p>
    <w:p>
      <w:pPr>
        <w:pStyle w:val="FirstParagraph"/>
        <w:jc w:val="both"/>
        <w:keepNext/>
      </w:pPr>
      <w:r>
        <w:rPr>
          <w:bCs/>
          <w:b/>
          <w:color w:val="000000"/>
        </w:rPr>
        <w:t xml:space="preserve">Proposition 4.</w:t>
      </w:r>
      <w:r>
        <w:rPr>
          <w:color w:val="000000"/>
        </w:rPr>
        <w:t xml:space="preserve"> </w:t>
      </w:r>
      <w:r>
        <w:rPr>
          <w:color w:val="000000"/>
        </w:rPr>
        <w:t xml:space="preserve">Let</w:t>
      </w:r>
      <w:r>
        <w:rPr>
          <w:color w:val="000000"/>
        </w:rPr>
        <w:t xml:space="preserve"> </w:t>
      </w:r>
      <m:oMath>
        <m:r>
          <m:t>J</m:t>
        </m:r>
      </m:oMath>
      <w:r>
        <w:rPr>
          <w:color w:val="000000"/>
        </w:rPr>
        <w:t xml:space="preserve"> </w:t>
      </w:r>
      <w:r>
        <w:rPr>
          <w:color w:val="000000"/>
        </w:rPr>
        <w:t xml:space="preserve">identify one of</w:t>
      </w:r>
      <w:r>
        <w:rPr>
          <w:color w:val="000000"/>
        </w:rPr>
        <w:t xml:space="preserve"> </w:t>
      </w:r>
      <m:oMath>
        <m:r>
          <m:t>B</m:t>
        </m:r>
      </m:oMath>
      <w:r>
        <w:rPr>
          <w:color w:val="000000"/>
        </w:rPr>
        <w:t xml:space="preserve"> </w:t>
      </w:r>
      <w:r>
        <w:rPr>
          <w:color w:val="000000"/>
        </w:rPr>
        <w:t xml:space="preserve">equally probable histories with the same available cue</w:t>
      </w:r>
      <w:r>
        <w:rPr>
          <w:color w:val="000000"/>
        </w:rPr>
        <w:t xml:space="preserve"> </w:t>
      </w:r>
      <m:oMath>
        <m:r>
          <m:t>C</m:t>
        </m:r>
      </m:oMath>
      <w:r>
        <w:rPr>
          <w:color w:val="000000"/>
        </w:rPr>
        <w:t xml:space="preserve">, and suppose the task requires distinguishing their consequences. If extra information</w:t>
      </w:r>
      <w:r>
        <w:rPr>
          <w:color w:val="000000"/>
        </w:rPr>
        <w:t xml:space="preserve"> </w:t>
      </w:r>
      <m:oMath>
        <m:r>
          <m:t>Z</m:t>
        </m:r>
      </m:oMath>
      <w:r>
        <w:rPr>
          <w:color w:val="000000"/>
        </w:rPr>
        <w:t xml:space="preserve"> </w:t>
      </w:r>
      <w:r>
        <w:rPr>
          <w:color w:val="000000"/>
        </w:rPr>
        <w:t xml:space="preserve">enables error-free recovery, then</w:t>
      </w:r>
    </w:p>
    <w:p>
      <w:pPr>
        <w:pStyle w:val="BodyText"/>
        <w:keepLines/>
        <w:tabs>
          <w:tab w:pos="4896" w:val="center"/>
          <w:tab w:pos="9792" w:val="right"/>
        </w:tabs>
        <w:spacing w:before="100" w:after="140"/>
        <w:jc w:val="left"/>
      </w:pPr>
      <w:r>
        <w:rPr>
          <w:color w:val="000000"/>
        </w:rPr>
        <w:tab/>
      </w:r>
      <m:oMath>
        <m:r>
          <m:t>I</m:t>
        </m:r>
        <m:d>
          <m:dPr>
            <m:begChr m:val="("/>
            <m:endChr m:val=")"/>
            <m:sepChr m:val=""/>
            <m:grow/>
          </m:dPr>
          <m:e>
            <m:r>
              <m:t>J</m:t>
            </m:r>
            <m:r>
              <m:rPr>
                <m:sty m:val="p"/>
              </m:rPr>
              <m:t>;</m:t>
            </m:r>
            <m:r>
              <m:t>Z</m:t>
            </m:r>
            <m:r>
              <m:rPr>
                <m:sty m:val="p"/>
              </m:rPr>
              <m:t>∣</m:t>
            </m:r>
            <m:r>
              <m:t>C</m:t>
            </m:r>
          </m:e>
        </m:d>
        <m:r>
          <m:rPr>
            <m:sty m:val="p"/>
          </m:rPr>
          <m:t>=</m:t>
        </m:r>
        <m:r>
          <m:t>H</m:t>
        </m:r>
        <m:d>
          <m:dPr>
            <m:begChr m:val="("/>
            <m:endChr m:val=")"/>
            <m:sepChr m:val=""/>
            <m:grow/>
          </m:dPr>
          <m:e>
            <m:r>
              <m:t>J</m:t>
            </m:r>
            <m:r>
              <m:rPr>
                <m:sty m:val="p"/>
              </m:rPr>
              <m:t>∣</m:t>
            </m:r>
            <m:r>
              <m:t>C</m:t>
            </m:r>
          </m:e>
        </m:d>
        <m:r>
          <m:rPr>
            <m:sty m:val="p"/>
          </m:rPr>
          <m:t>=</m:t>
        </m:r>
        <m:sSub>
          <m:e>
            <m:r>
              <m:rPr>
                <m:sty m:val="p"/>
              </m:rPr>
              <m:t>log</m:t>
            </m:r>
          </m:e>
          <m:sub>
            <m:r>
              <m:t>2</m:t>
            </m:r>
          </m:sub>
        </m:sSub>
        <m:r>
          <m:t>B</m:t>
        </m:r>
        <m:r>
          <m:rPr>
            <m:sty m:val="p"/>
          </m:rPr>
          <m:t>.</m:t>
        </m:r>
      </m:oMath>
      <w:r>
        <w:rPr>
          <w:color w:val="000000"/>
        </w:rPr>
        <w:tab/>
        <w:t>(16)</w:t>
      </w:r>
    </w:p>
    <w:p>
      <w:pPr>
        <w:pStyle w:val="FirstParagraph"/>
        <w:jc w:val="both"/>
        <w:keepNext/>
      </w:pPr>
      <w:r>
        <w:rPr>
          <w:color w:val="000000"/>
        </w:rPr>
        <w:t xml:space="preserve">A fixed-length binary register therefore needs at least</w:t>
      </w:r>
      <w:r>
        <w:rPr>
          <w:color w:val="000000"/>
        </w:rPr>
        <w:t xml:space="preserve"> </w:t>
      </w:r>
      <m:oMath>
        <m:r>
          <m:rPr>
            <m:sty m:val="p"/>
          </m:rPr>
          <m:t>⌈</m:t>
        </m:r>
        <m:sSub>
          <m:e>
            <m:r>
              <m:rPr>
                <m:sty m:val="p"/>
              </m:rPr>
              <m:t>log</m:t>
            </m:r>
          </m:e>
          <m:sub>
            <m:r>
              <m:t>2</m:t>
            </m:r>
          </m:sub>
        </m:sSub>
        <m:r>
          <m:t>B</m:t>
        </m:r>
        <m:r>
          <m:rPr>
            <m:sty m:val="p"/>
          </m:rPr>
          <m:t>⌉</m:t>
        </m:r>
      </m:oMath>
      <w:r>
        <w:rPr>
          <w:color w:val="000000"/>
        </w:rPr>
        <w:t xml:space="preserve"> </w:t>
      </w:r>
      <w:r>
        <w:rPr>
          <w:color w:val="000000"/>
        </w:rPr>
        <w:t xml:space="preserve">bits in the worst case. For nonuniform histories, the average information requirement is the conditional entropy. If errors are permitted, Fano’s inequality yields the standard relaxation</w:t>
      </w:r>
    </w:p>
    <w:p>
      <w:pPr>
        <w:pStyle w:val="BodyText"/>
        <w:keepLines/>
        <w:tabs>
          <w:tab w:pos="4896" w:val="center"/>
          <w:tab w:pos="9792" w:val="right"/>
        </w:tabs>
        <w:spacing w:before="100" w:after="140"/>
        <w:jc w:val="left"/>
      </w:pPr>
      <w:r>
        <w:rPr>
          <w:color w:val="000000"/>
        </w:rPr>
        <w:tab/>
      </w:r>
      <m:oMath>
        <m:r>
          <m:t>I</m:t>
        </m:r>
        <m:d>
          <m:dPr>
            <m:begChr m:val="("/>
            <m:endChr m:val=")"/>
            <m:sepChr m:val=""/>
            <m:grow/>
          </m:dPr>
          <m:e>
            <m:r>
              <m:t>J</m:t>
            </m:r>
            <m:r>
              <m:rPr>
                <m:sty m:val="p"/>
              </m:rPr>
              <m:t>;</m:t>
            </m:r>
            <m:r>
              <m:t>Z</m:t>
            </m:r>
            <m:r>
              <m:rPr>
                <m:sty m:val="p"/>
              </m:rPr>
              <m:t>∣</m:t>
            </m:r>
            <m:r>
              <m:t>C</m:t>
            </m:r>
          </m:e>
        </m:d>
        <m:r>
          <m:rPr>
            <m:sty m:val="p"/>
          </m:rPr>
          <m:t>≥</m:t>
        </m:r>
        <m:sSub>
          <m:e>
            <m:r>
              <m:rPr>
                <m:sty m:val="p"/>
              </m:rPr>
              <m:t>log</m:t>
            </m:r>
          </m:e>
          <m:sub>
            <m:r>
              <m:t>2</m:t>
            </m:r>
          </m:sub>
        </m:sSub>
        <m:r>
          <m:t>B</m:t>
        </m:r>
        <m:r>
          <m:rPr>
            <m:sty m:val="p"/>
          </m:rPr>
          <m:t>−</m:t>
        </m:r>
        <m:sSub>
          <m:e>
            <m:r>
              <m:t>h</m:t>
            </m:r>
          </m:e>
          <m:sub>
            <m:r>
              <m:t>2</m:t>
            </m:r>
          </m:sub>
        </m:sSub>
        <m:d>
          <m:dPr>
            <m:begChr m:val="("/>
            <m:endChr m:val=")"/>
            <m:sepChr m:val=""/>
            <m:grow/>
          </m:dPr>
          <m:e>
            <m:sSub>
              <m:e>
                <m:r>
                  <m:t>P</m:t>
                </m:r>
              </m:e>
              <m:sub>
                <m:r>
                  <m:t>e</m:t>
                </m:r>
              </m:sub>
            </m:sSub>
          </m:e>
        </m:d>
        <m:r>
          <m:rPr>
            <m:sty m:val="p"/>
          </m:rPr>
          <m:t>−</m:t>
        </m:r>
        <m:sSub>
          <m:e>
            <m:r>
              <m:t>P</m:t>
            </m:r>
          </m:e>
          <m:sub>
            <m:r>
              <m:t>e</m:t>
            </m:r>
          </m:sub>
        </m:sSub>
        <m:sSub>
          <m:e>
            <m:r>
              <m:rPr>
                <m:sty m:val="p"/>
              </m:rPr>
              <m:t>log</m:t>
            </m:r>
          </m:e>
          <m:sub>
            <m:r>
              <m:t>2</m:t>
            </m:r>
          </m:sub>
        </m:sSub>
        <m:d>
          <m:dPr>
            <m:begChr m:val="("/>
            <m:endChr m:val=")"/>
            <m:sepChr m:val=""/>
            <m:grow/>
          </m:dPr>
          <m:e>
            <m:r>
              <m:t>B</m:t>
            </m:r>
            <m:r>
              <m:rPr>
                <m:sty m:val="p"/>
              </m:rPr>
              <m:t>−</m:t>
            </m:r>
            <m:r>
              <m:t>1</m:t>
            </m:r>
          </m:e>
        </m:d>
        <m:r>
          <m:rPr>
            <m:sty m:val="p"/>
          </m:rPr>
          <m:t>.</m:t>
        </m:r>
      </m:oMath>
      <w:r>
        <w:rPr>
          <w:color w:val="000000"/>
        </w:rPr>
        <w:tab/>
        <w:t>(17)</w:t>
      </w:r>
    </w:p>
    <w:p>
      <w:pPr>
        <w:pStyle w:val="FirstParagraph"/>
        <w:jc w:val="both"/>
      </w:pPr>
      <w:r>
        <w:rPr>
          <w:color w:val="000000"/>
        </w:rPr>
        <w:t xml:space="preserve">Here</w:t>
      </w:r>
      <w:r>
        <w:rPr>
          <w:color w:val="000000"/>
        </w:rPr>
        <w:t xml:space="preserve"> </w:t>
      </w:r>
      <m:oMath>
        <m:sSub>
          <m:e>
            <m:r>
              <m:t>P</m:t>
            </m:r>
          </m:e>
          <m:sub>
            <m:r>
              <m:t>e</m:t>
            </m:r>
          </m:sub>
        </m:sSub>
      </m:oMath>
      <w:r>
        <w:rPr>
          <w:color w:val="000000"/>
        </w:rPr>
        <w:t xml:space="preserve"> </w:t>
      </w:r>
      <w:r>
        <w:rPr>
          <w:color w:val="000000"/>
        </w:rPr>
        <w:t xml:space="preserve">is the identification error and</w:t>
      </w:r>
      <w:r>
        <w:rPr>
          <w:color w:val="000000"/>
        </w:rPr>
        <w:t xml:space="preserve"> </w:t>
      </w:r>
      <m:oMath>
        <m:sSub>
          <m:e>
            <m:r>
              <m:t>h</m:t>
            </m:r>
          </m:e>
          <m:sub>
            <m:r>
              <m:t>2</m:t>
            </m:r>
          </m:sub>
        </m:sSub>
      </m:oMath>
      <w:r>
        <w:rPr>
          <w:color w:val="000000"/>
        </w:rPr>
        <w:t xml:space="preserve"> </w:t>
      </w:r>
      <w:r>
        <w:rPr>
          <w:color w:val="000000"/>
        </w:rPr>
        <w:t xml:space="preserve">is binary entropy [19]. A correct prior may reduce uncertainty when branch frequencies are unequal; it cannot recover a missing independently chosen branch bit. If several histories require the same task output, the task need not distinguish all</w:t>
      </w:r>
      <w:r>
        <w:rPr>
          <w:color w:val="000000"/>
        </w:rPr>
        <w:t xml:space="preserve"> </w:t>
      </w:r>
      <m:oMath>
        <m:r>
          <m:t>B</m:t>
        </m:r>
      </m:oMath>
      <w:r>
        <w:rPr>
          <w:color w:val="000000"/>
        </w:rPr>
        <w:t xml:space="preserve"> </w:t>
      </w:r>
      <w:r>
        <w:rPr>
          <w:color w:val="000000"/>
        </w:rPr>
        <w:t xml:space="preserve">identities and the bound applies to the relevant consequence classes instead.</w:t>
      </w:r>
    </w:p>
    <w:p>
      <w:pPr>
        <w:pStyle w:val="BodyText"/>
        <w:jc w:val="both"/>
      </w:pPr>
      <w:r>
        <w:rPr>
          <w:color w:val="000000"/>
        </w:rPr>
        <w:t xml:space="preserve">The result explains why additional context sometimes must remain active or retrievable. Memory can change where the distinguishing information resides, but it cannot make that information unnecessary while retaining a task that depends on it.</w:t>
      </w:r>
    </w:p>
    <w:bookmarkEnd w:id="45"/>
    <w:bookmarkStart w:id="49" w:name="two-failure-constructions"/>
    <w:p>
      <w:pPr>
        <w:pStyle w:val="Heading2"/>
        <w:jc w:val="left"/>
      </w:pPr>
      <w:r>
        <w:rPr>
          <w:color w:val="000000"/>
        </w:rPr>
        <w:t xml:space="preserve">7.5 Two failure constructions</w:t>
      </w:r>
    </w:p>
    <w:p>
      <w:pPr>
        <w:pStyle w:val="FirstParagraph"/>
        <w:jc w:val="both"/>
      </w:pPr>
      <w:r>
        <w:rPr>
          <w:bCs/>
          <w:b/>
          <w:color w:val="000000"/>
        </w:rPr>
        <w:t xml:space="preserve">Admission failure.</w:t>
      </w:r>
      <w:r>
        <w:rPr>
          <w:color w:val="000000"/>
        </w:rPr>
        <w:t xml:space="preserve"> </w:t>
      </w:r>
      <w:r>
        <w:rPr>
          <w:color w:val="000000"/>
        </w:rPr>
        <w:t xml:space="preserve">Suppose a consequential episode is outside every entry’s admission region, is rejected, and later leaves the active window. If the backbone remains fixed and no residual record is retained, two versions of that episode can leave identical</w:t>
      </w:r>
      <w:r>
        <w:rPr>
          <w:color w:val="000000"/>
        </w:rPr>
        <w:t xml:space="preserve"> </w:t>
      </w:r>
      <m:oMath>
        <m:d>
          <m:dPr>
            <m:begChr m:val="("/>
            <m:endChr m:val=")"/>
            <m:sepChr m:val=""/>
            <m:grow/>
          </m:dPr>
          <m:e>
            <m:sSub>
              <m:e>
                <m:r>
                  <m:t>W</m:t>
                </m:r>
              </m:e>
              <m:sub>
                <m:r>
                  <m:t>t</m:t>
                </m:r>
              </m:sub>
            </m:sSub>
            <m:r>
              <m:rPr>
                <m:sty m:val="p"/>
              </m:rPr>
              <m:t>,</m:t>
            </m:r>
            <m:sSub>
              <m:e>
                <m:r>
                  <m:rPr>
                    <m:sty m:val="p"/>
                    <m:scr m:val="script"/>
                  </m:rPr>
                  <m:t>M</m:t>
                </m:r>
              </m:e>
              <m:sub>
                <m:r>
                  <m:t>t</m:t>
                </m:r>
              </m:sub>
            </m:sSub>
          </m:e>
        </m:d>
      </m:oMath>
      <w:r>
        <w:rPr>
          <w:color w:val="000000"/>
        </w:rPr>
        <w:t xml:space="preserve"> </w:t>
      </w:r>
      <w:r>
        <w:rPr>
          <w:color w:val="000000"/>
        </w:rPr>
        <w:t xml:space="preserve">but require different answers. The reader cannot recover the correct answer in both cases. This qualifies the one-shot-memory prediction: a similarity-only system fails on rejected, unrecoverable, consequential one-off episodes, not necessarily on every episode encountered once. A previously unsupported seed can accept and preserve a single event.</w:t>
      </w:r>
    </w:p>
    <w:p>
      <w:pPr>
        <w:pStyle w:val="BodyText"/>
        <w:jc w:val="both"/>
      </w:pPr>
      <w:r>
        <w:rPr>
          <w:bCs/>
          <w:b/>
          <w:color w:val="000000"/>
        </w:rPr>
        <w:t xml:space="preserve">Abandonment under a coordinate shift.</w:t>
      </w:r>
      <w:r>
        <w:rPr>
          <w:color w:val="000000"/>
        </w:rPr>
        <w:t xml:space="preserve"> </w:t>
      </w:r>
      <w:r>
        <w:rPr>
          <w:color w:val="000000"/>
        </w:rPr>
        <w:t xml:space="preserve">Consider a one-dimensional codebook initially at</w:t>
      </w:r>
      <w:r>
        <w:rPr>
          <w:color w:val="000000"/>
        </w:rPr>
        <w:t xml:space="preserve"> </w:t>
      </w:r>
      <m:oMath>
        <m:d>
          <m:dPr>
            <m:begChr m:val="("/>
            <m:endChr m:val=")"/>
            <m:sepChr m:val=""/>
            <m:grow/>
          </m:dPr>
          <m:e>
            <m:r>
              <m:rPr>
                <m:sty m:val="p"/>
              </m:rPr>
              <m:t>−</m:t>
            </m:r>
            <m:r>
              <m:t>1</m:t>
            </m:r>
            <m:r>
              <m:rPr>
                <m:sty m:val="p"/>
              </m:rPr>
              <m:t>,</m:t>
            </m:r>
            <m:r>
              <m:t>1</m:t>
            </m:r>
          </m:e>
        </m:d>
      </m:oMath>
      <w:r>
        <w:rPr>
          <w:color w:val="000000"/>
        </w:rPr>
        <w:t xml:space="preserve">, exactly matching an equally likely two-point distribution. Let the encoder change the latent support to</w:t>
      </w:r>
      <w:r>
        <w:rPr>
          <w:color w:val="000000"/>
        </w:rPr>
        <w:t xml:space="preserve"> </w:t>
      </w:r>
      <m:oMath>
        <m:d>
          <m:dPr>
            <m:begChr m:val="("/>
            <m:endChr m:val=")"/>
            <m:sepChr m:val=""/>
            <m:grow/>
          </m:dPr>
          <m:e>
            <m:r>
              <m:t>3</m:t>
            </m:r>
            <m:r>
              <m:rPr>
                <m:sty m:val="p"/>
              </m:rPr>
              <m:t>,</m:t>
            </m:r>
            <m:r>
              <m:t>5</m:t>
            </m:r>
          </m:e>
        </m:d>
      </m:oMath>
      <w:r>
        <w:rPr>
          <w:color w:val="000000"/>
        </w:rPr>
        <w:t xml:space="preserve"> </w:t>
      </w:r>
      <w:r>
        <w:rPr>
          <w:color w:val="000000"/>
        </w:rPr>
        <w:t xml:space="preserve">while only winning codes receive mean updates. Both new points select the second code. That code stays in</w:t>
      </w:r>
      <w:r>
        <w:rPr>
          <w:color w:val="000000"/>
        </w:rPr>
        <w:t xml:space="preserve"> </w:t>
      </w:r>
      <m:oMath>
        <m:d>
          <m:dPr>
            <m:begChr m:val="["/>
            <m:endChr m:val="]"/>
            <m:sepChr m:val=""/>
            <m:grow/>
          </m:dPr>
          <m:e>
            <m:r>
              <m:t>1</m:t>
            </m:r>
            <m:r>
              <m:rPr>
                <m:sty m:val="p"/>
              </m:rPr>
              <m:t>,</m:t>
            </m:r>
            <m:r>
              <m:t>5</m:t>
            </m:r>
          </m:e>
        </m:d>
      </m:oMath>
      <w:r>
        <w:rPr>
          <w:color w:val="000000"/>
        </w:rPr>
        <w:t xml:space="preserve">, so its decision boundary with the unchanged first code at</w:t>
      </w:r>
      <w:r>
        <w:rPr>
          <w:color w:val="000000"/>
        </w:rPr>
        <w:t xml:space="preserve"> </w:t>
      </w:r>
      <m:oMath>
        <m:r>
          <m:rPr>
            <m:sty m:val="p"/>
          </m:rPr>
          <m:t>−</m:t>
        </m:r>
        <m:r>
          <m:t>1</m:t>
        </m:r>
      </m:oMath>
      <w:r>
        <w:rPr>
          <w:color w:val="000000"/>
        </w:rPr>
        <w:t xml:space="preserve"> </w:t>
      </w:r>
      <w:r>
        <w:rPr>
          <w:color w:val="000000"/>
        </w:rPr>
        <w:t xml:space="preserve">never exceeds 2. Both data points remain above the boundary, and the first code receives no further observations. Rolling utilisation is therefore one-half after a window containing only post-shift assignments. Translating both codes by the true shift of four restores coverage exactly. That last operation is an oracle control, not a demonstrated learned transport algorithm.</w:t>
      </w:r>
    </w:p>
    <w:p>
      <w:pPr>
        <w:pStyle w:val="CaptionedFigure"/>
        <w:keepNext/>
        <w:spacing w:before="140" w:after="60"/>
        <w:jc w:val="center"/>
      </w:pPr>
      <w:r>
        <w:rPr>
          <w:color w:val="000000"/>
        </w:rPr>
        <w:drawing>
          <wp:inline>
            <wp:extent cx="5334000" cy="2609713"/>
            <wp:effectExtent b="0" l="0" r="0" t="0"/>
            <wp:docPr descr="Figure 2. Exact one-dimensional abandonment example. After the encoder shifts its two support points, winner-only mean updates leave one code permanently unused. Transport by the known shift is an oracle reference. The illustration contains no trained-model results." title="" id="47" name="Picture"/>
            <a:graphic>
              <a:graphicData uri="http://schemas.openxmlformats.org/drawingml/2006/picture">
                <pic:pic>
                  <pic:nvPicPr>
                    <pic:cNvPr descr="figures/drift_example.png" id="48" name="Picture"/>
                    <pic:cNvPicPr>
                      <a:picLocks noChangeArrowheads="1" noChangeAspect="1"/>
                    </pic:cNvPicPr>
                  </pic:nvPicPr>
                  <pic:blipFill>
                    <a:blip r:embed="rId46"/>
                    <a:stretch>
                      <a:fillRect/>
                    </a:stretch>
                  </pic:blipFill>
                  <pic:spPr bwMode="auto">
                    <a:xfrm>
                      <a:off x="0" y="0"/>
                      <a:ext cx="5334000" cy="2609713"/>
                    </a:xfrm>
                    <a:prstGeom prst="rect">
                      <a:avLst/>
                    </a:prstGeom>
                    <a:noFill/>
                    <a:ln w="9525">
                      <a:noFill/>
                      <a:headEnd/>
                      <a:tailEnd/>
                    </a:ln>
                  </pic:spPr>
                </pic:pic>
              </a:graphicData>
            </a:graphic>
          </wp:inline>
        </w:drawing>
      </w:r>
    </w:p>
    <w:p>
      <w:pPr>
        <w:pStyle w:val="ImageCaption"/>
        <w:keepLines/>
        <w:jc w:val="both"/>
      </w:pPr>
      <w:r>
        <w:rPr>
          <w:color w:val="000000"/>
        </w:rPr>
        <w:t xml:space="preserve">Figure 2. Exact one-dimensional abandonment example. After the encoder shifts its two support points, winner-only mean updates leave one code permanently unused. Transport by the known shift is an oracle reference. The illustration contains no trained-model results.</w:t>
      </w:r>
    </w:p>
    <w:bookmarkEnd w:id="49"/>
    <w:bookmarkEnd w:id="50"/>
    <w:bookmarkStart w:id="51" w:name="storage-and-computational-accounting"/>
    <w:p>
      <w:pPr>
        <w:pStyle w:val="Heading1"/>
        <w:jc w:val="left"/>
      </w:pPr>
      <w:r>
        <w:rPr>
          <w:color w:val="000000"/>
        </w:rPr>
        <w:t xml:space="preserve">8 Storage and computational accounting</w:t>
      </w:r>
    </w:p>
    <w:p>
      <w:pPr>
        <w:pStyle w:val="FirstParagraph"/>
        <w:jc w:val="both"/>
      </w:pPr>
      <w:r>
        <w:rPr>
          <w:color w:val="000000"/>
        </w:rPr>
        <w:t xml:space="preserve">For raw KV payloads with</w:t>
      </w:r>
      <w:r>
        <w:rPr>
          <w:color w:val="000000"/>
        </w:rPr>
        <w:t xml:space="preserve"> </w:t>
      </w:r>
      <m:oMath>
        <m:r>
          <m:t>b</m:t>
        </m:r>
      </m:oMath>
      <w:r>
        <w:rPr>
          <w:color w:val="000000"/>
        </w:rPr>
        <w:t xml:space="preserve"> </w:t>
      </w:r>
      <w:r>
        <w:rPr>
          <w:color w:val="000000"/>
        </w:rPr>
        <w:t xml:space="preserve">bytes per scalar, one trajectory occupies</w:t>
      </w:r>
      <w:r>
        <w:rPr>
          <w:color w:val="000000"/>
        </w:rPr>
        <w:t xml:space="preserve"> </w:t>
      </w:r>
      <m:oMath>
        <m:r>
          <m:t>b</m:t>
        </m:r>
        <m:r>
          <m:t>D</m:t>
        </m:r>
      </m:oMath>
      <w:r>
        <w:rPr>
          <w:color w:val="000000"/>
        </w:rPr>
        <w:t xml:space="preserve"> </w:t>
      </w:r>
      <w:r>
        <w:rPr>
          <w:color w:val="000000"/>
        </w:rPr>
        <w:t xml:space="preserve">bytes. A bank of</w:t>
      </w:r>
      <w:r>
        <w:rPr>
          <w:color w:val="000000"/>
        </w:rPr>
        <w:t xml:space="preserve"> </w:t>
      </w:r>
      <m:oMath>
        <m:r>
          <m:t>N</m:t>
        </m:r>
      </m:oMath>
      <w:r>
        <w:rPr>
          <w:color w:val="000000"/>
        </w:rPr>
        <w:t xml:space="preserve"> </w:t>
      </w:r>
      <w:r>
        <w:rPr>
          <w:color w:val="000000"/>
        </w:rPr>
        <w:t xml:space="preserve">prototypes occupies</w:t>
      </w:r>
      <w:r>
        <w:rPr>
          <w:color w:val="000000"/>
        </w:rPr>
        <w:t xml:space="preserve"> </w:t>
      </w:r>
      <m:oMath>
        <m:r>
          <m:t>N</m:t>
        </m:r>
        <m:r>
          <m:t>b</m:t>
        </m:r>
        <m:r>
          <m:t>D</m:t>
        </m:r>
      </m:oMath>
      <w:r>
        <w:rPr>
          <w:color w:val="000000"/>
        </w:rPr>
        <w:t xml:space="preserve"> </w:t>
      </w:r>
      <w:r>
        <w:rPr>
          <w:color w:val="000000"/>
        </w:rPr>
        <w:t xml:space="preserve">bytes before counts, indexing, witnesses, and dispersion estimates. If</w:t>
      </w:r>
      <w:r>
        <w:rPr>
          <w:color w:val="000000"/>
        </w:rPr>
        <w:t xml:space="preserve"> </w:t>
      </w:r>
      <m:oMath>
        <m:sSub>
          <m:e>
            <m:r>
              <m:t>T</m:t>
            </m:r>
          </m:e>
          <m:sub>
            <m:r>
              <m:t>e</m:t>
            </m:r>
          </m:sub>
        </m:sSub>
      </m:oMath>
      <w:r>
        <w:rPr>
          <w:color w:val="000000"/>
        </w:rPr>
        <w:t xml:space="preserve"> </w:t>
      </w:r>
      <w:r>
        <w:rPr>
          <w:color w:val="000000"/>
        </w:rPr>
        <w:t xml:space="preserve">token positions have been evicted, replacing all of their raw histories with</w:t>
      </w:r>
      <w:r>
        <w:rPr>
          <w:color w:val="000000"/>
        </w:rPr>
        <w:t xml:space="preserve"> </w:t>
      </w:r>
      <m:oMath>
        <m:r>
          <m:t>N</m:t>
        </m:r>
      </m:oMath>
      <w:r>
        <w:rPr>
          <w:color w:val="000000"/>
        </w:rPr>
        <w:t xml:space="preserve"> </w:t>
      </w:r>
      <w:r>
        <w:rPr>
          <w:color w:val="000000"/>
        </w:rPr>
        <w:t xml:space="preserve">prototypes of length</w:t>
      </w:r>
      <w:r>
        <w:rPr>
          <w:color w:val="000000"/>
        </w:rPr>
        <w:t xml:space="preserve"> </w:t>
      </w:r>
      <m:oMath>
        <m:r>
          <m:t>m</m:t>
        </m:r>
      </m:oMath>
      <w:r>
        <w:rPr>
          <w:color w:val="000000"/>
        </w:rPr>
        <w:t xml:space="preserve"> </w:t>
      </w:r>
      <w:r>
        <w:rPr>
          <w:color w:val="000000"/>
        </w:rPr>
        <w:t xml:space="preserve">yields a nominal payload reduction proportional to</w:t>
      </w:r>
      <w:r>
        <w:rPr>
          <w:color w:val="000000"/>
        </w:rPr>
        <w:t xml:space="preserve"> </w:t>
      </w:r>
      <m:oMath>
        <m:sSub>
          <m:e>
            <m:r>
              <m:t>T</m:t>
            </m:r>
          </m:e>
          <m:sub>
            <m:r>
              <m:t>e</m:t>
            </m:r>
          </m:sub>
        </m:sSub>
        <m:r>
          <m:rPr>
            <m:sty m:val="p"/>
          </m:rPr>
          <m:t>/</m:t>
        </m:r>
        <m:d>
          <m:dPr>
            <m:begChr m:val="("/>
            <m:endChr m:val=")"/>
            <m:sepChr m:val=""/>
            <m:grow/>
          </m:dPr>
          <m:e>
            <m:r>
              <m:t>N</m:t>
            </m:r>
            <m:r>
              <m:t>m</m:t>
            </m:r>
          </m:e>
        </m:d>
      </m:oMath>
      <w:r>
        <w:rPr>
          <w:color w:val="000000"/>
        </w:rPr>
        <w:t xml:space="preserve">. This ratio describes repeated-history compression; it excludes reconstruction error and auxiliary storage.</w:t>
      </w:r>
    </w:p>
    <w:p>
      <w:pPr>
        <w:pStyle w:val="BodyText"/>
        <w:keepNext/>
        <w:spacing w:before="140" w:after="100"/>
        <w:jc w:val="both"/>
      </w:pPr>
      <w:r>
        <w:rPr>
          <w:bCs/>
          <w:b/>
          <w:color w:val="000000"/>
          <w:sz w:val="19"/>
        </w:rPr>
        <w:t xml:space="preserve">Table 2. Calculated raw KV payload for 32 layers, 8 KV heads, head width 128, and two-byte scalars.</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2376"/>
        <w:gridCol w:w="2736"/>
      </w:tblGrid>
      <w:tr>
        <w:trPr>
          <w:tblHeader w:val="true"/>
          <w:cantSplit/>
          <w:tblHeader w:val="true"/>
        </w:trPr>
        <w:tc>
          <w:tcPr>
            <w:tcW w:type="dxa" w:w="4680"/>
            <w:vAlign w:val="center"/>
            <w:tcMar>
              <w:top w:w="85" w:type="dxa"/>
              <w:bottom w:w="85" w:type="dxa"/>
              <w:left w:w="100" w:type="dxa"/>
              <w:right w:w="100" w:type="dxa"/>
            </w:tcMar>
            <w:shd w:fill="E8EDF1" w:val="clear"/>
          </w:tcPr>
          <w:p>
            <w:pPr>
              <w:pStyle w:val="Compact"/>
              <w:spacing w:after="0" w:before="0" w:line="245" w:lineRule="auto"/>
              <w:jc w:val="left"/>
            </w:pPr>
            <w:r>
              <w:rPr>
                <w:b/>
                <w:color w:val="000000"/>
                <w:sz w:val="19"/>
              </w:rPr>
              <w:t xml:space="preserve">Quantity</w:t>
            </w:r>
          </w:p>
        </w:tc>
        <w:tc>
          <w:tcPr>
            <w:tcW w:type="dxa" w:w="2376"/>
            <w:vAlign w:val="center"/>
            <w:tcMar>
              <w:top w:w="85" w:type="dxa"/>
              <w:bottom w:w="85" w:type="dxa"/>
              <w:left w:w="100" w:type="dxa"/>
              <w:right w:w="100" w:type="dxa"/>
            </w:tcMar>
            <w:shd w:fill="E8EDF1" w:val="clear"/>
          </w:tcPr>
          <w:p>
            <w:pPr>
              <w:pStyle w:val="Compact"/>
              <w:spacing w:after="0" w:before="0" w:line="245" w:lineRule="auto"/>
              <w:jc w:val="right"/>
            </w:pPr>
            <w:r>
              <w:rPr>
                <w:b/>
                <w:color w:val="000000"/>
                <w:sz w:val="19"/>
              </w:rPr>
              <w:t xml:space="preserve">Scalar count</w:t>
            </w:r>
          </w:p>
        </w:tc>
        <w:tc>
          <w:tcPr>
            <w:tcW w:type="dxa" w:w="2736"/>
            <w:vAlign w:val="center"/>
            <w:tcMar>
              <w:top w:w="85" w:type="dxa"/>
              <w:bottom w:w="85" w:type="dxa"/>
              <w:left w:w="100" w:type="dxa"/>
              <w:right w:w="100" w:type="dxa"/>
            </w:tcMar>
            <w:shd w:fill="E8EDF1" w:val="clear"/>
          </w:tcPr>
          <w:p>
            <w:pPr>
              <w:pStyle w:val="Compact"/>
              <w:spacing w:after="0" w:before="0" w:line="245" w:lineRule="auto"/>
              <w:jc w:val="right"/>
            </w:pPr>
            <w:r>
              <w:rPr>
                <w:b/>
                <w:color w:val="000000"/>
                <w:sz w:val="19"/>
              </w:rPr>
              <w:t xml:space="preserve">Payload</w:t>
            </w:r>
          </w:p>
        </w:tc>
      </w:tr>
      <w:tr>
        <w:trPr>
          <w:cantSplit/>
        </w:trPr>
        <w:tc>
          <w:tcPr>
            <w:tcW w:type="dxa" w:w="4680"/>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One token</w:t>
            </w:r>
          </w:p>
        </w:tc>
        <w:tc>
          <w:tcPr>
            <w:tcW w:type="dxa" w:w="2376"/>
            <w:vAlign w:val="center"/>
            <w:tcMar>
              <w:top w:w="85" w:type="dxa"/>
              <w:bottom w:w="85" w:type="dxa"/>
              <w:left w:w="100" w:type="dxa"/>
              <w:right w:w="100" w:type="dxa"/>
            </w:tcMar>
            <w:shd w:fill="FFFFFF" w:val="clear"/>
          </w:tcPr>
          <w:p>
            <w:pPr>
              <w:pStyle w:val="Compact"/>
              <w:spacing w:after="0" w:before="0" w:line="245" w:lineRule="auto"/>
              <w:jc w:val="right"/>
            </w:pPr>
            <w:r>
              <w:rPr>
                <w:b w:val="0"/>
                <w:color w:val="000000"/>
                <w:sz w:val="19"/>
              </w:rPr>
              <w:t xml:space="preserve">65,536</w:t>
            </w:r>
          </w:p>
        </w:tc>
        <w:tc>
          <w:tcPr>
            <w:tcW w:type="dxa" w:w="2736"/>
            <w:vAlign w:val="center"/>
            <w:tcMar>
              <w:top w:w="85" w:type="dxa"/>
              <w:bottom w:w="85" w:type="dxa"/>
              <w:left w:w="100" w:type="dxa"/>
              <w:right w:w="100" w:type="dxa"/>
            </w:tcMar>
            <w:shd w:fill="FFFFFF" w:val="clear"/>
          </w:tcPr>
          <w:p>
            <w:pPr>
              <w:pStyle w:val="Compact"/>
              <w:spacing w:after="0" w:before="0" w:line="245" w:lineRule="auto"/>
              <w:jc w:val="right"/>
            </w:pPr>
            <w:r>
              <w:rPr>
                <w:b w:val="0"/>
                <w:color w:val="000000"/>
                <w:sz w:val="19"/>
              </w:rPr>
              <w:t xml:space="preserve">128 KiB</w:t>
            </w:r>
          </w:p>
        </w:tc>
      </w:tr>
      <w:tr>
        <w:trPr>
          <w:cantSplit/>
        </w:trPr>
        <w:tc>
          <w:tcPr>
            <w:tcW w:type="dxa" w:w="4680"/>
            <w:vAlign w:val="center"/>
            <w:tcMar>
              <w:top w:w="85" w:type="dxa"/>
              <w:bottom w:w="85" w:type="dxa"/>
              <w:left w:w="100" w:type="dxa"/>
              <w:right w:w="100" w:type="dxa"/>
            </w:tcMar>
            <w:shd w:fill="F8F9FA" w:val="clear"/>
          </w:tcPr>
          <w:p>
            <w:pPr>
              <w:pStyle w:val="Compact"/>
              <w:spacing w:after="0" w:before="0" w:line="245" w:lineRule="auto"/>
              <w:jc w:val="left"/>
            </w:pPr>
            <w:r>
              <w:rPr>
                <w:b w:val="0"/>
                <w:color w:val="000000"/>
                <w:sz w:val="19"/>
              </w:rPr>
              <w:t xml:space="preserve">One 32-token trajectory</w:t>
            </w:r>
          </w:p>
        </w:tc>
        <w:tc>
          <w:tcPr>
            <w:tcW w:type="dxa" w:w="2376"/>
            <w:vAlign w:val="center"/>
            <w:tcMar>
              <w:top w:w="85" w:type="dxa"/>
              <w:bottom w:w="85" w:type="dxa"/>
              <w:left w:w="100" w:type="dxa"/>
              <w:right w:w="100" w:type="dxa"/>
            </w:tcMar>
            <w:shd w:fill="F8F9FA" w:val="clear"/>
          </w:tcPr>
          <w:p>
            <w:pPr>
              <w:pStyle w:val="Compact"/>
              <w:spacing w:after="0" w:before="0" w:line="245" w:lineRule="auto"/>
              <w:jc w:val="right"/>
            </w:pPr>
            <w:r>
              <w:rPr>
                <w:b w:val="0"/>
                <w:color w:val="000000"/>
                <w:sz w:val="19"/>
              </w:rPr>
              <w:t xml:space="preserve">2,097,152</w:t>
            </w:r>
          </w:p>
        </w:tc>
        <w:tc>
          <w:tcPr>
            <w:tcW w:type="dxa" w:w="2736"/>
            <w:vAlign w:val="center"/>
            <w:tcMar>
              <w:top w:w="85" w:type="dxa"/>
              <w:bottom w:w="85" w:type="dxa"/>
              <w:left w:w="100" w:type="dxa"/>
              <w:right w:w="100" w:type="dxa"/>
            </w:tcMar>
            <w:shd w:fill="F8F9FA" w:val="clear"/>
          </w:tcPr>
          <w:p>
            <w:pPr>
              <w:pStyle w:val="Compact"/>
              <w:spacing w:after="0" w:before="0" w:line="245" w:lineRule="auto"/>
              <w:jc w:val="right"/>
            </w:pPr>
            <w:r>
              <w:rPr>
                <w:b w:val="0"/>
                <w:color w:val="000000"/>
                <w:sz w:val="19"/>
              </w:rPr>
              <w:t xml:space="preserve">4 MiB</w:t>
            </w:r>
          </w:p>
        </w:tc>
      </w:tr>
      <w:tr>
        <w:trPr>
          <w:cantSplit/>
        </w:trPr>
        <w:tc>
          <w:tcPr>
            <w:tcW w:type="dxa" w:w="4680"/>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1,000 such prototypes</w:t>
            </w:r>
          </w:p>
        </w:tc>
        <w:tc>
          <w:tcPr>
            <w:tcW w:type="dxa" w:w="2376"/>
            <w:vAlign w:val="center"/>
            <w:tcMar>
              <w:top w:w="85" w:type="dxa"/>
              <w:bottom w:w="85" w:type="dxa"/>
              <w:left w:w="100" w:type="dxa"/>
              <w:right w:w="100" w:type="dxa"/>
            </w:tcMar>
            <w:shd w:fill="FFFFFF" w:val="clear"/>
          </w:tcPr>
          <w:p>
            <w:pPr>
              <w:pStyle w:val="Compact"/>
              <w:spacing w:after="0" w:before="0" w:line="245" w:lineRule="auto"/>
              <w:jc w:val="right"/>
            </w:pPr>
            <w:r>
              <w:rPr>
                <w:b w:val="0"/>
                <w:color w:val="000000"/>
                <w:sz w:val="19"/>
              </w:rPr>
              <w:t xml:space="preserve">2,097,152,000</w:t>
            </w:r>
          </w:p>
        </w:tc>
        <w:tc>
          <w:tcPr>
            <w:tcW w:type="dxa" w:w="2736"/>
            <w:vAlign w:val="center"/>
            <w:tcMar>
              <w:top w:w="85" w:type="dxa"/>
              <w:bottom w:w="85" w:type="dxa"/>
              <w:left w:w="100" w:type="dxa"/>
              <w:right w:w="100" w:type="dxa"/>
            </w:tcMar>
            <w:shd w:fill="FFFFFF" w:val="clear"/>
          </w:tcPr>
          <w:p>
            <w:pPr>
              <w:pStyle w:val="Compact"/>
              <w:spacing w:after="0" w:before="0" w:line="245" w:lineRule="auto"/>
              <w:jc w:val="right"/>
            </w:pPr>
            <w:r>
              <w:rPr>
                <w:b w:val="0"/>
                <w:color w:val="000000"/>
                <w:sz w:val="19"/>
              </w:rPr>
              <w:t xml:space="preserve">3.90625 GiB</w:t>
            </w:r>
          </w:p>
        </w:tc>
      </w:tr>
      <w:tr>
        <w:trPr>
          <w:cantSplit/>
        </w:trPr>
        <w:tc>
          <w:tcPr>
            <w:tcW w:type="dxa" w:w="4680"/>
            <w:vAlign w:val="center"/>
            <w:tcMar>
              <w:top w:w="85" w:type="dxa"/>
              <w:bottom w:w="85" w:type="dxa"/>
              <w:left w:w="100" w:type="dxa"/>
              <w:right w:w="100" w:type="dxa"/>
            </w:tcMar>
            <w:shd w:fill="F8F9FA" w:val="clear"/>
          </w:tcPr>
          <w:p>
            <w:pPr>
              <w:pStyle w:val="Compact"/>
              <w:spacing w:after="0" w:before="0" w:line="245" w:lineRule="auto"/>
              <w:jc w:val="left"/>
            </w:pPr>
            <w:r>
              <w:rPr>
                <w:b w:val="0"/>
                <w:color w:val="000000"/>
                <w:sz w:val="19"/>
              </w:rPr>
              <w:t xml:space="preserve">10,000 such prototypes</w:t>
            </w:r>
          </w:p>
        </w:tc>
        <w:tc>
          <w:tcPr>
            <w:tcW w:type="dxa" w:w="2376"/>
            <w:vAlign w:val="center"/>
            <w:tcMar>
              <w:top w:w="85" w:type="dxa"/>
              <w:bottom w:w="85" w:type="dxa"/>
              <w:left w:w="100" w:type="dxa"/>
              <w:right w:w="100" w:type="dxa"/>
            </w:tcMar>
            <w:shd w:fill="F8F9FA" w:val="clear"/>
          </w:tcPr>
          <w:p>
            <w:pPr>
              <w:pStyle w:val="Compact"/>
              <w:spacing w:after="0" w:before="0" w:line="245" w:lineRule="auto"/>
              <w:jc w:val="right"/>
            </w:pPr>
            <w:r>
              <w:rPr>
                <w:b w:val="0"/>
                <w:color w:val="000000"/>
                <w:sz w:val="19"/>
              </w:rPr>
              <w:t xml:space="preserve">20,971,520,000</w:t>
            </w:r>
          </w:p>
        </w:tc>
        <w:tc>
          <w:tcPr>
            <w:tcW w:type="dxa" w:w="2736"/>
            <w:vAlign w:val="center"/>
            <w:tcMar>
              <w:top w:w="85" w:type="dxa"/>
              <w:bottom w:w="85" w:type="dxa"/>
              <w:left w:w="100" w:type="dxa"/>
              <w:right w:w="100" w:type="dxa"/>
            </w:tcMar>
            <w:shd w:fill="F8F9FA" w:val="clear"/>
          </w:tcPr>
          <w:p>
            <w:pPr>
              <w:pStyle w:val="Compact"/>
              <w:spacing w:after="0" w:before="0" w:line="245" w:lineRule="auto"/>
              <w:jc w:val="right"/>
            </w:pPr>
            <w:r>
              <w:rPr>
                <w:b w:val="0"/>
                <w:color w:val="000000"/>
                <w:sz w:val="19"/>
              </w:rPr>
              <w:t xml:space="preserve">39.0625 GiB</w:t>
            </w:r>
          </w:p>
        </w:tc>
      </w:tr>
      <w:tr>
        <w:trPr>
          <w:cantSplit/>
        </w:trPr>
        <w:tc>
          <w:tcPr>
            <w:tcW w:type="dxa" w:w="4680"/>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One 64-bit assignment count</w:t>
            </w:r>
          </w:p>
        </w:tc>
        <w:tc>
          <w:tcPr>
            <w:tcW w:type="dxa" w:w="2376"/>
            <w:vAlign w:val="center"/>
            <w:tcMar>
              <w:top w:w="85" w:type="dxa"/>
              <w:bottom w:w="85" w:type="dxa"/>
              <w:left w:w="100" w:type="dxa"/>
              <w:right w:w="100" w:type="dxa"/>
            </w:tcMar>
            <w:shd w:fill="FFFFFF" w:val="clear"/>
          </w:tcPr>
          <w:p>
            <w:pPr>
              <w:pStyle w:val="Compact"/>
              <w:spacing w:after="0" w:before="0" w:line="245" w:lineRule="auto"/>
              <w:jc w:val="right"/>
            </w:pPr>
            <w:r>
              <w:rPr>
                <w:b w:val="0"/>
                <w:color w:val="000000"/>
                <w:sz w:val="19"/>
              </w:rPr>
              <w:t xml:space="preserve">Not a KV payload</w:t>
            </w:r>
          </w:p>
        </w:tc>
        <w:tc>
          <w:tcPr>
            <w:tcW w:type="dxa" w:w="2736"/>
            <w:vAlign w:val="center"/>
            <w:tcMar>
              <w:top w:w="85" w:type="dxa"/>
              <w:bottom w:w="85" w:type="dxa"/>
              <w:left w:w="100" w:type="dxa"/>
              <w:right w:w="100" w:type="dxa"/>
            </w:tcMar>
            <w:shd w:fill="FFFFFF" w:val="clear"/>
          </w:tcPr>
          <w:p>
            <w:pPr>
              <w:pStyle w:val="Compact"/>
              <w:spacing w:after="0" w:before="0" w:line="245" w:lineRule="auto"/>
              <w:jc w:val="right"/>
            </w:pPr>
            <w:r>
              <w:rPr>
                <w:b w:val="0"/>
                <w:color w:val="000000"/>
                <w:sz w:val="19"/>
              </w:rPr>
              <w:t xml:space="preserve">8 bytes</w:t>
            </w:r>
          </w:p>
        </w:tc>
      </w:tr>
    </w:tbl>
    <w:p>
      <w:pPr>
        <w:pStyle w:val="BodyText"/>
        <w:jc w:val="both"/>
      </w:pPr>
      <w:r>
        <w:rPr>
          <w:color w:val="000000"/>
        </w:rPr>
        <w:t xml:space="preserve">These calculations use KV-head width, not the full query-head width. They therefore remain appropriate to the stated grouped-query configuration. Storing an elementwise second-moment array would approximately double the prototype payload; a full covariance would be much larger. The baseline should use economical dispersion summaries, such as per-position or per-head statistics, and charge retained witnesses explicitly.</w:t>
      </w:r>
    </w:p>
    <w:p>
      <w:pPr>
        <w:pStyle w:val="BodyText"/>
        <w:jc w:val="both"/>
      </w:pPr>
      <w:r>
        <w:rPr>
          <w:color w:val="000000"/>
        </w:rPr>
        <w:t xml:space="preserve">Brute-force cue search costs</w:t>
      </w:r>
      <w:r>
        <w:rPr>
          <w:color w:val="000000"/>
        </w:rPr>
        <w:t xml:space="preserve"> </w:t>
      </w:r>
      <m:oMath>
        <m:r>
          <m:t>O</m:t>
        </m:r>
        <m:d>
          <m:dPr>
            <m:begChr m:val="("/>
            <m:endChr m:val=")"/>
            <m:sepChr m:val=""/>
            <m:grow/>
          </m:dPr>
          <m:e>
            <m:r>
              <m:t>N</m:t>
            </m:r>
            <m:sSub>
              <m:e>
                <m:r>
                  <m:t>d</m:t>
                </m:r>
              </m:e>
              <m:sub>
                <m:r>
                  <m:t>c</m:t>
                </m:r>
              </m:sub>
            </m:sSub>
          </m:e>
        </m:d>
      </m:oMath>
      <w:r>
        <w:rPr>
          <w:color w:val="000000"/>
        </w:rPr>
        <w:t xml:space="preserve"> </w:t>
      </w:r>
      <w:r>
        <w:rPr>
          <w:color w:val="000000"/>
        </w:rPr>
        <w:t xml:space="preserve">for cue dimension</w:t>
      </w:r>
      <w:r>
        <w:rPr>
          <w:color w:val="000000"/>
        </w:rPr>
        <w:t xml:space="preserve"> </w:t>
      </w:r>
      <m:oMath>
        <m:sSub>
          <m:e>
            <m:r>
              <m:t>d</m:t>
            </m:r>
          </m:e>
          <m:sub>
            <m:r>
              <m:t>c</m:t>
            </m:r>
          </m:sub>
        </m:sSub>
      </m:oMath>
      <w:r>
        <w:rPr>
          <w:color w:val="000000"/>
        </w:rPr>
        <w:t xml:space="preserve">. An approximate index can reduce practical search time but introduces build, update, and recall costs. Validating</w:t>
      </w:r>
      <w:r>
        <w:rPr>
          <w:color w:val="000000"/>
        </w:rPr>
        <w:t xml:space="preserve"> </w:t>
      </w:r>
      <m:oMath>
        <m:sSub>
          <m:e>
            <m:r>
              <m:t>k</m:t>
            </m:r>
          </m:e>
          <m:sub>
            <m:r>
              <m:t>c</m:t>
            </m:r>
          </m:sub>
        </m:sSub>
      </m:oMath>
      <w:r>
        <w:rPr>
          <w:color w:val="000000"/>
        </w:rPr>
        <w:t xml:space="preserve"> </w:t>
      </w:r>
      <w:r>
        <w:rPr>
          <w:color w:val="000000"/>
        </w:rPr>
        <w:t xml:space="preserve">shortlisted complete histories costs</w:t>
      </w:r>
      <w:r>
        <w:rPr>
          <w:color w:val="000000"/>
        </w:rPr>
        <w:t xml:space="preserve"> </w:t>
      </w:r>
      <m:oMath>
        <m:r>
          <m:t>O</m:t>
        </m:r>
        <m:d>
          <m:dPr>
            <m:begChr m:val="("/>
            <m:endChr m:val=")"/>
            <m:sepChr m:val=""/>
            <m:grow/>
          </m:dPr>
          <m:e>
            <m:sSub>
              <m:e>
                <m:r>
                  <m:t>k</m:t>
                </m:r>
              </m:e>
              <m:sub>
                <m:r>
                  <m:t>c</m:t>
                </m:r>
              </m:sub>
            </m:sSub>
            <m:r>
              <m:t>D</m:t>
            </m:r>
          </m:e>
        </m:d>
      </m:oMath>
      <w:r>
        <w:rPr>
          <w:color w:val="000000"/>
        </w:rPr>
        <w:t xml:space="preserve"> </w:t>
      </w:r>
      <w:r>
        <w:rPr>
          <w:color w:val="000000"/>
        </w:rPr>
        <w:t xml:space="preserve">before functional probes. Periodic all-bank transport adds a cost proportional to the bank size and the chosen map. These terms cannot be omitted when claiming that reduced active attention is more efficient.</w:t>
      </w:r>
    </w:p>
    <w:p>
      <w:pPr>
        <w:pStyle w:val="BodyText"/>
        <w:jc w:val="both"/>
      </w:pPr>
      <w:r>
        <w:rPr>
          <w:color w:val="000000"/>
        </w:rPr>
        <w:t xml:space="preserve">A learned compact trajectory representation reduces payload dimension at the cost of an encoder, a decoder or read interface, and reconstruction distortion. It also moves the non-stationarity problem into that representation. Report both active accelerator residency and total persistent storage. A bank held off accelerator can reduce active memory without reducing total stored bytes.</w:t>
      </w:r>
    </w:p>
    <w:p>
      <w:pPr>
        <w:pStyle w:val="BodyText"/>
        <w:jc w:val="both"/>
      </w:pPr>
      <w:r>
        <w:rPr>
          <w:color w:val="000000"/>
        </w:rPr>
        <w:t xml:space="preserve">Counts have a further interpretation when compression represents multiple entries that would otherwise participate together in one attention calculation. If</w:t>
      </w:r>
      <w:r>
        <w:rPr>
          <w:color w:val="000000"/>
        </w:rPr>
        <w:t xml:space="preserve"> </w:t>
      </w:r>
      <m:oMath>
        <m:r>
          <m:t>n</m:t>
        </m:r>
      </m:oMath>
      <w:r>
        <w:rPr>
          <w:color w:val="000000"/>
        </w:rPr>
        <w:t xml:space="preserve"> </w:t>
      </w:r>
      <w:r>
        <w:rPr>
          <w:color w:val="000000"/>
        </w:rPr>
        <w:t xml:space="preserve">identical keys share a score</w:t>
      </w:r>
      <w:r>
        <w:rPr>
          <w:color w:val="000000"/>
        </w:rPr>
        <w:t xml:space="preserve"> </w:t>
      </w:r>
      <m:oMath>
        <m:r>
          <m:t>s</m:t>
        </m:r>
      </m:oMath>
      <w:r>
        <w:rPr>
          <w:color w:val="000000"/>
        </w:rPr>
        <w:t xml:space="preserve"> </w:t>
      </w:r>
      <w:r>
        <w:rPr>
          <w:color w:val="000000"/>
        </w:rPr>
        <w:t xml:space="preserve">and their values are averaged, exact multiplicity preservation uses</w:t>
      </w:r>
      <w:r>
        <w:rPr>
          <w:color w:val="000000"/>
        </w:rPr>
        <w:t xml:space="preserve"> </w:t>
      </w:r>
      <m:oMath>
        <m:r>
          <m:t>s</m:t>
        </m:r>
        <m:r>
          <m:rPr>
            <m:sty m:val="p"/>
          </m:rPr>
          <m:t>+</m:t>
        </m:r>
        <m:r>
          <m:rPr>
            <m:sty m:val="p"/>
          </m:rPr>
          <m:t>log</m:t>
        </m:r>
        <m:r>
          <m:t>n</m:t>
        </m:r>
      </m:oMath>
      <w:r>
        <w:rPr>
          <w:color w:val="000000"/>
        </w:rPr>
        <w:t xml:space="preserve">, because</w:t>
      </w:r>
      <w:r>
        <w:rPr>
          <w:color w:val="000000"/>
        </w:rPr>
        <w:t xml:space="preserve"> </w:t>
      </w:r>
      <m:oMath>
        <m:r>
          <m:t>n</m:t>
        </m:r>
        <m:sSup>
          <m:e>
            <m:r>
              <m:t>e</m:t>
            </m:r>
          </m:e>
          <m:sup>
            <m:r>
              <m:t>s</m:t>
            </m:r>
          </m:sup>
        </m:sSup>
        <m:r>
          <m:rPr>
            <m:sty m:val="p"/>
          </m:rPr>
          <m:t>=</m:t>
        </m:r>
        <m:sSup>
          <m:e>
            <m:r>
              <m:t>e</m:t>
            </m:r>
          </m:e>
          <m:sup>
            <m:r>
              <m:t>s</m:t>
            </m:r>
            <m:r>
              <m:rPr>
                <m:sty m:val="p"/>
              </m:rPr>
              <m:t>+</m:t>
            </m:r>
            <m:r>
              <m:rPr>
                <m:sty m:val="p"/>
              </m:rPr>
              <m:t>log</m:t>
            </m:r>
            <m:r>
              <m:t>n</m:t>
            </m:r>
          </m:sup>
        </m:sSup>
      </m:oMath>
      <w:r>
        <w:rPr>
          <w:color w:val="000000"/>
        </w:rPr>
        <w:t xml:space="preserve">. Repetition across separate past episodes does not automatically imply that those occurrences should vote together at recall. An empirical mean weight and an attention-frequency prior are different design choices.</w:t>
      </w:r>
    </w:p>
    <w:bookmarkEnd w:id="51"/>
    <w:bookmarkStart w:id="55" w:name="X07d3dd8c4f0ebd05f7fa58ee8a97611a7984cbe"/>
    <w:p>
      <w:pPr>
        <w:pStyle w:val="Heading1"/>
        <w:jc w:val="left"/>
      </w:pPr>
      <w:r>
        <w:rPr>
          <w:color w:val="000000"/>
        </w:rPr>
        <w:t xml:space="preserve">9 Biological correspondences and their limits</w:t>
      </w:r>
    </w:p>
    <w:bookmarkStart w:id="52" w:name="partial-cues-and-complementary-learning"/>
    <w:p>
      <w:pPr>
        <w:pStyle w:val="Heading2"/>
        <w:jc w:val="left"/>
      </w:pPr>
      <w:r>
        <w:rPr>
          <w:color w:val="000000"/>
        </w:rPr>
        <w:t xml:space="preserve">9.1 Partial cues and complementary learning</w:t>
      </w:r>
    </w:p>
    <w:p>
      <w:pPr>
        <w:pStyle w:val="FirstParagraph"/>
        <w:jc w:val="both"/>
      </w:pPr>
      <w:r>
        <w:rPr>
          <w:color w:val="000000"/>
        </w:rPr>
        <w:t xml:space="preserve">Human evidence supports retrieval of richer event representations from partial cues. Horner et al. found reinstatement of event elements beyond the immediate tested association, with hippocampal activity related to this broader reinstatement [11]. The relevant correspondence is that an incomplete cue can reactivate associated contents. The experiment does not show that recall is initiated specifically by the first neural states of an episode, nor that reinstatement is an exact numerical copy of a stored trajectory.</w:t>
      </w:r>
    </w:p>
    <w:p>
      <w:pPr>
        <w:pStyle w:val="BodyText"/>
        <w:jc w:val="both"/>
      </w:pPr>
      <w:r>
        <w:rPr>
          <w:color w:val="000000"/>
        </w:rPr>
        <w:t xml:space="preserve">The complementary learning systems framework assigns different computational roles to rapid episodic acquisition and slower integration of shared structure [12]. This motivates retaining distinct exceptions alongside consolidated regularities. It does not establish a literal transfer of a discarded working-memory cache into a bank of arithmetic means. Biological encoding can begin during experience, and the timescales and substrates of consolidation differ from an implementation’s eviction policy.</w:t>
      </w:r>
    </w:p>
    <w:p>
      <w:pPr>
        <w:pStyle w:val="BodyText"/>
        <w:jc w:val="both"/>
      </w:pPr>
      <w:r>
        <w:rPr>
          <w:color w:val="000000"/>
        </w:rPr>
        <w:t xml:space="preserve">The proposed cache-bank distinction is therefore a functional model. A Transformer KV cache is not an identified anatomical substrate of working memory. Likewise, an external trajectory prototype is not a demonstrated cellular unit of long-term human memory. The research value of the comparison lies in common operations that yield explicit predictions.</w:t>
      </w:r>
    </w:p>
    <w:bookmarkEnd w:id="52"/>
    <w:bookmarkStart w:id="53" w:name="preplay-and-a-pre-existing-repertoire"/>
    <w:p>
      <w:pPr>
        <w:pStyle w:val="Heading2"/>
        <w:jc w:val="left"/>
      </w:pPr>
      <w:r>
        <w:rPr>
          <w:color w:val="000000"/>
        </w:rPr>
        <w:t xml:space="preserve">9.2 Preplay and a pre-existing repertoire</w:t>
      </w:r>
    </w:p>
    <w:p>
      <w:pPr>
        <w:pStyle w:val="FirstParagraph"/>
        <w:jc w:val="both"/>
      </w:pPr>
      <w:r>
        <w:rPr>
          <w:color w:val="000000"/>
        </w:rPr>
        <w:t xml:space="preserve">Dragoi and Tonegawa reported hippocampal sequences before subsequent spatial experience that corresponded to sequences expressed during that experience [13]. This motivates investigating whether new experience can recruit pre-existing sequence structure. Grosmark and Buzsáki subsequently described both relatively rigid and plastic contributions to hippocampal sequences [14]. Their result supports a mixture of prior dynamics and experience-dependent modification, rather than a wholly fixed repertoire.</w:t>
      </w:r>
    </w:p>
    <w:p>
      <w:pPr>
        <w:pStyle w:val="BodyText"/>
        <w:jc w:val="both"/>
      </w:pPr>
      <w:r>
        <w:rPr>
          <w:color w:val="000000"/>
        </w:rPr>
        <w:t xml:space="preserve">Ólafsdóttir et al. reported reward-related sequences through space that animals had not yet traversed [15]. In that experiment the unexplored route was perceptually accessible and reward information was available. It therefore should not be equated with generating an arbitrary future episode in the complete absence of relevant sensory information. Farooq et al. emphasized strengthened temporal coordination and recruitment within pre-existing assemblies as a contributor to trajectory replay [16]. None of these results identifies the biological repertoire with independent uniformly random vectors.</w:t>
      </w:r>
    </w:p>
    <w:p>
      <w:pPr>
        <w:pStyle w:val="BodyText"/>
        <w:jc w:val="both"/>
      </w:pPr>
      <w:r>
        <w:rPr>
          <w:color w:val="000000"/>
        </w:rPr>
        <w:t xml:space="preserve">The interpretation remains contested. Silva, Feng, and Foster reported that pre-experience events did not display the same trajectory-dependent temporal structure as post-experience events in their recordings [17]. Apparent correspondence can depend on the event definition, firing-rate heterogeneity, temporal correlations, and the null model used to assess sequence significance. Chance matches are especially relevant when a large repertoire is compared against many possible future trajectories. A stochastic firing-rate null and corrections for the number of tested matches are therefore part of the biological claim, not optional presentation details.</w:t>
      </w:r>
    </w:p>
    <w:p>
      <w:pPr>
        <w:pStyle w:val="BodyText"/>
        <w:jc w:val="both"/>
      </w:pPr>
      <w:r>
        <w:rPr>
          <w:color w:val="000000"/>
        </w:rPr>
        <w:t xml:space="preserve">For the computational proposal, preplay suggests a controlled question: does preserving initial sequence organization improve later learning beyond what is explained by the repertoire’s size and marginal statistics? Compare intact initial trajectories with within-trajectory time shuffles, matched covariance controls, and replacement immediately before first assignment. Because a zero-count arithmetic update overwrites a seed on first use, persistent initial-sequence effects must arise through assignment geometry, earlier co-adaptation, or an explicitly retained prior. A successful random-bank implementation alone would not settle the neuroscience controversy.</w:t>
      </w:r>
    </w:p>
    <w:bookmarkEnd w:id="53"/>
    <w:bookmarkStart w:id="54" w:name="X18873fd869bb3a876f0c80ffb9eb3f1ef03456c"/>
    <w:p>
      <w:pPr>
        <w:pStyle w:val="Heading2"/>
        <w:jc w:val="left"/>
      </w:pPr>
      <w:r>
        <w:rPr>
          <w:color w:val="000000"/>
        </w:rPr>
        <w:t xml:space="preserve">9.3 Myelination and implicit accumulation of experience</w:t>
      </w:r>
    </w:p>
    <w:p>
      <w:pPr>
        <w:pStyle w:val="FirstParagraph"/>
        <w:jc w:val="both"/>
      </w:pPr>
      <w:r>
        <w:rPr>
          <w:color w:val="000000"/>
        </w:rPr>
        <w:t xml:space="preserve">Pan et al. showed in mice that preventing new myelin formation impaired remote fear-memory recall while sparing recent recall [18]. Steadman et al. found that disrupting oligodendrogenesis impaired memory consolidation and interfered with learning-associated hippocampal-cortical oscillatory coupling [20]. These studies support a contribution of experience-dependent myelin plasticity to lasting memory and circuit coordination. They do not show a numerical exposure counter, an arithmetic averaging rule, or a one-to-one correspondence between a memory and a myelinated axon.</w:t>
      </w:r>
    </w:p>
    <w:p>
      <w:pPr>
        <w:pStyle w:val="BodyText"/>
        <w:jc w:val="both"/>
      </w:pPr>
      <w:r>
        <w:rPr>
          <w:color w:val="000000"/>
        </w:rPr>
        <w:t xml:space="preserve">The gain identity in Proposition 1 provides a possible computational interpretation of experience-dependent stability. Accumulated exposure can be represented by how strongly the next observation changes the state, without a separately readable integer. However, the inverse gain still carries the corresponding information, and actual biological learning depends on multiple mechanisms. A myelin-specific implementation would require evidence connecting a measured physical variable to the proposed gain law while controlling alternative synaptic and network explanations.</w:t>
      </w:r>
    </w:p>
    <w:p>
      <w:pPr>
        <w:pStyle w:val="BodyText"/>
        <w:jc w:val="both"/>
      </w:pPr>
      <w:r>
        <w:rPr>
          <w:color w:val="000000"/>
        </w:rPr>
        <w:t xml:space="preserve">The human and animal evidence should also remain distinct. The partial-cue study in [11] concerns human episodic recollection. The cited causal myelination and much of the preplay evidence concern rodents. The present paper does not infer a proven human cellular mechanism from those animal experiments.</w:t>
      </w:r>
    </w:p>
    <w:p>
      <w:pPr>
        <w:pStyle w:val="BodyText"/>
        <w:keepNext/>
        <w:spacing w:before="140" w:after="100"/>
        <w:jc w:val="both"/>
      </w:pPr>
      <w:r>
        <w:rPr>
          <w:bCs/>
          <w:b/>
          <w:color w:val="000000"/>
          <w:sz w:val="19"/>
        </w:rPr>
        <w:t xml:space="preserve">Table 3. Status of the biological correspondences.</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477"/>
        <w:gridCol w:w="3672"/>
        <w:gridCol w:w="3643"/>
      </w:tblGrid>
      <w:tr>
        <w:trPr>
          <w:tblHeader w:val="true"/>
          <w:cantSplit/>
          <w:tblHeader w:val="true"/>
        </w:trPr>
        <w:tc>
          <w:tcPr>
            <w:tcW w:type="dxa" w:w="2477"/>
            <w:vAlign w:val="center"/>
            <w:tcMar>
              <w:top w:w="85" w:type="dxa"/>
              <w:bottom w:w="85" w:type="dxa"/>
              <w:left w:w="100" w:type="dxa"/>
              <w:right w:w="100" w:type="dxa"/>
            </w:tcMar>
            <w:shd w:fill="E8EDF1" w:val="clear"/>
          </w:tcPr>
          <w:p>
            <w:pPr>
              <w:pStyle w:val="Compact"/>
              <w:spacing w:after="0" w:before="0" w:line="245" w:lineRule="auto"/>
              <w:jc w:val="left"/>
            </w:pPr>
            <w:r>
              <w:rPr>
                <w:b/>
                <w:color w:val="000000"/>
                <w:sz w:val="19"/>
              </w:rPr>
              <w:t xml:space="preserve">Proposed feature</w:t>
            </w:r>
          </w:p>
        </w:tc>
        <w:tc>
          <w:tcPr>
            <w:tcW w:type="dxa" w:w="3672"/>
            <w:vAlign w:val="center"/>
            <w:tcMar>
              <w:top w:w="85" w:type="dxa"/>
              <w:bottom w:w="85" w:type="dxa"/>
              <w:left w:w="100" w:type="dxa"/>
              <w:right w:w="100" w:type="dxa"/>
            </w:tcMar>
            <w:shd w:fill="E8EDF1" w:val="clear"/>
          </w:tcPr>
          <w:p>
            <w:pPr>
              <w:pStyle w:val="Compact"/>
              <w:spacing w:after="0" w:before="0" w:line="245" w:lineRule="auto"/>
              <w:jc w:val="left"/>
            </w:pPr>
            <w:r>
              <w:rPr>
                <w:b/>
                <w:color w:val="000000"/>
                <w:sz w:val="19"/>
              </w:rPr>
              <w:t xml:space="preserve">Evidence or analogy</w:t>
            </w:r>
          </w:p>
        </w:tc>
        <w:tc>
          <w:tcPr>
            <w:tcW w:type="dxa" w:w="3643"/>
            <w:vAlign w:val="center"/>
            <w:tcMar>
              <w:top w:w="85" w:type="dxa"/>
              <w:bottom w:w="85" w:type="dxa"/>
              <w:left w:w="100" w:type="dxa"/>
              <w:right w:w="100" w:type="dxa"/>
            </w:tcMar>
            <w:shd w:fill="E8EDF1" w:val="clear"/>
          </w:tcPr>
          <w:p>
            <w:pPr>
              <w:pStyle w:val="Compact"/>
              <w:spacing w:after="0" w:before="0" w:line="245" w:lineRule="auto"/>
              <w:jc w:val="left"/>
            </w:pPr>
            <w:r>
              <w:rPr>
                <w:b/>
                <w:color w:val="000000"/>
                <w:sz w:val="19"/>
              </w:rPr>
              <w:t xml:space="preserve">Claim justified here</w:t>
            </w:r>
          </w:p>
        </w:tc>
      </w:tr>
      <w:tr>
        <w:trPr>
          <w:cantSplit/>
        </w:trPr>
        <w:tc>
          <w:tcPr>
            <w:tcW w:type="dxa" w:w="2477"/>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Recall from a short cue</w:t>
            </w:r>
          </w:p>
        </w:tc>
        <w:tc>
          <w:tcPr>
            <w:tcW w:type="dxa" w:w="3672"/>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Human event reinstatement [11]</w:t>
            </w:r>
          </w:p>
        </w:tc>
        <w:tc>
          <w:tcPr>
            <w:tcW w:type="dxa" w:w="3643"/>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Functional correspondence with partial-cue completion</w:t>
            </w:r>
          </w:p>
        </w:tc>
      </w:tr>
      <w:tr>
        <w:trPr>
          <w:cantSplit/>
        </w:trPr>
        <w:tc>
          <w:tcPr>
            <w:tcW w:type="dxa" w:w="2477"/>
            <w:vAlign w:val="center"/>
            <w:tcMar>
              <w:top w:w="85" w:type="dxa"/>
              <w:bottom w:w="85" w:type="dxa"/>
              <w:left w:w="100" w:type="dxa"/>
              <w:right w:w="100" w:type="dxa"/>
            </w:tcMar>
            <w:shd w:fill="F8F9FA" w:val="clear"/>
          </w:tcPr>
          <w:p>
            <w:pPr>
              <w:pStyle w:val="Compact"/>
              <w:spacing w:after="0" w:before="0" w:line="245" w:lineRule="auto"/>
              <w:jc w:val="left"/>
            </w:pPr>
            <w:r>
              <w:rPr>
                <w:b w:val="0"/>
                <w:color w:val="000000"/>
                <w:sz w:val="19"/>
              </w:rPr>
              <w:t xml:space="preserve">Fast exceptions and slow regularities</w:t>
            </w:r>
          </w:p>
        </w:tc>
        <w:tc>
          <w:tcPr>
            <w:tcW w:type="dxa" w:w="3672"/>
            <w:vAlign w:val="center"/>
            <w:tcMar>
              <w:top w:w="85" w:type="dxa"/>
              <w:bottom w:w="85" w:type="dxa"/>
              <w:left w:w="100" w:type="dxa"/>
              <w:right w:w="100" w:type="dxa"/>
            </w:tcMar>
            <w:shd w:fill="F8F9FA" w:val="clear"/>
          </w:tcPr>
          <w:p>
            <w:pPr>
              <w:pStyle w:val="Compact"/>
              <w:spacing w:after="0" w:before="0" w:line="245" w:lineRule="auto"/>
              <w:jc w:val="left"/>
            </w:pPr>
            <w:r>
              <w:rPr>
                <w:b w:val="0"/>
                <w:color w:val="000000"/>
                <w:sz w:val="19"/>
              </w:rPr>
              <w:t xml:space="preserve">Complementary learning theory [12]</w:t>
            </w:r>
          </w:p>
        </w:tc>
        <w:tc>
          <w:tcPr>
            <w:tcW w:type="dxa" w:w="3643"/>
            <w:vAlign w:val="center"/>
            <w:tcMar>
              <w:top w:w="85" w:type="dxa"/>
              <w:bottom w:w="85" w:type="dxa"/>
              <w:left w:w="100" w:type="dxa"/>
              <w:right w:w="100" w:type="dxa"/>
            </w:tcMar>
            <w:shd w:fill="F8F9FA" w:val="clear"/>
          </w:tcPr>
          <w:p>
            <w:pPr>
              <w:pStyle w:val="Compact"/>
              <w:spacing w:after="0" w:before="0" w:line="245" w:lineRule="auto"/>
              <w:jc w:val="left"/>
            </w:pPr>
            <w:r>
              <w:rPr>
                <w:b w:val="0"/>
                <w:color w:val="000000"/>
                <w:sz w:val="19"/>
              </w:rPr>
              <w:t xml:space="preserve">Motivation for different storage timescales</w:t>
            </w:r>
          </w:p>
        </w:tc>
      </w:tr>
      <w:tr>
        <w:trPr>
          <w:cantSplit/>
        </w:trPr>
        <w:tc>
          <w:tcPr>
            <w:tcW w:type="dxa" w:w="2477"/>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Pre-existing sequence repertoire</w:t>
            </w:r>
          </w:p>
        </w:tc>
        <w:tc>
          <w:tcPr>
            <w:tcW w:type="dxa" w:w="3672"/>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Supporting and contrary rodent studies [13–17]</w:t>
            </w:r>
          </w:p>
        </w:tc>
        <w:tc>
          <w:tcPr>
            <w:tcW w:type="dxa" w:w="3643"/>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Contested hypothesis requiring explicit null controls</w:t>
            </w:r>
          </w:p>
        </w:tc>
      </w:tr>
      <w:tr>
        <w:trPr>
          <w:cantSplit/>
        </w:trPr>
        <w:tc>
          <w:tcPr>
            <w:tcW w:type="dxa" w:w="2477"/>
            <w:vAlign w:val="center"/>
            <w:tcMar>
              <w:top w:w="85" w:type="dxa"/>
              <w:bottom w:w="85" w:type="dxa"/>
              <w:left w:w="100" w:type="dxa"/>
              <w:right w:w="100" w:type="dxa"/>
            </w:tcMar>
            <w:shd w:fill="F8F9FA" w:val="clear"/>
          </w:tcPr>
          <w:p>
            <w:pPr>
              <w:pStyle w:val="Compact"/>
              <w:spacing w:after="0" w:before="0" w:line="245" w:lineRule="auto"/>
              <w:jc w:val="left"/>
            </w:pPr>
            <w:r>
              <w:rPr>
                <w:b w:val="0"/>
                <w:color w:val="000000"/>
                <w:sz w:val="19"/>
              </w:rPr>
              <w:t xml:space="preserve">Greater stability after experience</w:t>
            </w:r>
          </w:p>
        </w:tc>
        <w:tc>
          <w:tcPr>
            <w:tcW w:type="dxa" w:w="3672"/>
            <w:vAlign w:val="center"/>
            <w:tcMar>
              <w:top w:w="85" w:type="dxa"/>
              <w:bottom w:w="85" w:type="dxa"/>
              <w:left w:w="100" w:type="dxa"/>
              <w:right w:w="100" w:type="dxa"/>
            </w:tcMar>
            <w:shd w:fill="F8F9FA" w:val="clear"/>
          </w:tcPr>
          <w:p>
            <w:pPr>
              <w:pStyle w:val="Compact"/>
              <w:spacing w:after="0" w:before="0" w:line="245" w:lineRule="auto"/>
              <w:jc w:val="left"/>
            </w:pPr>
            <w:r>
              <w:rPr>
                <w:b w:val="0"/>
                <w:color w:val="000000"/>
                <w:sz w:val="19"/>
              </w:rPr>
              <w:t xml:space="preserve">Myelin-plasticity studies in mice [18, 20]</w:t>
            </w:r>
          </w:p>
        </w:tc>
        <w:tc>
          <w:tcPr>
            <w:tcW w:type="dxa" w:w="3643"/>
            <w:vAlign w:val="center"/>
            <w:tcMar>
              <w:top w:w="85" w:type="dxa"/>
              <w:bottom w:w="85" w:type="dxa"/>
              <w:left w:w="100" w:type="dxa"/>
              <w:right w:w="100" w:type="dxa"/>
            </w:tcMar>
            <w:shd w:fill="F8F9FA" w:val="clear"/>
          </w:tcPr>
          <w:p>
            <w:pPr>
              <w:pStyle w:val="Compact"/>
              <w:spacing w:after="0" w:before="0" w:line="245" w:lineRule="auto"/>
              <w:jc w:val="left"/>
            </w:pPr>
            <w:r>
              <w:rPr>
                <w:b w:val="0"/>
                <w:color w:val="000000"/>
                <w:sz w:val="19"/>
              </w:rPr>
              <w:t xml:space="preserve">Physical participation in consolidation and recall</w:t>
            </w:r>
          </w:p>
        </w:tc>
      </w:tr>
      <w:tr>
        <w:trPr>
          <w:cantSplit/>
        </w:trPr>
        <w:tc>
          <w:tcPr>
            <w:tcW w:type="dxa" w:w="2477"/>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Counter represented by a gain</w:t>
            </w:r>
          </w:p>
        </w:tc>
        <w:tc>
          <w:tcPr>
            <w:tcW w:type="dxa" w:w="3672"/>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Proposition 1</w:t>
            </w:r>
          </w:p>
        </w:tc>
        <w:tc>
          <w:tcPr>
            <w:tcW w:type="dxa" w:w="3643"/>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Exact computational identity, without an established cellular implementation</w:t>
            </w:r>
          </w:p>
        </w:tc>
      </w:tr>
    </w:tbl>
    <w:bookmarkEnd w:id="54"/>
    <w:bookmarkEnd w:id="55"/>
    <w:bookmarkStart w:id="61" w:name="X416cae34ea82dcebbc6c2fab5798d5fda68c700"/>
    <w:p>
      <w:pPr>
        <w:pStyle w:val="Heading1"/>
        <w:jc w:val="left"/>
      </w:pPr>
      <w:r>
        <w:rPr>
          <w:color w:val="000000"/>
        </w:rPr>
        <w:t xml:space="preserve">10 Experimental protocol and falsifiable predictions</w:t>
      </w:r>
    </w:p>
    <w:bookmarkStart w:id="56" w:name="staged-implementation"/>
    <w:p>
      <w:pPr>
        <w:pStyle w:val="Heading2"/>
        <w:jc w:val="left"/>
      </w:pPr>
      <w:r>
        <w:rPr>
          <w:color w:val="000000"/>
        </w:rPr>
        <w:t xml:space="preserve">10.1 Staged implementation</w:t>
      </w:r>
    </w:p>
    <w:p>
      <w:pPr>
        <w:pStyle w:val="FirstParagraph"/>
        <w:jc w:val="both"/>
      </w:pPr>
      <w:r>
        <w:rPr>
          <w:color w:val="000000"/>
        </w:rPr>
        <w:t xml:space="preserve">The first stage uses controlled synthetic trajectories to validate assignment, count updates, branch ambiguity, and coordinate transport independently of language modelling. Reproduce the exact examples in Section 7 before introducing learned nonlinear encoders. A second stage trains a small decoder-only Transformer with the memory interface active from the first update. A third stage evaluates structured language and engineering workflows with repeated procedures, task changes, and exceptions. Results from one stage should not be presented as validation of the next.</w:t>
      </w:r>
    </w:p>
    <w:p>
      <w:pPr>
        <w:pStyle w:val="BodyText"/>
        <w:jc w:val="both"/>
      </w:pPr>
      <w:r>
        <w:rPr>
          <w:color w:val="000000"/>
        </w:rPr>
        <w:t xml:space="preserve">A feasible architectural specification for the second stage is eight layers, model width 512, eight query heads, four KV heads, and head width 64. A primary compact-memory condition stores 32-position trajectories with 128 latent features per position and 4,096 slots. At two bytes per feature, its prototype payload is 32 MiB. The matched raw-KV bank would require 1 GiB for those slots. Both figures exclude the index, decoder, counts, witnesses, and optimizer state. This is a proposed specification, not a trained or timed configuration.</w:t>
      </w:r>
    </w:p>
    <w:p>
      <w:pPr>
        <w:pStyle w:val="BodyText"/>
        <w:jc w:val="both"/>
      </w:pPr>
      <w:r>
        <w:rPr>
          <w:color w:val="000000"/>
        </w:rPr>
        <w:t xml:space="preserve">Use a fixed data order and token budget for the primary comparisons, with at least five independently initialized runs where feasible. Report actual parameter counts, training FLOPs or a defensible estimate, and elapsed time. Screen hyperparameters on validation data and fix the final choices before evaluation. The grid below is a staged sensitivity plan, not a requirement to run the full Cartesian product.</w:t>
      </w:r>
    </w:p>
    <w:p>
      <w:pPr>
        <w:pStyle w:val="BodyText"/>
        <w:keepNext/>
        <w:spacing w:before="140" w:after="100"/>
        <w:jc w:val="both"/>
      </w:pPr>
      <w:r>
        <w:rPr>
          <w:bCs/>
          <w:b/>
          <w:color w:val="000000"/>
          <w:sz w:val="19"/>
        </w:rPr>
        <w:t xml:space="preserve">Table 4. Proposed variables for the pilot study.</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592"/>
        <w:gridCol w:w="4824"/>
      </w:tblGrid>
      <w:tr>
        <w:trPr>
          <w:tblHeader w:val="true"/>
          <w:cantSplit/>
          <w:tblHeader w:val="true"/>
        </w:trPr>
        <w:tc>
          <w:tcPr>
            <w:tcW w:type="dxa" w:w="2376"/>
            <w:vAlign w:val="center"/>
            <w:tcMar>
              <w:top w:w="85" w:type="dxa"/>
              <w:bottom w:w="85" w:type="dxa"/>
              <w:left w:w="100" w:type="dxa"/>
              <w:right w:w="100" w:type="dxa"/>
            </w:tcMar>
            <w:shd w:fill="E8EDF1" w:val="clear"/>
          </w:tcPr>
          <w:p>
            <w:pPr>
              <w:pStyle w:val="Compact"/>
              <w:spacing w:after="0" w:before="0" w:line="245" w:lineRule="auto"/>
              <w:jc w:val="left"/>
            </w:pPr>
            <w:r>
              <w:rPr>
                <w:b/>
                <w:color w:val="000000"/>
                <w:sz w:val="19"/>
              </w:rPr>
              <w:t xml:space="preserve">Variable</w:t>
            </w:r>
          </w:p>
        </w:tc>
        <w:tc>
          <w:tcPr>
            <w:tcW w:type="dxa" w:w="2592"/>
            <w:vAlign w:val="center"/>
            <w:tcMar>
              <w:top w:w="85" w:type="dxa"/>
              <w:bottom w:w="85" w:type="dxa"/>
              <w:left w:w="100" w:type="dxa"/>
              <w:right w:w="100" w:type="dxa"/>
            </w:tcMar>
            <w:shd w:fill="E8EDF1" w:val="clear"/>
          </w:tcPr>
          <w:p>
            <w:pPr>
              <w:pStyle w:val="Compact"/>
              <w:spacing w:after="0" w:before="0" w:line="245" w:lineRule="auto"/>
              <w:jc w:val="left"/>
            </w:pPr>
            <w:r>
              <w:rPr>
                <w:b/>
                <w:color w:val="000000"/>
                <w:sz w:val="19"/>
              </w:rPr>
              <w:t xml:space="preserve">Primary setting</w:t>
            </w:r>
          </w:p>
        </w:tc>
        <w:tc>
          <w:tcPr>
            <w:tcW w:type="dxa" w:w="4824"/>
            <w:vAlign w:val="center"/>
            <w:tcMar>
              <w:top w:w="85" w:type="dxa"/>
              <w:bottom w:w="85" w:type="dxa"/>
              <w:left w:w="100" w:type="dxa"/>
              <w:right w:w="100" w:type="dxa"/>
            </w:tcMar>
            <w:shd w:fill="E8EDF1" w:val="clear"/>
          </w:tcPr>
          <w:p>
            <w:pPr>
              <w:pStyle w:val="Compact"/>
              <w:spacing w:after="0" w:before="0" w:line="245" w:lineRule="auto"/>
              <w:jc w:val="left"/>
            </w:pPr>
            <w:r>
              <w:rPr>
                <w:b/>
                <w:color w:val="000000"/>
                <w:sz w:val="19"/>
              </w:rPr>
              <w:t xml:space="preserve">Sensitivity conditions</w:t>
            </w:r>
          </w:p>
        </w:tc>
      </w:tr>
      <w:tr>
        <w:trPr>
          <w:cantSplit/>
        </w:trPr>
        <w:tc>
          <w:tcPr>
            <w:tcW w:type="dxa" w:w="2376"/>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History length</w:t>
            </w:r>
            <w:r>
              <w:rPr>
                <w:b w:val="0"/>
                <w:color w:val="000000"/>
                <w:sz w:val="19"/>
              </w:rPr>
              <w:t xml:space="preserve"> </w:t>
            </w:r>
            <m:oMath>
              <m:r>
                <m:t>m</m:t>
              </m:r>
            </m:oMath>
          </w:p>
        </w:tc>
        <w:tc>
          <w:tcPr>
            <w:tcW w:type="dxa" w:w="2592"/>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32 positions</w:t>
            </w:r>
          </w:p>
        </w:tc>
        <w:tc>
          <w:tcPr>
            <w:tcW w:type="dxa" w:w="4824"/>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16 and 64</w:t>
            </w:r>
          </w:p>
        </w:tc>
      </w:tr>
      <w:tr>
        <w:trPr>
          <w:cantSplit/>
        </w:trPr>
        <w:tc>
          <w:tcPr>
            <w:tcW w:type="dxa" w:w="2376"/>
            <w:vAlign w:val="center"/>
            <w:tcMar>
              <w:top w:w="85" w:type="dxa"/>
              <w:bottom w:w="85" w:type="dxa"/>
              <w:left w:w="100" w:type="dxa"/>
              <w:right w:w="100" w:type="dxa"/>
            </w:tcMar>
            <w:shd w:fill="F8F9FA" w:val="clear"/>
          </w:tcPr>
          <w:p>
            <w:pPr>
              <w:pStyle w:val="Compact"/>
              <w:spacing w:after="0" w:before="0" w:line="245" w:lineRule="auto"/>
              <w:jc w:val="left"/>
            </w:pPr>
            <w:r>
              <w:rPr>
                <w:b w:val="0"/>
                <w:color w:val="000000"/>
                <w:sz w:val="19"/>
              </w:rPr>
              <w:t xml:space="preserve">Leading cue length</w:t>
            </w:r>
            <w:r>
              <w:rPr>
                <w:b w:val="0"/>
                <w:color w:val="000000"/>
                <w:sz w:val="19"/>
              </w:rPr>
              <w:t xml:space="preserve"> </w:t>
            </w:r>
            <m:oMath>
              <m:r>
                <m:t>r</m:t>
              </m:r>
            </m:oMath>
          </w:p>
        </w:tc>
        <w:tc>
          <w:tcPr>
            <w:tcW w:type="dxa" w:w="2592"/>
            <w:vAlign w:val="center"/>
            <w:tcMar>
              <w:top w:w="85" w:type="dxa"/>
              <w:bottom w:w="85" w:type="dxa"/>
              <w:left w:w="100" w:type="dxa"/>
              <w:right w:w="100" w:type="dxa"/>
            </w:tcMar>
            <w:shd w:fill="F8F9FA" w:val="clear"/>
          </w:tcPr>
          <w:p>
            <w:pPr>
              <w:pStyle w:val="Compact"/>
              <w:spacing w:after="0" w:before="0" w:line="245" w:lineRule="auto"/>
              <w:jc w:val="left"/>
            </w:pPr>
            <w:r>
              <w:rPr>
                <w:b w:val="0"/>
                <w:color w:val="000000"/>
                <w:sz w:val="19"/>
              </w:rPr>
              <w:t xml:space="preserve">4 positions</w:t>
            </w:r>
          </w:p>
        </w:tc>
        <w:tc>
          <w:tcPr>
            <w:tcW w:type="dxa" w:w="4824"/>
            <w:vAlign w:val="center"/>
            <w:tcMar>
              <w:top w:w="85" w:type="dxa"/>
              <w:bottom w:w="85" w:type="dxa"/>
              <w:left w:w="100" w:type="dxa"/>
              <w:right w:w="100" w:type="dxa"/>
            </w:tcMar>
            <w:shd w:fill="F8F9FA" w:val="clear"/>
          </w:tcPr>
          <w:p>
            <w:pPr>
              <w:pStyle w:val="Compact"/>
              <w:spacing w:after="0" w:before="0" w:line="245" w:lineRule="auto"/>
              <w:jc w:val="left"/>
            </w:pPr>
            <w:r>
              <w:rPr>
                <w:b w:val="0"/>
                <w:color w:val="000000"/>
                <w:sz w:val="19"/>
              </w:rPr>
              <w:t xml:space="preserve">2 and 8</w:t>
            </w:r>
          </w:p>
        </w:tc>
      </w:tr>
      <w:tr>
        <w:trPr>
          <w:cantSplit/>
        </w:trPr>
        <w:tc>
          <w:tcPr>
            <w:tcW w:type="dxa" w:w="2376"/>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Active window</w:t>
            </w:r>
            <w:r>
              <w:rPr>
                <w:b w:val="0"/>
                <w:color w:val="000000"/>
                <w:sz w:val="19"/>
              </w:rPr>
              <w:t xml:space="preserve"> </w:t>
            </w:r>
            <m:oMath>
              <m:r>
                <m:t>w</m:t>
              </m:r>
            </m:oMath>
          </w:p>
        </w:tc>
        <w:tc>
          <w:tcPr>
            <w:tcW w:type="dxa" w:w="2592"/>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256 tokens</w:t>
            </w:r>
          </w:p>
        </w:tc>
        <w:tc>
          <w:tcPr>
            <w:tcW w:type="dxa" w:w="4824"/>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128 and 512</w:t>
            </w:r>
          </w:p>
        </w:tc>
      </w:tr>
      <w:tr>
        <w:trPr>
          <w:cantSplit/>
        </w:trPr>
        <w:tc>
          <w:tcPr>
            <w:tcW w:type="dxa" w:w="2376"/>
            <w:vAlign w:val="center"/>
            <w:tcMar>
              <w:top w:w="85" w:type="dxa"/>
              <w:bottom w:w="85" w:type="dxa"/>
              <w:left w:w="100" w:type="dxa"/>
              <w:right w:w="100" w:type="dxa"/>
            </w:tcMar>
            <w:shd w:fill="F8F9FA" w:val="clear"/>
          </w:tcPr>
          <w:p>
            <w:pPr>
              <w:pStyle w:val="Compact"/>
              <w:spacing w:after="0" w:before="0" w:line="245" w:lineRule="auto"/>
              <w:jc w:val="left"/>
            </w:pPr>
            <w:r>
              <w:rPr>
                <w:b w:val="0"/>
                <w:color w:val="000000"/>
                <w:sz w:val="19"/>
              </w:rPr>
              <w:t xml:space="preserve">Number of slots</w:t>
            </w:r>
            <w:r>
              <w:rPr>
                <w:b w:val="0"/>
                <w:color w:val="000000"/>
                <w:sz w:val="19"/>
              </w:rPr>
              <w:t xml:space="preserve"> </w:t>
            </w:r>
            <m:oMath>
              <m:r>
                <m:t>N</m:t>
              </m:r>
            </m:oMath>
          </w:p>
        </w:tc>
        <w:tc>
          <w:tcPr>
            <w:tcW w:type="dxa" w:w="2592"/>
            <w:vAlign w:val="center"/>
            <w:tcMar>
              <w:top w:w="85" w:type="dxa"/>
              <w:bottom w:w="85" w:type="dxa"/>
              <w:left w:w="100" w:type="dxa"/>
              <w:right w:w="100" w:type="dxa"/>
            </w:tcMar>
            <w:shd w:fill="F8F9FA" w:val="clear"/>
          </w:tcPr>
          <w:p>
            <w:pPr>
              <w:pStyle w:val="Compact"/>
              <w:spacing w:after="0" w:before="0" w:line="245" w:lineRule="auto"/>
              <w:jc w:val="left"/>
            </w:pPr>
            <w:r>
              <w:rPr>
                <w:b w:val="0"/>
                <w:color w:val="000000"/>
                <w:sz w:val="19"/>
              </w:rPr>
              <w:t xml:space="preserve">4,096</w:t>
            </w:r>
          </w:p>
        </w:tc>
        <w:tc>
          <w:tcPr>
            <w:tcW w:type="dxa" w:w="4824"/>
            <w:vAlign w:val="center"/>
            <w:tcMar>
              <w:top w:w="85" w:type="dxa"/>
              <w:bottom w:w="85" w:type="dxa"/>
              <w:left w:w="100" w:type="dxa"/>
              <w:right w:w="100" w:type="dxa"/>
            </w:tcMar>
            <w:shd w:fill="F8F9FA" w:val="clear"/>
          </w:tcPr>
          <w:p>
            <w:pPr>
              <w:pStyle w:val="Compact"/>
              <w:spacing w:after="0" w:before="0" w:line="245" w:lineRule="auto"/>
              <w:jc w:val="left"/>
            </w:pPr>
            <w:r>
              <w:rPr>
                <w:b w:val="0"/>
                <w:color w:val="000000"/>
                <w:sz w:val="19"/>
              </w:rPr>
              <w:t xml:space="preserve">1,024 and 16,384</w:t>
            </w:r>
          </w:p>
        </w:tc>
      </w:tr>
      <w:tr>
        <w:trPr>
          <w:cantSplit/>
        </w:trPr>
        <w:tc>
          <w:tcPr>
            <w:tcW w:type="dxa" w:w="2376"/>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Recalled entries</w:t>
            </w:r>
            <w:r>
              <w:rPr>
                <w:b w:val="0"/>
                <w:color w:val="000000"/>
                <w:sz w:val="19"/>
              </w:rPr>
              <w:t xml:space="preserve"> </w:t>
            </w:r>
            <m:oMath>
              <m:r>
                <m:t>k</m:t>
              </m:r>
            </m:oMath>
          </w:p>
        </w:tc>
        <w:tc>
          <w:tcPr>
            <w:tcW w:type="dxa" w:w="2592"/>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4</w:t>
            </w:r>
          </w:p>
        </w:tc>
        <w:tc>
          <w:tcPr>
            <w:tcW w:type="dxa" w:w="4824"/>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1 and 8</w:t>
            </w:r>
          </w:p>
        </w:tc>
      </w:tr>
      <w:tr>
        <w:trPr>
          <w:cantSplit/>
        </w:trPr>
        <w:tc>
          <w:tcPr>
            <w:tcW w:type="dxa" w:w="2376"/>
            <w:vAlign w:val="center"/>
            <w:tcMar>
              <w:top w:w="85" w:type="dxa"/>
              <w:bottom w:w="85" w:type="dxa"/>
              <w:left w:w="100" w:type="dxa"/>
              <w:right w:w="100" w:type="dxa"/>
            </w:tcMar>
            <w:shd w:fill="F8F9FA" w:val="clear"/>
          </w:tcPr>
          <w:p>
            <w:pPr>
              <w:pStyle w:val="Compact"/>
              <w:spacing w:after="0" w:before="0" w:line="245" w:lineRule="auto"/>
              <w:jc w:val="left"/>
            </w:pPr>
            <w:r>
              <w:rPr>
                <w:b w:val="0"/>
                <w:color w:val="000000"/>
                <w:sz w:val="19"/>
              </w:rPr>
              <w:t xml:space="preserve">Seed prior mass</w:t>
            </w:r>
            <w:r>
              <w:rPr>
                <w:b w:val="0"/>
                <w:color w:val="000000"/>
                <w:sz w:val="19"/>
              </w:rPr>
              <w:t xml:space="preserve"> </w:t>
            </w:r>
            <m:oMath>
              <m:r>
                <m:t>κ</m:t>
              </m:r>
            </m:oMath>
          </w:p>
        </w:tc>
        <w:tc>
          <w:tcPr>
            <w:tcW w:type="dxa" w:w="2592"/>
            <w:vAlign w:val="center"/>
            <w:tcMar>
              <w:top w:w="85" w:type="dxa"/>
              <w:bottom w:w="85" w:type="dxa"/>
              <w:left w:w="100" w:type="dxa"/>
              <w:right w:w="100" w:type="dxa"/>
            </w:tcMar>
            <w:shd w:fill="F8F9FA" w:val="clear"/>
          </w:tcPr>
          <w:p>
            <w:pPr>
              <w:pStyle w:val="Compact"/>
              <w:spacing w:after="0" w:before="0" w:line="245" w:lineRule="auto"/>
              <w:jc w:val="left"/>
            </w:pPr>
            <w:r>
              <w:rPr>
                <w:b w:val="0"/>
                <w:color w:val="000000"/>
                <w:sz w:val="19"/>
              </w:rPr>
              <w:t xml:space="preserve">0</w:t>
            </w:r>
          </w:p>
        </w:tc>
        <w:tc>
          <w:tcPr>
            <w:tcW w:type="dxa" w:w="4824"/>
            <w:vAlign w:val="center"/>
            <w:tcMar>
              <w:top w:w="85" w:type="dxa"/>
              <w:bottom w:w="85" w:type="dxa"/>
              <w:left w:w="100" w:type="dxa"/>
              <w:right w:w="100" w:type="dxa"/>
            </w:tcMar>
            <w:shd w:fill="F8F9FA" w:val="clear"/>
          </w:tcPr>
          <w:p>
            <w:pPr>
              <w:pStyle w:val="Compact"/>
              <w:spacing w:after="0" w:before="0" w:line="245" w:lineRule="auto"/>
              <w:jc w:val="left"/>
            </w:pPr>
            <w:r>
              <w:rPr>
                <w:b w:val="0"/>
                <w:color w:val="000000"/>
                <w:sz w:val="19"/>
              </w:rPr>
              <w:t xml:space="preserve">Declared positive prior masses</w:t>
            </w:r>
          </w:p>
        </w:tc>
      </w:tr>
      <w:tr>
        <w:trPr>
          <w:cantSplit/>
        </w:trPr>
        <w:tc>
          <w:tcPr>
            <w:tcW w:type="dxa" w:w="2376"/>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Initialization</w:t>
            </w:r>
          </w:p>
        </w:tc>
        <w:tc>
          <w:tcPr>
            <w:tcW w:type="dxa" w:w="2592"/>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Calibrated uniform</w:t>
            </w:r>
          </w:p>
        </w:tc>
        <w:tc>
          <w:tcPr>
            <w:tcW w:type="dxa" w:w="4824"/>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Raw uniform and data-seeded control</w:t>
            </w:r>
          </w:p>
        </w:tc>
      </w:tr>
      <w:tr>
        <w:trPr>
          <w:cantSplit/>
        </w:trPr>
        <w:tc>
          <w:tcPr>
            <w:tcW w:type="dxa" w:w="2376"/>
            <w:vAlign w:val="center"/>
            <w:tcMar>
              <w:top w:w="85" w:type="dxa"/>
              <w:bottom w:w="85" w:type="dxa"/>
              <w:left w:w="100" w:type="dxa"/>
              <w:right w:w="100" w:type="dxa"/>
            </w:tcMar>
            <w:shd w:fill="F8F9FA" w:val="clear"/>
          </w:tcPr>
          <w:p>
            <w:pPr>
              <w:pStyle w:val="Compact"/>
              <w:spacing w:after="0" w:before="0" w:line="245" w:lineRule="auto"/>
              <w:jc w:val="left"/>
            </w:pPr>
            <w:r>
              <w:rPr>
                <w:b w:val="0"/>
                <w:color w:val="000000"/>
                <w:sz w:val="19"/>
              </w:rPr>
              <w:t xml:space="preserve">Encoder change handling</w:t>
            </w:r>
          </w:p>
        </w:tc>
        <w:tc>
          <w:tcPr>
            <w:tcW w:type="dxa" w:w="2592"/>
            <w:vAlign w:val="center"/>
            <w:tcMar>
              <w:top w:w="85" w:type="dxa"/>
              <w:bottom w:w="85" w:type="dxa"/>
              <w:left w:w="100" w:type="dxa"/>
              <w:right w:w="100" w:type="dxa"/>
            </w:tcMar>
            <w:shd w:fill="F8F9FA" w:val="clear"/>
          </w:tcPr>
          <w:p>
            <w:pPr>
              <w:pStyle w:val="Compact"/>
              <w:spacing w:after="0" w:before="0" w:line="245" w:lineRule="auto"/>
              <w:jc w:val="left"/>
            </w:pPr>
            <w:r>
              <w:rPr>
                <w:b w:val="0"/>
                <w:color w:val="000000"/>
                <w:sz w:val="19"/>
              </w:rPr>
              <w:t xml:space="preserve">Periodic affine transport</w:t>
            </w:r>
          </w:p>
        </w:tc>
        <w:tc>
          <w:tcPr>
            <w:tcW w:type="dxa" w:w="4824"/>
            <w:vAlign w:val="center"/>
            <w:tcMar>
              <w:top w:w="85" w:type="dxa"/>
              <w:bottom w:w="85" w:type="dxa"/>
              <w:left w:w="100" w:type="dxa"/>
              <w:right w:w="100" w:type="dxa"/>
            </w:tcMar>
            <w:shd w:fill="F8F9FA" w:val="clear"/>
          </w:tcPr>
          <w:p>
            <w:pPr>
              <w:pStyle w:val="Compact"/>
              <w:spacing w:after="0" w:before="0" w:line="245" w:lineRule="auto"/>
              <w:jc w:val="left"/>
            </w:pPr>
            <w:r>
              <w:rPr>
                <w:b w:val="0"/>
                <w:color w:val="000000"/>
                <w:sz w:val="19"/>
              </w:rPr>
              <w:t xml:space="preserve">No transport and frozen intervals</w:t>
            </w:r>
          </w:p>
        </w:tc>
      </w:tr>
    </w:tbl>
    <w:bookmarkEnd w:id="56"/>
    <w:bookmarkStart w:id="57" w:name="workloads-that-expose-the-mechanism"/>
    <w:p>
      <w:pPr>
        <w:pStyle w:val="Heading2"/>
        <w:jc w:val="left"/>
      </w:pPr>
      <w:r>
        <w:rPr>
          <w:color w:val="000000"/>
        </w:rPr>
        <w:t xml:space="preserve">10.2 Workloads that expose the mechanism</w:t>
      </w:r>
    </w:p>
    <w:p>
      <w:pPr>
        <w:pStyle w:val="FirstParagraph"/>
        <w:jc w:val="both"/>
      </w:pPr>
      <w:r>
        <w:rPr>
          <w:color w:val="000000"/>
        </w:rPr>
        <w:t xml:space="preserve">Repeated-motif tasks test whether a few initial states retrieve a familiar continuation after the original occurrence has left the active cache. Shared-prefix tasks hold the cue fixed while changing a later branch variable. The branch variable is either supplied through an additional cue or withheld, allowing comparison with the information limit. Position-shift tasks present equivalent procedures at different context offsets and after different irrelevant preceding material.</w:t>
      </w:r>
    </w:p>
    <w:p>
      <w:pPr>
        <w:pStyle w:val="BodyText"/>
        <w:jc w:val="both"/>
      </w:pPr>
      <w:r>
        <w:rPr>
          <w:color w:val="000000"/>
        </w:rPr>
        <w:t xml:space="preserve">One-shot tasks insert a unique key, exception, or instruction exactly once and query it only after it leaves the working window. Report whether that event was admitted, merged, rejected, or retained as an exception. A failure should be attributed to the actual operation rather than to rarity alone. Drift tasks change encoder coordinates while keeping underlying task identities fixed; separate tests change the task distribution while holding the encoder fixed. These conditions distinguish representational drift from a genuine change in the world.</w:t>
      </w:r>
    </w:p>
    <w:p>
      <w:pPr>
        <w:pStyle w:val="BodyText"/>
        <w:jc w:val="both"/>
      </w:pPr>
      <w:r>
        <w:rPr>
          <w:color w:val="000000"/>
        </w:rPr>
        <w:t xml:space="preserve">For a construction-oriented benchmark, generate repeated inspection or calculation procedures with controlled changes in component identity, numerical values, units, and release conditions. Two histories may share a routine opening yet differ in the final permitted action. Ground truth is determined by the generator’s explicit rules. These are synthetic reasoning tasks, not validated engineering designs or evidence of performance on live projects.</w:t>
      </w:r>
    </w:p>
    <w:bookmarkEnd w:id="57"/>
    <w:bookmarkStart w:id="58" w:name="baselines-and-ablations"/>
    <w:p>
      <w:pPr>
        <w:pStyle w:val="Heading2"/>
        <w:jc w:val="left"/>
      </w:pPr>
      <w:r>
        <w:rPr>
          <w:color w:val="000000"/>
        </w:rPr>
        <w:t xml:space="preserve">10.3 Baselines and ablations</w:t>
      </w:r>
    </w:p>
    <w:p>
      <w:pPr>
        <w:pStyle w:val="FirstParagraph"/>
        <w:jc w:val="both"/>
      </w:pPr>
      <w:r>
        <w:rPr>
          <w:color w:val="000000"/>
        </w:rPr>
        <w:t xml:space="preserve">Compare a full-context reference, a bounded-window model without external memory, an unmerged episodic bank with the same total storage, and the proposed prototype bank. Add a retrieval-only baseline with comparable indexing and selected-token budget. Where architectures permit meaningful matching, include compressed activation and clustered-cache baselines from the related work. Report unmatched differences rather than forcing a misleading single ranking.</w:t>
      </w:r>
    </w:p>
    <w:p>
      <w:pPr>
        <w:pStyle w:val="BodyText"/>
        <w:jc w:val="both"/>
      </w:pPr>
      <w:r>
        <w:rPr>
          <w:color w:val="000000"/>
        </w:rPr>
        <w:t xml:space="preserve">Within the proposed architecture, ablate random versus data-derived initialization; memory from the start versus a retrofitted interface; strict versus scheduled seed admission; continuation checks; functional validation; transport; and an episodic exception store. Compare the exact running mean with an exemplar, a recency-weighted estimator, and multiple prototypes per ambiguous cue. The data-seeded and reset variants explicitly relax the random-initialization commitment and must be labelled accordingly.</w:t>
      </w:r>
    </w:p>
    <w:p>
      <w:pPr>
        <w:pStyle w:val="BodyText"/>
        <w:jc w:val="both"/>
      </w:pPr>
      <w:r>
        <w:rPr>
          <w:color w:val="000000"/>
        </w:rPr>
        <w:t xml:space="preserve">Two interventions test whether memory is actually used: mask recalled histories while retaining the trained backbone, and shuffle the mapping between cues and payloads while preserving the memory budget and marginal distributions. A model whose predictions do not change on memory-dependent tasks has not demonstrated useful consolidation merely because its bank is populated.</w:t>
      </w:r>
    </w:p>
    <w:bookmarkEnd w:id="58"/>
    <w:bookmarkStart w:id="59" w:name="measurements-and-decision-criteria"/>
    <w:p>
      <w:pPr>
        <w:pStyle w:val="Heading2"/>
        <w:jc w:val="left"/>
      </w:pPr>
      <w:r>
        <w:rPr>
          <w:color w:val="000000"/>
        </w:rPr>
        <w:t xml:space="preserve">10.4 Measurements and decision criteria</w:t>
      </w:r>
    </w:p>
    <w:p>
      <w:pPr>
        <w:pStyle w:val="FirstParagraph"/>
        <w:jc w:val="both"/>
      </w:pPr>
      <w:r>
        <w:rPr>
          <w:color w:val="000000"/>
        </w:rPr>
        <w:t xml:space="preserve">Measure task accuracy or loss, active KV bytes, total persistent bytes, retrieval latency, amortized write cost, transport cost, and functional merge error. Plot rolling write utilisation and read utilisation against pre-training step, with dispersion across random seeds. Also report task-relevant coverage, since uniformly spreading assignments across redundant entries can inflate utilisation without improving memory.</w:t>
      </w:r>
    </w:p>
    <w:p>
      <w:pPr>
        <w:pStyle w:val="BodyText"/>
        <w:jc w:val="both"/>
      </w:pPr>
      <w:r>
        <w:rPr>
          <w:color w:val="000000"/>
        </w:rPr>
        <w:t xml:space="preserve">The central truncation measure is the smallest active window at which the model satisfies a declared performance tolerance. Its improvement must be reported with total storage and computation, not as an isolated percentage of removed tokens. Cue-length curves are conditioned on shared-prefix ambiguity and task-relevant branch entropy. There is no universal degradation rate determined only by the number of cue positions.</w:t>
      </w:r>
    </w:p>
    <w:p>
      <w:pPr>
        <w:pStyle w:val="BodyText"/>
        <w:keepNext/>
        <w:spacing w:before="140" w:after="100"/>
        <w:jc w:val="both"/>
      </w:pPr>
      <w:r>
        <w:rPr>
          <w:bCs/>
          <w:b/>
          <w:color w:val="000000"/>
          <w:sz w:val="19"/>
        </w:rPr>
        <w:t xml:space="preserve">Table 5. Main predictions and conditions that would reject them.</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650"/>
        <w:gridCol w:w="3082"/>
        <w:gridCol w:w="4061"/>
      </w:tblGrid>
      <w:tr>
        <w:trPr>
          <w:tblHeader w:val="true"/>
          <w:cantSplit/>
          <w:tblHeader w:val="true"/>
        </w:trPr>
        <w:tc>
          <w:tcPr>
            <w:tcW w:type="dxa" w:w="2650"/>
            <w:vAlign w:val="center"/>
            <w:tcMar>
              <w:top w:w="85" w:type="dxa"/>
              <w:bottom w:w="85" w:type="dxa"/>
              <w:left w:w="100" w:type="dxa"/>
              <w:right w:w="100" w:type="dxa"/>
            </w:tcMar>
            <w:shd w:fill="E8EDF1" w:val="clear"/>
          </w:tcPr>
          <w:p>
            <w:pPr>
              <w:pStyle w:val="Compact"/>
              <w:spacing w:after="0" w:before="0" w:line="245" w:lineRule="auto"/>
              <w:jc w:val="left"/>
            </w:pPr>
            <w:r>
              <w:rPr>
                <w:b/>
                <w:color w:val="000000"/>
                <w:sz w:val="19"/>
              </w:rPr>
              <w:t xml:space="preserve">Prediction</w:t>
            </w:r>
          </w:p>
        </w:tc>
        <w:tc>
          <w:tcPr>
            <w:tcW w:type="dxa" w:w="3082"/>
            <w:vAlign w:val="center"/>
            <w:tcMar>
              <w:top w:w="85" w:type="dxa"/>
              <w:bottom w:w="85" w:type="dxa"/>
              <w:left w:w="100" w:type="dxa"/>
              <w:right w:w="100" w:type="dxa"/>
            </w:tcMar>
            <w:shd w:fill="E8EDF1" w:val="clear"/>
          </w:tcPr>
          <w:p>
            <w:pPr>
              <w:pStyle w:val="Compact"/>
              <w:spacing w:after="0" w:before="0" w:line="245" w:lineRule="auto"/>
              <w:jc w:val="left"/>
            </w:pPr>
            <w:r>
              <w:rPr>
                <w:b/>
                <w:color w:val="000000"/>
                <w:sz w:val="19"/>
              </w:rPr>
              <w:t xml:space="preserve">Controlled test</w:t>
            </w:r>
          </w:p>
        </w:tc>
        <w:tc>
          <w:tcPr>
            <w:tcW w:type="dxa" w:w="4061"/>
            <w:vAlign w:val="center"/>
            <w:tcMar>
              <w:top w:w="85" w:type="dxa"/>
              <w:bottom w:w="85" w:type="dxa"/>
              <w:left w:w="100" w:type="dxa"/>
              <w:right w:w="100" w:type="dxa"/>
            </w:tcMar>
            <w:shd w:fill="E8EDF1" w:val="clear"/>
          </w:tcPr>
          <w:p>
            <w:pPr>
              <w:pStyle w:val="Compact"/>
              <w:spacing w:after="0" w:before="0" w:line="245" w:lineRule="auto"/>
              <w:jc w:val="left"/>
            </w:pPr>
            <w:r>
              <w:rPr>
                <w:b/>
                <w:color w:val="000000"/>
                <w:sz w:val="19"/>
              </w:rPr>
              <w:t xml:space="preserve">Evidence against the prediction</w:t>
            </w:r>
          </w:p>
        </w:tc>
      </w:tr>
      <w:tr>
        <w:trPr>
          <w:cantSplit/>
        </w:trPr>
        <w:tc>
          <w:tcPr>
            <w:tcW w:type="dxa" w:w="2650"/>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Consolidation reduces required active history</w:t>
            </w:r>
          </w:p>
        </w:tc>
        <w:tc>
          <w:tcPr>
            <w:tcW w:type="dxa" w:w="3082"/>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Truncate context at matched task performance</w:t>
            </w:r>
          </w:p>
        </w:tc>
        <w:tc>
          <w:tcPr>
            <w:tcW w:type="dxa" w:w="4061"/>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No window reduction after charging retrieval and errors</w:t>
            </w:r>
          </w:p>
        </w:tc>
      </w:tr>
      <w:tr>
        <w:trPr>
          <w:cantSplit/>
        </w:trPr>
        <w:tc>
          <w:tcPr>
            <w:tcW w:type="dxa" w:w="2650"/>
            <w:vAlign w:val="center"/>
            <w:tcMar>
              <w:top w:w="85" w:type="dxa"/>
              <w:bottom w:w="85" w:type="dxa"/>
              <w:left w:w="100" w:type="dxa"/>
              <w:right w:w="100" w:type="dxa"/>
            </w:tcMar>
            <w:shd w:fill="F8F9FA" w:val="clear"/>
          </w:tcPr>
          <w:p>
            <w:pPr>
              <w:pStyle w:val="Compact"/>
              <w:spacing w:after="0" w:before="0" w:line="245" w:lineRule="auto"/>
              <w:jc w:val="left"/>
            </w:pPr>
            <w:r>
              <w:rPr>
                <w:b w:val="0"/>
                <w:color w:val="000000"/>
                <w:sz w:val="19"/>
              </w:rPr>
              <w:t xml:space="preserve">Short cues recover useful histories</w:t>
            </w:r>
          </w:p>
        </w:tc>
        <w:tc>
          <w:tcPr>
            <w:tcW w:type="dxa" w:w="3082"/>
            <w:vAlign w:val="center"/>
            <w:tcMar>
              <w:top w:w="85" w:type="dxa"/>
              <w:bottom w:w="85" w:type="dxa"/>
              <w:left w:w="100" w:type="dxa"/>
              <w:right w:w="100" w:type="dxa"/>
            </w:tcMar>
            <w:shd w:fill="F8F9FA" w:val="clear"/>
          </w:tcPr>
          <w:p>
            <w:pPr>
              <w:pStyle w:val="Compact"/>
              <w:spacing w:after="0" w:before="0" w:line="245" w:lineRule="auto"/>
              <w:jc w:val="left"/>
            </w:pPr>
            <w:r>
              <w:rPr>
                <w:b w:val="0"/>
                <w:color w:val="000000"/>
                <w:sz w:val="19"/>
              </w:rPr>
              <w:t xml:space="preserve">Vary cue length and branch ambiguity</w:t>
            </w:r>
          </w:p>
        </w:tc>
        <w:tc>
          <w:tcPr>
            <w:tcW w:type="dxa" w:w="4061"/>
            <w:vAlign w:val="center"/>
            <w:tcMar>
              <w:top w:w="85" w:type="dxa"/>
              <w:bottom w:w="85" w:type="dxa"/>
              <w:left w:w="100" w:type="dxa"/>
              <w:right w:w="100" w:type="dxa"/>
            </w:tcMar>
            <w:shd w:fill="F8F9FA" w:val="clear"/>
          </w:tcPr>
          <w:p>
            <w:pPr>
              <w:pStyle w:val="Compact"/>
              <w:spacing w:after="0" w:before="0" w:line="245" w:lineRule="auto"/>
              <w:jc w:val="left"/>
            </w:pPr>
            <w:r>
              <w:rPr>
                <w:b w:val="0"/>
                <w:color w:val="000000"/>
                <w:sz w:val="19"/>
              </w:rPr>
              <w:t xml:space="preserve">Recall remains unreliable even for distinguishable learned motifs</w:t>
            </w:r>
          </w:p>
        </w:tc>
      </w:tr>
      <w:tr>
        <w:trPr>
          <w:cantSplit/>
        </w:trPr>
        <w:tc>
          <w:tcPr>
            <w:tcW w:type="dxa" w:w="2650"/>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Pre-training makes memory operational</w:t>
            </w:r>
          </w:p>
        </w:tc>
        <w:tc>
          <w:tcPr>
            <w:tcW w:type="dxa" w:w="3082"/>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Compare joint and retrofitted interfaces</w:t>
            </w:r>
          </w:p>
        </w:tc>
        <w:tc>
          <w:tcPr>
            <w:tcW w:type="dxa" w:w="4061"/>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No task or efficiency benefit at matched resources</w:t>
            </w:r>
          </w:p>
        </w:tc>
      </w:tr>
      <w:tr>
        <w:trPr>
          <w:cantSplit/>
        </w:trPr>
        <w:tc>
          <w:tcPr>
            <w:tcW w:type="dxa" w:w="2650"/>
            <w:vAlign w:val="center"/>
            <w:tcMar>
              <w:top w:w="85" w:type="dxa"/>
              <w:bottom w:w="85" w:type="dxa"/>
              <w:left w:w="100" w:type="dxa"/>
              <w:right w:w="100" w:type="dxa"/>
            </w:tcMar>
            <w:shd w:fill="F8F9FA" w:val="clear"/>
          </w:tcPr>
          <w:p>
            <w:pPr>
              <w:pStyle w:val="Compact"/>
              <w:spacing w:after="0" w:before="0" w:line="245" w:lineRule="auto"/>
              <w:jc w:val="left"/>
            </w:pPr>
            <w:r>
              <w:rPr>
                <w:b w:val="0"/>
                <w:color w:val="000000"/>
                <w:sz w:val="19"/>
              </w:rPr>
              <w:t xml:space="preserve">The repertoire remains reachable</w:t>
            </w:r>
          </w:p>
        </w:tc>
        <w:tc>
          <w:tcPr>
            <w:tcW w:type="dxa" w:w="3082"/>
            <w:vAlign w:val="center"/>
            <w:tcMar>
              <w:top w:w="85" w:type="dxa"/>
              <w:bottom w:w="85" w:type="dxa"/>
              <w:left w:w="100" w:type="dxa"/>
              <w:right w:w="100" w:type="dxa"/>
            </w:tcMar>
            <w:shd w:fill="F8F9FA" w:val="clear"/>
          </w:tcPr>
          <w:p>
            <w:pPr>
              <w:pStyle w:val="Compact"/>
              <w:spacing w:after="0" w:before="0" w:line="245" w:lineRule="auto"/>
              <w:jc w:val="left"/>
            </w:pPr>
            <w:r>
              <w:rPr>
                <w:b w:val="0"/>
                <w:color w:val="000000"/>
                <w:sz w:val="19"/>
              </w:rPr>
              <w:t xml:space="preserve">Rolling utilisation on a diverse fixed workload</w:t>
            </w:r>
          </w:p>
        </w:tc>
        <w:tc>
          <w:tcPr>
            <w:tcW w:type="dxa" w:w="4061"/>
            <w:vAlign w:val="center"/>
            <w:tcMar>
              <w:top w:w="85" w:type="dxa"/>
              <w:bottom w:w="85" w:type="dxa"/>
              <w:left w:w="100" w:type="dxa"/>
              <w:right w:w="100" w:type="dxa"/>
            </w:tcMar>
            <w:shd w:fill="F8F9FA" w:val="clear"/>
          </w:tcPr>
          <w:p>
            <w:pPr>
              <w:pStyle w:val="Compact"/>
              <w:spacing w:after="0" w:before="0" w:line="245" w:lineRule="auto"/>
              <w:jc w:val="left"/>
            </w:pPr>
            <w:r>
              <w:rPr>
                <w:b w:val="0"/>
                <w:color w:val="000000"/>
                <w:sz w:val="19"/>
              </w:rPr>
              <w:t xml:space="preserve">Coverage declines with encoder drift despite the stabilizer</w:t>
            </w:r>
          </w:p>
        </w:tc>
      </w:tr>
      <w:tr>
        <w:trPr>
          <w:cantSplit/>
        </w:trPr>
        <w:tc>
          <w:tcPr>
            <w:tcW w:type="dxa" w:w="2650"/>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Functional gates prevent harmful averaging</w:t>
            </w:r>
          </w:p>
        </w:tc>
        <w:tc>
          <w:tcPr>
            <w:tcW w:type="dxa" w:w="3082"/>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Rare consequence changes at similar vector distance</w:t>
            </w:r>
          </w:p>
        </w:tc>
        <w:tc>
          <w:tcPr>
            <w:tcW w:type="dxa" w:w="4061"/>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Low geometric error still produces unacceptable decision errors</w:t>
            </w:r>
          </w:p>
        </w:tc>
      </w:tr>
      <w:tr>
        <w:trPr>
          <w:cantSplit/>
        </w:trPr>
        <w:tc>
          <w:tcPr>
            <w:tcW w:type="dxa" w:w="2650"/>
            <w:vAlign w:val="center"/>
            <w:tcMar>
              <w:top w:w="85" w:type="dxa"/>
              <w:bottom w:w="85" w:type="dxa"/>
              <w:left w:w="100" w:type="dxa"/>
              <w:right w:w="100" w:type="dxa"/>
            </w:tcMar>
            <w:shd w:fill="F8F9FA" w:val="clear"/>
          </w:tcPr>
          <w:p>
            <w:pPr>
              <w:pStyle w:val="Compact"/>
              <w:spacing w:after="0" w:before="0" w:line="245" w:lineRule="auto"/>
              <w:jc w:val="left"/>
            </w:pPr>
            <w:r>
              <w:rPr>
                <w:b w:val="0"/>
                <w:color w:val="000000"/>
                <w:sz w:val="19"/>
              </w:rPr>
              <w:t xml:space="preserve">Exceptions require preserved distinctions</w:t>
            </w:r>
          </w:p>
        </w:tc>
        <w:tc>
          <w:tcPr>
            <w:tcW w:type="dxa" w:w="3082"/>
            <w:vAlign w:val="center"/>
            <w:tcMar>
              <w:top w:w="85" w:type="dxa"/>
              <w:bottom w:w="85" w:type="dxa"/>
              <w:left w:w="100" w:type="dxa"/>
              <w:right w:w="100" w:type="dxa"/>
            </w:tcMar>
            <w:shd w:fill="F8F9FA" w:val="clear"/>
          </w:tcPr>
          <w:p>
            <w:pPr>
              <w:pStyle w:val="Compact"/>
              <w:spacing w:after="0" w:before="0" w:line="245" w:lineRule="auto"/>
              <w:jc w:val="left"/>
            </w:pPr>
            <w:r>
              <w:rPr>
                <w:b w:val="0"/>
                <w:color w:val="000000"/>
                <w:sz w:val="19"/>
              </w:rPr>
              <w:t xml:space="preserve">Query rejected one-off information after eviction</w:t>
            </w:r>
          </w:p>
        </w:tc>
        <w:tc>
          <w:tcPr>
            <w:tcW w:type="dxa" w:w="4061"/>
            <w:vAlign w:val="center"/>
            <w:tcMar>
              <w:top w:w="85" w:type="dxa"/>
              <w:bottom w:w="85" w:type="dxa"/>
              <w:left w:w="100" w:type="dxa"/>
              <w:right w:w="100" w:type="dxa"/>
            </w:tcMar>
            <w:shd w:fill="F8F9FA" w:val="clear"/>
          </w:tcPr>
          <w:p>
            <w:pPr>
              <w:pStyle w:val="Compact"/>
              <w:spacing w:after="0" w:before="0" w:line="245" w:lineRule="auto"/>
              <w:jc w:val="left"/>
            </w:pPr>
            <w:r>
              <w:rPr>
                <w:b w:val="0"/>
                <w:color w:val="000000"/>
                <w:sz w:val="19"/>
              </w:rPr>
              <w:t xml:space="preserve">Claimed success disappears when leakage and alternate records are removed</w:t>
            </w:r>
          </w:p>
        </w:tc>
      </w:tr>
    </w:tbl>
    <w:p>
      <w:pPr>
        <w:pStyle w:val="BodyText"/>
        <w:jc w:val="both"/>
      </w:pPr>
      <w:r>
        <w:rPr>
          <w:color w:val="000000"/>
        </w:rPr>
        <w:t xml:space="preserve">The last row is an information-consistency check, not a prediction that every single occurrence must be forgotten. Likewise, declining bank utilisation rejects a particular configuration only when the task requires the missing distinctions and an appropriate reference can use the available capacity. It does not prove that all random initialization is untenable.</w:t>
      </w:r>
    </w:p>
    <w:bookmarkEnd w:id="59"/>
    <w:bookmarkStart w:id="60" w:name="causality-and-reproducibility"/>
    <w:p>
      <w:pPr>
        <w:pStyle w:val="Heading2"/>
        <w:jc w:val="left"/>
      </w:pPr>
      <w:r>
        <w:rPr>
          <w:color w:val="000000"/>
        </w:rPr>
        <w:t xml:space="preserve">10.5 Causality and reproducibility</w:t>
      </w:r>
    </w:p>
    <w:p>
      <w:pPr>
        <w:pStyle w:val="FirstParagraph"/>
        <w:jc w:val="both"/>
      </w:pPr>
      <w:r>
        <w:rPr>
          <w:color w:val="000000"/>
        </w:rPr>
        <w:t xml:space="preserve">Separate pre-training, validation, and held-out evaluation episodes. Preserve an identical starting bank snapshot for each comparison within a test. During evaluation, allow only writes from observations already revealed by the test protocol; no target answer or future suffix may enter the bank before it is queried. Deduplicate train-test overlaps where they would turn a novel-history test into retrieval of a known answer.</w:t>
      </w:r>
    </w:p>
    <w:p>
      <w:pPr>
        <w:pStyle w:val="BodyText"/>
        <w:jc w:val="both"/>
      </w:pPr>
      <w:r>
        <w:rPr>
          <w:color w:val="000000"/>
        </w:rPr>
        <w:t xml:space="preserve">Publish the segmentation rule, random seeds, synthetic calibration distribution, initialization transform, gate schedules, transport cadence, and all memory-state update semantics. Record a compact event log containing entry identity, version, acceptance or rejection, and count changes. A provenance requirement should be tested with an explicit provenance target and budget. Averaging alone cannot preserve arbitrary source identities.</w:t>
      </w:r>
    </w:p>
    <w:p>
      <w:pPr>
        <w:pStyle w:val="BodyText"/>
        <w:jc w:val="both"/>
      </w:pPr>
      <w:r>
        <w:rPr>
          <w:color w:val="000000"/>
        </w:rPr>
        <w:t xml:space="preserve">For the biological analogy, a corresponding analysis must compare sequence matching with rate-preserving and temporally constrained stochastic nulls, account for multiple comparisons, and test generalization across held-out events or neurons. The computational architecture can motivate those analyses, but its performance is not a substitute for them.</w:t>
      </w:r>
    </w:p>
    <w:bookmarkEnd w:id="60"/>
    <w:bookmarkEnd w:id="61"/>
    <w:bookmarkStart w:id="62" w:name="limitations-and-scope"/>
    <w:p>
      <w:pPr>
        <w:pStyle w:val="Heading1"/>
        <w:jc w:val="left"/>
      </w:pPr>
      <w:r>
        <w:rPr>
          <w:color w:val="000000"/>
        </w:rPr>
        <w:t xml:space="preserve">11 Limitations and scope</w:t>
      </w:r>
    </w:p>
    <w:p>
      <w:pPr>
        <w:pStyle w:val="FirstParagraph"/>
        <w:jc w:val="both"/>
      </w:pPr>
      <w:r>
        <w:rPr>
          <w:color w:val="000000"/>
        </w:rPr>
        <w:t xml:space="preserve">The architecture depends on recurring task structure. When histories are mostly unique, the bank must either grow, reject information, or lose distinctions. A fixed finite-precision memory cannot support exact recall of arbitrarily many independently chosen episodes. Compression benefits therefore depend on the task family and the distribution of reusable motifs.</w:t>
      </w:r>
    </w:p>
    <w:p>
      <w:pPr>
        <w:pStyle w:val="BodyText"/>
        <w:jc w:val="both"/>
      </w:pPr>
      <w:r>
        <w:rPr>
          <w:color w:val="000000"/>
        </w:rPr>
        <w:t xml:space="preserve">The random repertoire is an optimization and capacity commitment. It does not provide factual knowledge before experience, guarantee coverage, or eliminate the need for an admission policy. With zero prior mass, seeds are overwritten at first accepted assignment. With positive prior mass, early memories are biased by initialization. Both versions require separate evaluation.</w:t>
      </w:r>
    </w:p>
    <w:p>
      <w:pPr>
        <w:pStyle w:val="BodyText"/>
        <w:jc w:val="both"/>
      </w:pPr>
      <w:r>
        <w:rPr>
          <w:color w:val="000000"/>
        </w:rPr>
        <w:t xml:space="preserve">Joint pre-training may produce representations that are easier to consolidate, but it can also hide lost information in an enlarged backbone or encourage the model to ignore the bank. Parameter, computation, and memory matching are necessary to attribute an advantage to the proposed mechanism. Transport approximates a moving coordinate system; functional tests approximate the relevant future tasks. Neither is a universal correctness certificate.</w:t>
      </w:r>
    </w:p>
    <w:p>
      <w:pPr>
        <w:pStyle w:val="BodyText"/>
        <w:jc w:val="both"/>
      </w:pPr>
      <w:r>
        <w:rPr>
          <w:color w:val="000000"/>
        </w:rPr>
        <w:t xml:space="preserve">Biological memory is heterogeneous. Pattern completion, abstraction, skilled action, and episodic recollection need not share one storage rule. The gain recurrence and prototype averaging are mathematical models. Myelination and preplay supply constrained research analogies, not identified implementations of the algorithm. A claim about the evolutionary purpose of memory would require additional comparative and causal evidence beyond this paper.</w:t>
      </w:r>
    </w:p>
    <w:bookmarkEnd w:id="62"/>
    <w:bookmarkStart w:id="63" w:name="conclusion"/>
    <w:p>
      <w:pPr>
        <w:pStyle w:val="Heading1"/>
        <w:jc w:val="left"/>
      </w:pPr>
      <w:r>
        <w:rPr>
          <w:color w:val="000000"/>
        </w:rPr>
        <w:t xml:space="preserve">12 Conclusion</w:t>
      </w:r>
    </w:p>
    <w:p>
      <w:pPr>
        <w:pStyle w:val="FirstParagraph"/>
        <w:jc w:val="both"/>
      </w:pPr>
      <w:r>
        <w:rPr>
          <w:color w:val="000000"/>
        </w:rPr>
        <w:t xml:space="preserve">Long-term memory can be studied through the historical context it enables an active workspace to release. The proposed Transformer realizes that objective with cue-addressed trajectory prototypes, count-based consolidation, and a memory interface present throughout pre-training. A random repertoire fixes the available slots in advance, while observed assignments establish which entries have acquired evidential support.</w:t>
      </w:r>
    </w:p>
    <w:p>
      <w:pPr>
        <w:pStyle w:val="BodyText"/>
        <w:jc w:val="both"/>
      </w:pPr>
      <w:r>
        <w:rPr>
          <w:color w:val="000000"/>
        </w:rPr>
        <w:t xml:space="preserve">The analysis identifies conditions that the implementation must satisfy. Initial randomness needs a specified geometry. Strict matching needs a viable first-assignment process. Functional similarity must constrain destructive averaging. A moving encoder requires version-aware maintenance of stored representations, and ambiguous cues require additional distinguishing information. The exact gain formulation shows how accumulated experience can reside in an update sensitivity, while leaving its biological realization open.</w:t>
      </w:r>
    </w:p>
    <w:p>
      <w:pPr>
        <w:pStyle w:val="BodyText"/>
        <w:jc w:val="both"/>
      </w:pPr>
      <w:r>
        <w:rPr>
          <w:color w:val="000000"/>
        </w:rPr>
        <w:t xml:space="preserve">The decisive evaluation is whether these mechanisms reduce the active history required for a declared family of tasks at matched performance and fully reported resource cost. Sustained utilisation, correct handling of consequential exceptions, and resistance to context and coordinate changes are necessary parts of that evaluation. The paper establishes the formulation and analytical constraints; the proposed pre-training experiments determine whether the architecture achieves the intended reduction.</w:t>
      </w:r>
    </w:p>
    <w:bookmarkEnd w:id="63"/>
    <w:bookmarkStart w:id="84" w:name="references"/>
    <w:p>
      <w:pPr>
        <w:pStyle w:val="Heading1"/>
        <w:jc w:val="left"/>
      </w:pPr>
      <w:r>
        <w:rPr>
          <w:color w:val="000000"/>
        </w:rPr>
        <w:t xml:space="preserve">References</w:t>
      </w:r>
    </w:p>
    <w:p>
      <w:pPr>
        <w:pStyle w:val="FirstParagraph"/>
        <w:keepLines/>
        <w:spacing w:line="252" w:lineRule="auto" w:after="120"/>
        <w:ind w:left="403" w:hanging="403"/>
        <w:jc w:val="both"/>
      </w:pPr>
      <w:r>
        <w:rPr>
          <w:color w:val="000000"/>
          <w:sz w:val="19"/>
        </w:rPr>
        <w:t xml:space="preserve">[1] Vaswani, A., Shazeer, N., Parmar, N., Uszkoreit, J., Jones, L., Gomez, A. N., Kaiser, Ł., and Polosukhin, I. (2017). Attention Is All You Need.</w:t>
      </w:r>
      <w:r>
        <w:rPr>
          <w:color w:val="000000"/>
          <w:sz w:val="19"/>
        </w:rPr>
        <w:t xml:space="preserve"> </w:t>
      </w:r>
      <w:r>
        <w:rPr>
          <w:iCs/>
          <w:i/>
          <w:color w:val="000000"/>
          <w:sz w:val="19"/>
        </w:rPr>
        <w:t xml:space="preserve">Advances in Neural Information Processing Systems</w:t>
      </w:r>
      <w:r>
        <w:rPr>
          <w:color w:val="000000"/>
          <w:sz w:val="19"/>
        </w:rPr>
        <w:t xml:space="preserve">, 30.</w:t>
      </w:r>
      <w:r>
        <w:rPr>
          <w:color w:val="000000"/>
          <w:sz w:val="19"/>
        </w:rPr>
        <w:t xml:space="preserve"> </w:t>
      </w:r>
      <w:hyperlink r:id="rId64">
        <w:r>
          <w:rPr>
            <w:rStyle w:val="Hyperlink"/>
          </w:rPr>
          <w:t xml:space="preserve">arXiv:1706.03762</w:t>
        </w:r>
      </w:hyperlink>
      <w:r>
        <w:rPr>
          <w:color w:val="000000"/>
          <w:sz w:val="19"/>
        </w:rPr>
        <w:t xml:space="preserve">.</w:t>
      </w:r>
    </w:p>
    <w:p>
      <w:pPr>
        <w:pStyle w:val="BodyText"/>
        <w:keepLines/>
        <w:spacing w:line="252" w:lineRule="auto" w:after="120"/>
        <w:ind w:left="403" w:hanging="403"/>
        <w:jc w:val="both"/>
      </w:pPr>
      <w:r>
        <w:rPr>
          <w:color w:val="000000"/>
          <w:sz w:val="19"/>
        </w:rPr>
        <w:t xml:space="preserve">[2] Rae, J. W., Potapenko, A., Jayakumar, S. M., and Lillicrap, T. P. (2020). Compressive Transformers for Long-Range Sequence Modelling.</w:t>
      </w:r>
      <w:r>
        <w:rPr>
          <w:color w:val="000000"/>
          <w:sz w:val="19"/>
        </w:rPr>
        <w:t xml:space="preserve"> </w:t>
      </w:r>
      <w:r>
        <w:rPr>
          <w:iCs/>
          <w:i/>
          <w:color w:val="000000"/>
          <w:sz w:val="19"/>
        </w:rPr>
        <w:t xml:space="preserve">International Conference on Learning Representations</w:t>
      </w:r>
      <w:r>
        <w:rPr>
          <w:color w:val="000000"/>
          <w:sz w:val="19"/>
        </w:rPr>
        <w:t xml:space="preserve">.</w:t>
      </w:r>
      <w:r>
        <w:rPr>
          <w:color w:val="000000"/>
          <w:sz w:val="19"/>
        </w:rPr>
        <w:t xml:space="preserve"> </w:t>
      </w:r>
      <w:hyperlink r:id="rId65">
        <w:r>
          <w:rPr>
            <w:rStyle w:val="Hyperlink"/>
          </w:rPr>
          <w:t xml:space="preserve">arXiv:1911.05507</w:t>
        </w:r>
      </w:hyperlink>
      <w:r>
        <w:rPr>
          <w:color w:val="000000"/>
          <w:sz w:val="19"/>
        </w:rPr>
        <w:t xml:space="preserve">.</w:t>
      </w:r>
    </w:p>
    <w:p>
      <w:pPr>
        <w:pStyle w:val="BodyText"/>
        <w:keepLines/>
        <w:spacing w:line="252" w:lineRule="auto" w:after="120"/>
        <w:ind w:left="403" w:hanging="403"/>
        <w:jc w:val="both"/>
      </w:pPr>
      <w:r>
        <w:rPr>
          <w:color w:val="000000"/>
          <w:sz w:val="19"/>
        </w:rPr>
        <w:t xml:space="preserve">[3] Wu, Y., Rabe, M. N., Hutchins, D., and Szegedy, C. (2022). Memorizing Transformers.</w:t>
      </w:r>
      <w:r>
        <w:rPr>
          <w:color w:val="000000"/>
          <w:sz w:val="19"/>
        </w:rPr>
        <w:t xml:space="preserve"> </w:t>
      </w:r>
      <w:r>
        <w:rPr>
          <w:iCs/>
          <w:i/>
          <w:color w:val="000000"/>
          <w:sz w:val="19"/>
        </w:rPr>
        <w:t xml:space="preserve">International Conference on Learning Representations</w:t>
      </w:r>
      <w:r>
        <w:rPr>
          <w:color w:val="000000"/>
          <w:sz w:val="19"/>
        </w:rPr>
        <w:t xml:space="preserve">.</w:t>
      </w:r>
      <w:r>
        <w:rPr>
          <w:color w:val="000000"/>
          <w:sz w:val="19"/>
        </w:rPr>
        <w:t xml:space="preserve"> </w:t>
      </w:r>
      <w:hyperlink r:id="rId66">
        <w:r>
          <w:rPr>
            <w:rStyle w:val="Hyperlink"/>
          </w:rPr>
          <w:t xml:space="preserve">arXiv:2203.08913</w:t>
        </w:r>
      </w:hyperlink>
      <w:r>
        <w:rPr>
          <w:color w:val="000000"/>
          <w:sz w:val="19"/>
        </w:rPr>
        <w:t xml:space="preserve">.</w:t>
      </w:r>
    </w:p>
    <w:p>
      <w:pPr>
        <w:pStyle w:val="BodyText"/>
        <w:keepLines/>
        <w:spacing w:line="252" w:lineRule="auto" w:after="120"/>
        <w:ind w:left="403" w:hanging="403"/>
        <w:jc w:val="both"/>
      </w:pPr>
      <w:r>
        <w:rPr>
          <w:color w:val="000000"/>
          <w:sz w:val="19"/>
        </w:rPr>
        <w:t xml:space="preserve">[4] Wang, Z., Jin, B., Yu, Z., and Zhang, M. (2024). Model Tells You Where to Merge: Adaptive KV Cache Merging for LLMs on Long-Context Tasks. Preprint.</w:t>
      </w:r>
      <w:r>
        <w:rPr>
          <w:color w:val="000000"/>
          <w:sz w:val="19"/>
        </w:rPr>
        <w:t xml:space="preserve"> </w:t>
      </w:r>
      <w:hyperlink r:id="rId67">
        <w:r>
          <w:rPr>
            <w:rStyle w:val="Hyperlink"/>
          </w:rPr>
          <w:t xml:space="preserve">arXiv:2407.08454</w:t>
        </w:r>
      </w:hyperlink>
      <w:r>
        <w:rPr>
          <w:color w:val="000000"/>
          <w:sz w:val="19"/>
        </w:rPr>
        <w:t xml:space="preserve">.</w:t>
      </w:r>
    </w:p>
    <w:p>
      <w:pPr>
        <w:pStyle w:val="BodyText"/>
        <w:keepLines/>
        <w:spacing w:line="252" w:lineRule="auto" w:after="120"/>
        <w:ind w:left="403" w:hanging="403"/>
        <w:jc w:val="both"/>
      </w:pPr>
      <w:r>
        <w:rPr>
          <w:color w:val="000000"/>
          <w:sz w:val="19"/>
        </w:rPr>
        <w:t xml:space="preserve">[5] Liu, G., Li, C., Zhao, J., Zhang, C., and Guo, M. (2024). ClusterKV: Manipulating LLM KV Cache in Semantic Space for Recallable Compression. Preprint, revised 2025.</w:t>
      </w:r>
      <w:r>
        <w:rPr>
          <w:color w:val="000000"/>
          <w:sz w:val="19"/>
        </w:rPr>
        <w:t xml:space="preserve"> </w:t>
      </w:r>
      <w:hyperlink r:id="rId68">
        <w:r>
          <w:rPr>
            <w:rStyle w:val="Hyperlink"/>
          </w:rPr>
          <w:t xml:space="preserve">arXiv:2412.03213</w:t>
        </w:r>
      </w:hyperlink>
      <w:r>
        <w:rPr>
          <w:color w:val="000000"/>
          <w:sz w:val="19"/>
        </w:rPr>
        <w:t xml:space="preserve">.</w:t>
      </w:r>
    </w:p>
    <w:p>
      <w:pPr>
        <w:pStyle w:val="BodyText"/>
        <w:keepLines/>
        <w:spacing w:line="252" w:lineRule="auto" w:after="120"/>
        <w:ind w:left="403" w:hanging="403"/>
        <w:jc w:val="both"/>
      </w:pPr>
      <w:r>
        <w:rPr>
          <w:color w:val="000000"/>
          <w:sz w:val="19"/>
        </w:rPr>
        <w:t xml:space="preserve">[6] van den Oord, A., Vinyals, O., and Kavukcuoglu, K. (2017). Neural Discrete Representation Learning.</w:t>
      </w:r>
      <w:r>
        <w:rPr>
          <w:color w:val="000000"/>
          <w:sz w:val="19"/>
        </w:rPr>
        <w:t xml:space="preserve"> </w:t>
      </w:r>
      <w:r>
        <w:rPr>
          <w:iCs/>
          <w:i/>
          <w:color w:val="000000"/>
          <w:sz w:val="19"/>
        </w:rPr>
        <w:t xml:space="preserve">Advances in Neural Information Processing Systems</w:t>
      </w:r>
      <w:r>
        <w:rPr>
          <w:color w:val="000000"/>
          <w:sz w:val="19"/>
        </w:rPr>
        <w:t xml:space="preserve">, 30.</w:t>
      </w:r>
      <w:r>
        <w:rPr>
          <w:color w:val="000000"/>
          <w:sz w:val="19"/>
        </w:rPr>
        <w:t xml:space="preserve"> </w:t>
      </w:r>
      <w:hyperlink r:id="rId69">
        <w:r>
          <w:rPr>
            <w:rStyle w:val="Hyperlink"/>
          </w:rPr>
          <w:t xml:space="preserve">arXiv:1711.00937</w:t>
        </w:r>
      </w:hyperlink>
      <w:r>
        <w:rPr>
          <w:color w:val="000000"/>
          <w:sz w:val="19"/>
        </w:rPr>
        <w:t xml:space="preserve">.</w:t>
      </w:r>
    </w:p>
    <w:p>
      <w:pPr>
        <w:pStyle w:val="BodyText"/>
        <w:keepLines/>
        <w:spacing w:line="252" w:lineRule="auto" w:after="120"/>
        <w:ind w:left="403" w:hanging="403"/>
        <w:jc w:val="both"/>
      </w:pPr>
      <w:r>
        <w:rPr>
          <w:color w:val="000000"/>
          <w:sz w:val="19"/>
        </w:rPr>
        <w:t xml:space="preserve">[7] Lu, H., Koyun, O. C., Guo, Y., Zhu, Z., Alili, A., and Gurcan, M. N. (2026). Beyond Stationarity: Rethinking Codebook Collapse in Vector Quantization. Preprint.</w:t>
      </w:r>
      <w:r>
        <w:rPr>
          <w:color w:val="000000"/>
          <w:sz w:val="19"/>
        </w:rPr>
        <w:t xml:space="preserve"> </w:t>
      </w:r>
      <w:hyperlink r:id="rId70">
        <w:r>
          <w:rPr>
            <w:rStyle w:val="Hyperlink"/>
          </w:rPr>
          <w:t xml:space="preserve">arXiv:2602.18896v1</w:t>
        </w:r>
      </w:hyperlink>
      <w:r>
        <w:rPr>
          <w:color w:val="000000"/>
          <w:sz w:val="19"/>
        </w:rPr>
        <w:t xml:space="preserve">.</w:t>
      </w:r>
    </w:p>
    <w:p>
      <w:pPr>
        <w:pStyle w:val="BodyText"/>
        <w:keepLines/>
        <w:spacing w:line="252" w:lineRule="auto" w:after="120"/>
        <w:ind w:left="403" w:hanging="403"/>
        <w:jc w:val="both"/>
      </w:pPr>
      <w:r>
        <w:rPr>
          <w:color w:val="000000"/>
          <w:sz w:val="19"/>
        </w:rPr>
        <w:t xml:space="preserve">[8] Ramsauer, H., Schäfl, B., Lehner, J., et al. (2021). Hopfield Networks is All You Need.</w:t>
      </w:r>
      <w:r>
        <w:rPr>
          <w:color w:val="000000"/>
          <w:sz w:val="19"/>
        </w:rPr>
        <w:t xml:space="preserve"> </w:t>
      </w:r>
      <w:r>
        <w:rPr>
          <w:iCs/>
          <w:i/>
          <w:color w:val="000000"/>
          <w:sz w:val="19"/>
        </w:rPr>
        <w:t xml:space="preserve">International Conference on Learning Representations</w:t>
      </w:r>
      <w:r>
        <w:rPr>
          <w:color w:val="000000"/>
          <w:sz w:val="19"/>
        </w:rPr>
        <w:t xml:space="preserve">.</w:t>
      </w:r>
      <w:r>
        <w:rPr>
          <w:color w:val="000000"/>
          <w:sz w:val="19"/>
        </w:rPr>
        <w:t xml:space="preserve"> </w:t>
      </w:r>
      <w:hyperlink r:id="rId71">
        <w:r>
          <w:rPr>
            <w:rStyle w:val="Hyperlink"/>
          </w:rPr>
          <w:t xml:space="preserve">arXiv:2008.02217</w:t>
        </w:r>
      </w:hyperlink>
      <w:r>
        <w:rPr>
          <w:color w:val="000000"/>
          <w:sz w:val="19"/>
        </w:rPr>
        <w:t xml:space="preserve">.</w:t>
      </w:r>
    </w:p>
    <w:p>
      <w:pPr>
        <w:pStyle w:val="BodyText"/>
        <w:keepLines/>
        <w:spacing w:line="252" w:lineRule="auto" w:after="120"/>
        <w:ind w:left="403" w:hanging="403"/>
        <w:jc w:val="both"/>
      </w:pPr>
      <w:r>
        <w:rPr>
          <w:color w:val="000000"/>
          <w:sz w:val="19"/>
        </w:rPr>
        <w:t xml:space="preserve">[9] Yao, J., Li, H., Liu, Y., Ray, S., Cheng, Y., Zhang, Q., Du, K., Lu, S., and Jiang, J. (2024). CacheBlend: Fast Large Language Model Serving for RAG with Cached Knowledge Fusion. Preprint, revised 2025.</w:t>
      </w:r>
      <w:r>
        <w:rPr>
          <w:color w:val="000000"/>
          <w:sz w:val="19"/>
        </w:rPr>
        <w:t xml:space="preserve"> </w:t>
      </w:r>
      <w:hyperlink r:id="rId72">
        <w:r>
          <w:rPr>
            <w:rStyle w:val="Hyperlink"/>
          </w:rPr>
          <w:t xml:space="preserve">arXiv:2405.16444</w:t>
        </w:r>
      </w:hyperlink>
      <w:r>
        <w:rPr>
          <w:color w:val="000000"/>
          <w:sz w:val="19"/>
        </w:rPr>
        <w:t xml:space="preserve">.</w:t>
      </w:r>
    </w:p>
    <w:p>
      <w:pPr>
        <w:pStyle w:val="BodyText"/>
        <w:keepLines/>
        <w:spacing w:line="252" w:lineRule="auto" w:after="120"/>
        <w:ind w:left="403" w:hanging="403"/>
        <w:jc w:val="both"/>
      </w:pPr>
      <w:r>
        <w:rPr>
          <w:color w:val="000000"/>
          <w:sz w:val="19"/>
        </w:rPr>
        <w:t xml:space="preserve">[10] Su, J., Lu, Y., Pan, S., Murtadha, A., Wen, B., and Liu, Y. (2021). RoFormer: Enhanced Transformer with Rotary Position Embedding. Preprint, revised 2023.</w:t>
      </w:r>
      <w:r>
        <w:rPr>
          <w:color w:val="000000"/>
          <w:sz w:val="19"/>
        </w:rPr>
        <w:t xml:space="preserve"> </w:t>
      </w:r>
      <w:hyperlink r:id="rId73">
        <w:r>
          <w:rPr>
            <w:rStyle w:val="Hyperlink"/>
          </w:rPr>
          <w:t xml:space="preserve">arXiv:2104.09864</w:t>
        </w:r>
      </w:hyperlink>
      <w:r>
        <w:rPr>
          <w:color w:val="000000"/>
          <w:sz w:val="19"/>
        </w:rPr>
        <w:t xml:space="preserve">.</w:t>
      </w:r>
    </w:p>
    <w:p>
      <w:pPr>
        <w:pStyle w:val="BodyText"/>
        <w:keepLines/>
        <w:spacing w:line="252" w:lineRule="auto" w:after="120"/>
        <w:ind w:left="403" w:hanging="403"/>
        <w:jc w:val="both"/>
      </w:pPr>
      <w:r>
        <w:rPr>
          <w:color w:val="000000"/>
          <w:sz w:val="19"/>
        </w:rPr>
        <w:t xml:space="preserve">[11] Horner, A. J., Bisby, J. A., Bush, D., Lin, W. J., and Burgess, N. (2015). Evidence for holistic episodic recollection via hippocampal pattern completion.</w:t>
      </w:r>
      <w:r>
        <w:rPr>
          <w:color w:val="000000"/>
          <w:sz w:val="19"/>
        </w:rPr>
        <w:t xml:space="preserve"> </w:t>
      </w:r>
      <w:r>
        <w:rPr>
          <w:iCs/>
          <w:i/>
          <w:color w:val="000000"/>
          <w:sz w:val="19"/>
        </w:rPr>
        <w:t xml:space="preserve">Nature Communications</w:t>
      </w:r>
      <w:r>
        <w:rPr>
          <w:color w:val="000000"/>
          <w:sz w:val="19"/>
        </w:rPr>
        <w:t xml:space="preserve">, 6, 7462.</w:t>
      </w:r>
      <w:r>
        <w:rPr>
          <w:color w:val="000000"/>
          <w:sz w:val="19"/>
        </w:rPr>
        <w:t xml:space="preserve"> </w:t>
      </w:r>
      <w:hyperlink r:id="rId74">
        <w:r>
          <w:rPr>
            <w:rStyle w:val="Hyperlink"/>
          </w:rPr>
          <w:t xml:space="preserve">doi:10.1038/ncomms8462</w:t>
        </w:r>
      </w:hyperlink>
      <w:r>
        <w:rPr>
          <w:color w:val="000000"/>
          <w:sz w:val="19"/>
        </w:rPr>
        <w:t xml:space="preserve">.</w:t>
      </w:r>
    </w:p>
    <w:p>
      <w:pPr>
        <w:pStyle w:val="BodyText"/>
        <w:keepLines/>
        <w:spacing w:line="252" w:lineRule="auto" w:after="120"/>
        <w:ind w:left="403" w:hanging="403"/>
        <w:jc w:val="both"/>
      </w:pPr>
      <w:r>
        <w:rPr>
          <w:color w:val="000000"/>
          <w:sz w:val="19"/>
        </w:rPr>
        <w:t xml:space="preserve">[12] McClelland, J. L., McNaughton, B. L., and O’Reilly, R. C. (1995). Why there are complementary learning systems in the hippocampus and neocortex: Insights from the successes and failures of connectionist models of learning and memory.</w:t>
      </w:r>
      <w:r>
        <w:rPr>
          <w:color w:val="000000"/>
          <w:sz w:val="19"/>
        </w:rPr>
        <w:t xml:space="preserve"> </w:t>
      </w:r>
      <w:r>
        <w:rPr>
          <w:iCs/>
          <w:i/>
          <w:color w:val="000000"/>
          <w:sz w:val="19"/>
        </w:rPr>
        <w:t xml:space="preserve">Psychological Review</w:t>
      </w:r>
      <w:r>
        <w:rPr>
          <w:color w:val="000000"/>
          <w:sz w:val="19"/>
        </w:rPr>
        <w:t xml:space="preserve">, 102(3), 419–457.</w:t>
      </w:r>
      <w:r>
        <w:rPr>
          <w:color w:val="000000"/>
          <w:sz w:val="19"/>
        </w:rPr>
        <w:t xml:space="preserve"> </w:t>
      </w:r>
      <w:hyperlink r:id="rId75">
        <w:r>
          <w:rPr>
            <w:rStyle w:val="Hyperlink"/>
          </w:rPr>
          <w:t xml:space="preserve">doi:10.1037/0033-295X.102.3.419</w:t>
        </w:r>
      </w:hyperlink>
      <w:r>
        <w:rPr>
          <w:color w:val="000000"/>
          <w:sz w:val="19"/>
        </w:rPr>
        <w:t xml:space="preserve">.</w:t>
      </w:r>
    </w:p>
    <w:p>
      <w:pPr>
        <w:pStyle w:val="BodyText"/>
        <w:keepLines/>
        <w:spacing w:line="252" w:lineRule="auto" w:after="120"/>
        <w:ind w:left="403" w:hanging="403"/>
        <w:jc w:val="both"/>
      </w:pPr>
      <w:r>
        <w:rPr>
          <w:color w:val="000000"/>
          <w:sz w:val="19"/>
        </w:rPr>
        <w:t xml:space="preserve">[13] Dragoi, G., and Tonegawa, S. (2011). Preplay of future place cell sequences by hippocampal cellular assemblies.</w:t>
      </w:r>
      <w:r>
        <w:rPr>
          <w:color w:val="000000"/>
          <w:sz w:val="19"/>
        </w:rPr>
        <w:t xml:space="preserve"> </w:t>
      </w:r>
      <w:r>
        <w:rPr>
          <w:iCs/>
          <w:i/>
          <w:color w:val="000000"/>
          <w:sz w:val="19"/>
        </w:rPr>
        <w:t xml:space="preserve">Nature</w:t>
      </w:r>
      <w:r>
        <w:rPr>
          <w:color w:val="000000"/>
          <w:sz w:val="19"/>
        </w:rPr>
        <w:t xml:space="preserve">, 469, 397–401.</w:t>
      </w:r>
      <w:r>
        <w:rPr>
          <w:color w:val="000000"/>
          <w:sz w:val="19"/>
        </w:rPr>
        <w:t xml:space="preserve"> </w:t>
      </w:r>
      <w:hyperlink r:id="rId76">
        <w:r>
          <w:rPr>
            <w:rStyle w:val="Hyperlink"/>
          </w:rPr>
          <w:t xml:space="preserve">doi:10.1038/nature09633</w:t>
        </w:r>
      </w:hyperlink>
      <w:r>
        <w:rPr>
          <w:color w:val="000000"/>
          <w:sz w:val="19"/>
        </w:rPr>
        <w:t xml:space="preserve">.</w:t>
      </w:r>
    </w:p>
    <w:p>
      <w:pPr>
        <w:pStyle w:val="BodyText"/>
        <w:keepLines/>
        <w:spacing w:line="252" w:lineRule="auto" w:after="120"/>
        <w:ind w:left="403" w:hanging="403"/>
        <w:jc w:val="both"/>
      </w:pPr>
      <w:r>
        <w:rPr>
          <w:color w:val="000000"/>
          <w:sz w:val="19"/>
        </w:rPr>
        <w:t xml:space="preserve">[14] Grosmark, A. D., and Buzsáki, G. (2016). Diversity in neural firing dynamics supports both rigid and learned hippocampal sequences.</w:t>
      </w:r>
      <w:r>
        <w:rPr>
          <w:color w:val="000000"/>
          <w:sz w:val="19"/>
        </w:rPr>
        <w:t xml:space="preserve"> </w:t>
      </w:r>
      <w:r>
        <w:rPr>
          <w:iCs/>
          <w:i/>
          <w:color w:val="000000"/>
          <w:sz w:val="19"/>
        </w:rPr>
        <w:t xml:space="preserve">Science</w:t>
      </w:r>
      <w:r>
        <w:rPr>
          <w:color w:val="000000"/>
          <w:sz w:val="19"/>
        </w:rPr>
        <w:t xml:space="preserve">, 351(6280), 1440–1443.</w:t>
      </w:r>
      <w:r>
        <w:rPr>
          <w:color w:val="000000"/>
          <w:sz w:val="19"/>
        </w:rPr>
        <w:t xml:space="preserve"> </w:t>
      </w:r>
      <w:hyperlink r:id="rId77">
        <w:r>
          <w:rPr>
            <w:rStyle w:val="Hyperlink"/>
          </w:rPr>
          <w:t xml:space="preserve">doi:10.1126/science.aad1935</w:t>
        </w:r>
      </w:hyperlink>
      <w:r>
        <w:rPr>
          <w:color w:val="000000"/>
          <w:sz w:val="19"/>
        </w:rPr>
        <w:t xml:space="preserve">.</w:t>
      </w:r>
    </w:p>
    <w:p>
      <w:pPr>
        <w:pStyle w:val="BodyText"/>
        <w:keepLines/>
        <w:spacing w:line="252" w:lineRule="auto" w:after="120"/>
        <w:ind w:left="403" w:hanging="403"/>
        <w:jc w:val="both"/>
      </w:pPr>
      <w:r>
        <w:rPr>
          <w:color w:val="000000"/>
          <w:sz w:val="19"/>
        </w:rPr>
        <w:t xml:space="preserve">[15] Ólafsdóttir, H. F., Barry, C., Saleem, A. B., Hassabis, D., and Spiers, H. J. (2015). Hippocampal place cells construct reward related sequences through unexplored space.</w:t>
      </w:r>
      <w:r>
        <w:rPr>
          <w:color w:val="000000"/>
          <w:sz w:val="19"/>
        </w:rPr>
        <w:t xml:space="preserve"> </w:t>
      </w:r>
      <w:r>
        <w:rPr>
          <w:iCs/>
          <w:i/>
          <w:color w:val="000000"/>
          <w:sz w:val="19"/>
        </w:rPr>
        <w:t xml:space="preserve">eLife</w:t>
      </w:r>
      <w:r>
        <w:rPr>
          <w:color w:val="000000"/>
          <w:sz w:val="19"/>
        </w:rPr>
        <w:t xml:space="preserve">, 4, e06063.</w:t>
      </w:r>
      <w:r>
        <w:rPr>
          <w:color w:val="000000"/>
          <w:sz w:val="19"/>
        </w:rPr>
        <w:t xml:space="preserve"> </w:t>
      </w:r>
      <w:hyperlink r:id="rId78">
        <w:r>
          <w:rPr>
            <w:rStyle w:val="Hyperlink"/>
          </w:rPr>
          <w:t xml:space="preserve">doi:10.7554/eLife.06063</w:t>
        </w:r>
      </w:hyperlink>
      <w:r>
        <w:rPr>
          <w:color w:val="000000"/>
          <w:sz w:val="19"/>
        </w:rPr>
        <w:t xml:space="preserve">.</w:t>
      </w:r>
    </w:p>
    <w:p>
      <w:pPr>
        <w:pStyle w:val="BodyText"/>
        <w:keepLines/>
        <w:spacing w:line="252" w:lineRule="auto" w:after="120"/>
        <w:ind w:left="403" w:hanging="403"/>
        <w:jc w:val="both"/>
      </w:pPr>
      <w:r>
        <w:rPr>
          <w:color w:val="000000"/>
          <w:sz w:val="19"/>
        </w:rPr>
        <w:t xml:space="preserve">[16] Farooq, U., Sibille, J., Liu, K., and Dragoi, G. (2019). Strengthened Temporal Coordination within Pre-existing Sequential Cell Assemblies Supports Trajectory Replay.</w:t>
      </w:r>
      <w:r>
        <w:rPr>
          <w:color w:val="000000"/>
          <w:sz w:val="19"/>
        </w:rPr>
        <w:t xml:space="preserve"> </w:t>
      </w:r>
      <w:r>
        <w:rPr>
          <w:iCs/>
          <w:i/>
          <w:color w:val="000000"/>
          <w:sz w:val="19"/>
        </w:rPr>
        <w:t xml:space="preserve">Neuron</w:t>
      </w:r>
      <w:r>
        <w:rPr>
          <w:color w:val="000000"/>
          <w:sz w:val="19"/>
        </w:rPr>
        <w:t xml:space="preserve">, 103(4), 719–733.e7.</w:t>
      </w:r>
      <w:r>
        <w:rPr>
          <w:color w:val="000000"/>
          <w:sz w:val="19"/>
        </w:rPr>
        <w:t xml:space="preserve"> </w:t>
      </w:r>
      <w:hyperlink r:id="rId79">
        <w:r>
          <w:rPr>
            <w:rStyle w:val="Hyperlink"/>
          </w:rPr>
          <w:t xml:space="preserve">Publisher article</w:t>
        </w:r>
      </w:hyperlink>
      <w:r>
        <w:rPr>
          <w:color w:val="000000"/>
          <w:sz w:val="19"/>
        </w:rPr>
        <w:t xml:space="preserve">.</w:t>
      </w:r>
    </w:p>
    <w:p>
      <w:pPr>
        <w:pStyle w:val="BodyText"/>
        <w:keepLines/>
        <w:spacing w:line="252" w:lineRule="auto" w:after="120"/>
        <w:ind w:left="403" w:hanging="403"/>
        <w:jc w:val="both"/>
      </w:pPr>
      <w:r>
        <w:rPr>
          <w:color w:val="000000"/>
          <w:sz w:val="19"/>
        </w:rPr>
        <w:t xml:space="preserve">[17] Silva, D., Feng, T., and Foster, D. J. (2015). Trajectory events across hippocampal place cells require previous experience.</w:t>
      </w:r>
      <w:r>
        <w:rPr>
          <w:color w:val="000000"/>
          <w:sz w:val="19"/>
        </w:rPr>
        <w:t xml:space="preserve"> </w:t>
      </w:r>
      <w:r>
        <w:rPr>
          <w:iCs/>
          <w:i/>
          <w:color w:val="000000"/>
          <w:sz w:val="19"/>
        </w:rPr>
        <w:t xml:space="preserve">Nature Neuroscience</w:t>
      </w:r>
      <w:r>
        <w:rPr>
          <w:color w:val="000000"/>
          <w:sz w:val="19"/>
        </w:rPr>
        <w:t xml:space="preserve">, 18, 1772–1779.</w:t>
      </w:r>
      <w:r>
        <w:rPr>
          <w:color w:val="000000"/>
          <w:sz w:val="19"/>
        </w:rPr>
        <w:t xml:space="preserve"> </w:t>
      </w:r>
      <w:hyperlink r:id="rId80">
        <w:r>
          <w:rPr>
            <w:rStyle w:val="Hyperlink"/>
          </w:rPr>
          <w:t xml:space="preserve">doi:10.1038/nn.4151</w:t>
        </w:r>
      </w:hyperlink>
      <w:r>
        <w:rPr>
          <w:color w:val="000000"/>
          <w:sz w:val="19"/>
        </w:rPr>
        <w:t xml:space="preserve">.</w:t>
      </w:r>
    </w:p>
    <w:p>
      <w:pPr>
        <w:pStyle w:val="BodyText"/>
        <w:keepLines/>
        <w:spacing w:line="252" w:lineRule="auto" w:after="120"/>
        <w:ind w:left="403" w:hanging="403"/>
        <w:jc w:val="both"/>
      </w:pPr>
      <w:r>
        <w:rPr>
          <w:color w:val="000000"/>
          <w:sz w:val="19"/>
        </w:rPr>
        <w:t xml:space="preserve">[18] Pan, S., Mayoral, S. R., Choi, H. S., Chan, J. R., and Kheirbek, M. A. (2020). Preservation of a remote fear memory requires new myelin formation.</w:t>
      </w:r>
      <w:r>
        <w:rPr>
          <w:color w:val="000000"/>
          <w:sz w:val="19"/>
        </w:rPr>
        <w:t xml:space="preserve"> </w:t>
      </w:r>
      <w:r>
        <w:rPr>
          <w:iCs/>
          <w:i/>
          <w:color w:val="000000"/>
          <w:sz w:val="19"/>
        </w:rPr>
        <w:t xml:space="preserve">Nature Neuroscience</w:t>
      </w:r>
      <w:r>
        <w:rPr>
          <w:color w:val="000000"/>
          <w:sz w:val="19"/>
        </w:rPr>
        <w:t xml:space="preserve">, 23, 487–499.</w:t>
      </w:r>
      <w:r>
        <w:rPr>
          <w:color w:val="000000"/>
          <w:sz w:val="19"/>
        </w:rPr>
        <w:t xml:space="preserve"> </w:t>
      </w:r>
      <w:hyperlink r:id="rId81">
        <w:r>
          <w:rPr>
            <w:rStyle w:val="Hyperlink"/>
          </w:rPr>
          <w:t xml:space="preserve">doi:10.1038/s41593-019-0582-1</w:t>
        </w:r>
      </w:hyperlink>
      <w:r>
        <w:rPr>
          <w:color w:val="000000"/>
          <w:sz w:val="19"/>
        </w:rPr>
        <w:t xml:space="preserve">.</w:t>
      </w:r>
    </w:p>
    <w:p>
      <w:pPr>
        <w:pStyle w:val="BodyText"/>
        <w:keepLines/>
        <w:spacing w:line="252" w:lineRule="auto" w:after="120"/>
        <w:ind w:left="403" w:hanging="403"/>
        <w:jc w:val="both"/>
      </w:pPr>
      <w:r>
        <w:rPr>
          <w:color w:val="000000"/>
          <w:sz w:val="19"/>
        </w:rPr>
        <w:t xml:space="preserve">[19] Cover, T. M., and Thomas, J. A. (2006).</w:t>
      </w:r>
      <w:r>
        <w:rPr>
          <w:color w:val="000000"/>
          <w:sz w:val="19"/>
        </w:rPr>
        <w:t xml:space="preserve"> </w:t>
      </w:r>
      <w:r>
        <w:rPr>
          <w:iCs/>
          <w:i/>
          <w:color w:val="000000"/>
          <w:sz w:val="19"/>
        </w:rPr>
        <w:t xml:space="preserve">Elements of Information Theory</w:t>
      </w:r>
      <w:r>
        <w:rPr>
          <w:color w:val="000000"/>
          <w:sz w:val="19"/>
        </w:rPr>
        <w:t xml:space="preserve">, second edition. Wiley.</w:t>
      </w:r>
      <w:r>
        <w:rPr>
          <w:color w:val="000000"/>
          <w:sz w:val="19"/>
        </w:rPr>
        <w:t xml:space="preserve"> </w:t>
      </w:r>
      <w:hyperlink r:id="rId82">
        <w:r>
          <w:rPr>
            <w:rStyle w:val="Hyperlink"/>
          </w:rPr>
          <w:t xml:space="preserve">doi:10.1002/047174882X</w:t>
        </w:r>
      </w:hyperlink>
      <w:r>
        <w:rPr>
          <w:color w:val="000000"/>
          <w:sz w:val="19"/>
        </w:rPr>
        <w:t xml:space="preserve">.</w:t>
      </w:r>
    </w:p>
    <w:p>
      <w:pPr>
        <w:pStyle w:val="BodyText"/>
        <w:keepLines/>
        <w:spacing w:line="252" w:lineRule="auto" w:after="120"/>
        <w:ind w:left="403" w:hanging="403"/>
        <w:jc w:val="both"/>
      </w:pPr>
      <w:r>
        <w:rPr>
          <w:color w:val="000000"/>
          <w:sz w:val="19"/>
        </w:rPr>
        <w:t xml:space="preserve">[20] Steadman, P. E., Xia, F., Ahmed, M., Mocle, A. J., Penning, A. R. A., Geraghty, A. C., Steenland, H. W., Monje, M., Josselyn, S. A., and Frankland, P. W. (2020). Disruption of Oligodendrogenesis Impairs Memory Consolidation in Adult Mice.</w:t>
      </w:r>
      <w:r>
        <w:rPr>
          <w:color w:val="000000"/>
          <w:sz w:val="19"/>
        </w:rPr>
        <w:t xml:space="preserve"> </w:t>
      </w:r>
      <w:r>
        <w:rPr>
          <w:iCs/>
          <w:i/>
          <w:color w:val="000000"/>
          <w:sz w:val="19"/>
        </w:rPr>
        <w:t xml:space="preserve">Neuron</w:t>
      </w:r>
      <w:r>
        <w:rPr>
          <w:color w:val="000000"/>
          <w:sz w:val="19"/>
        </w:rPr>
        <w:t xml:space="preserve">, 105(1), 150–164.e6.</w:t>
      </w:r>
      <w:r>
        <w:rPr>
          <w:color w:val="000000"/>
          <w:sz w:val="19"/>
        </w:rPr>
        <w:t xml:space="preserve"> </w:t>
      </w:r>
      <w:hyperlink r:id="rId83">
        <w:r>
          <w:rPr>
            <w:rStyle w:val="Hyperlink"/>
          </w:rPr>
          <w:t xml:space="preserve">doi:10.1016/j.neuron.2019.10.013</w:t>
        </w:r>
      </w:hyperlink>
      <w:r>
        <w:rPr>
          <w:color w:val="000000"/>
          <w:sz w:val="19"/>
        </w:rPr>
        <w:t xml:space="preserve">.</w:t>
      </w:r>
    </w:p>
    <w:bookmarkEnd w:id="84"/>
    <w:bookmarkStart w:id="85" w:name="Xb78ee3fc839202004fdc4b0d518a88e4a88ce2c"/>
    <w:p>
      <w:pPr>
        <w:pStyle w:val="Heading1"/>
        <w:jc w:val="left"/>
      </w:pPr>
      <w:r>
        <w:rPr>
          <w:color w:val="000000"/>
        </w:rPr>
        <w:t xml:space="preserve">Appendix A Causal training and memory maintenance</w:t>
      </w:r>
    </w:p>
    <w:p>
      <w:pPr>
        <w:pStyle w:val="FirstParagraph"/>
        <w:jc w:val="both"/>
      </w:pPr>
      <w:r>
        <w:rPr>
          <w:color w:val="000000"/>
        </w:rPr>
        <w:t xml:space="preserve">The algorithm below specifies ordering rather than a particular software implementation. A training block uses a read snapshot containing only previously observed information. Writer validation uses completed segments. If parameters change, candidate encodings and bank payloads are first placed in the same declared coordinate version. The strict variant has no fallback when a write fails all gates.</w:t>
      </w:r>
    </w:p>
    <w:p>
      <w:pPr>
        <w:pStyle w:val="BodyText"/>
        <w:keepNext/>
        <w:spacing w:before="140" w:after="100"/>
        <w:jc w:val="both"/>
      </w:pPr>
      <w:r>
        <w:rPr>
          <w:bCs/>
          <w:b/>
          <w:color w:val="000000"/>
          <w:sz w:val="19"/>
        </w:rPr>
        <w:t xml:space="preserve">Algorithm 1. Preconfigured trajectory memory with causal updates.</w:t>
      </w:r>
    </w:p>
    <w:p>
      <w:pPr>
        <w:numPr>
          <w:ilvl w:val="0"/>
          <w:numId w:val="1001"/>
        </w:numPr>
        <w:pStyle w:val="Compact"/>
        <w:jc w:val="both"/>
      </w:pPr>
      <w:r>
        <w:rPr>
          <w:color w:val="000000"/>
        </w:rPr>
        <w:t xml:space="preserve">Initialize the backbone and memory interface. Generate synthetic calibration inputs from the declared distribution. Estimate the structured initialization transform and draw all</w:t>
      </w:r>
      <w:r>
        <w:rPr>
          <w:color w:val="000000"/>
        </w:rPr>
        <w:t xml:space="preserve"> </w:t>
      </w:r>
      <m:oMath>
        <m:r>
          <m:t>N</m:t>
        </m:r>
      </m:oMath>
      <w:r>
        <w:rPr>
          <w:color w:val="000000"/>
        </w:rPr>
        <w:t xml:space="preserve"> </w:t>
      </w:r>
      <w:r>
        <w:rPr>
          <w:color w:val="000000"/>
        </w:rPr>
        <w:t xml:space="preserve">prototype histories before pre-training. Set observed counts to zero and retain the random seed.</w:t>
      </w:r>
    </w:p>
    <w:p>
      <w:pPr>
        <w:numPr>
          <w:ilvl w:val="0"/>
          <w:numId w:val="1001"/>
        </w:numPr>
        <w:pStyle w:val="Compact"/>
        <w:jc w:val="both"/>
      </w:pPr>
      <w:r>
        <w:rPr>
          <w:color w:val="000000"/>
        </w:rPr>
        <w:t xml:space="preserve">At the start of a training block, create a causally valid bank snapshot. For each prediction position, construct the query from the available working window, retrieve candidate histories, and compute the gated memory contribution. Mask unsupported seeds from evidential recall; permit only the explicitly declared exploratory training path.</w:t>
      </w:r>
    </w:p>
    <w:p>
      <w:pPr>
        <w:numPr>
          <w:ilvl w:val="0"/>
          <w:numId w:val="1001"/>
        </w:numPr>
        <w:pStyle w:val="Compact"/>
        <w:jc w:val="both"/>
      </w:pPr>
      <w:r>
        <w:rPr>
          <w:color w:val="000000"/>
        </w:rPr>
        <w:t xml:space="preserve">Accumulate the task and auxiliary losses. Collect only fully observed, evicted segments as writer candidates. Do not count retrieved or replayed contents as fresh observations.</w:t>
      </w:r>
    </w:p>
    <w:p>
      <w:pPr>
        <w:numPr>
          <w:ilvl w:val="0"/>
          <w:numId w:val="1001"/>
        </w:numPr>
        <w:pStyle w:val="Compact"/>
        <w:jc w:val="both"/>
      </w:pPr>
      <w:r>
        <w:rPr>
          <w:color w:val="000000"/>
        </w:rPr>
        <w:t xml:space="preserve">Apply the parameter update. Re-encode retained anchors under the new representation and, at the declared cadence, fit and apply the coordinate transport. Update coordinate versions without changing observation counts.</w:t>
      </w:r>
    </w:p>
    <w:p>
      <w:pPr>
        <w:numPr>
          <w:ilvl w:val="0"/>
          <w:numId w:val="1001"/>
        </w:numPr>
        <w:pStyle w:val="Compact"/>
        <w:jc w:val="both"/>
      </w:pPr>
      <w:r>
        <w:rPr>
          <w:color w:val="000000"/>
        </w:rPr>
        <w:t xml:space="preserve">Encode each writer candidate in the current representation. Retrieve cue candidates and construct a prospective mean for each eligible slot. Check cue agreement, continuation agreement, and functional distortion relative to the new segment and retained witnesses.</w:t>
      </w:r>
    </w:p>
    <w:p>
      <w:pPr>
        <w:numPr>
          <w:ilvl w:val="0"/>
          <w:numId w:val="1001"/>
        </w:numPr>
        <w:pStyle w:val="Compact"/>
        <w:jc w:val="both"/>
      </w:pPr>
      <w:r>
        <w:rPr>
          <w:color w:val="000000"/>
        </w:rPr>
        <w:t xml:space="preserve">Commit an accepted update to one selected slot: change the prototype, increment its observation count once, update dispersion and witnesses, and refresh its index key. Resolve concurrent assignments by a deterministic batch mean or a declared serial order.</w:t>
      </w:r>
    </w:p>
    <w:p>
      <w:pPr>
        <w:numPr>
          <w:ilvl w:val="0"/>
          <w:numId w:val="1001"/>
        </w:numPr>
        <w:pStyle w:val="Compact"/>
        <w:jc w:val="both"/>
      </w:pPr>
      <w:r>
        <w:rPr>
          <w:color w:val="000000"/>
        </w:rPr>
        <w:t xml:space="preserve">For an incompatible continuation, consider an eligible unused pre-existing slot. If none passes the gate, record a rejected write. Apply an episodic exception or reassignment policy only in the corresponding labelled variant.</w:t>
      </w:r>
    </w:p>
    <w:p>
      <w:pPr>
        <w:numPr>
          <w:ilvl w:val="0"/>
          <w:numId w:val="1001"/>
        </w:numPr>
        <w:pStyle w:val="Compact"/>
        <w:jc w:val="both"/>
      </w:pPr>
      <w:r>
        <w:rPr>
          <w:color w:val="000000"/>
        </w:rPr>
        <w:t xml:space="preserve">Update access and successful-use statistics independently. Log rolling utilisation, transport residuals, read-gate behaviour, and counts. At evaluation, freeze the specified learned components and apply exactly the preregistered read and write policy.</w:t>
      </w:r>
    </w:p>
    <w:p>
      <w:pPr>
        <w:pStyle w:val="FirstParagraph"/>
        <w:jc w:val="both"/>
      </w:pPr>
      <w:r>
        <w:rPr>
          <w:color w:val="000000"/>
        </w:rPr>
        <w:t xml:space="preserve">A deterministic batched update for</w:t>
      </w:r>
      <w:r>
        <w:rPr>
          <w:color w:val="000000"/>
        </w:rPr>
        <w:t xml:space="preserve"> </w:t>
      </w:r>
      <m:oMath>
        <m:sSub>
          <m:e>
            <m:r>
              <m:t>b</m:t>
            </m:r>
          </m:e>
          <m:sub>
            <m:r>
              <m:t>j</m:t>
            </m:r>
          </m:sub>
        </m:sSub>
      </m:oMath>
      <w:r>
        <w:rPr>
          <w:color w:val="000000"/>
        </w:rPr>
        <w:t xml:space="preserve"> </w:t>
      </w:r>
      <w:r>
        <w:rPr>
          <w:color w:val="000000"/>
        </w:rPr>
        <w:t xml:space="preserve">newly assigned histories with sum</w:t>
      </w:r>
      <w:r>
        <w:rPr>
          <w:color w:val="000000"/>
        </w:rPr>
        <w:t xml:space="preserve"> </w:t>
      </w:r>
      <m:oMath>
        <m:sSubSup>
          <m:e>
            <m:r>
              <m:t>S</m:t>
            </m:r>
          </m:e>
          <m:sub>
            <m:r>
              <m:t>j</m:t>
            </m:r>
          </m:sub>
          <m:sup>
            <m:r>
              <m:rPr>
                <m:sty m:val="p"/>
              </m:rPr>
              <m:t>n</m:t>
            </m:r>
            <m:r>
              <m:rPr>
                <m:sty m:val="p"/>
              </m:rPr>
              <m:t>e</m:t>
            </m:r>
            <m:r>
              <m:rPr>
                <m:sty m:val="p"/>
              </m:rPr>
              <m:t>w</m:t>
            </m:r>
          </m:sup>
        </m:sSubSup>
      </m:oMath>
      <w:r>
        <w:rPr>
          <w:color w:val="000000"/>
        </w:rPr>
        <w:t xml:space="preserve"> </w:t>
      </w:r>
      <w:r>
        <w:rPr>
          <w:color w:val="000000"/>
        </w:rPr>
        <w:t xml:space="preserve">is</w:t>
      </w:r>
      <w:r>
        <w:rPr>
          <w:color w:val="000000"/>
        </w:rPr>
        <w:t xml:space="preserve"> </w:t>
      </w:r>
      <m:oMath>
        <m:sSubSup>
          <m:e>
            <m:r>
              <m:t>μ</m:t>
            </m:r>
          </m:e>
          <m:sub>
            <m:r>
              <m:t>j</m:t>
            </m:r>
          </m:sub>
          <m:sup>
            <m:r>
              <m:rPr>
                <m:sty m:val="p"/>
              </m:rPr>
              <m:t>+</m:t>
            </m:r>
          </m:sup>
        </m:sSubSup>
        <m:r>
          <m:rPr>
            <m:sty m:val="p"/>
          </m:rPr>
          <m:t>=</m:t>
        </m:r>
        <m:d>
          <m:dPr>
            <m:begChr m:val="("/>
            <m:endChr m:val=")"/>
            <m:sepChr m:val=""/>
            <m:grow/>
          </m:dPr>
          <m:e>
            <m:sSub>
              <m:e>
                <m:r>
                  <m:t>n</m:t>
                </m:r>
              </m:e>
              <m:sub>
                <m:r>
                  <m:t>j</m:t>
                </m:r>
              </m:sub>
            </m:sSub>
            <m:sSub>
              <m:e>
                <m:r>
                  <m:t>μ</m:t>
                </m:r>
              </m:e>
              <m:sub>
                <m:r>
                  <m:t>j</m:t>
                </m:r>
              </m:sub>
            </m:sSub>
            <m:r>
              <m:rPr>
                <m:sty m:val="p"/>
              </m:rPr>
              <m:t>+</m:t>
            </m:r>
            <m:sSubSup>
              <m:e>
                <m:r>
                  <m:t>S</m:t>
                </m:r>
              </m:e>
              <m:sub>
                <m:r>
                  <m:t>j</m:t>
                </m:r>
              </m:sub>
              <m:sup>
                <m:r>
                  <m:rPr>
                    <m:sty m:val="p"/>
                  </m:rPr>
                  <m:t>n</m:t>
                </m:r>
                <m:r>
                  <m:rPr>
                    <m:sty m:val="p"/>
                  </m:rPr>
                  <m:t>e</m:t>
                </m:r>
                <m:r>
                  <m:rPr>
                    <m:sty m:val="p"/>
                  </m:rPr>
                  <m:t>w</m:t>
                </m:r>
              </m:sup>
            </m:sSubSup>
          </m:e>
        </m:d>
        <m:r>
          <m:rPr>
            <m:sty m:val="p"/>
          </m:rPr>
          <m:t>/</m:t>
        </m:r>
        <m:d>
          <m:dPr>
            <m:begChr m:val="("/>
            <m:endChr m:val=")"/>
            <m:sepChr m:val=""/>
            <m:grow/>
          </m:dPr>
          <m:e>
            <m:sSub>
              <m:e>
                <m:r>
                  <m:t>n</m:t>
                </m:r>
              </m:e>
              <m:sub>
                <m:r>
                  <m:t>j</m:t>
                </m:r>
              </m:sub>
            </m:sSub>
            <m:r>
              <m:rPr>
                <m:sty m:val="p"/>
              </m:rPr>
              <m:t>+</m:t>
            </m:r>
            <m:sSub>
              <m:e>
                <m:r>
                  <m:t>b</m:t>
                </m:r>
              </m:e>
              <m:sub>
                <m:r>
                  <m:t>j</m:t>
                </m:r>
              </m:sub>
            </m:sSub>
          </m:e>
        </m:d>
      </m:oMath>
      <w:r>
        <w:rPr>
          <w:color w:val="000000"/>
        </w:rPr>
        <w:t xml:space="preserve">. Candidate assignments must be computed from the same snapshot if this batch formula is used. Recomputing assignments after each individual update is a different algorithm and can produce different clusters.</w:t>
      </w:r>
    </w:p>
    <w:bookmarkEnd w:id="85"/>
    <w:bookmarkStart w:id="90" w:name="X10814318c86e38002b9f53005c77e549086a496"/>
    <w:p>
      <w:pPr>
        <w:pStyle w:val="Heading1"/>
        <w:jc w:val="left"/>
      </w:pPr>
      <w:r>
        <w:rPr>
          <w:color w:val="000000"/>
        </w:rPr>
        <w:t xml:space="preserve">Appendix B Proof details and calculated checks</w:t>
      </w:r>
    </w:p>
    <w:bookmarkStart w:id="86" w:name="b1-gain-recurrence"/>
    <w:p>
      <w:pPr>
        <w:pStyle w:val="Heading2"/>
        <w:jc w:val="left"/>
      </w:pPr>
      <w:r>
        <w:rPr>
          <w:color w:val="000000"/>
        </w:rPr>
        <w:t xml:space="preserve">B1 Gain recurrence</w:t>
      </w:r>
    </w:p>
    <w:p>
      <w:pPr>
        <w:pStyle w:val="FirstParagraph"/>
        <w:jc w:val="both"/>
      </w:pPr>
      <w:r>
        <w:rPr>
          <w:color w:val="000000"/>
        </w:rPr>
        <w:t xml:space="preserve">Assume</w:t>
      </w:r>
      <w:r>
        <w:rPr>
          <w:color w:val="000000"/>
        </w:rPr>
        <w:t xml:space="preserve"> </w:t>
      </w:r>
      <m:oMath>
        <m:sSub>
          <m:e>
            <m:r>
              <m:t>η</m:t>
            </m:r>
          </m:e>
          <m:sub>
            <m:r>
              <m:t>n</m:t>
            </m:r>
          </m:sub>
        </m:sSub>
        <m:r>
          <m:rPr>
            <m:sty m:val="p"/>
          </m:rPr>
          <m:t>=</m:t>
        </m:r>
        <m:r>
          <m:t>1</m:t>
        </m:r>
        <m:r>
          <m:rPr>
            <m:sty m:val="p"/>
          </m:rPr>
          <m:t>/</m:t>
        </m:r>
        <m:d>
          <m:dPr>
            <m:begChr m:val="("/>
            <m:endChr m:val=")"/>
            <m:sepChr m:val=""/>
            <m:grow/>
          </m:dPr>
          <m:e>
            <m:r>
              <m:t>n</m:t>
            </m:r>
            <m:r>
              <m:rPr>
                <m:sty m:val="p"/>
              </m:rPr>
              <m:t>+</m:t>
            </m:r>
            <m:r>
              <m:t>1</m:t>
            </m:r>
          </m:e>
        </m:d>
      </m:oMath>
      <w:r>
        <w:rPr>
          <w:color w:val="000000"/>
        </w:rPr>
        <w:t xml:space="preserve">. Then</w:t>
      </w:r>
      <w:r>
        <w:rPr>
          <w:color w:val="000000"/>
        </w:rPr>
        <w:t xml:space="preserve"> </w:t>
      </w:r>
      <m:oMath>
        <m:sSub>
          <m:e>
            <m:r>
              <m:t>η</m:t>
            </m:r>
          </m:e>
          <m:sub>
            <m:r>
              <m:t>n</m:t>
            </m:r>
          </m:sub>
        </m:sSub>
        <m:r>
          <m:rPr>
            <m:sty m:val="p"/>
          </m:rPr>
          <m:t>/</m:t>
        </m:r>
        <m:d>
          <m:dPr>
            <m:begChr m:val="("/>
            <m:endChr m:val=")"/>
            <m:sepChr m:val=""/>
            <m:grow/>
          </m:dPr>
          <m:e>
            <m:r>
              <m:t>1</m:t>
            </m:r>
            <m:r>
              <m:rPr>
                <m:sty m:val="p"/>
              </m:rPr>
              <m:t>+</m:t>
            </m:r>
            <m:sSub>
              <m:e>
                <m:r>
                  <m:t>η</m:t>
                </m:r>
              </m:e>
              <m:sub>
                <m:r>
                  <m:t>n</m:t>
                </m:r>
              </m:sub>
            </m:sSub>
          </m:e>
        </m:d>
        <m:r>
          <m:rPr>
            <m:sty m:val="p"/>
          </m:rPr>
          <m:t>=</m:t>
        </m:r>
        <m:r>
          <m:t>1</m:t>
        </m:r>
        <m:r>
          <m:rPr>
            <m:sty m:val="p"/>
          </m:rPr>
          <m:t>/</m:t>
        </m:r>
        <m:d>
          <m:dPr>
            <m:begChr m:val="("/>
            <m:endChr m:val=")"/>
            <m:sepChr m:val=""/>
            <m:grow/>
          </m:dPr>
          <m:e>
            <m:r>
              <m:t>n</m:t>
            </m:r>
            <m:r>
              <m:rPr>
                <m:sty m:val="p"/>
              </m:rPr>
              <m:t>+</m:t>
            </m:r>
            <m:r>
              <m:t>2</m:t>
            </m:r>
          </m:e>
        </m:d>
      </m:oMath>
      <w:r>
        <w:rPr>
          <w:color w:val="000000"/>
        </w:rPr>
        <w:t xml:space="preserve">, establishing the recurrence by induction from</w:t>
      </w:r>
      <w:r>
        <w:rPr>
          <w:color w:val="000000"/>
        </w:rPr>
        <w:t xml:space="preserve"> </w:t>
      </w:r>
      <m:oMath>
        <m:sSub>
          <m:e>
            <m:r>
              <m:t>η</m:t>
            </m:r>
          </m:e>
          <m:sub>
            <m:r>
              <m:t>0</m:t>
            </m:r>
          </m:sub>
        </m:sSub>
        <m:r>
          <m:rPr>
            <m:sty m:val="p"/>
          </m:rPr>
          <m:t>=</m:t>
        </m:r>
        <m:r>
          <m:t>1</m:t>
        </m:r>
      </m:oMath>
      <w:r>
        <w:rPr>
          <w:color w:val="000000"/>
        </w:rPr>
        <w:t xml:space="preserve">. Substitution gives</w:t>
      </w:r>
      <w:r>
        <w:rPr>
          <w:color w:val="000000"/>
        </w:rPr>
        <w:t xml:space="preserve"> </w:t>
      </w:r>
      <m:oMath>
        <m:sSub>
          <m:e>
            <m:r>
              <m:t>μ</m:t>
            </m:r>
          </m:e>
          <m:sub>
            <m:r>
              <m:t>n</m:t>
            </m:r>
            <m:r>
              <m:rPr>
                <m:sty m:val="p"/>
              </m:rPr>
              <m:t>+</m:t>
            </m:r>
            <m:r>
              <m:t>1</m:t>
            </m:r>
          </m:sub>
        </m:sSub>
        <m:r>
          <m:rPr>
            <m:sty m:val="p"/>
          </m:rPr>
          <m:t>=</m:t>
        </m:r>
        <m:d>
          <m:dPr>
            <m:begChr m:val="("/>
            <m:endChr m:val=")"/>
            <m:sepChr m:val=""/>
            <m:grow/>
          </m:dPr>
          <m:e>
            <m:r>
              <m:t>n</m:t>
            </m:r>
            <m:sSub>
              <m:e>
                <m:r>
                  <m:t>μ</m:t>
                </m:r>
              </m:e>
              <m:sub>
                <m:r>
                  <m:t>n</m:t>
                </m:r>
              </m:sub>
            </m:sSub>
            <m:r>
              <m:rPr>
                <m:sty m:val="p"/>
              </m:rPr>
              <m:t>+</m:t>
            </m:r>
            <m:sSub>
              <m:e>
                <m:r>
                  <m:t>X</m:t>
                </m:r>
              </m:e>
              <m:sub>
                <m:r>
                  <m:t>n</m:t>
                </m:r>
                <m:r>
                  <m:rPr>
                    <m:sty m:val="p"/>
                  </m:rPr>
                  <m:t>+</m:t>
                </m:r>
                <m:r>
                  <m:t>1</m:t>
                </m:r>
              </m:sub>
            </m:sSub>
          </m:e>
        </m:d>
        <m:r>
          <m:rPr>
            <m:sty m:val="p"/>
          </m:rPr>
          <m:t>/</m:t>
        </m:r>
        <m:d>
          <m:dPr>
            <m:begChr m:val="("/>
            <m:endChr m:val=")"/>
            <m:sepChr m:val=""/>
            <m:grow/>
          </m:dPr>
          <m:e>
            <m:r>
              <m:t>n</m:t>
            </m:r>
            <m:r>
              <m:rPr>
                <m:sty m:val="p"/>
              </m:rPr>
              <m:t>+</m:t>
            </m:r>
            <m:r>
              <m:t>1</m:t>
            </m:r>
          </m:e>
        </m:d>
      </m:oMath>
      <w:r>
        <w:rPr>
          <w:color w:val="000000"/>
        </w:rPr>
        <w:t xml:space="preserve">, the ordinary online mean. For example, a mean of 2 after nine assignments, followed by an observation of 6, becomes 2.4. The equivalent gain is 0.1, and the next gain is</w:t>
      </w:r>
      <w:r>
        <w:rPr>
          <w:color w:val="000000"/>
        </w:rPr>
        <w:t xml:space="preserve"> </w:t>
      </w:r>
      <m:oMath>
        <m:r>
          <m:t>1</m:t>
        </m:r>
        <m:r>
          <m:rPr>
            <m:sty m:val="p"/>
          </m:rPr>
          <m:t>/</m:t>
        </m:r>
        <m:r>
          <m:t>11</m:t>
        </m:r>
      </m:oMath>
      <w:r>
        <w:rPr>
          <w:color w:val="000000"/>
        </w:rPr>
        <w:t xml:space="preserve">. These identities hold in exact arithmetic.</w:t>
      </w:r>
    </w:p>
    <w:bookmarkEnd w:id="86"/>
    <w:bookmarkStart w:id="87" w:name="b2-affine-transport"/>
    <w:p>
      <w:pPr>
        <w:pStyle w:val="Heading2"/>
        <w:jc w:val="left"/>
      </w:pPr>
      <w:r>
        <w:rPr>
          <w:color w:val="000000"/>
        </w:rPr>
        <w:t xml:space="preserve">B2 Affine transport</w:t>
      </w:r>
    </w:p>
    <w:p>
      <w:pPr>
        <w:pStyle w:val="FirstParagraph"/>
        <w:jc w:val="both"/>
      </w:pPr>
      <w:r>
        <w:rPr>
          <w:color w:val="000000"/>
        </w:rPr>
        <w:t xml:space="preserve">For</w:t>
      </w:r>
      <w:r>
        <w:rPr>
          <w:color w:val="000000"/>
        </w:rPr>
        <w:t xml:space="preserve"> </w:t>
      </w:r>
      <m:oMath>
        <m:r>
          <m:t>T</m:t>
        </m:r>
        <m:d>
          <m:dPr>
            <m:begChr m:val="("/>
            <m:endChr m:val=")"/>
            <m:sepChr m:val=""/>
            <m:grow/>
          </m:dPr>
          <m:e>
            <m:r>
              <m:t>x</m:t>
            </m:r>
          </m:e>
        </m:d>
        <m:r>
          <m:rPr>
            <m:sty m:val="p"/>
          </m:rPr>
          <m:t>=</m:t>
        </m:r>
        <m:r>
          <m:t>A</m:t>
        </m:r>
        <m:r>
          <m:t>x</m:t>
        </m:r>
        <m:r>
          <m:rPr>
            <m:sty m:val="p"/>
          </m:rPr>
          <m:t>+</m:t>
        </m:r>
        <m:r>
          <m:t>b</m:t>
        </m:r>
      </m:oMath>
      <w:r>
        <w:rPr>
          <w:color w:val="000000"/>
        </w:rPr>
        <w:t xml:space="preserve">, linearity yields</w:t>
      </w:r>
      <w:r>
        <w:rPr>
          <w:color w:val="000000"/>
        </w:rPr>
        <w:t xml:space="preserve"> </w:t>
      </w:r>
      <m:oMath>
        <m:r>
          <m:t>A</m:t>
        </m:r>
        <m:d>
          <m:dPr>
            <m:begChr m:val="("/>
            <m:endChr m:val=")"/>
            <m:sepChr m:val=""/>
            <m:grow/>
          </m:dPr>
          <m:e>
            <m:sSup>
              <m:e>
                <m:r>
                  <m:t>n</m:t>
                </m:r>
              </m:e>
              <m:sup>
                <m:r>
                  <m:rPr>
                    <m:sty m:val="p"/>
                  </m:rPr>
                  <m:t>−</m:t>
                </m:r>
                <m:r>
                  <m:t>1</m:t>
                </m:r>
              </m:sup>
            </m:sSup>
            <m:nary>
              <m:naryPr>
                <m:chr m:val="∑"/>
                <m:limLoc m:val="undOvr"/>
                <m:subHide m:val="off"/>
                <m:supHide m:val="on"/>
              </m:naryPr>
              <m:sub>
                <m:r>
                  <m:t>i</m:t>
                </m:r>
              </m:sub>
              <m:sup>
                <m:r>
                  <m:t>​</m:t>
                </m:r>
              </m:sup>
              <m:e>
                <m:sSub>
                  <m:e>
                    <m:r>
                      <m:t>X</m:t>
                    </m:r>
                  </m:e>
                  <m:sub>
                    <m:r>
                      <m:t>i</m:t>
                    </m:r>
                  </m:sub>
                </m:sSub>
              </m:e>
            </m:nary>
          </m:e>
        </m:d>
        <m:r>
          <m:rPr>
            <m:sty m:val="p"/>
          </m:rPr>
          <m:t>+</m:t>
        </m:r>
        <m:r>
          <m:t>b</m:t>
        </m:r>
        <m:r>
          <m:rPr>
            <m:sty m:val="p"/>
          </m:rPr>
          <m:t>=</m:t>
        </m:r>
        <m:sSup>
          <m:e>
            <m:r>
              <m:t>n</m:t>
            </m:r>
          </m:e>
          <m:sup>
            <m:r>
              <m:rPr>
                <m:sty m:val="p"/>
              </m:rPr>
              <m:t>−</m:t>
            </m:r>
            <m:r>
              <m:t>1</m:t>
            </m:r>
          </m:sup>
        </m:sSup>
        <m:nary>
          <m:naryPr>
            <m:chr m:val="∑"/>
            <m:limLoc m:val="undOvr"/>
            <m:subHide m:val="off"/>
            <m:supHide m:val="on"/>
          </m:naryPr>
          <m:sub>
            <m:r>
              <m:t>i</m:t>
            </m:r>
          </m:sub>
          <m:sup>
            <m:r>
              <m:t>​</m:t>
            </m:r>
          </m:sup>
          <m:e>
            <m:d>
              <m:dPr>
                <m:begChr m:val="("/>
                <m:endChr m:val=")"/>
                <m:sepChr m:val=""/>
                <m:grow/>
              </m:dPr>
              <m:e>
                <m:r>
                  <m:t>A</m:t>
                </m:r>
                <m:sSub>
                  <m:e>
                    <m:r>
                      <m:t>X</m:t>
                    </m:r>
                  </m:e>
                  <m:sub>
                    <m:r>
                      <m:t>i</m:t>
                    </m:r>
                  </m:sub>
                </m:sSub>
                <m:r>
                  <m:rPr>
                    <m:sty m:val="p"/>
                  </m:rPr>
                  <m:t>+</m:t>
                </m:r>
                <m:r>
                  <m:t>b</m:t>
                </m:r>
              </m:e>
            </m:d>
          </m:e>
        </m:nary>
      </m:oMath>
      <w:r>
        <w:rPr>
          <w:color w:val="000000"/>
        </w:rPr>
        <w:t xml:space="preserve">. If a scalar dispersion summary is stored, its transformation is generally not sufficient to reconstruct all covariance changes. A full covariance would transform as</w:t>
      </w:r>
      <w:r>
        <w:rPr>
          <w:color w:val="000000"/>
        </w:rPr>
        <w:t xml:space="preserve"> </w:t>
      </w:r>
      <m:oMath>
        <m:r>
          <m:t>A</m:t>
        </m:r>
        <m:r>
          <m:t>Σ</m:t>
        </m:r>
        <m:sSup>
          <m:e>
            <m:r>
              <m:t>A</m:t>
            </m:r>
          </m:e>
          <m:sup>
            <m:r>
              <m:rPr>
                <m:sty m:val="p"/>
              </m:rPr>
              <m:t>⊤</m:t>
            </m:r>
          </m:sup>
        </m:sSup>
      </m:oMath>
      <w:r>
        <w:rPr>
          <w:color w:val="000000"/>
        </w:rPr>
        <w:t xml:space="preserve">, but its storage can be prohibitive. The implementation therefore treats inexpensive dispersion summaries as diagnostics rather than exact transported distributions.</w:t>
      </w:r>
    </w:p>
    <w:bookmarkEnd w:id="87"/>
    <w:bookmarkStart w:id="88" w:name="b3-attention-error-bound"/>
    <w:p>
      <w:pPr>
        <w:pStyle w:val="Heading2"/>
        <w:jc w:val="left"/>
      </w:pPr>
      <w:r>
        <w:rPr>
          <w:color w:val="000000"/>
        </w:rPr>
        <w:t xml:space="preserve">B3 Attention error bound</w:t>
      </w:r>
    </w:p>
    <w:p>
      <w:pPr>
        <w:pStyle w:val="FirstParagraph"/>
        <w:jc w:val="both"/>
      </w:pPr>
      <w:r>
        <w:rPr>
          <w:color w:val="000000"/>
        </w:rPr>
        <w:t xml:space="preserve">Write</w:t>
      </w:r>
      <w:r>
        <w:rPr>
          <w:color w:val="000000"/>
        </w:rPr>
        <w:t xml:space="preserve"> </w:t>
      </w:r>
      <m:oMath>
        <m:r>
          <m:t>p</m:t>
        </m:r>
        <m:r>
          <m:rPr>
            <m:sty m:val="p"/>
          </m:rPr>
          <m:t>=</m:t>
        </m:r>
        <m:r>
          <m:rPr>
            <m:sty m:val="p"/>
          </m:rPr>
          <m:t>softmax</m:t>
        </m:r>
        <m:d>
          <m:dPr>
            <m:begChr m:val="("/>
            <m:endChr m:val=")"/>
            <m:sepChr m:val=""/>
            <m:grow/>
          </m:dPr>
          <m:e>
            <m:r>
              <m:t>s</m:t>
            </m:r>
          </m:e>
        </m:d>
      </m:oMath>
      <w:r>
        <w:rPr>
          <w:color w:val="000000"/>
        </w:rPr>
        <w:t xml:space="preserve"> </w:t>
      </w:r>
      <w:r>
        <w:rPr>
          <w:color w:val="000000"/>
        </w:rPr>
        <w:t xml:space="preserve">and</w:t>
      </w:r>
      <w:r>
        <w:rPr>
          <w:color w:val="000000"/>
        </w:rPr>
        <w:t xml:space="preserve"> </w:t>
      </w:r>
      <m:oMath>
        <m:acc>
          <m:accPr>
            <m:chr m:val="̂"/>
          </m:accPr>
          <m:e>
            <m:r>
              <m:t>p</m:t>
            </m:r>
          </m:e>
        </m:acc>
        <m:r>
          <m:rPr>
            <m:sty m:val="p"/>
          </m:rPr>
          <m:t>=</m:t>
        </m:r>
        <m:r>
          <m:rPr>
            <m:sty m:val="p"/>
          </m:rPr>
          <m:t>softmax</m:t>
        </m:r>
        <m:d>
          <m:dPr>
            <m:begChr m:val="("/>
            <m:endChr m:val=")"/>
            <m:sepChr m:val=""/>
            <m:grow/>
          </m:dPr>
          <m:e>
            <m:acc>
              <m:accPr>
                <m:chr m:val="̂"/>
              </m:accPr>
              <m:e>
                <m:r>
                  <m:t>s</m:t>
                </m:r>
              </m:e>
            </m:acc>
          </m:e>
        </m:d>
      </m:oMath>
      <w:r>
        <w:rPr>
          <w:color w:val="000000"/>
        </w:rPr>
        <w:t xml:space="preserve">, with</w:t>
      </w:r>
      <w:r>
        <w:rPr>
          <w:color w:val="000000"/>
        </w:rPr>
        <w:t xml:space="preserve"> </w:t>
      </w:r>
      <m:oMath>
        <m:sSub>
          <m:e>
            <m:r>
              <m:t>s</m:t>
            </m:r>
          </m:e>
          <m:sub>
            <m:r>
              <m:t>i</m:t>
            </m:r>
          </m:sub>
        </m:sSub>
        <m:r>
          <m:rPr>
            <m:sty m:val="p"/>
          </m:rPr>
          <m:t>=</m:t>
        </m:r>
        <m:sSup>
          <m:e>
            <m:r>
              <m:t>q</m:t>
            </m:r>
          </m:e>
          <m:sup>
            <m:r>
              <m:rPr>
                <m:sty m:val="p"/>
              </m:rPr>
              <m:t>⊤</m:t>
            </m:r>
          </m:sup>
        </m:sSup>
        <m:sSub>
          <m:e>
            <m:r>
              <m:t>k</m:t>
            </m:r>
          </m:e>
          <m:sub>
            <m:r>
              <m:t>i</m:t>
            </m:r>
          </m:sub>
        </m:sSub>
        <m:r>
          <m:rPr>
            <m:sty m:val="p"/>
          </m:rPr>
          <m:t>/</m:t>
        </m:r>
        <m:rad>
          <m:radPr>
            <m:degHide m:val="on"/>
          </m:radPr>
          <m:deg/>
          <m:e>
            <m:sSub>
              <m:e>
                <m:r>
                  <m:t>d</m:t>
                </m:r>
              </m:e>
              <m:sub>
                <m:r>
                  <m:t>h</m:t>
                </m:r>
              </m:sub>
            </m:sSub>
          </m:e>
        </m:rad>
      </m:oMath>
      <w:r>
        <w:rPr>
          <w:color w:val="000000"/>
        </w:rPr>
        <w:t xml:space="preserve">. The assumptions imply</w:t>
      </w:r>
      <w:r>
        <w:rPr>
          <w:color w:val="000000"/>
        </w:rPr>
        <w:t xml:space="preserve"> </w:t>
      </w:r>
      <m:oMath>
        <m:r>
          <m:rPr>
            <m:sty m:val="p"/>
          </m:rPr>
          <m:t>∥</m:t>
        </m:r>
        <m:r>
          <m:t>s</m:t>
        </m:r>
        <m:r>
          <m:rPr>
            <m:sty m:val="p"/>
          </m:rPr>
          <m:t>−</m:t>
        </m:r>
        <m:acc>
          <m:accPr>
            <m:chr m:val="̂"/>
          </m:accPr>
          <m:e>
            <m:r>
              <m:t>s</m:t>
            </m:r>
          </m:e>
        </m:acc>
        <m:sSub>
          <m:e>
            <m:r>
              <m:rPr>
                <m:sty m:val="p"/>
              </m:rPr>
              <m:t>∥</m:t>
            </m:r>
          </m:e>
          <m:sub>
            <m:r>
              <m:rPr>
                <m:sty m:val="p"/>
              </m:rPr>
              <m:t>∞</m:t>
            </m:r>
          </m:sub>
        </m:sSub>
        <m:r>
          <m:rPr>
            <m:sty m:val="p"/>
          </m:rPr>
          <m:t>≤</m:t>
        </m:r>
        <m:r>
          <m:t>Q</m:t>
        </m:r>
        <m:sSub>
          <m:e>
            <m:r>
              <m:t>ϵ</m:t>
            </m:r>
          </m:e>
          <m:sub>
            <m:r>
              <m:t>K</m:t>
            </m:r>
          </m:sub>
        </m:sSub>
        <m:r>
          <m:rPr>
            <m:sty m:val="p"/>
          </m:rPr>
          <m:t>/</m:t>
        </m:r>
        <m:rad>
          <m:radPr>
            <m:degHide m:val="on"/>
          </m:radPr>
          <m:deg/>
          <m:e>
            <m:sSub>
              <m:e>
                <m:r>
                  <m:t>d</m:t>
                </m:r>
              </m:e>
              <m:sub>
                <m:r>
                  <m:t>h</m:t>
                </m:r>
              </m:sub>
            </m:sSub>
          </m:e>
        </m:rad>
      </m:oMath>
      <w:r>
        <w:rPr>
          <w:color w:val="000000"/>
        </w:rPr>
        <w:t xml:space="preserve">. The softmax Jacobian satisfies</w:t>
      </w:r>
      <w:r>
        <w:rPr>
          <w:color w:val="000000"/>
        </w:rPr>
        <w:t xml:space="preserve"> </w:t>
      </w:r>
      <m:oMath>
        <m:r>
          <m:rPr>
            <m:sty m:val="p"/>
          </m:rPr>
          <m:t>∥</m:t>
        </m:r>
        <m:r>
          <m:t>J</m:t>
        </m:r>
        <m:r>
          <m:t>v</m:t>
        </m:r>
        <m:sSub>
          <m:e>
            <m:r>
              <m:rPr>
                <m:sty m:val="p"/>
              </m:rPr>
              <m:t>∥</m:t>
            </m:r>
          </m:e>
          <m:sub>
            <m:r>
              <m:t>1</m:t>
            </m:r>
          </m:sub>
        </m:sSub>
        <m:r>
          <m:rPr>
            <m:sty m:val="p"/>
          </m:rPr>
          <m:t>≤</m:t>
        </m:r>
        <m:r>
          <m:t>2</m:t>
        </m:r>
        <m:r>
          <m:rPr>
            <m:sty m:val="p"/>
          </m:rPr>
          <m:t>∥</m:t>
        </m:r>
        <m:r>
          <m:t>v</m:t>
        </m:r>
        <m:sSub>
          <m:e>
            <m:r>
              <m:rPr>
                <m:sty m:val="p"/>
              </m:rPr>
              <m:t>∥</m:t>
            </m:r>
          </m:e>
          <m:sub>
            <m:r>
              <m:rPr>
                <m:sty m:val="p"/>
              </m:rPr>
              <m:t>∞</m:t>
            </m:r>
          </m:sub>
        </m:sSub>
      </m:oMath>
      <w:r>
        <w:rPr>
          <w:color w:val="000000"/>
        </w:rPr>
        <w:t xml:space="preserve">, so integration along the line segment between the logits gives</w:t>
      </w:r>
      <w:r>
        <w:rPr>
          <w:color w:val="000000"/>
        </w:rPr>
        <w:t xml:space="preserve"> </w:t>
      </w:r>
      <m:oMath>
        <m:r>
          <m:rPr>
            <m:sty m:val="p"/>
          </m:rPr>
          <m:t>∥</m:t>
        </m:r>
        <m:r>
          <m:t>p</m:t>
        </m:r>
        <m:r>
          <m:rPr>
            <m:sty m:val="p"/>
          </m:rPr>
          <m:t>−</m:t>
        </m:r>
        <m:acc>
          <m:accPr>
            <m:chr m:val="̂"/>
          </m:accPr>
          <m:e>
            <m:r>
              <m:t>p</m:t>
            </m:r>
          </m:e>
        </m:acc>
        <m:sSub>
          <m:e>
            <m:r>
              <m:rPr>
                <m:sty m:val="p"/>
              </m:rPr>
              <m:t>∥</m:t>
            </m:r>
          </m:e>
          <m:sub>
            <m:r>
              <m:t>1</m:t>
            </m:r>
          </m:sub>
        </m:sSub>
        <m:r>
          <m:rPr>
            <m:sty m:val="p"/>
          </m:rPr>
          <m:t>≤</m:t>
        </m:r>
        <m:r>
          <m:t>2</m:t>
        </m:r>
        <m:r>
          <m:rPr>
            <m:sty m:val="p"/>
          </m:rPr>
          <m:t>∥</m:t>
        </m:r>
        <m:r>
          <m:t>s</m:t>
        </m:r>
        <m:r>
          <m:rPr>
            <m:sty m:val="p"/>
          </m:rPr>
          <m:t>−</m:t>
        </m:r>
        <m:acc>
          <m:accPr>
            <m:chr m:val="̂"/>
          </m:accPr>
          <m:e>
            <m:r>
              <m:t>s</m:t>
            </m:r>
          </m:e>
        </m:acc>
        <m:sSub>
          <m:e>
            <m:r>
              <m:rPr>
                <m:sty m:val="p"/>
              </m:rPr>
              <m:t>∥</m:t>
            </m:r>
          </m:e>
          <m:sub>
            <m:r>
              <m:rPr>
                <m:sty m:val="p"/>
              </m:rPr>
              <m:t>∞</m:t>
            </m:r>
          </m:sub>
        </m:sSub>
      </m:oMath>
      <w:r>
        <w:rPr>
          <w:color w:val="000000"/>
        </w:rPr>
        <w:t xml:space="preserve">. Decompose the output difference as</w:t>
      </w:r>
      <w:r>
        <w:rPr>
          <w:color w:val="000000"/>
        </w:rPr>
        <w:t xml:space="preserve"> </w:t>
      </w:r>
      <m:oMath>
        <m:nary>
          <m:naryPr>
            <m:chr m:val="∑"/>
            <m:limLoc m:val="undOvr"/>
            <m:subHide m:val="off"/>
            <m:supHide m:val="on"/>
          </m:naryPr>
          <m:sub>
            <m:r>
              <m:t>i</m:t>
            </m:r>
          </m:sub>
          <m:sup>
            <m:r>
              <m:t>​</m:t>
            </m:r>
          </m:sup>
          <m:e>
            <m:sSub>
              <m:e>
                <m:r>
                  <m:t>p</m:t>
                </m:r>
              </m:e>
              <m:sub>
                <m:r>
                  <m:t>i</m:t>
                </m:r>
              </m:sub>
            </m:sSub>
          </m:e>
        </m:nary>
        <m:d>
          <m:dPr>
            <m:begChr m:val="("/>
            <m:endChr m:val=")"/>
            <m:sepChr m:val=""/>
            <m:grow/>
          </m:dPr>
          <m:e>
            <m:sSub>
              <m:e>
                <m:r>
                  <m:t>v</m:t>
                </m:r>
              </m:e>
              <m:sub>
                <m:r>
                  <m:t>i</m:t>
                </m:r>
              </m:sub>
            </m:sSub>
            <m:r>
              <m:rPr>
                <m:sty m:val="p"/>
              </m:rPr>
              <m:t>−</m:t>
            </m:r>
            <m:sSub>
              <m:e>
                <m:acc>
                  <m:accPr>
                    <m:chr m:val="̂"/>
                  </m:accPr>
                  <m:e>
                    <m:r>
                      <m:t>v</m:t>
                    </m:r>
                  </m:e>
                </m:acc>
              </m:e>
              <m:sub>
                <m:r>
                  <m:t>i</m:t>
                </m:r>
              </m:sub>
            </m:sSub>
          </m:e>
        </m:d>
        <m:r>
          <m:rPr>
            <m:sty m:val="p"/>
          </m:rPr>
          <m:t>+</m:t>
        </m:r>
        <m:nary>
          <m:naryPr>
            <m:chr m:val="∑"/>
            <m:limLoc m:val="undOvr"/>
            <m:subHide m:val="off"/>
            <m:supHide m:val="on"/>
          </m:naryPr>
          <m:sub>
            <m:r>
              <m:t>i</m:t>
            </m:r>
          </m:sub>
          <m:sup>
            <m:r>
              <m:t>​</m:t>
            </m:r>
          </m:sup>
          <m:e>
            <m:d>
              <m:dPr>
                <m:begChr m:val="("/>
                <m:endChr m:val=")"/>
                <m:sepChr m:val=""/>
                <m:grow/>
              </m:dPr>
              <m:e>
                <m:sSub>
                  <m:e>
                    <m:r>
                      <m:t>p</m:t>
                    </m:r>
                  </m:e>
                  <m:sub>
                    <m:r>
                      <m:t>i</m:t>
                    </m:r>
                  </m:sub>
                </m:sSub>
                <m:r>
                  <m:rPr>
                    <m:sty m:val="p"/>
                  </m:rPr>
                  <m:t>−</m:t>
                </m:r>
                <m:sSub>
                  <m:e>
                    <m:acc>
                      <m:accPr>
                        <m:chr m:val="̂"/>
                      </m:accPr>
                      <m:e>
                        <m:r>
                          <m:t>p</m:t>
                        </m:r>
                      </m:e>
                    </m:acc>
                  </m:e>
                  <m:sub>
                    <m:r>
                      <m:t>i</m:t>
                    </m:r>
                  </m:sub>
                </m:sSub>
              </m:e>
            </m:d>
          </m:e>
        </m:nary>
        <m:sSub>
          <m:e>
            <m:acc>
              <m:accPr>
                <m:chr m:val="̂"/>
              </m:accPr>
              <m:e>
                <m:r>
                  <m:t>v</m:t>
                </m:r>
              </m:e>
            </m:acc>
          </m:e>
          <m:sub>
            <m:r>
              <m:t>i</m:t>
            </m:r>
          </m:sub>
        </m:sSub>
      </m:oMath>
      <w:r>
        <w:rPr>
          <w:color w:val="000000"/>
        </w:rPr>
        <w:t xml:space="preserve"> </w:t>
      </w:r>
      <w:r>
        <w:rPr>
          <w:color w:val="000000"/>
        </w:rPr>
        <w:t xml:space="preserve">and apply the triangle inequality to obtain equation (15).</w:t>
      </w:r>
    </w:p>
    <w:p>
      <w:pPr>
        <w:pStyle w:val="BodyText"/>
        <w:jc w:val="both"/>
      </w:pPr>
      <w:r>
        <w:rPr>
          <w:color w:val="000000"/>
        </w:rPr>
        <w:t xml:space="preserve">This proof assumes the attention mask and number of aligned positions are unchanged. Replacing several simultaneous positions with one prototype additionally requires accounting for their attention mass. It also assumes finite norm bounds; those bounds must be measured or enforced for the intended evaluation domain.</w:t>
      </w:r>
    </w:p>
    <w:bookmarkEnd w:id="88"/>
    <w:bookmarkStart w:id="89" w:name="b4-shared-cue-and-rejected-information"/>
    <w:p>
      <w:pPr>
        <w:pStyle w:val="Heading2"/>
        <w:jc w:val="left"/>
      </w:pPr>
      <w:r>
        <w:rPr>
          <w:color w:val="000000"/>
        </w:rPr>
        <w:t xml:space="preserve">B4 Shared cue and rejected information</w:t>
      </w:r>
    </w:p>
    <w:p>
      <w:pPr>
        <w:pStyle w:val="FirstParagraph"/>
        <w:jc w:val="both"/>
      </w:pPr>
      <w:r>
        <w:rPr>
          <w:color w:val="000000"/>
        </w:rPr>
        <w:t xml:space="preserve">For zero-error recovery,</w:t>
      </w:r>
      <w:r>
        <w:rPr>
          <w:color w:val="000000"/>
        </w:rPr>
        <w:t xml:space="preserve"> </w:t>
      </w:r>
      <m:oMath>
        <m:r>
          <m:t>H</m:t>
        </m:r>
        <m:d>
          <m:dPr>
            <m:begChr m:val="("/>
            <m:endChr m:val=")"/>
            <m:sepChr m:val=""/>
            <m:grow/>
          </m:dPr>
          <m:e>
            <m:r>
              <m:t>J</m:t>
            </m:r>
            <m:r>
              <m:rPr>
                <m:sty m:val="p"/>
              </m:rPr>
              <m:t>∣</m:t>
            </m:r>
            <m:r>
              <m:t>C</m:t>
            </m:r>
            <m:r>
              <m:rPr>
                <m:sty m:val="p"/>
              </m:rPr>
              <m:t>,</m:t>
            </m:r>
            <m:r>
              <m:t>Z</m:t>
            </m:r>
          </m:e>
        </m:d>
        <m:r>
          <m:rPr>
            <m:sty m:val="p"/>
          </m:rPr>
          <m:t>=</m:t>
        </m:r>
        <m:r>
          <m:t>0</m:t>
        </m:r>
      </m:oMath>
      <w:r>
        <w:rPr>
          <w:color w:val="000000"/>
        </w:rPr>
        <w:t xml:space="preserve">. The chain rule gives</w:t>
      </w:r>
      <w:r>
        <w:rPr>
          <w:color w:val="000000"/>
        </w:rPr>
        <w:t xml:space="preserve"> </w:t>
      </w:r>
      <m:oMath>
        <m:r>
          <m:t>I</m:t>
        </m:r>
        <m:d>
          <m:dPr>
            <m:begChr m:val="("/>
            <m:endChr m:val=")"/>
            <m:sepChr m:val=""/>
            <m:grow/>
          </m:dPr>
          <m:e>
            <m:r>
              <m:t>J</m:t>
            </m:r>
            <m:r>
              <m:rPr>
                <m:sty m:val="p"/>
              </m:rPr>
              <m:t>;</m:t>
            </m:r>
            <m:r>
              <m:t>Z</m:t>
            </m:r>
            <m:r>
              <m:rPr>
                <m:sty m:val="p"/>
              </m:rPr>
              <m:t>∣</m:t>
            </m:r>
            <m:r>
              <m:t>C</m:t>
            </m:r>
          </m:e>
        </m:d>
        <m:r>
          <m:rPr>
            <m:sty m:val="p"/>
          </m:rPr>
          <m:t>=</m:t>
        </m:r>
        <m:r>
          <m:t>H</m:t>
        </m:r>
        <m:d>
          <m:dPr>
            <m:begChr m:val="("/>
            <m:endChr m:val=")"/>
            <m:sepChr m:val=""/>
            <m:grow/>
          </m:dPr>
          <m:e>
            <m:r>
              <m:t>J</m:t>
            </m:r>
            <m:r>
              <m:rPr>
                <m:sty m:val="p"/>
              </m:rPr>
              <m:t>∣</m:t>
            </m:r>
            <m:r>
              <m:t>C</m:t>
            </m:r>
          </m:e>
        </m:d>
        <m:r>
          <m:rPr>
            <m:sty m:val="p"/>
          </m:rPr>
          <m:t>−</m:t>
        </m:r>
        <m:r>
          <m:t>H</m:t>
        </m:r>
        <m:d>
          <m:dPr>
            <m:begChr m:val="("/>
            <m:endChr m:val=")"/>
            <m:sepChr m:val=""/>
            <m:grow/>
          </m:dPr>
          <m:e>
            <m:r>
              <m:t>J</m:t>
            </m:r>
            <m:r>
              <m:rPr>
                <m:sty m:val="p"/>
              </m:rPr>
              <m:t>∣</m:t>
            </m:r>
            <m:r>
              <m:t>C</m:t>
            </m:r>
            <m:r>
              <m:rPr>
                <m:sty m:val="p"/>
              </m:rPr>
              <m:t>,</m:t>
            </m:r>
            <m:r>
              <m:t>Z</m:t>
            </m:r>
          </m:e>
        </m:d>
        <m:r>
          <m:rPr>
            <m:sty m:val="p"/>
          </m:rPr>
          <m:t>=</m:t>
        </m:r>
        <m:sSub>
          <m:e>
            <m:r>
              <m:rPr>
                <m:sty m:val="p"/>
              </m:rPr>
              <m:t>log</m:t>
            </m:r>
          </m:e>
          <m:sub>
            <m:r>
              <m:t>2</m:t>
            </m:r>
          </m:sub>
        </m:sSub>
        <m:r>
          <m:t>B</m:t>
        </m:r>
      </m:oMath>
      <w:r>
        <w:rPr>
          <w:color w:val="000000"/>
        </w:rPr>
        <w:t xml:space="preserve"> </w:t>
      </w:r>
      <w:r>
        <w:rPr>
          <w:color w:val="000000"/>
        </w:rPr>
        <w:t xml:space="preserve">under the stated uniform conditional distribution. The nonuniform case replaces</w:t>
      </w:r>
      <w:r>
        <w:rPr>
          <w:color w:val="000000"/>
        </w:rPr>
        <w:t xml:space="preserve"> </w:t>
      </w:r>
      <m:oMath>
        <m:sSub>
          <m:e>
            <m:r>
              <m:rPr>
                <m:sty m:val="p"/>
              </m:rPr>
              <m:t>log</m:t>
            </m:r>
          </m:e>
          <m:sub>
            <m:r>
              <m:t>2</m:t>
            </m:r>
          </m:sub>
        </m:sSub>
        <m:r>
          <m:t>B</m:t>
        </m:r>
      </m:oMath>
      <w:r>
        <w:rPr>
          <w:color w:val="000000"/>
        </w:rPr>
        <w:t xml:space="preserve"> </w:t>
      </w:r>
      <w:r>
        <w:rPr>
          <w:color w:val="000000"/>
        </w:rPr>
        <w:t xml:space="preserve">by</w:t>
      </w:r>
      <w:r>
        <w:rPr>
          <w:color w:val="000000"/>
        </w:rPr>
        <w:t xml:space="preserve"> </w:t>
      </w:r>
      <m:oMath>
        <m:r>
          <m:t>H</m:t>
        </m:r>
        <m:d>
          <m:dPr>
            <m:begChr m:val="("/>
            <m:endChr m:val=")"/>
            <m:sepChr m:val=""/>
            <m:grow/>
          </m:dPr>
          <m:e>
            <m:r>
              <m:t>J</m:t>
            </m:r>
            <m:r>
              <m:rPr>
                <m:sty m:val="p"/>
              </m:rPr>
              <m:t>∣</m:t>
            </m:r>
            <m:r>
              <m:t>C</m:t>
            </m:r>
          </m:e>
        </m:d>
      </m:oMath>
      <w:r>
        <w:rPr>
          <w:color w:val="000000"/>
        </w:rPr>
        <w:t xml:space="preserve">. The error-tolerant inequality follows from</w:t>
      </w:r>
      <w:r>
        <w:rPr>
          <w:color w:val="000000"/>
        </w:rPr>
        <w:t xml:space="preserve"> </w:t>
      </w:r>
      <m:oMath>
        <m:r>
          <m:t>H</m:t>
        </m:r>
        <m:d>
          <m:dPr>
            <m:begChr m:val="("/>
            <m:endChr m:val=")"/>
            <m:sepChr m:val=""/>
            <m:grow/>
          </m:dPr>
          <m:e>
            <m:r>
              <m:t>J</m:t>
            </m:r>
            <m:r>
              <m:rPr>
                <m:sty m:val="p"/>
              </m:rPr>
              <m:t>∣</m:t>
            </m:r>
            <m:r>
              <m:t>C</m:t>
            </m:r>
            <m:r>
              <m:rPr>
                <m:sty m:val="p"/>
              </m:rPr>
              <m:t>,</m:t>
            </m:r>
            <m:r>
              <m:t>Z</m:t>
            </m:r>
          </m:e>
        </m:d>
        <m:r>
          <m:rPr>
            <m:sty m:val="p"/>
          </m:rPr>
          <m:t>≤</m:t>
        </m:r>
        <m:sSub>
          <m:e>
            <m:r>
              <m:t>h</m:t>
            </m:r>
          </m:e>
          <m:sub>
            <m:r>
              <m:t>2</m:t>
            </m:r>
          </m:sub>
        </m:sSub>
        <m:d>
          <m:dPr>
            <m:begChr m:val="("/>
            <m:endChr m:val=")"/>
            <m:sepChr m:val=""/>
            <m:grow/>
          </m:dPr>
          <m:e>
            <m:sSub>
              <m:e>
                <m:r>
                  <m:t>P</m:t>
                </m:r>
              </m:e>
              <m:sub>
                <m:r>
                  <m:t>e</m:t>
                </m:r>
              </m:sub>
            </m:sSub>
          </m:e>
        </m:d>
        <m:r>
          <m:rPr>
            <m:sty m:val="p"/>
          </m:rPr>
          <m:t>+</m:t>
        </m:r>
        <m:sSub>
          <m:e>
            <m:r>
              <m:t>P</m:t>
            </m:r>
          </m:e>
          <m:sub>
            <m:r>
              <m:t>e</m:t>
            </m:r>
          </m:sub>
        </m:sSub>
        <m:sSub>
          <m:e>
            <m:r>
              <m:rPr>
                <m:sty m:val="p"/>
              </m:rPr>
              <m:t>log</m:t>
            </m:r>
          </m:e>
          <m:sub>
            <m:r>
              <m:t>2</m:t>
            </m:r>
          </m:sub>
        </m:sSub>
        <m:d>
          <m:dPr>
            <m:begChr m:val="("/>
            <m:endChr m:val=")"/>
            <m:sepChr m:val=""/>
            <m:grow/>
          </m:dPr>
          <m:e>
            <m:r>
              <m:t>B</m:t>
            </m:r>
            <m:r>
              <m:rPr>
                <m:sty m:val="p"/>
              </m:rPr>
              <m:t>−</m:t>
            </m:r>
            <m:r>
              <m:t>1</m:t>
            </m:r>
          </m:e>
        </m:d>
      </m:oMath>
      <w:r>
        <w:rPr>
          <w:color w:val="000000"/>
        </w:rPr>
        <w:t xml:space="preserve">.</w:t>
      </w:r>
    </w:p>
    <w:p>
      <w:pPr>
        <w:pStyle w:val="BodyText"/>
        <w:jc w:val="both"/>
      </w:pPr>
      <w:r>
        <w:rPr>
          <w:color w:val="000000"/>
        </w:rPr>
        <w:t xml:space="preserve">For the rejection construction, choose two histories that differ only in a rejected bit which determines a later answer. After eviction, their active windows and retained banks are identical. A fixed reader consequently produces the same answer distribution for both. Under equal probabilities, no decision rule can correctly identify that bit with probability exceeding one-half without some additional record. A parameter update that retains the bit would itself constitute such a record and falls outside this construction’s fixed-backbone assumption.</w:t>
      </w:r>
    </w:p>
    <w:bookmarkEnd w:id="89"/>
    <w:bookmarkEnd w:id="90"/>
    <w:bookmarkStart w:id="91" w:name="appendix-c-reporting-requirements"/>
    <w:p>
      <w:pPr>
        <w:pStyle w:val="Heading1"/>
        <w:pageBreakBefore/>
        <w:jc w:val="left"/>
      </w:pPr>
      <w:r>
        <w:rPr>
          <w:color w:val="000000"/>
        </w:rPr>
        <w:t xml:space="preserve">Appendix C Reporting requirements</w:t>
      </w:r>
    </w:p>
    <w:p>
      <w:pPr>
        <w:pStyle w:val="FirstParagraph"/>
        <w:keepNext/>
        <w:spacing w:before="140" w:after="100"/>
        <w:jc w:val="both"/>
      </w:pPr>
      <w:r>
        <w:rPr>
          <w:bCs/>
          <w:b/>
          <w:color w:val="000000"/>
          <w:sz w:val="19"/>
        </w:rPr>
        <w:t xml:space="preserve">Table 6. Minimum information needed to interpret a memory experiment.</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059"/>
        <w:gridCol w:w="7733"/>
      </w:tblGrid>
      <w:tr>
        <w:trPr>
          <w:tblHeader w:val="true"/>
          <w:cantSplit/>
          <w:tblHeader w:val="true"/>
        </w:trPr>
        <w:tc>
          <w:tcPr>
            <w:tcW w:type="dxa" w:w="2059"/>
            <w:vAlign w:val="center"/>
            <w:tcMar>
              <w:top w:w="85" w:type="dxa"/>
              <w:bottom w:w="85" w:type="dxa"/>
              <w:left w:w="100" w:type="dxa"/>
              <w:right w:w="100" w:type="dxa"/>
            </w:tcMar>
            <w:shd w:fill="E8EDF1" w:val="clear"/>
          </w:tcPr>
          <w:p>
            <w:pPr>
              <w:pStyle w:val="Compact"/>
              <w:spacing w:after="0" w:before="0" w:line="245" w:lineRule="auto"/>
              <w:jc w:val="left"/>
            </w:pPr>
            <w:r>
              <w:rPr>
                <w:b/>
                <w:color w:val="000000"/>
                <w:sz w:val="19"/>
              </w:rPr>
              <w:t xml:space="preserve">Category</w:t>
            </w:r>
          </w:p>
        </w:tc>
        <w:tc>
          <w:tcPr>
            <w:tcW w:type="dxa" w:w="7733"/>
            <w:vAlign w:val="center"/>
            <w:tcMar>
              <w:top w:w="85" w:type="dxa"/>
              <w:bottom w:w="85" w:type="dxa"/>
              <w:left w:w="100" w:type="dxa"/>
              <w:right w:w="100" w:type="dxa"/>
            </w:tcMar>
            <w:shd w:fill="E8EDF1" w:val="clear"/>
          </w:tcPr>
          <w:p>
            <w:pPr>
              <w:pStyle w:val="Compact"/>
              <w:spacing w:after="0" w:before="0" w:line="245" w:lineRule="auto"/>
              <w:jc w:val="left"/>
            </w:pPr>
            <w:r>
              <w:rPr>
                <w:b/>
                <w:color w:val="000000"/>
                <w:sz w:val="19"/>
              </w:rPr>
              <w:t xml:space="preserve">Required reporting</w:t>
            </w:r>
          </w:p>
        </w:tc>
      </w:tr>
      <w:tr>
        <w:trPr>
          <w:cantSplit/>
        </w:trPr>
        <w:tc>
          <w:tcPr>
            <w:tcW w:type="dxa" w:w="2059"/>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Backbone</w:t>
            </w:r>
          </w:p>
        </w:tc>
        <w:tc>
          <w:tcPr>
            <w:tcW w:type="dxa" w:w="7733"/>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Architecture, parameter count, tokenizer, positional scheme, and frozen or adaptive components</w:t>
            </w:r>
          </w:p>
        </w:tc>
      </w:tr>
      <w:tr>
        <w:trPr>
          <w:cantSplit/>
        </w:trPr>
        <w:tc>
          <w:tcPr>
            <w:tcW w:type="dxa" w:w="2059"/>
            <w:vAlign w:val="center"/>
            <w:tcMar>
              <w:top w:w="85" w:type="dxa"/>
              <w:bottom w:w="85" w:type="dxa"/>
              <w:left w:w="100" w:type="dxa"/>
              <w:right w:w="100" w:type="dxa"/>
            </w:tcMar>
            <w:shd w:fill="F8F9FA" w:val="clear"/>
          </w:tcPr>
          <w:p>
            <w:pPr>
              <w:pStyle w:val="Compact"/>
              <w:spacing w:after="0" w:before="0" w:line="245" w:lineRule="auto"/>
              <w:jc w:val="left"/>
            </w:pPr>
            <w:r>
              <w:rPr>
                <w:b w:val="0"/>
                <w:color w:val="000000"/>
                <w:sz w:val="19"/>
              </w:rPr>
              <w:t xml:space="preserve">Repertoire</w:t>
            </w:r>
          </w:p>
        </w:tc>
        <w:tc>
          <w:tcPr>
            <w:tcW w:type="dxa" w:w="7733"/>
            <w:vAlign w:val="center"/>
            <w:tcMar>
              <w:top w:w="85" w:type="dxa"/>
              <w:bottom w:w="85" w:type="dxa"/>
              <w:left w:w="100" w:type="dxa"/>
              <w:right w:w="100" w:type="dxa"/>
            </w:tcMar>
            <w:shd w:fill="F8F9FA" w:val="clear"/>
          </w:tcPr>
          <w:p>
            <w:pPr>
              <w:pStyle w:val="Compact"/>
              <w:spacing w:after="0" w:before="0" w:line="245" w:lineRule="auto"/>
              <w:jc w:val="left"/>
            </w:pPr>
            <w:r>
              <w:rPr>
                <w:b w:val="0"/>
                <w:color w:val="000000"/>
                <w:sz w:val="19"/>
              </w:rPr>
              <w:t xml:space="preserve">Number and length of entries, initialization support, calibration inputs, prior mass, and random seeds</w:t>
            </w:r>
          </w:p>
        </w:tc>
      </w:tr>
      <w:tr>
        <w:trPr>
          <w:cantSplit/>
        </w:trPr>
        <w:tc>
          <w:tcPr>
            <w:tcW w:type="dxa" w:w="2059"/>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Writer</w:t>
            </w:r>
          </w:p>
        </w:tc>
        <w:tc>
          <w:tcPr>
            <w:tcW w:type="dxa" w:w="7733"/>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Segmentation, alignment, gates, threshold schedule, count semantics, and rejected-write rate</w:t>
            </w:r>
          </w:p>
        </w:tc>
      </w:tr>
      <w:tr>
        <w:trPr>
          <w:cantSplit/>
        </w:trPr>
        <w:tc>
          <w:tcPr>
            <w:tcW w:type="dxa" w:w="2059"/>
            <w:vAlign w:val="center"/>
            <w:tcMar>
              <w:top w:w="85" w:type="dxa"/>
              <w:bottom w:w="85" w:type="dxa"/>
              <w:left w:w="100" w:type="dxa"/>
              <w:right w:w="100" w:type="dxa"/>
            </w:tcMar>
            <w:shd w:fill="F8F9FA" w:val="clear"/>
          </w:tcPr>
          <w:p>
            <w:pPr>
              <w:pStyle w:val="Compact"/>
              <w:spacing w:after="0" w:before="0" w:line="245" w:lineRule="auto"/>
              <w:jc w:val="left"/>
            </w:pPr>
            <w:r>
              <w:rPr>
                <w:b w:val="0"/>
                <w:color w:val="000000"/>
                <w:sz w:val="19"/>
              </w:rPr>
              <w:t xml:space="preserve">Reader</w:t>
            </w:r>
          </w:p>
        </w:tc>
        <w:tc>
          <w:tcPr>
            <w:tcW w:type="dxa" w:w="7733"/>
            <w:vAlign w:val="center"/>
            <w:tcMar>
              <w:top w:w="85" w:type="dxa"/>
              <w:bottom w:w="85" w:type="dxa"/>
              <w:left w:w="100" w:type="dxa"/>
              <w:right w:w="100" w:type="dxa"/>
            </w:tcMar>
            <w:shd w:fill="F8F9FA" w:val="clear"/>
          </w:tcPr>
          <w:p>
            <w:pPr>
              <w:pStyle w:val="Compact"/>
              <w:spacing w:after="0" w:before="0" w:line="245" w:lineRule="auto"/>
              <w:jc w:val="left"/>
            </w:pPr>
            <w:r>
              <w:rPr>
                <w:b w:val="0"/>
                <w:color w:val="000000"/>
                <w:sz w:val="19"/>
              </w:rPr>
              <w:t xml:space="preserve">Cue definition, index, candidate budget, ambiguity policy, gating, and query latency</w:t>
            </w:r>
          </w:p>
        </w:tc>
      </w:tr>
      <w:tr>
        <w:trPr>
          <w:cantSplit/>
        </w:trPr>
        <w:tc>
          <w:tcPr>
            <w:tcW w:type="dxa" w:w="2059"/>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Coordinate maintenance</w:t>
            </w:r>
          </w:p>
        </w:tc>
        <w:tc>
          <w:tcPr>
            <w:tcW w:type="dxa" w:w="7733"/>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Versioning, anchors, map class, cadence, residuals, and amortized cost</w:t>
            </w:r>
          </w:p>
        </w:tc>
      </w:tr>
      <w:tr>
        <w:trPr>
          <w:cantSplit/>
        </w:trPr>
        <w:tc>
          <w:tcPr>
            <w:tcW w:type="dxa" w:w="2059"/>
            <w:vAlign w:val="center"/>
            <w:tcMar>
              <w:top w:w="85" w:type="dxa"/>
              <w:bottom w:w="85" w:type="dxa"/>
              <w:left w:w="100" w:type="dxa"/>
              <w:right w:w="100" w:type="dxa"/>
            </w:tcMar>
            <w:shd w:fill="F8F9FA" w:val="clear"/>
          </w:tcPr>
          <w:p>
            <w:pPr>
              <w:pStyle w:val="Compact"/>
              <w:spacing w:after="0" w:before="0" w:line="245" w:lineRule="auto"/>
              <w:jc w:val="left"/>
            </w:pPr>
            <w:r>
              <w:rPr>
                <w:b w:val="0"/>
                <w:color w:val="000000"/>
                <w:sz w:val="19"/>
              </w:rPr>
              <w:t xml:space="preserve">Capacity</w:t>
            </w:r>
          </w:p>
        </w:tc>
        <w:tc>
          <w:tcPr>
            <w:tcW w:type="dxa" w:w="7733"/>
            <w:vAlign w:val="center"/>
            <w:tcMar>
              <w:top w:w="85" w:type="dxa"/>
              <w:bottom w:w="85" w:type="dxa"/>
              <w:left w:w="100" w:type="dxa"/>
              <w:right w:w="100" w:type="dxa"/>
            </w:tcMar>
            <w:shd w:fill="F8F9FA" w:val="clear"/>
          </w:tcPr>
          <w:p>
            <w:pPr>
              <w:pStyle w:val="Compact"/>
              <w:spacing w:after="0" w:before="0" w:line="245" w:lineRule="auto"/>
              <w:jc w:val="left"/>
            </w:pPr>
            <w:r>
              <w:rPr>
                <w:b w:val="0"/>
                <w:color w:val="000000"/>
                <w:sz w:val="19"/>
              </w:rPr>
              <w:t xml:space="preserve">Active KV bytes, persistent payload, index, witnesses, dispersion, decoder, and optimizer state</w:t>
            </w:r>
          </w:p>
        </w:tc>
      </w:tr>
      <w:tr>
        <w:trPr>
          <w:cantSplit/>
        </w:trPr>
        <w:tc>
          <w:tcPr>
            <w:tcW w:type="dxa" w:w="2059"/>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Evaluation</w:t>
            </w:r>
          </w:p>
        </w:tc>
        <w:tc>
          <w:tcPr>
            <w:tcW w:type="dxa" w:w="7733"/>
            <w:vAlign w:val="center"/>
            <w:tcMar>
              <w:top w:w="85" w:type="dxa"/>
              <w:bottom w:w="85" w:type="dxa"/>
              <w:left w:w="100" w:type="dxa"/>
              <w:right w:w="100" w:type="dxa"/>
            </w:tcMar>
            <w:shd w:fill="FFFFFF" w:val="clear"/>
          </w:tcPr>
          <w:p>
            <w:pPr>
              <w:pStyle w:val="Compact"/>
              <w:spacing w:after="0" w:before="0" w:line="245" w:lineRule="auto"/>
              <w:jc w:val="left"/>
            </w:pPr>
            <w:r>
              <w:rPr>
                <w:b w:val="0"/>
                <w:color w:val="000000"/>
                <w:sz w:val="19"/>
              </w:rPr>
              <w:t xml:space="preserve">Task distribution, temporal splits, bank snapshots, permitted writes, leakage checks, and uncertainty intervals</w:t>
            </w:r>
          </w:p>
        </w:tc>
      </w:tr>
      <w:tr>
        <w:trPr>
          <w:cantSplit/>
        </w:trPr>
        <w:tc>
          <w:tcPr>
            <w:tcW w:type="dxa" w:w="2059"/>
            <w:vAlign w:val="center"/>
            <w:tcMar>
              <w:top w:w="85" w:type="dxa"/>
              <w:bottom w:w="85" w:type="dxa"/>
              <w:left w:w="100" w:type="dxa"/>
              <w:right w:w="100" w:type="dxa"/>
            </w:tcMar>
            <w:shd w:fill="F8F9FA" w:val="clear"/>
          </w:tcPr>
          <w:p>
            <w:pPr>
              <w:pStyle w:val="Compact"/>
              <w:spacing w:after="0" w:before="0" w:line="245" w:lineRule="auto"/>
              <w:jc w:val="left"/>
            </w:pPr>
            <w:r>
              <w:rPr>
                <w:b w:val="0"/>
                <w:color w:val="000000"/>
                <w:sz w:val="19"/>
              </w:rPr>
              <w:t xml:space="preserve">Failure analysis</w:t>
            </w:r>
          </w:p>
        </w:tc>
        <w:tc>
          <w:tcPr>
            <w:tcW w:type="dxa" w:w="7733"/>
            <w:vAlign w:val="center"/>
            <w:tcMar>
              <w:top w:w="85" w:type="dxa"/>
              <w:bottom w:w="85" w:type="dxa"/>
              <w:left w:w="100" w:type="dxa"/>
              <w:right w:w="100" w:type="dxa"/>
            </w:tcMar>
            <w:shd w:fill="F8F9FA" w:val="clear"/>
          </w:tcPr>
          <w:p>
            <w:pPr>
              <w:pStyle w:val="Compact"/>
              <w:spacing w:after="0" w:before="0" w:line="245" w:lineRule="auto"/>
              <w:jc w:val="left"/>
            </w:pPr>
            <w:r>
              <w:rPr>
                <w:b w:val="0"/>
                <w:color w:val="000000"/>
                <w:sz w:val="19"/>
              </w:rPr>
              <w:t xml:space="preserve">One-off events, shared cues, stale entries, regime changes, utilisation, and consequences of harmful merges</w:t>
            </w:r>
          </w:p>
        </w:tc>
      </w:tr>
    </w:tbl>
    <w:p>
      <w:pPr>
        <w:pStyle w:val="BodyText"/>
        <w:jc w:val="both"/>
      </w:pPr>
      <w:r>
        <w:rPr>
          <w:color w:val="000000"/>
        </w:rPr>
        <w:t xml:space="preserve">Any empirical paper built on this formulation should include the entire protocol together with positive and negative results. The analytical claims above remain conditional on their assumptions; successful benchmark performance would support the architecture within the tested task family and resource budget.</w:t>
      </w:r>
    </w:p>
    <w:bookmarkEnd w:id="91"/>
    <w:sectPr>
      <w:footerReference w:type="default" r:id="rId9"/>
      <w:pgSz w:w="12240" w:h="15840"/>
      <w:pgMar w:top="1109" w:bottom="1109" w:left="1224" w:right="1224" w:header="432" w:footer="4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64" w:lineRule="auto" w:after="120" w:before="0"/>
    </w:pPr>
    <w:rPr>
      <w:rFonts w:ascii="Times New Roman" w:hAnsi="Times New Roman" w:cs="Times New Roman" w:eastAsia="Times New Roman"/>
      <w:b w:val="0"/>
      <w:i w:val="0"/>
      <w:color w:val="000000"/>
      <w:sz w:val="22"/>
    </w:rPr>
  </w:style>
  <w:style w:styleId="BodyText" w:type="paragraph">
    <w:name w:val="Body Text"/>
    <w:basedOn w:val="Normal"/>
    <w:link w:val="BodyTextChar"/>
    <w:pPr>
      <w:widowControl/>
      <w:spacing w:after="120" w:before="0" w:line="264" w:lineRule="auto"/>
    </w:pPr>
    <w:qFormat/>
    <w:rPr>
      <w:rFonts w:ascii="Times New Roman" w:hAnsi="Times New Roman" w:cs="Times New Roman" w:eastAsia="Times New Roman"/>
      <w:b w:val="0"/>
      <w:i w:val="0"/>
      <w:color w:val="000000"/>
      <w:sz w:val="22"/>
    </w:rPr>
  </w:style>
  <w:style w:customStyle="1" w:styleId="FirstParagraph" w:type="paragraph">
    <w:name w:val="First Paragraph"/>
    <w:basedOn w:val="BodyText"/>
    <w:next w:val="BodyText"/>
    <w:qFormat/>
    <w:pPr>
      <w:widowControl/>
      <w:spacing w:line="264" w:lineRule="auto" w:after="120" w:before="0"/>
    </w:pPr>
    <w:rPr>
      <w:rFonts w:ascii="Times New Roman" w:hAnsi="Times New Roman" w:cs="Times New Roman" w:eastAsia="Times New Roman"/>
      <w:b w:val="0"/>
      <w:i w:val="0"/>
      <w:color w:val="000000"/>
      <w:sz w:val="22"/>
    </w:rPr>
  </w:style>
  <w:style w:customStyle="1" w:styleId="Compact" w:type="paragraph">
    <w:name w:val="Compact"/>
    <w:basedOn w:val="BodyText"/>
    <w:qFormat/>
    <w:pPr>
      <w:widowControl/>
      <w:spacing w:after="120" w:before="0" w:line="264" w:lineRule="auto"/>
    </w:pPr>
    <w:rPr>
      <w:rFonts w:ascii="Times New Roman" w:hAnsi="Times New Roman" w:cs="Times New Roman" w:eastAsia="Times New Roman"/>
      <w:b w:val="0"/>
      <w:i w:val="0"/>
      <w:color w:val="000000"/>
      <w:sz w:val="22"/>
    </w:rPr>
  </w:style>
  <w:style w:styleId="Title" w:type="paragraph">
    <w:name w:val="Title"/>
    <w:basedOn w:val="Normal"/>
    <w:next w:val="BodyText"/>
    <w:qFormat/>
    <w:pPr>
      <w:keepNext/>
      <w:keepLines/>
      <w:spacing w:after="180" w:before="0" w:line="252" w:lineRule="auto"/>
      <w:jc w:val="center"/>
    </w:pPr>
    <w:rPr>
      <w:rFonts w:ascii="Times New Roman" w:hAnsi="Times New Roman" w:cs="Times New Roman" w:eastAsia="Times New Roman"/>
      <w:b/>
      <w:bCs/>
      <w:i w:val="0"/>
      <w:color w:val="000000"/>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spacing w:after="80" w:before="0"/>
      <w:jc w:val="center"/>
    </w:pPr>
    <w:rPr>
      <w:rFonts w:ascii="Times New Roman" w:hAnsi="Times New Roman" w:cs="Times New Roman" w:eastAsia="Times New Roman"/>
      <w:b w:val="0"/>
      <w:i w:val="0"/>
      <w:color w:val="000000"/>
      <w:sz w:val="21"/>
    </w:rPr>
  </w:style>
  <w:style w:styleId="Date" w:type="paragraph">
    <w:name w:val="Date"/>
    <w:next w:val="BodyText"/>
    <w:qFormat/>
    <w:pPr>
      <w:keepNext/>
      <w:keepLines/>
      <w:spacing w:after="80" w:before="0"/>
      <w:jc w:val="center"/>
    </w:pPr>
    <w:rPr>
      <w:rFonts w:ascii="Times New Roman" w:hAnsi="Times New Roman" w:cs="Times New Roman" w:eastAsia="Times New Roman"/>
      <w:b w:val="0"/>
      <w:i w:val="0"/>
      <w:color w:val="000000"/>
      <w:sz w:val="21"/>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60" w:after="140" w:line="252" w:lineRule="auto"/>
    </w:pPr>
    <w:rPr>
      <w:rFonts w:ascii="Times New Roman" w:hAnsi="Times New Roman" w:cs="Times New Roman" w:eastAsia="Times New Roman"/>
      <w:b w:val="0"/>
      <w:i/>
      <w:color w:val="000000"/>
      <w:sz w:val="19"/>
    </w:rPr>
  </w:style>
  <w:style w:customStyle="1" w:styleId="ImageCaption" w:type="paragraph">
    <w:name w:val="Image Caption"/>
    <w:basedOn w:val="Caption"/>
    <w:pPr>
      <w:spacing w:before="60" w:after="140" w:line="252" w:lineRule="auto"/>
    </w:pPr>
    <w:rPr>
      <w:rFonts w:ascii="Times New Roman" w:hAnsi="Times New Roman" w:cs="Times New Roman" w:eastAsia="Times New Roman"/>
      <w:b w:val="0"/>
      <w:i/>
      <w:color w:val="000000"/>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Affiliation">
    <w:name w:val="Affiliation"/>
    <w:basedOn w:val="BodyText"/>
    <w:qFormat/>
    <w:pPr>
      <w:spacing w:after="80" w:before="0"/>
    </w:pPr>
    <w:rPr>
      <w:rFonts w:ascii="Times New Roman" w:hAnsi="Times New Roman" w:cs="Times New Roman" w:eastAsia="Times New Roman"/>
      <w:b w:val="0"/>
      <w:i w:val="0"/>
      <w:color w:val="000000"/>
      <w:sz w:val="21"/>
    </w:rPr>
  </w:style>
  <w:style w:type="paragraph" w:customStyle="1" w:styleId="ArticleType">
    <w:name w:val="ArticleType"/>
    <w:basedOn w:val="BodyText"/>
    <w:qFormat/>
    <w:pPr>
      <w:spacing w:after="80" w:before="0"/>
    </w:pPr>
    <w:rPr>
      <w:rFonts w:ascii="Times New Roman" w:hAnsi="Times New Roman" w:cs="Times New Roman" w:eastAsia="Times New Roman"/>
      <w:b w:val="0"/>
      <w:i/>
      <w:color w:val="000000"/>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8" Type="http://schemas.openxmlformats.org/officeDocument/2006/relationships/image" Target="media/rId28.png"/><Relationship Id="rId46" Type="http://schemas.openxmlformats.org/officeDocument/2006/relationships/image" Target="media/rId46.png"/><Relationship Id="rId64" Type="http://schemas.openxmlformats.org/officeDocument/2006/relationships/hyperlink" Target="https://arxiv.org/abs/1706.03762" TargetMode="External"/><Relationship Id="rId69" Type="http://schemas.openxmlformats.org/officeDocument/2006/relationships/hyperlink" Target="https://arxiv.org/abs/1711.00937" TargetMode="External"/><Relationship Id="rId65" Type="http://schemas.openxmlformats.org/officeDocument/2006/relationships/hyperlink" Target="https://arxiv.org/abs/1911.05507" TargetMode="External"/><Relationship Id="rId71" Type="http://schemas.openxmlformats.org/officeDocument/2006/relationships/hyperlink" Target="https://arxiv.org/abs/2008.02217" TargetMode="External"/><Relationship Id="rId73" Type="http://schemas.openxmlformats.org/officeDocument/2006/relationships/hyperlink" Target="https://arxiv.org/abs/2104.09864" TargetMode="External"/><Relationship Id="rId66" Type="http://schemas.openxmlformats.org/officeDocument/2006/relationships/hyperlink" Target="https://arxiv.org/abs/2203.08913" TargetMode="External"/><Relationship Id="rId72" Type="http://schemas.openxmlformats.org/officeDocument/2006/relationships/hyperlink" Target="https://arxiv.org/abs/2405.16444" TargetMode="External"/><Relationship Id="rId67" Type="http://schemas.openxmlformats.org/officeDocument/2006/relationships/hyperlink" Target="https://arxiv.org/abs/2407.08454" TargetMode="External"/><Relationship Id="rId68" Type="http://schemas.openxmlformats.org/officeDocument/2006/relationships/hyperlink" Target="https://arxiv.org/abs/2412.03213" TargetMode="External"/><Relationship Id="rId70" Type="http://schemas.openxmlformats.org/officeDocument/2006/relationships/hyperlink" Target="https://arxiv.org/abs/2602.18896v1" TargetMode="External"/><Relationship Id="rId82" Type="http://schemas.openxmlformats.org/officeDocument/2006/relationships/hyperlink" Target="https://doi.org/10.1002/047174882X" TargetMode="External"/><Relationship Id="rId83" Type="http://schemas.openxmlformats.org/officeDocument/2006/relationships/hyperlink" Target="https://doi.org/10.1016/j.neuron.2019.10.013" TargetMode="External"/><Relationship Id="rId75" Type="http://schemas.openxmlformats.org/officeDocument/2006/relationships/hyperlink" Target="https://doi.org/10.1037/0033-295X.102.3.419" TargetMode="External"/><Relationship Id="rId76" Type="http://schemas.openxmlformats.org/officeDocument/2006/relationships/hyperlink" Target="https://doi.org/10.1038/nature09633" TargetMode="External"/><Relationship Id="rId74" Type="http://schemas.openxmlformats.org/officeDocument/2006/relationships/hyperlink" Target="https://doi.org/10.1038/ncomms8462" TargetMode="External"/><Relationship Id="rId80" Type="http://schemas.openxmlformats.org/officeDocument/2006/relationships/hyperlink" Target="https://doi.org/10.1038/nn.4151" TargetMode="External"/><Relationship Id="rId81" Type="http://schemas.openxmlformats.org/officeDocument/2006/relationships/hyperlink" Target="https://doi.org/10.1038/s41593-019-0582-1" TargetMode="External"/><Relationship Id="rId77" Type="http://schemas.openxmlformats.org/officeDocument/2006/relationships/hyperlink" Target="https://doi.org/10.1126/science.aad1935" TargetMode="External"/><Relationship Id="rId78" Type="http://schemas.openxmlformats.org/officeDocument/2006/relationships/hyperlink" Target="https://doi.org/10.7554/eLife.06063" TargetMode="External"/><Relationship Id="rId79" Type="http://schemas.openxmlformats.org/officeDocument/2006/relationships/hyperlink" Target="https://www.cell.com/neuron/fulltext/S0896-6273%2819%2930493-3"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64" Type="http://schemas.openxmlformats.org/officeDocument/2006/relationships/hyperlink" Target="https://arxiv.org/abs/1706.03762" TargetMode="External"/><Relationship Id="rId69" Type="http://schemas.openxmlformats.org/officeDocument/2006/relationships/hyperlink" Target="https://arxiv.org/abs/1711.00937" TargetMode="External"/><Relationship Id="rId65" Type="http://schemas.openxmlformats.org/officeDocument/2006/relationships/hyperlink" Target="https://arxiv.org/abs/1911.05507" TargetMode="External"/><Relationship Id="rId71" Type="http://schemas.openxmlformats.org/officeDocument/2006/relationships/hyperlink" Target="https://arxiv.org/abs/2008.02217" TargetMode="External"/><Relationship Id="rId73" Type="http://schemas.openxmlformats.org/officeDocument/2006/relationships/hyperlink" Target="https://arxiv.org/abs/2104.09864" TargetMode="External"/><Relationship Id="rId66" Type="http://schemas.openxmlformats.org/officeDocument/2006/relationships/hyperlink" Target="https://arxiv.org/abs/2203.08913" TargetMode="External"/><Relationship Id="rId72" Type="http://schemas.openxmlformats.org/officeDocument/2006/relationships/hyperlink" Target="https://arxiv.org/abs/2405.16444" TargetMode="External"/><Relationship Id="rId67" Type="http://schemas.openxmlformats.org/officeDocument/2006/relationships/hyperlink" Target="https://arxiv.org/abs/2407.08454" TargetMode="External"/><Relationship Id="rId68" Type="http://schemas.openxmlformats.org/officeDocument/2006/relationships/hyperlink" Target="https://arxiv.org/abs/2412.03213" TargetMode="External"/><Relationship Id="rId70" Type="http://schemas.openxmlformats.org/officeDocument/2006/relationships/hyperlink" Target="https://arxiv.org/abs/2602.18896v1" TargetMode="External"/><Relationship Id="rId82" Type="http://schemas.openxmlformats.org/officeDocument/2006/relationships/hyperlink" Target="https://doi.org/10.1002/047174882X" TargetMode="External"/><Relationship Id="rId83" Type="http://schemas.openxmlformats.org/officeDocument/2006/relationships/hyperlink" Target="https://doi.org/10.1016/j.neuron.2019.10.013" TargetMode="External"/><Relationship Id="rId75" Type="http://schemas.openxmlformats.org/officeDocument/2006/relationships/hyperlink" Target="https://doi.org/10.1037/0033-295X.102.3.419" TargetMode="External"/><Relationship Id="rId76" Type="http://schemas.openxmlformats.org/officeDocument/2006/relationships/hyperlink" Target="https://doi.org/10.1038/nature09633" TargetMode="External"/><Relationship Id="rId74" Type="http://schemas.openxmlformats.org/officeDocument/2006/relationships/hyperlink" Target="https://doi.org/10.1038/ncomms8462" TargetMode="External"/><Relationship Id="rId80" Type="http://schemas.openxmlformats.org/officeDocument/2006/relationships/hyperlink" Target="https://doi.org/10.1038/nn.4151" TargetMode="External"/><Relationship Id="rId81" Type="http://schemas.openxmlformats.org/officeDocument/2006/relationships/hyperlink" Target="https://doi.org/10.1038/s41593-019-0582-1" TargetMode="External"/><Relationship Id="rId77" Type="http://schemas.openxmlformats.org/officeDocument/2006/relationships/hyperlink" Target="https://doi.org/10.1126/science.aad1935" TargetMode="External"/><Relationship Id="rId78" Type="http://schemas.openxmlformats.org/officeDocument/2006/relationships/hyperlink" Target="https://doi.org/10.7554/eLife.06063" TargetMode="External"/><Relationship Id="rId79" Type="http://schemas.openxmlformats.org/officeDocument/2006/relationships/hyperlink" Target="https://www.cell.com/neuron/fulltext/S0896-6273%2819%293049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Purpose of Long-term Memory is Context-Free Short-term Memory</dc:title>
  <dc:creator>Debi Prasad Ghosh</dc:creator>
  <dc:language>en-US</dc:language>
  <cp:keywords>long-term memory, KV cache, vector quantization, pretraining, preplay</cp:keywords>
  <dcterms:created xsi:type="dcterms:W3CDTF">2026-09-18T05:50:35Z</dcterms:created>
  <dcterms:modified xsi:type="dcterms:W3CDTF">2026-09-18T05:50:35Z</dcterms:modified>
  <dc:subject>A theoretical Transformer memory architecture and experimental protocol</dc:subject>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18 September 2026</vt:lpwstr>
  </property>
</Properties>
</file>