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7442E" w14:textId="77777777" w:rsidR="001F608A" w:rsidRPr="003F7917" w:rsidRDefault="00000000" w:rsidP="00017828">
      <w:pPr>
        <w:pStyle w:val="Title"/>
        <w:rPr>
          <w:sz w:val="58"/>
          <w:szCs w:val="58"/>
        </w:rPr>
      </w:pPr>
      <w:r>
        <w:rPr>
          <w:sz w:val="58"/>
          <w:szCs w:val="58"/>
        </w:rPr>
        <w:t>Progressive Architectural Mediation</w:t>
      </w:r>
    </w:p>
    <w:p w14:paraId="692F8CC6" w14:textId="77777777" w:rsidR="00E250B8" w:rsidRPr="00017828" w:rsidRDefault="00000000" w:rsidP="00017828">
      <w:pPr>
        <w:pStyle w:val="Subtitle"/>
        <w:rPr>
          <w:color w:val="00B0F0"/>
          <w:sz w:val="28"/>
          <w:szCs w:val="32"/>
        </w:rPr>
      </w:pPr>
      <w:r w:rsidRPr="00017828">
        <w:rPr>
          <w:color w:val="00B0F0"/>
          <w:sz w:val="28"/>
          <w:szCs w:val="32"/>
        </w:rPr>
        <w:t>MVVM Refactoring CVVC Migration and Neocortical Organization</w:t>
      </w:r>
    </w:p>
    <w:p w14:paraId="7B8CB6F5" w14:textId="7E867CF8" w:rsidR="00017828" w:rsidRPr="00017828" w:rsidRDefault="00000000" w:rsidP="00017828">
      <w:pPr>
        <w:pStyle w:val="Author"/>
      </w:pPr>
      <w:r>
        <w:t>Debi Prasad Ghosh</w:t>
      </w:r>
    </w:p>
    <w:p w14:paraId="7708C10F" w14:textId="7C56E0DB" w:rsidR="00017828" w:rsidRPr="00017828" w:rsidRDefault="00017828" w:rsidP="00017828">
      <w:pPr>
        <w:pStyle w:val="BodyText"/>
        <w:jc w:val="center"/>
      </w:pPr>
      <w:r w:rsidRPr="00017828">
        <w:rPr>
          <w:lang w:val="en-IN"/>
        </w:rPr>
        <w:t>Debias Parametric Guru, Kolkata, India | debiprasadghosh@gmail.com</w:t>
      </w:r>
    </w:p>
    <w:p w14:paraId="701F5C4F" w14:textId="72550B85" w:rsidR="00E250B8" w:rsidRDefault="00000000" w:rsidP="00017828">
      <w:pPr>
        <w:pStyle w:val="Date"/>
      </w:pPr>
      <w:r>
        <w:t>Research manuscript · Revision 3 · 16 October 2026</w:t>
      </w:r>
      <w:r w:rsidR="00BB3977">
        <w:t xml:space="preserve"> ·</w:t>
      </w:r>
      <w:r w:rsidR="00BB3977">
        <w:t xml:space="preserve"> </w:t>
      </w:r>
      <w:r w:rsidR="00BB3977" w:rsidRPr="00BB3977">
        <w:t>https://doi.org/10.13140/RG.2.2.24728.35843</w:t>
      </w:r>
    </w:p>
    <w:p w14:paraId="7E254752" w14:textId="77777777" w:rsidR="001F608A" w:rsidRDefault="00000000" w:rsidP="00017828">
      <w:pPr>
        <w:pStyle w:val="Heading1"/>
        <w:jc w:val="both"/>
      </w:pPr>
      <w:bookmarkStart w:id="0" w:name="abstract"/>
      <w:r>
        <w:t>Abstract</w:t>
      </w:r>
    </w:p>
    <w:p w14:paraId="772E021B" w14:textId="77777777" w:rsidR="00E250B8" w:rsidRDefault="00000000" w:rsidP="00017828">
      <w:pPr>
        <w:pStyle w:val="FirstParagraph"/>
        <w:jc w:val="both"/>
      </w:pPr>
      <w:r>
        <w:t>An established system can acquire more flexible control by reorganizing access to capabilities that already work. We compare procedural software refactored toward Model–View–ViewModel, a trained Transformer migrated toward Context–Value–Value Context architecture, and mammalian corticothalamic organization. Their continuity contracts differ: specified behavior in software, declared competence in a model, and viability across biological generations. We formalize information requirements for mediation and distinguish sufficient evidence from evidence a frozen consumer can use. For gradual Transformer migration, we derive distributional bounds for history-dependent probability gates and finite-sample acceptance rules over a fixed family of candidates. Episode-level routing provides a separate route to removing legacy computation, subject to labeled retention tests and measured total cost. Exact enumeration of 100 binary probability trees verifies the implemented bounds to floating-point precision. A separate calibration example shows that a candidate can satisfy the true tolerance yet remain uncertifiable with a conservative finite-sample bound. Recent thalamic modeling, human imaging, and mouse intervention studies motivate separating access regulation from learning-induced representational change. We retain an ordinal crossover prediction for circuit interventions, while showing by construction that heterogeneous subjects can produce an aggregate crossover without violating individual monotone scalar-resource models. The resulting contribution is a migration contract with explicit information, calibration, and resource requirements. Whether adaptive mediation improves Transformer retention at matched new-task quality and cost, or explains a specific evolutionary reorganization, remains to be tested.</w:t>
      </w:r>
    </w:p>
    <w:p w14:paraId="3B13C69C" w14:textId="77777777" w:rsidR="00E250B8" w:rsidRDefault="00000000" w:rsidP="00017828">
      <w:pPr>
        <w:pStyle w:val="FirstParagraph"/>
        <w:jc w:val="both"/>
      </w:pPr>
      <w:r>
        <w:rPr>
          <w:b/>
          <w:bCs/>
        </w:rPr>
        <w:t>Keywords</w:t>
      </w:r>
      <w:r>
        <w:t xml:space="preserve"> CVVC; MVVM; architectural mediation; corticothalamic circuits; capability retention; adaptive gating; finite-sample certification; selective routing.</w:t>
      </w:r>
    </w:p>
    <w:p w14:paraId="00B731CE" w14:textId="77777777" w:rsidR="001F608A" w:rsidRDefault="00000000" w:rsidP="00017828">
      <w:pPr>
        <w:pStyle w:val="Heading1"/>
        <w:jc w:val="both"/>
      </w:pPr>
      <w:bookmarkStart w:id="1" w:name="introduction"/>
      <w:bookmarkEnd w:id="0"/>
      <w:r>
        <w:t>1 Introduction</w:t>
      </w:r>
    </w:p>
    <w:p w14:paraId="0EFE6B3B" w14:textId="77777777" w:rsidR="001F608A" w:rsidRDefault="00000000" w:rsidP="00017828">
      <w:pPr>
        <w:pStyle w:val="FirstParagraph"/>
        <w:jc w:val="both"/>
      </w:pPr>
      <w:r>
        <w:t>A procedural application may contain a valuable computational core inside a tightly coupled call stack. State updates, decision rules, and presentation logic evolve together until changing one of them risks disturbing all of them. Refactoring can expose interfaces around existing capabilities and transfer responsibility gradually. A trained neural system raises a related question: can we change how information reaches a competent model without repeatedly rewriting the representations that support its competence?</w:t>
      </w:r>
    </w:p>
    <w:p w14:paraId="51645D2C" w14:textId="77777777" w:rsidR="001F608A" w:rsidRDefault="00000000" w:rsidP="00017828">
      <w:pPr>
        <w:pStyle w:val="BodyText"/>
        <w:jc w:val="both"/>
      </w:pPr>
      <w:r>
        <w:t>CVVC-RAG proposes a separation between global Context, a high-fidelity Value component, and a Value-Context mediator that curates a bounded set of fragments [1]. Continual CVVC-RAG extends this proposal with external updates and consolidation, and associates the functional roles with cortical and thalamic organization [2]. The present paper asks what that analogy explains, what it does not establish, and how the architectural claim can be tested.</w:t>
      </w:r>
    </w:p>
    <w:p w14:paraId="125742CE" w14:textId="77777777" w:rsidR="001F608A" w:rsidRDefault="00000000" w:rsidP="00017828">
      <w:pPr>
        <w:pStyle w:val="BodyText"/>
        <w:jc w:val="both"/>
      </w:pPr>
      <w:r>
        <w:t xml:space="preserve">Our thesis is that mediation can create a new locus of adaptation. Instead of placing every update in the main representation, a system can change access policy, assembly, and release while retaining selected competencies. This is a design claim, not a guarantee. A mediator can also discard a decisive premise, misroute a familiar </w:t>
      </w:r>
      <w:r>
        <w:lastRenderedPageBreak/>
        <w:t>problem, or become an expensive bottleneck. A retained representation is useful only if the new architecture can still access and use it.</w:t>
      </w:r>
    </w:p>
    <w:p w14:paraId="38AAA484" w14:textId="77777777" w:rsidR="001F608A" w:rsidRDefault="00000000" w:rsidP="00017828">
      <w:pPr>
        <w:pStyle w:val="BodyText"/>
        <w:jc w:val="both"/>
      </w:pPr>
      <w:r>
        <w:t>The biological comparison concerns the diversification and organization of pallial circuits. It does not describe a modern reptile becoming a human, or an unchanged ancestral action system receiving a new cortical wrapper. Comparative molecular evidence supports diversification of ancestral neuronal programs and new combinations of cell types [5]. The correspondence must therefore be stated at the level of functional organization and tested independently of the historical narrative.</w:t>
      </w:r>
    </w:p>
    <w:p w14:paraId="057620F7" w14:textId="77777777" w:rsidR="00E250B8" w:rsidRDefault="00000000" w:rsidP="00017828">
      <w:pPr>
        <w:pStyle w:val="FirstParagraph"/>
        <w:jc w:val="both"/>
      </w:pPr>
      <w:r>
        <w:t>We develop a continuity contract, an information constraint, and an operational certification procedure. The mathematical analysis separates loss of a task-relevant distinction from incompatibility with a frozen consumer, then extends fixed participation schedules to history-dependent gates. Finite-tree calculations test the implemented formulas and show where conservative certification can reject an adequate candidate. The comparative analysis uses cortical and thalamic findings to specify intervention tests, with explicit controls for learning stage and subject heterogeneity. Neither the probability proofs nor the biological comparison demonstrates a Transformer performance advantage; Section 7 specifies the experiment that would establish or reject that claim.</w:t>
      </w:r>
    </w:p>
    <w:p w14:paraId="1FDB625F" w14:textId="77777777" w:rsidR="00ED1AF7" w:rsidRDefault="00000000" w:rsidP="00017828">
      <w:pPr>
        <w:pStyle w:val="BodyText"/>
        <w:jc w:val="both"/>
      </w:pPr>
      <w:r>
        <w:rPr>
          <w:b/>
          <w:bCs/>
        </w:rPr>
        <w:t>Relation to prior work.</w:t>
      </w:r>
      <w:r>
        <w:t xml:space="preserve"> The engineering components are not new individually. Progressive neural networks retain frozen columns and add laterally connected columns for new tasks [12]; adapters insert small trainable modules into a frozen Transformer [13]; Learning without Forgetting regularizes a new model toward the old model’s outputs [14]; elastic weight consolidation penalizes movement of parameters important to earlier tasks [15]; Gradient Episodic Memory constrains updates with stored examples and introduced backward transfer as a retention measure [16]; and retrieval-augmented generation conditions a parametric model on retrieved non-parametric evidence [17]. The present proposal differs in where adaptation is placed and in what is certified. Adaptation is concentrated in the policy that decides what evidence a frozen consumer reads, rather than in new columns, adapters, or protected parameters, and the transition is governed by an explicit retention contract with a fallback route. Whether this placement produces less interference than the alternatives is the empirical question of Section 7, where a generic adapter stands in for this family of baselines.</w:t>
      </w:r>
    </w:p>
    <w:p w14:paraId="3E59AAA8" w14:textId="77777777" w:rsidR="00E250B8" w:rsidRDefault="00000000" w:rsidP="00017828">
      <w:pPr>
        <w:pStyle w:val="FirstParagraph"/>
        <w:jc w:val="both"/>
      </w:pPr>
      <w:r>
        <w:t>Baseline fallback and statistical calibration also have established precedents. Safe Policy Improvement with Baseline Bootstrapping preserves a baseline policy in uncertain parts of a batch reinforcement-learning problem [27]. Learn then Test calibrates fixed prediction procedures using multiple-testing guarantees [26]. Our migration wrapper applies elementary probability and concentration results to common-prefix sequence kernels, then separates that certification from the operational cost of keeping a legacy branch available. It does not claim novelty for fallback, probability mixtures, or Hoeffding bounds themselves.</w:t>
      </w:r>
    </w:p>
    <w:p w14:paraId="10F4C833" w14:textId="77777777" w:rsidR="001F608A" w:rsidRDefault="00000000" w:rsidP="00017828">
      <w:pPr>
        <w:pStyle w:val="Heading1"/>
        <w:jc w:val="both"/>
      </w:pPr>
      <w:bookmarkStart w:id="2" w:name="X2c983f9ccbc4ae6b62c3e88cfdba6182966f384"/>
      <w:bookmarkEnd w:id="1"/>
      <w:r>
        <w:t>2 Three transformations and their continuity contracts</w:t>
      </w:r>
    </w:p>
    <w:p w14:paraId="19B105DA" w14:textId="77777777" w:rsidR="001F608A" w:rsidRDefault="00000000" w:rsidP="00017828">
      <w:pPr>
        <w:pStyle w:val="Heading2"/>
        <w:jc w:val="both"/>
      </w:pPr>
      <w:bookmarkStart w:id="3" w:name="software-refactoring"/>
      <w:r>
        <w:t>2.1 Software refactoring</w:t>
      </w:r>
    </w:p>
    <w:p w14:paraId="373A2DF3" w14:textId="77777777" w:rsidR="001F608A" w:rsidRDefault="00000000" w:rsidP="00017828">
      <w:pPr>
        <w:pStyle w:val="FirstParagraph"/>
        <w:jc w:val="both"/>
      </w:pPr>
      <w:r>
        <w:t>In MVVM, the Model contains application data and domain responsibilities, the View presents the interface, and the ViewModel exposes presentation state and commands that coordinate the interaction [3]. This separation concerns responsibility and dependencies. It does not require frozen domain code, a fixed-capacity working set, or an immutable View. A gradual replacement strategy, such as the strangler-fig approach, can be used during migration, but it is distinct from MVVM itself [4].</w:t>
      </w:r>
    </w:p>
    <w:p w14:paraId="4E018E21" w14:textId="77777777" w:rsidR="001F608A" w:rsidRDefault="00000000" w:rsidP="00017828">
      <w:pPr>
        <w:pStyle w:val="BodyText"/>
        <w:jc w:val="both"/>
      </w:pPr>
      <w:r>
        <w:t xml:space="preserve">Consider a structural-design application whose existing routine reads a section, evaluates demand and capacity, and writes utilization into a screen widget. A migration first wraps the calculation behind a stable interface. It then moves display state and command availability into a ViewModel. The same engineering facts remain </w:t>
      </w:r>
      <w:r>
        <w:lastRenderedPageBreak/>
        <w:t>accessible while the interface can evolve independently. This is an illustrative software example, not a report of a deployed system.</w:t>
      </w:r>
    </w:p>
    <w:p w14:paraId="2CB67370" w14:textId="77777777" w:rsidR="001F608A" w:rsidRDefault="00000000" w:rsidP="00017828">
      <w:pPr>
        <w:pStyle w:val="BodyText"/>
        <w:jc w:val="both"/>
      </w:pPr>
      <w:r>
        <w:t>The preservation contract includes more than a final number. Units, validation behavior, exception handling, ordering of updates, and user-visible side effects can matter. An application that returns the same utilization but writes it to the wrong load case has not preserved behavior. Tests therefore cover specified traces and invariants, while the legacy implementation can remain available until the relevant paths have migrated.</w:t>
      </w:r>
    </w:p>
    <w:p w14:paraId="6E77554B" w14:textId="77777777" w:rsidR="001F608A" w:rsidRDefault="00000000" w:rsidP="00017828">
      <w:pPr>
        <w:pStyle w:val="Heading2"/>
        <w:jc w:val="both"/>
      </w:pPr>
      <w:bookmarkStart w:id="4" w:name="migration-of-a-trained-transformer"/>
      <w:bookmarkEnd w:id="3"/>
      <w:r>
        <w:t>2.2 Migration of a trained Transformer</w:t>
      </w:r>
    </w:p>
    <w:p w14:paraId="731014A1" w14:textId="77777777" w:rsidR="001F608A" w:rsidRDefault="00000000" w:rsidP="00017828">
      <w:pPr>
        <w:pStyle w:val="FirstParagraph"/>
        <w:jc w:val="both"/>
      </w:pPr>
      <w:r>
        <w:t>The CVVC correspondence associates Context with Model, Value with View, and Value-Context with ViewModel [1]. The analogy is functional: Value is an active reasoning component, not merely a graphical display. The new problem is how to expose a trained model to a curated working set without losing capabilities that depended on its original context and attention patterns.</w:t>
      </w:r>
    </w:p>
    <w:p w14:paraId="4AF46464" w14:textId="77777777" w:rsidR="001F608A" w:rsidRDefault="00000000" w:rsidP="00017828">
      <w:pPr>
        <w:pStyle w:val="BodyText"/>
        <w:jc w:val="both"/>
      </w:pPr>
      <w:r>
        <w:t>Freezing weights eliminates updates to those weights. It does not preserve outputs under changed inputs, attention masks, positional conventions, or fusion layers. A model that remembers a distinction parametrically may still fail when the mediator supplies a contradictory fragment or excludes the necessary disambiguating fact. We therefore define preservation in terms of performance and output behavior on declared task distributions, rather than equality of parameter files.</w:t>
      </w:r>
    </w:p>
    <w:p w14:paraId="1CBC2C91" w14:textId="77777777" w:rsidR="001F608A" w:rsidRDefault="00000000" w:rsidP="00017828">
      <w:pPr>
        <w:pStyle w:val="Heading2"/>
        <w:jc w:val="both"/>
      </w:pPr>
      <w:bookmarkStart w:id="5" w:name="evolutionary-reorganization"/>
      <w:bookmarkEnd w:id="4"/>
      <w:r>
        <w:t>2.3 Evolutionary reorganization</w:t>
      </w:r>
    </w:p>
    <w:p w14:paraId="7A068127" w14:textId="77777777" w:rsidR="001F608A" w:rsidRDefault="00000000" w:rsidP="00017828">
      <w:pPr>
        <w:pStyle w:val="FirstParagraph"/>
        <w:jc w:val="both"/>
      </w:pPr>
      <w:r>
        <w:t>Evolution operates across reproduction and development. Each viable organism is a functioning system, but an individual ancestral brain is not progressively converted into the brain of a descendant species. Mammalian and sauropsid lineages diverged from shared ancestry. Transcriptomic studies of reptilian cortex indicate that mammalian neocortical excitatory cell types arose through diversification of ancestral regulatory programs [5]. This supports continuity with transformation, not a literal migration history inferred from present-day lamination.</w:t>
      </w:r>
    </w:p>
    <w:p w14:paraId="6695A422" w14:textId="77777777" w:rsidR="001F608A" w:rsidRDefault="00000000" w:rsidP="00017828">
      <w:pPr>
        <w:pStyle w:val="BodyText"/>
        <w:jc w:val="both"/>
      </w:pPr>
      <w:r>
        <w:t>The relevant invariant is viability within an ecological setting, not behavioral equivalence to an ancestor. Changed behavior can be the advantage under selection. Developmental mechanisms, circuit organization, energy costs, and interactions with the rest of the nervous system can all change. The analogy is strongest when it concerns continued function during architectural differentiation, and weakest when it assumes that old structures were frozen or that a new controller had an identifiable moment of insertion.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539"/>
        <w:gridCol w:w="2053"/>
        <w:gridCol w:w="2346"/>
        <w:gridCol w:w="4178"/>
      </w:tblGrid>
      <w:tr w:rsidR="001F608A" w14:paraId="277973D9" w14:textId="77777777" w:rsidTr="001F608A">
        <w:trPr>
          <w:cnfStyle w:val="100000000000" w:firstRow="1" w:lastRow="0" w:firstColumn="0" w:lastColumn="0" w:oddVBand="0" w:evenVBand="0" w:oddHBand="0" w:evenHBand="0" w:firstRowFirstColumn="0" w:firstRowLastColumn="0" w:lastRowFirstColumn="0" w:lastRowLastColumn="0"/>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15C6AD02" w14:textId="77777777" w:rsidR="001F608A" w:rsidRDefault="00000000" w:rsidP="00017828">
            <w:pPr>
              <w:pStyle w:val="Compact"/>
              <w:spacing w:before="40" w:after="40" w:line="240" w:lineRule="auto"/>
              <w:jc w:val="both"/>
            </w:pPr>
            <w:r>
              <w:rPr>
                <w:rFonts w:ascii="Arial" w:hAnsi="Arial"/>
                <w:b/>
                <w:color w:val="FFFFFF"/>
                <w:sz w:val="20"/>
              </w:rPr>
              <w:t>Domain</w:t>
            </w:r>
          </w:p>
        </w:tc>
        <w:tc>
          <w:tcPr>
            <w:tcW w:w="2016"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01E7D47C" w14:textId="77777777" w:rsidR="001F608A" w:rsidRDefault="00000000" w:rsidP="00017828">
            <w:pPr>
              <w:pStyle w:val="Compact"/>
              <w:spacing w:before="40" w:after="40" w:line="240" w:lineRule="auto"/>
              <w:jc w:val="both"/>
            </w:pPr>
            <w:r>
              <w:rPr>
                <w:rFonts w:ascii="Arial" w:hAnsi="Arial"/>
                <w:b/>
                <w:color w:val="FFFFFF"/>
                <w:sz w:val="20"/>
              </w:rPr>
              <w:t>Preserved requirement</w:t>
            </w:r>
          </w:p>
        </w:tc>
        <w:tc>
          <w:tcPr>
            <w:tcW w:w="2304"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35CF59B6" w14:textId="77777777" w:rsidR="001F608A" w:rsidRDefault="00000000" w:rsidP="00017828">
            <w:pPr>
              <w:pStyle w:val="Compact"/>
              <w:spacing w:before="40" w:after="40" w:line="240" w:lineRule="auto"/>
              <w:jc w:val="both"/>
            </w:pPr>
            <w:r>
              <w:rPr>
                <w:rFonts w:ascii="Arial" w:hAnsi="Arial"/>
                <w:b/>
                <w:color w:val="FFFFFF"/>
                <w:sz w:val="20"/>
              </w:rPr>
              <w:t>Permitted change</w:t>
            </w:r>
          </w:p>
        </w:tc>
        <w:tc>
          <w:tcPr>
            <w:tcW w:w="4104"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6EB16B97" w14:textId="77777777" w:rsidR="001F608A" w:rsidRDefault="00000000" w:rsidP="00017828">
            <w:pPr>
              <w:pStyle w:val="Compact"/>
              <w:spacing w:before="40" w:after="40" w:line="240" w:lineRule="auto"/>
              <w:jc w:val="both"/>
            </w:pPr>
            <w:r>
              <w:rPr>
                <w:rFonts w:ascii="Arial" w:hAnsi="Arial"/>
                <w:b/>
                <w:color w:val="FFFFFF"/>
                <w:sz w:val="20"/>
              </w:rPr>
              <w:t>Evidence of success</w:t>
            </w:r>
          </w:p>
        </w:tc>
      </w:tr>
      <w:tr w:rsidR="001F608A" w14:paraId="3F84C0EC" w14:textId="77777777" w:rsidTr="001F608A">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95E0633" w14:textId="77777777" w:rsidR="001F608A" w:rsidRDefault="00000000" w:rsidP="00017828">
            <w:pPr>
              <w:pStyle w:val="Compact"/>
              <w:spacing w:before="40" w:after="40" w:line="240" w:lineRule="auto"/>
              <w:jc w:val="both"/>
            </w:pPr>
            <w:r>
              <w:rPr>
                <w:rFonts w:ascii="Arial" w:hAnsi="Arial"/>
                <w:sz w:val="20"/>
              </w:rPr>
              <w:t>Procedural software to MVVM</w:t>
            </w:r>
          </w:p>
        </w:tc>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720BF7A" w14:textId="77777777" w:rsidR="001F608A" w:rsidRDefault="00000000" w:rsidP="00017828">
            <w:pPr>
              <w:pStyle w:val="Compact"/>
              <w:spacing w:before="40" w:after="40" w:line="240" w:lineRule="auto"/>
              <w:jc w:val="both"/>
            </w:pPr>
            <w:r>
              <w:rPr>
                <w:rFonts w:ascii="Arial" w:hAnsi="Arial"/>
                <w:sz w:val="20"/>
              </w:rPr>
              <w:t>Specified behavior and domain invariants</w:t>
            </w:r>
          </w:p>
        </w:tc>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E5E62FE" w14:textId="77777777" w:rsidR="001F608A" w:rsidRDefault="00000000" w:rsidP="00017828">
            <w:pPr>
              <w:pStyle w:val="Compact"/>
              <w:spacing w:before="40" w:after="40" w:line="240" w:lineRule="auto"/>
              <w:jc w:val="both"/>
            </w:pPr>
            <w:r>
              <w:rPr>
                <w:rFonts w:ascii="Arial" w:hAnsi="Arial"/>
                <w:sz w:val="20"/>
              </w:rPr>
              <w:t>Dependency structure and ownership</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6088289" w14:textId="77777777" w:rsidR="001F608A" w:rsidRDefault="00000000" w:rsidP="00017828">
            <w:pPr>
              <w:pStyle w:val="Compact"/>
              <w:spacing w:before="40" w:after="40" w:line="240" w:lineRule="auto"/>
              <w:jc w:val="both"/>
            </w:pPr>
            <w:r>
              <w:rPr>
                <w:rFonts w:ascii="Arial" w:hAnsi="Arial"/>
                <w:sz w:val="20"/>
              </w:rPr>
              <w:t>Regression and interface tests</w:t>
            </w:r>
          </w:p>
        </w:tc>
      </w:tr>
      <w:tr w:rsidR="001F608A" w14:paraId="4AFD9334" w14:textId="77777777" w:rsidTr="001F608A">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EA0103" w14:textId="77777777" w:rsidR="001F608A" w:rsidRDefault="00000000" w:rsidP="00017828">
            <w:pPr>
              <w:pStyle w:val="Compact"/>
              <w:spacing w:before="40" w:after="40" w:line="240" w:lineRule="auto"/>
              <w:jc w:val="both"/>
            </w:pPr>
            <w:r>
              <w:rPr>
                <w:rFonts w:ascii="Arial" w:hAnsi="Arial"/>
                <w:sz w:val="20"/>
              </w:rPr>
              <w:t>Transformer to CVVC</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35C3C7" w14:textId="77777777" w:rsidR="001F608A" w:rsidRDefault="00000000" w:rsidP="00017828">
            <w:pPr>
              <w:pStyle w:val="Compact"/>
              <w:spacing w:before="40" w:after="40" w:line="240" w:lineRule="auto"/>
              <w:jc w:val="both"/>
            </w:pPr>
            <w:r>
              <w:rPr>
                <w:rFonts w:ascii="Arial" w:hAnsi="Arial"/>
                <w:sz w:val="20"/>
              </w:rPr>
              <w:t>Declared competence and output constraints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A49485" w14:textId="77777777" w:rsidR="001F608A" w:rsidRDefault="00000000" w:rsidP="00017828">
            <w:pPr>
              <w:pStyle w:val="Compact"/>
              <w:spacing w:before="40" w:after="40" w:line="240" w:lineRule="auto"/>
              <w:jc w:val="both"/>
            </w:pPr>
            <w:r>
              <w:rPr>
                <w:rFonts w:ascii="Arial" w:hAnsi="Arial"/>
                <w:sz w:val="20"/>
              </w:rPr>
              <w:t>Routing, memory access, assembly, adaptation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E26306" w14:textId="77777777" w:rsidR="001F608A" w:rsidRDefault="00000000" w:rsidP="00017828">
            <w:pPr>
              <w:pStyle w:val="Compact"/>
              <w:spacing w:before="40" w:after="40" w:line="240" w:lineRule="auto"/>
              <w:jc w:val="both"/>
            </w:pPr>
            <w:r>
              <w:rPr>
                <w:rFonts w:ascii="Arial" w:hAnsi="Arial"/>
                <w:sz w:val="20"/>
              </w:rPr>
              <w:t>Retention and quality at measured cost</w:t>
            </w:r>
          </w:p>
        </w:tc>
      </w:tr>
      <w:tr w:rsidR="001F608A" w14:paraId="06618D66" w14:textId="77777777" w:rsidTr="001F608A">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D050A4D" w14:textId="77777777" w:rsidR="001F608A" w:rsidRDefault="00000000" w:rsidP="00017828">
            <w:pPr>
              <w:pStyle w:val="Compact"/>
              <w:spacing w:before="40" w:after="40" w:line="240" w:lineRule="auto"/>
              <w:jc w:val="both"/>
            </w:pPr>
            <w:r>
              <w:rPr>
                <w:rFonts w:ascii="Arial" w:hAnsi="Arial"/>
                <w:sz w:val="20"/>
              </w:rPr>
              <w:t>Pallial evolution</w:t>
            </w:r>
          </w:p>
        </w:tc>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5693910" w14:textId="77777777" w:rsidR="001F608A" w:rsidRDefault="00000000" w:rsidP="00017828">
            <w:pPr>
              <w:pStyle w:val="Compact"/>
              <w:spacing w:before="40" w:after="40" w:line="240" w:lineRule="auto"/>
              <w:jc w:val="both"/>
            </w:pPr>
            <w:r>
              <w:rPr>
                <w:rFonts w:ascii="Arial" w:hAnsi="Arial"/>
                <w:sz w:val="20"/>
              </w:rPr>
              <w:t>Viable development and reproduction</w:t>
            </w:r>
          </w:p>
        </w:tc>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0BEF5D9" w14:textId="77777777" w:rsidR="001F608A" w:rsidRDefault="00000000" w:rsidP="00017828">
            <w:pPr>
              <w:pStyle w:val="Compact"/>
              <w:spacing w:before="40" w:after="40" w:line="240" w:lineRule="auto"/>
              <w:jc w:val="both"/>
            </w:pPr>
            <w:r>
              <w:rPr>
                <w:rFonts w:ascii="Arial" w:hAnsi="Arial"/>
                <w:sz w:val="20"/>
              </w:rPr>
              <w:t>Cell types, circuits, functions, behavior</w:t>
            </w:r>
          </w:p>
        </w:tc>
        <w:tc>
          <w:tcPr>
            <w:tcW w:w="410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8EA7A45" w14:textId="77777777" w:rsidR="001F608A" w:rsidRDefault="00000000" w:rsidP="00017828">
            <w:pPr>
              <w:pStyle w:val="Compact"/>
              <w:spacing w:before="40" w:after="40" w:line="240" w:lineRule="auto"/>
              <w:jc w:val="both"/>
            </w:pPr>
            <w:r>
              <w:rPr>
                <w:rFonts w:ascii="Arial" w:hAnsi="Arial"/>
                <w:sz w:val="20"/>
              </w:rPr>
              <w:t>Comparative, developmental, and ecological evidence</w:t>
            </w:r>
          </w:p>
        </w:tc>
      </w:tr>
    </w:tbl>
    <w:p w14:paraId="677A3DD8" w14:textId="77777777" w:rsidR="001F608A" w:rsidRDefault="00000000" w:rsidP="00017828">
      <w:pPr>
        <w:pStyle w:val="Caption"/>
        <w:spacing w:before="80" w:after="160" w:line="252" w:lineRule="auto"/>
        <w:jc w:val="both"/>
      </w:pPr>
      <w:r>
        <w:rPr>
          <w:sz w:val="19"/>
        </w:rPr>
        <w:t>Table 1. The common continuity requirement has different meanings in each domain. Behavioral equivalence is not an evolutionary law.</w:t>
      </w:r>
    </w:p>
    <w:p w14:paraId="57A385B9" w14:textId="77777777" w:rsidR="001F608A" w:rsidRDefault="00000000" w:rsidP="00017828">
      <w:pPr>
        <w:pStyle w:val="Heading1"/>
        <w:jc w:val="both"/>
      </w:pPr>
      <w:bookmarkStart w:id="6" w:name="a-formal-model-of-mediation"/>
      <w:bookmarkEnd w:id="2"/>
      <w:bookmarkEnd w:id="5"/>
      <w:r>
        <w:lastRenderedPageBreak/>
        <w:t>3 A formal model of mediation</w:t>
      </w:r>
    </w:p>
    <w:p w14:paraId="374DE685" w14:textId="77777777" w:rsidR="001F608A" w:rsidRDefault="00000000" w:rsidP="00017828">
      <w:pPr>
        <w:pStyle w:val="FirstParagraph"/>
        <w:jc w:val="both"/>
      </w:pPr>
      <w:r>
        <w:t xml:space="preserve">Let the original system have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receive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update its state through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and produce output through </w:t>
      </w:r>
      <m:oMath>
        <m:sSub>
          <m:sSubPr>
            <m:ctrlPr>
              <w:rPr>
                <w:rFonts w:ascii="Cambria Math" w:hAnsi="Cambria Math"/>
              </w:rPr>
            </m:ctrlPr>
          </m:sSubPr>
          <m:e>
            <m:r>
              <w:rPr>
                <w:rFonts w:ascii="Cambria Math" w:hAnsi="Cambria Math"/>
              </w:rPr>
              <m:t>P</m:t>
            </m:r>
          </m:e>
          <m:sub>
            <m:r>
              <w:rPr>
                <w:rFonts w:ascii="Cambria Math" w:hAnsi="Cambria Math"/>
              </w:rPr>
              <m:t>0</m:t>
            </m:r>
          </m:sub>
        </m:sSub>
      </m:oMath>
      <w:r>
        <w:t>:</w:t>
      </w:r>
    </w:p>
    <w:p w14:paraId="42914DC3" w14:textId="77777777" w:rsidR="001F608A" w:rsidRDefault="00000000" w:rsidP="00017828">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oMath>
      <w:r>
        <w:tab/>
        <w:t>(1)</w:t>
      </w:r>
    </w:p>
    <w:p w14:paraId="5B611CB0" w14:textId="77777777" w:rsidR="001F608A" w:rsidRDefault="00000000" w:rsidP="00017828">
      <w:pPr>
        <w:pStyle w:val="FirstParagraph"/>
        <w:jc w:val="both"/>
      </w:pPr>
      <w:r>
        <w:t xml:space="preserve">Separating state transition from output avoids treating an entire dynamical system as a stateless procedure. A mediated system introduces represented content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routing state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the representation actually made available to the consumer,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t>:</w:t>
      </w:r>
    </w:p>
    <w:p w14:paraId="37966687" w14:textId="77777777" w:rsidR="001F608A" w:rsidRDefault="00000000" w:rsidP="00017828">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w:r>
        <w:tab/>
        <w:t>(2)</w:t>
      </w:r>
    </w:p>
    <w:p w14:paraId="1FE813AD" w14:textId="77777777" w:rsidR="001F608A" w:rsidRDefault="00000000" w:rsidP="00017828">
      <w:pPr>
        <w:pStyle w:val="FirstParagraph"/>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ω</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w:r>
        <w:tab/>
        <w:t>(3)</w:t>
      </w:r>
    </w:p>
    <w:p w14:paraId="25478407" w14:textId="77777777" w:rsidR="001F608A" w:rsidRDefault="00000000" w:rsidP="00017828">
      <w:pPr>
        <w:pStyle w:val="FirstParagraph"/>
        <w:jc w:val="both"/>
      </w:pPr>
      <w:r>
        <w:t xml:space="preserve">Here the encoder produces candidate information, the policy changes the access state, the routing operator materializes the selected representation, and the consumer produces an output distribution. These are functional roles. An implementation may distribute each role across recurrent components. Any additional information available to the consumer must be included in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t xml:space="preserve"> when reasoning about sufficiency.</w:t>
      </w:r>
    </w:p>
    <w:p w14:paraId="43A0D284" w14:textId="37B8F69A" w:rsidR="00E250B8" w:rsidRDefault="00000000" w:rsidP="00017828">
      <w:pPr>
        <w:pStyle w:val="FirstParagraph"/>
        <w:jc w:val="both"/>
      </w:pPr>
      <w:r>
        <w:t xml:space="preserve">An exact software factorization requires more than factoring the current output map. One sufficient method is to construct a relation between original and new states that preserves specified outputs and is maintained under permitted transitions. Simulation or bisimulation can provide such a proof under a chosen transition semantics [18]. They are not necessary for every weaker notion of observable trace equivalence, particularly in nondeterministic systems. The contract must state which behavior is observable, including errors and side effects. </w:t>
      </w:r>
      <w:r w:rsidR="002F3231">
        <w:t>Otherwise,</w:t>
      </w:r>
      <w:r>
        <w:t xml:space="preserve"> two versions can agree on the current screen and disagree after the next command. For learned systems, a declared error budget is usually more useful than exact equivalence.</w:t>
      </w:r>
    </w:p>
    <w:p w14:paraId="0BB8E0DB" w14:textId="77777777" w:rsidR="001F608A" w:rsidRDefault="00000000" w:rsidP="00017828">
      <w:pPr>
        <w:pStyle w:val="Heading2"/>
        <w:jc w:val="both"/>
      </w:pPr>
      <w:bookmarkStart w:id="7" w:name="a-necessary-information-condition"/>
      <w:r>
        <w:t>3.1 A necessary information condition</w:t>
      </w:r>
    </w:p>
    <w:p w14:paraId="4E96EF4D" w14:textId="77777777" w:rsidR="001F608A" w:rsidRDefault="00000000" w:rsidP="00017828">
      <w:pPr>
        <w:pStyle w:val="FirstParagraph"/>
        <w:jc w:val="both"/>
      </w:pPr>
      <w:r>
        <w:rPr>
          <w:b/>
          <w:bCs/>
        </w:rPr>
        <w:t>Proposition 1 — Mediation cannot recover a discarded distinction.</w:t>
      </w:r>
      <w:r>
        <w:t xml:space="preserve"> Consider a deterministic task with reference answer </w:t>
      </w:r>
      <m:oMath>
        <m:r>
          <w:rPr>
            <w:rFonts w:ascii="Cambria Math" w:hAnsi="Cambria Math"/>
          </w:rPr>
          <m:t>f</m:t>
        </m:r>
        <m:d>
          <m:dPr>
            <m:ctrlPr>
              <w:rPr>
                <w:rFonts w:ascii="Cambria Math" w:hAnsi="Cambria Math"/>
              </w:rPr>
            </m:ctrlPr>
          </m:dPr>
          <m:e>
            <m:r>
              <w:rPr>
                <w:rFonts w:ascii="Cambria Math" w:hAnsi="Cambria Math"/>
              </w:rPr>
              <m:t>u</m:t>
            </m:r>
          </m:e>
        </m:d>
      </m:oMath>
      <w:r>
        <w:t xml:space="preserve"> for input-history state </w:t>
      </w:r>
      <m:oMath>
        <m:r>
          <w:rPr>
            <w:rFonts w:ascii="Cambria Math" w:hAnsi="Cambria Math"/>
          </w:rPr>
          <m:t>u</m:t>
        </m:r>
      </m:oMath>
      <w:r>
        <w:t xml:space="preserve">, and let </w:t>
      </w:r>
      <m:oMath>
        <m:r>
          <w:rPr>
            <w:rFonts w:ascii="Cambria Math" w:hAnsi="Cambria Math"/>
          </w:rPr>
          <m:t>b</m:t>
        </m:r>
        <m:d>
          <m:dPr>
            <m:ctrlPr>
              <w:rPr>
                <w:rFonts w:ascii="Cambria Math" w:hAnsi="Cambria Math"/>
              </w:rPr>
            </m:ctrlPr>
          </m:dPr>
          <m:e>
            <m:r>
              <w:rPr>
                <w:rFonts w:ascii="Cambria Math" w:hAnsi="Cambria Math"/>
              </w:rPr>
              <m:t>u</m:t>
            </m:r>
          </m:e>
        </m:d>
      </m:oMath>
      <w:r>
        <w:t xml:space="preserve"> be everything the mediated consumer receives. A decoder </w:t>
      </w:r>
      <m:oMath>
        <m:r>
          <w:rPr>
            <w:rFonts w:ascii="Cambria Math" w:hAnsi="Cambria Math"/>
          </w:rPr>
          <m:t>g</m:t>
        </m:r>
      </m:oMath>
      <w:r>
        <w:t xml:space="preserve"> satisfying </w:t>
      </w:r>
      <m:oMath>
        <m:r>
          <w:rPr>
            <w:rFonts w:ascii="Cambria Math" w:hAnsi="Cambria Math"/>
          </w:rPr>
          <m:t>g</m:t>
        </m:r>
        <m:d>
          <m:dPr>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u</m:t>
            </m:r>
          </m:e>
        </m:d>
      </m:oMath>
      <w:r>
        <w:t xml:space="preserve"> for every </w:t>
      </w:r>
      <m:oMath>
        <m:r>
          <w:rPr>
            <w:rFonts w:ascii="Cambria Math" w:hAnsi="Cambria Math"/>
          </w:rPr>
          <m:t>u</m:t>
        </m:r>
      </m:oMath>
      <w:r>
        <w:t xml:space="preserve"> exists if and only if </w:t>
      </w:r>
      <m:oMath>
        <m:r>
          <w:rPr>
            <w:rFonts w:ascii="Cambria Math" w:hAnsi="Cambria Math"/>
          </w:rPr>
          <m:t>f</m:t>
        </m:r>
      </m:oMath>
      <w:r>
        <w:t xml:space="preserve"> is constant on every set of states that share the same </w:t>
      </w:r>
      <m:oMath>
        <m:r>
          <w:rPr>
            <w:rFonts w:ascii="Cambria Math" w:hAnsi="Cambria Math"/>
          </w:rPr>
          <m:t>b</m:t>
        </m:r>
      </m:oMath>
      <w:r>
        <w:t>.</w:t>
      </w:r>
    </w:p>
    <w:p w14:paraId="0F672A3A" w14:textId="77777777" w:rsidR="001F608A" w:rsidRDefault="00000000" w:rsidP="00017828">
      <w:pPr>
        <w:pStyle w:val="BodyText"/>
        <w:jc w:val="both"/>
      </w:pPr>
      <w:r>
        <w:t xml:space="preserve">Proof. If </w:t>
      </w:r>
      <m:oMath>
        <m:r>
          <w:rPr>
            <w:rFonts w:ascii="Cambria Math" w:hAnsi="Cambria Math"/>
          </w:rPr>
          <m:t>b</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v</m:t>
            </m:r>
          </m:e>
        </m:d>
      </m:oMath>
      <w:r>
        <w:t xml:space="preserve">, the decoder must return the same result on both, so exact recovery requires </w:t>
      </w:r>
      <m:oMath>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m:t>
            </m:r>
          </m:e>
        </m:d>
      </m:oMath>
      <w:r>
        <w:t xml:space="preserve">. Conversely, when this condition holds, define </w:t>
      </w:r>
      <m:oMath>
        <m:r>
          <w:rPr>
            <w:rFonts w:ascii="Cambria Math" w:hAnsi="Cambria Math"/>
          </w:rPr>
          <m:t>g</m:t>
        </m:r>
      </m:oMath>
      <w:r>
        <w:t xml:space="preserve"> on each observed representation as the common reference answer of its preimages. The condition establishes representational possibility; it does not establish that a trained decoder will discover </w:t>
      </w:r>
      <m:oMath>
        <m:r>
          <w:rPr>
            <w:rFonts w:ascii="Cambria Math" w:hAnsi="Cambria Math"/>
          </w:rPr>
          <m:t>g</m:t>
        </m:r>
      </m:oMath>
      <w:r>
        <w:t xml:space="preserve"> or implement it efficiently.</w:t>
      </w:r>
    </w:p>
    <w:p w14:paraId="03CBB0F7" w14:textId="77777777" w:rsidR="001F608A" w:rsidRDefault="00000000" w:rsidP="00017828">
      <w:pPr>
        <w:pStyle w:val="BodyText"/>
        <w:jc w:val="both"/>
      </w:pPr>
      <w:r>
        <w:t>For stochastic reference outputs, the corresponding requirement is equality of the reference conditional output distributions within each representation class. This simple condition is the central constraint on a bounded working set. Reducing the read is safe only relative to the distinctions the task needs. A global summary can help select fragments but cannot justify discarding provenance when the answer depends on provenance.</w:t>
      </w:r>
    </w:p>
    <w:p w14:paraId="3850A88E" w14:textId="77777777" w:rsidR="001F608A" w:rsidRDefault="00000000" w:rsidP="00017828">
      <w:pPr>
        <w:pStyle w:val="BodyText"/>
        <w:jc w:val="both"/>
      </w:pPr>
      <w:r>
        <w:t>As a concrete counterexample, consider two document collections with identical numerical statements but opposite revision status. If the mediator omits which statement is current, both collections can produce the same consumer input while requiring different answers. No amount of confidence in the frozen Value component repairs this missing distinction. The mediator must retain the version, reopen the source, or acknowledge that the task cannot be resolved from its current read.</w:t>
      </w:r>
    </w:p>
    <w:p w14:paraId="095F2B9A" w14:textId="77777777" w:rsidR="00E250B8" w:rsidRDefault="00000000" w:rsidP="00017828">
      <w:pPr>
        <w:pStyle w:val="FirstParagraph"/>
        <w:jc w:val="both"/>
      </w:pPr>
      <w:r>
        <w:rPr>
          <w:b/>
          <w:bCs/>
        </w:rPr>
        <w:lastRenderedPageBreak/>
        <w:t>Corollary 1 — Quantitative form.</w:t>
      </w:r>
      <w:r>
        <w:t xml:space="preserve"> Let histories </w:t>
      </w:r>
      <m:oMath>
        <m:r>
          <w:rPr>
            <w:rFonts w:ascii="Cambria Math" w:hAnsi="Cambria Math"/>
          </w:rPr>
          <m:t>U</m:t>
        </m:r>
      </m:oMath>
      <w:r>
        <w:t xml:space="preserve"> follow a distribution </w:t>
      </w:r>
      <m:oMath>
        <m:r>
          <w:rPr>
            <w:rFonts w:ascii="Cambria Math" w:hAnsi="Cambria Math"/>
          </w:rPr>
          <m:t>μ</m:t>
        </m:r>
      </m:oMath>
      <w:r>
        <w:t xml:space="preserve">, let </w:t>
      </w:r>
      <m:oMath>
        <m:d>
          <m:dPr>
            <m:begChr m:val="|"/>
            <m:endChr m:val="|"/>
            <m:ctrlPr>
              <w:rPr>
                <w:rFonts w:ascii="Cambria Math" w:hAnsi="Cambria Math"/>
              </w:rPr>
            </m:ctrlPr>
          </m:dPr>
          <m:e>
            <m:r>
              <m:rPr>
                <m:scr m:val="script"/>
                <m:sty m:val="p"/>
              </m:rPr>
              <w:rPr>
                <w:rFonts w:ascii="Cambria Math" w:hAnsi="Cambria Math"/>
              </w:rPr>
              <m:t>Y</m:t>
            </m:r>
          </m:e>
        </m:d>
        <m:r>
          <m:rPr>
            <m:sty m:val="p"/>
          </m:rPr>
          <w:rPr>
            <w:rFonts w:ascii="Cambria Math" w:hAnsi="Cambria Math"/>
          </w:rPr>
          <m:t>≥</m:t>
        </m:r>
        <m:r>
          <w:rPr>
            <w:rFonts w:ascii="Cambria Math" w:hAnsi="Cambria Math"/>
          </w:rPr>
          <m:t>2</m:t>
        </m:r>
      </m:oMath>
      <w:r>
        <w:t xml:space="preserve"> be a finite answer alphabet, and let </w:t>
      </w:r>
      <m:oMath>
        <m:r>
          <w:rPr>
            <w:rFonts w:ascii="Cambria Math" w:hAnsi="Cambria Math"/>
          </w:rPr>
          <m:t>b</m:t>
        </m:r>
        <m:d>
          <m:dPr>
            <m:ctrlPr>
              <w:rPr>
                <w:rFonts w:ascii="Cambria Math" w:hAnsi="Cambria Math"/>
              </w:rPr>
            </m:ctrlPr>
          </m:dPr>
          <m:e>
            <m:r>
              <w:rPr>
                <w:rFonts w:ascii="Cambria Math" w:hAnsi="Cambria Math"/>
              </w:rPr>
              <m:t>U</m:t>
            </m:r>
          </m:e>
        </m:d>
      </m:oMath>
      <w:r>
        <w:t xml:space="preserve"> be everything the consumer receives. Its minimum possible classification error is the Bayes error of that representation:</w:t>
      </w:r>
    </w:p>
    <w:p w14:paraId="23186885" w14:textId="77777777" w:rsidR="00E250B8" w:rsidRDefault="00000000" w:rsidP="00017828">
      <w:pPr>
        <w:pStyle w:val="FirstParagraph"/>
        <w:keepLines/>
        <w:tabs>
          <w:tab w:val="center" w:pos="4968"/>
          <w:tab w:val="right" w:pos="9936"/>
        </w:tabs>
        <w:spacing w:before="100" w:after="160"/>
        <w:jc w:val="both"/>
      </w:pPr>
      <w:r>
        <w:tab/>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b</m:t>
            </m:r>
          </m:sub>
        </m:sSub>
        <m:limLow>
          <m:limLowPr>
            <m:ctrlPr>
              <w:rPr>
                <w:rFonts w:ascii="Cambria Math" w:hAnsi="Cambria Math"/>
              </w:rPr>
            </m:ctrlPr>
          </m:limLowPr>
          <m:e>
            <m:r>
              <m:rPr>
                <m:sty m:val="p"/>
              </m:rPr>
              <w:rPr>
                <w:rFonts w:ascii="Cambria Math" w:hAnsi="Cambria Math"/>
              </w:rPr>
              <m:t>max</m:t>
            </m:r>
          </m:e>
          <m:lim>
            <m:r>
              <w:rPr>
                <w:rFonts w:ascii="Cambria Math" w:hAnsi="Cambria Math"/>
              </w:rPr>
              <m:t>y</m:t>
            </m:r>
            <m:r>
              <m:rPr>
                <m:scr m:val="script"/>
                <m:sty m:val="p"/>
              </m:rPr>
              <w:rPr>
                <w:rFonts w:ascii="Cambria Math" w:hAnsi="Cambria Math"/>
              </w:rPr>
              <m:t>∈Y</m:t>
            </m:r>
          </m:lim>
        </m:limLow>
        <m:r>
          <m:rPr>
            <m:sty m:val="p"/>
          </m:rPr>
          <w:rPr>
            <w:rFonts w:ascii="Cambria Math" w:hAnsi="Cambria Math"/>
          </w:rPr>
          <m:t>Pr</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U</m:t>
                </m:r>
              </m:e>
            </m:d>
          </m:e>
        </m:d>
        <m:r>
          <m:rPr>
            <m:sty m:val="p"/>
          </m:rPr>
          <w:rPr>
            <w:rFonts w:ascii="Cambria Math" w:hAnsi="Cambria Math"/>
          </w:rPr>
          <m:t>≥max</m:t>
        </m:r>
        <m: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begChr m:val="|"/>
                    <m:endChr m:val="|"/>
                    <m:ctrlPr>
                      <w:rPr>
                        <w:rFonts w:ascii="Cambria Math" w:hAnsi="Cambria Math"/>
                      </w:rPr>
                    </m:ctrlPr>
                  </m:dPr>
                  <m:e>
                    <m:r>
                      <m:rPr>
                        <m:scr m:val="script"/>
                        <m:sty m:val="p"/>
                      </m:rPr>
                      <w:rPr>
                        <w:rFonts w:ascii="Cambria Math" w:hAnsi="Cambria Math"/>
                      </w:rPr>
                      <m:t>Y</m:t>
                    </m:r>
                  </m:e>
                </m:d>
              </m:den>
            </m:f>
          </m:e>
        </m:d>
        <m:r>
          <m:rPr>
            <m:sty m:val="p"/>
          </m:rPr>
          <w:rPr>
            <w:rFonts w:ascii="Cambria Math" w:hAnsi="Cambria Math"/>
          </w:rPr>
          <m:t>.</m:t>
        </m:r>
        <m:r>
          <w:rPr>
            <w:rFonts w:ascii="Cambria Math" w:hAnsi="Cambria Math"/>
          </w:rPr>
          <m:t>  </m:t>
        </m:r>
      </m:oMath>
      <w:r>
        <w:tab/>
        <w:t>(4)</w:t>
      </w:r>
    </w:p>
    <w:p w14:paraId="7A6E8B48" w14:textId="77777777" w:rsidR="00E250B8" w:rsidRDefault="00000000" w:rsidP="00017828">
      <w:pPr>
        <w:pStyle w:val="FirstParagraph"/>
        <w:jc w:val="both"/>
      </w:pPr>
      <w:r>
        <w:t xml:space="preserve">The equality is achieved by a maximum-a-posteriori decoder; the lower bound follows from Fano’s inequality with entropy in bits [19]. Zero Bayes error implies recoverability almost surely under </w:t>
      </w:r>
      <m:oMath>
        <m:r>
          <w:rPr>
            <w:rFonts w:ascii="Cambria Math" w:hAnsi="Cambria Math"/>
          </w:rPr>
          <m:t>μ</m:t>
        </m:r>
      </m:oMath>
      <w:r>
        <w:t xml:space="preserve">, whereas Proposition 1 requires correctness on every declared state, including states of zero probability. A working set can consequently be sufficient for one distribution and insufficient for another. If the two revision histories above are equally probable and indistinguishable to the consumer, their binary Bayes error is </w:t>
      </w:r>
      <m:oMath>
        <m:r>
          <w:rPr>
            <w:rFonts w:ascii="Cambria Math" w:hAnsi="Cambria Math"/>
          </w:rPr>
          <m:t>1</m:t>
        </m:r>
        <m:r>
          <m:rPr>
            <m:sty m:val="p"/>
          </m:rPr>
          <w:rPr>
            <w:rFonts w:ascii="Cambria Math" w:hAnsi="Cambria Math"/>
          </w:rPr>
          <m:t>/</m:t>
        </m:r>
        <m:r>
          <w:rPr>
            <w:rFonts w:ascii="Cambria Math" w:hAnsi="Cambria Math"/>
          </w:rPr>
          <m:t>2</m:t>
        </m:r>
      </m:oMath>
      <w:r>
        <w:t>. The entropy lower bound is looser and need not attain this exact value.</w:t>
      </w:r>
    </w:p>
    <w:p w14:paraId="7DE2489B" w14:textId="77777777" w:rsidR="00ED1AF7" w:rsidRDefault="00000000" w:rsidP="00017828">
      <w:pPr>
        <w:pStyle w:val="BodyText"/>
        <w:jc w:val="both"/>
      </w:pPr>
      <w:r>
        <w:rPr>
          <w:b/>
          <w:bCs/>
        </w:rPr>
        <w:t>Corollary 2 — Sequential form.</w:t>
      </w:r>
      <w:r>
        <w:t xml:space="preserve"> Let </w:t>
      </w:r>
      <m:oMath>
        <m:r>
          <w:rPr>
            <w:rFonts w:ascii="Cambria Math" w:hAnsi="Cambria Math"/>
          </w:rPr>
          <m:t>σ</m:t>
        </m:r>
        <m:d>
          <m:dPr>
            <m:ctrlPr>
              <w:rPr>
                <w:rFonts w:ascii="Cambria Math" w:hAnsi="Cambria Math"/>
              </w:rPr>
            </m:ctrlPr>
          </m:dPr>
          <m:e>
            <m:r>
              <w:rPr>
                <w:rFonts w:ascii="Cambria Math" w:hAnsi="Cambria Math"/>
              </w:rPr>
              <m:t>u</m:t>
            </m:r>
          </m:e>
        </m:d>
      </m:oMath>
      <w:r>
        <w:t xml:space="preserve"> denote the complete retained state of the mediated system after history </w:t>
      </w:r>
      <m:oMath>
        <m:r>
          <w:rPr>
            <w:rFonts w:ascii="Cambria Math" w:hAnsi="Cambria Math"/>
          </w:rPr>
          <m:t>u</m:t>
        </m:r>
      </m:oMath>
      <w:r>
        <w:t xml:space="preserve">: working set, routing state, archive, caches, and any internal state of the consumer. Suppose the state update is deterministic and the output after any history is a function of the state reached. If the system answers </w:t>
      </w:r>
      <m:oMath>
        <m:r>
          <w:rPr>
            <w:rFonts w:ascii="Cambria Math" w:hAnsi="Cambria Math"/>
          </w:rPr>
          <m:t>f</m:t>
        </m:r>
        <m:d>
          <m:dPr>
            <m:ctrlPr>
              <w:rPr>
                <w:rFonts w:ascii="Cambria Math" w:hAnsi="Cambria Math"/>
              </w:rPr>
            </m:ctrlPr>
          </m:dPr>
          <m:e>
            <m:r>
              <w:rPr>
                <w:rFonts w:ascii="Cambria Math" w:hAnsi="Cambria Math"/>
              </w:rPr>
              <m:t>uw</m:t>
            </m:r>
          </m:e>
        </m:d>
      </m:oMath>
      <w:r>
        <w:t xml:space="preserve"> correctly for every history </w:t>
      </w:r>
      <m:oMath>
        <m:r>
          <w:rPr>
            <w:rFonts w:ascii="Cambria Math" w:hAnsi="Cambria Math"/>
          </w:rPr>
          <m:t>u</m:t>
        </m:r>
      </m:oMath>
      <w:r>
        <w:t xml:space="preserve"> and every continuation </w:t>
      </w:r>
      <m:oMath>
        <m:r>
          <w:rPr>
            <w:rFonts w:ascii="Cambria Math" w:hAnsi="Cambria Math"/>
          </w:rPr>
          <m:t>w</m:t>
        </m:r>
      </m:oMath>
      <w:r>
        <w:t xml:space="preserve">, then </w:t>
      </w:r>
      <m:oMath>
        <m:r>
          <w:rPr>
            <w:rFonts w:ascii="Cambria Math" w:hAnsi="Cambria Math"/>
          </w:rPr>
          <m:t>σ</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v</m:t>
            </m:r>
          </m:e>
        </m:d>
      </m:oMath>
      <w:r>
        <w:t xml:space="preserve"> implies </w:t>
      </w:r>
      <m:oMath>
        <m:r>
          <w:rPr>
            <w:rFonts w:ascii="Cambria Math" w:hAnsi="Cambria Math"/>
          </w:rPr>
          <m:t>f</m:t>
        </m:r>
        <m:d>
          <m:dPr>
            <m:ctrlPr>
              <w:rPr>
                <w:rFonts w:ascii="Cambria Math" w:hAnsi="Cambria Math"/>
              </w:rPr>
            </m:ctrlPr>
          </m:dPr>
          <m:e>
            <m:r>
              <w:rPr>
                <w:rFonts w:ascii="Cambria Math" w:hAnsi="Cambria Math"/>
              </w:rPr>
              <m:t>uw</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vw</m:t>
            </m:r>
          </m:e>
        </m:d>
      </m:oMath>
      <w:r>
        <w:t xml:space="preserve"> for all </w:t>
      </w:r>
      <m:oMath>
        <m:r>
          <w:rPr>
            <w:rFonts w:ascii="Cambria Math" w:hAnsi="Cambria Math"/>
          </w:rPr>
          <m:t>w</m:t>
        </m:r>
      </m:oMath>
      <w:r>
        <w:t>.</w:t>
      </w:r>
    </w:p>
    <w:p w14:paraId="6D086176" w14:textId="77777777" w:rsidR="00E250B8" w:rsidRDefault="00000000" w:rsidP="00017828">
      <w:pPr>
        <w:pStyle w:val="FirstParagraph"/>
        <w:jc w:val="both"/>
      </w:pPr>
      <w:r>
        <w:rPr>
          <w:b/>
          <w:bCs/>
        </w:rPr>
        <w:t>Proof.</w:t>
      </w:r>
      <w:r>
        <w:t xml:space="preserve"> Determinism gives </w:t>
      </w:r>
      <m:oMath>
        <m:r>
          <w:rPr>
            <w:rFonts w:ascii="Cambria Math" w:hAnsi="Cambria Math"/>
          </w:rPr>
          <m:t>σ</m:t>
        </m:r>
        <m:d>
          <m:dPr>
            <m:ctrlPr>
              <w:rPr>
                <w:rFonts w:ascii="Cambria Math" w:hAnsi="Cambria Math"/>
              </w:rPr>
            </m:ctrlPr>
          </m:dPr>
          <m:e>
            <m:r>
              <w:rPr>
                <w:rFonts w:ascii="Cambria Math" w:hAnsi="Cambria Math"/>
              </w:rPr>
              <m:t>uw</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vw</m:t>
            </m:r>
          </m:e>
        </m:d>
      </m:oMath>
      <w:r>
        <w:t xml:space="preserve"> for every continuation </w:t>
      </w:r>
      <m:oMath>
        <m:r>
          <w:rPr>
            <w:rFonts w:ascii="Cambria Math" w:hAnsi="Cambria Math"/>
          </w:rPr>
          <m:t>w</m:t>
        </m:r>
      </m:oMath>
      <w:r>
        <w:t xml:space="preserve">, so correctness forces </w:t>
      </w:r>
      <m:oMath>
        <m:r>
          <w:rPr>
            <w:rFonts w:ascii="Cambria Math" w:hAnsi="Cambria Math"/>
          </w:rPr>
          <m:t>f</m:t>
        </m:r>
        <m:d>
          <m:dPr>
            <m:ctrlPr>
              <w:rPr>
                <w:rFonts w:ascii="Cambria Math" w:hAnsi="Cambria Math"/>
              </w:rPr>
            </m:ctrlPr>
          </m:dPr>
          <m:e>
            <m:r>
              <w:rPr>
                <w:rFonts w:ascii="Cambria Math" w:hAnsi="Cambria Math"/>
              </w:rPr>
              <m:t>uw</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vw</m:t>
            </m:r>
          </m:e>
        </m:d>
      </m:oMath>
      <w:r>
        <w:t xml:space="preserve">. The retained-state partition must refine the task’s Nerode right congruence [20]. If </w:t>
      </w:r>
      <m:oMath>
        <m:r>
          <w:rPr>
            <w:rFonts w:ascii="Cambria Math" w:hAnsi="Cambria Math"/>
          </w:rPr>
          <m:t>K</m:t>
        </m:r>
      </m:oMath>
      <w:r>
        <w:t xml:space="preserve"> such distinguishable classes are reachable, any discrete fixed-length state representation requires at least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m:t>
        </m:r>
        <m:r>
          <m:rPr>
            <m:sty m:val="p"/>
          </m:rPr>
          <w:rPr>
            <w:rFonts w:ascii="Cambria Math" w:hAnsi="Cambria Math"/>
          </w:rPr>
          <m:t>⌉</m:t>
        </m:r>
      </m:oMath>
      <w:r>
        <w:t xml:space="preserve"> bits in the worst case. This counts the entire retained state, including archives, and does not treat an ideal real number as one finite-memory cell. The result establishes a storage requirement, not an algorithm for timely retrieval.</w:t>
      </w:r>
    </w:p>
    <w:p w14:paraId="758FCF25" w14:textId="77777777" w:rsidR="00ED1AF7" w:rsidRDefault="00000000" w:rsidP="00017828">
      <w:pPr>
        <w:pStyle w:val="BodyText"/>
        <w:jc w:val="both"/>
      </w:pPr>
      <w:r>
        <w:t xml:space="preserve">The corollary separates two budgets that Proposition 1 alone conflates. The bounded working set may drop a distinction at time </w:t>
      </w:r>
      <m:oMath>
        <m:r>
          <w:rPr>
            <w:rFonts w:ascii="Cambria Math" w:hAnsi="Cambria Math"/>
          </w:rPr>
          <m:t>t</m:t>
        </m:r>
      </m:oMath>
      <w:r>
        <w:t xml:space="preserve"> without error, provided the answer at </w:t>
      </w:r>
      <m:oMath>
        <m:r>
          <w:rPr>
            <w:rFonts w:ascii="Cambria Math" w:hAnsi="Cambria Math"/>
          </w:rPr>
          <m:t>t</m:t>
        </m:r>
      </m:oMath>
      <w:r>
        <w:t xml:space="preserve"> does not depend on it, the distinction survives in the retained state, for example in the versioned archive, and the policy reopens it before a query needs it. What cannot be dropped from the total state is any distinction on which some future answer depends. Both conditions are necessary, not sufficient: they state what must be kept, not that a learned policy will reopen it in time.</w:t>
      </w:r>
    </w:p>
    <w:p w14:paraId="290AB235" w14:textId="77777777" w:rsidR="00E250B8" w:rsidRDefault="00000000" w:rsidP="00017828">
      <w:pPr>
        <w:pStyle w:val="FirstParagraph"/>
        <w:jc w:val="both"/>
      </w:pPr>
      <w:r>
        <w:rPr>
          <w:b/>
          <w:bCs/>
        </w:rPr>
        <w:t>Corollary 3 — Information sufficiency does not imply compatibility with a frozen consumer.</w:t>
      </w:r>
      <w:r>
        <w:t xml:space="preserve"> Fix a history </w:t>
      </w:r>
      <m:oMath>
        <m:r>
          <w:rPr>
            <w:rFonts w:ascii="Cambria Math" w:hAnsi="Cambria Math"/>
          </w:rPr>
          <m:t>h</m:t>
        </m:r>
      </m:oMath>
      <w:r>
        <w:t xml:space="preserve">, a finite set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B</m:t>
            </m:r>
          </m:sub>
        </m:sSub>
        <m:d>
          <m:dPr>
            <m:ctrlPr>
              <w:rPr>
                <w:rFonts w:ascii="Cambria Math" w:hAnsi="Cambria Math"/>
              </w:rPr>
            </m:ctrlPr>
          </m:dPr>
          <m:e>
            <m:r>
              <w:rPr>
                <w:rFonts w:ascii="Cambria Math" w:hAnsi="Cambria Math"/>
              </w:rPr>
              <m:t>h</m:t>
            </m:r>
          </m:e>
        </m:d>
      </m:oMath>
      <w:r>
        <w:t xml:space="preserve"> of permitted reads under budget </w:t>
      </w:r>
      <m:oMath>
        <m:r>
          <w:rPr>
            <w:rFonts w:ascii="Cambria Math" w:hAnsi="Cambria Math"/>
          </w:rPr>
          <m:t>B</m:t>
        </m:r>
      </m:oMath>
      <w:r>
        <w:t xml:space="preserve">, and a frozen consumer </w:t>
      </w:r>
      <m:oMath>
        <m:r>
          <w:rPr>
            <w:rFonts w:ascii="Cambria Math" w:hAnsi="Cambria Math"/>
          </w:rPr>
          <m:t>G</m:t>
        </m:r>
        <m:d>
          <m:dPr>
            <m:ctrlPr>
              <w:rPr>
                <w:rFonts w:ascii="Cambria Math" w:hAnsi="Cambria Math"/>
              </w:rPr>
            </m:ctrlPr>
          </m:dPr>
          <m:e>
            <m:r>
              <m:rPr>
                <m:sty m:val="p"/>
              </m:rPr>
              <w:rPr>
                <w:rFonts w:ascii="Cambria Math" w:hAnsi="Cambria Math"/>
              </w:rPr>
              <m:t>⋅∣</m:t>
            </m:r>
            <m:r>
              <w:rPr>
                <w:rFonts w:ascii="Cambria Math" w:hAnsi="Cambria Math"/>
              </w:rPr>
              <m:t>r</m:t>
            </m:r>
          </m:e>
        </m:d>
      </m:oMath>
      <w:r>
        <w:t>. Allow arbitrary randomization over these reads at this history. The attainable output distributions form</w:t>
      </w:r>
    </w:p>
    <w:p w14:paraId="1A636729" w14:textId="77777777" w:rsidR="00E250B8" w:rsidRDefault="00000000" w:rsidP="00017828">
      <w:pPr>
        <w:pStyle w:val="BodyText"/>
        <w:keepLines/>
        <w:tabs>
          <w:tab w:val="center" w:pos="4968"/>
          <w:tab w:val="right" w:pos="9936"/>
        </w:tabs>
        <w:spacing w:before="100" w:after="160"/>
        <w:jc w:val="both"/>
      </w:pPr>
      <w:r>
        <w:tab/>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h</m:t>
            </m:r>
          </m:e>
        </m:d>
        <m:r>
          <m:rPr>
            <m:sty m:val="p"/>
          </m:rPr>
          <w:rPr>
            <w:rFonts w:ascii="Cambria Math" w:hAnsi="Cambria Math"/>
          </w:rPr>
          <m:t>=conv{</m:t>
        </m:r>
        <m:r>
          <w:rPr>
            <w:rFonts w:ascii="Cambria Math" w:hAnsi="Cambria Math"/>
          </w:rPr>
          <m:t>G</m:t>
        </m:r>
        <m:d>
          <m:dPr>
            <m:ctrlPr>
              <w:rPr>
                <w:rFonts w:ascii="Cambria Math" w:hAnsi="Cambria Math"/>
              </w:rPr>
            </m:ctrlPr>
          </m:dPr>
          <m:e>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B</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B</m:t>
            </m:r>
          </m:sub>
        </m:sSub>
        <m:d>
          <m:dPr>
            <m:ctrlPr>
              <w:rPr>
                <w:rFonts w:ascii="Cambria Math" w:hAnsi="Cambria Math"/>
              </w:rPr>
            </m:ctrlPr>
          </m:dPr>
          <m:e>
            <m:r>
              <w:rPr>
                <w:rFonts w:ascii="Cambria Math" w:hAnsi="Cambria Math"/>
              </w:rPr>
              <m:t>h</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h</m:t>
                </m:r>
              </m:e>
            </m:d>
          </m:lim>
        </m:limLow>
        <m:r>
          <m:rPr>
            <m:sty m:val="p"/>
          </m:rPr>
          <w:rPr>
            <w:rFonts w:ascii="Cambria Math" w:hAnsi="Cambria Math"/>
          </w:rPr>
          <m:t>TV</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m:rPr>
                    <m:sty m:val="p"/>
                  </m:rPr>
                  <w:rPr>
                    <w:rFonts w:ascii="Cambria Math" w:hAnsi="Cambria Math"/>
                  </w:rPr>
                  <m:t>⋅∣</m:t>
                </m:r>
                <m:r>
                  <w:rPr>
                    <w:rFonts w:ascii="Cambria Math" w:hAnsi="Cambria Math"/>
                  </w:rPr>
                  <m:t>h</m:t>
                </m:r>
              </m:e>
            </m:d>
          </m:e>
        </m:d>
        <m:r>
          <m:rPr>
            <m:sty m:val="p"/>
          </m:rPr>
          <w:rPr>
            <w:rFonts w:ascii="Cambria Math" w:hAnsi="Cambria Math"/>
          </w:rPr>
          <m:t>.</m:t>
        </m:r>
        <m:r>
          <w:rPr>
            <w:rFonts w:ascii="Cambria Math" w:hAnsi="Cambria Math"/>
          </w:rPr>
          <m:t>  </m:t>
        </m:r>
      </m:oMath>
      <w:r>
        <w:tab/>
        <w:t>(4a)</w:t>
      </w:r>
    </w:p>
    <w:p w14:paraId="72794371" w14:textId="77777777" w:rsidR="00E250B8" w:rsidRDefault="00000000" w:rsidP="00017828">
      <w:pPr>
        <w:pStyle w:val="FirstParagraph"/>
        <w:jc w:val="both"/>
      </w:pPr>
      <w:r>
        <w:t xml:space="preserve">Every such routing policy has discrepancy at least </w:t>
      </w:r>
      <m:oMath>
        <m:sSub>
          <m:sSubPr>
            <m:ctrlPr>
              <w:rPr>
                <w:rFonts w:ascii="Cambria Math" w:hAnsi="Cambria Math"/>
              </w:rPr>
            </m:ctrlPr>
          </m:sSubPr>
          <m:e>
            <m:r>
              <w:rPr>
                <w:rFonts w:ascii="Cambria Math" w:hAnsi="Cambria Math"/>
              </w:rPr>
              <m:t>e</m:t>
            </m:r>
          </m:e>
          <m:sub>
            <m:r>
              <w:rPr>
                <w:rFonts w:ascii="Cambria Math" w:hAnsi="Cambria Math"/>
              </w:rPr>
              <m:t>B</m:t>
            </m:r>
          </m:sub>
        </m:sSub>
        <m:d>
          <m:dPr>
            <m:ctrlPr>
              <w:rPr>
                <w:rFonts w:ascii="Cambria Math" w:hAnsi="Cambria Math"/>
              </w:rPr>
            </m:ctrlPr>
          </m:dPr>
          <m:e>
            <m:r>
              <w:rPr>
                <w:rFonts w:ascii="Cambria Math" w:hAnsi="Cambria Math"/>
              </w:rPr>
              <m:t>h</m:t>
            </m:r>
          </m:e>
        </m:d>
      </m:oMath>
      <w:r>
        <w:t xml:space="preserve">. This follows because its output is a convex combination of the permitted consumer distributions; every combination can conversely be implemented by a randomized choice at this fixed history. A parameterized policy shared across histories may attain a smaller set, so pointwise feasibility is only a necessary global condition. Expanding the allowed set of reads cannot increase </w:t>
      </w:r>
      <m:oMath>
        <m:sSub>
          <m:sSubPr>
            <m:ctrlPr>
              <w:rPr>
                <w:rFonts w:ascii="Cambria Math" w:hAnsi="Cambria Math"/>
              </w:rPr>
            </m:ctrlPr>
          </m:sSubPr>
          <m:e>
            <m:r>
              <w:rPr>
                <w:rFonts w:ascii="Cambria Math" w:hAnsi="Cambria Math"/>
              </w:rPr>
              <m:t>e</m:t>
            </m:r>
          </m:e>
          <m:sub>
            <m:r>
              <w:rPr>
                <w:rFonts w:ascii="Cambria Math" w:hAnsi="Cambria Math"/>
              </w:rPr>
              <m:t>B</m:t>
            </m:r>
          </m:sub>
        </m:sSub>
        <m:d>
          <m:dPr>
            <m:ctrlPr>
              <w:rPr>
                <w:rFonts w:ascii="Cambria Math" w:hAnsi="Cambria Math"/>
              </w:rPr>
            </m:ctrlPr>
          </m:dPr>
          <m:e>
            <m:r>
              <w:rPr>
                <w:rFonts w:ascii="Cambria Math" w:hAnsi="Cambria Math"/>
              </w:rPr>
              <m:t>h</m:t>
            </m:r>
          </m:e>
        </m:d>
      </m:oMath>
      <w:r>
        <w:t>, but it need not decrease the discrepancy of the policy actually learned.</w:t>
      </w:r>
    </w:p>
    <w:p w14:paraId="311D450E" w14:textId="77777777" w:rsidR="00E250B8" w:rsidRDefault="00000000" w:rsidP="00017828">
      <w:pPr>
        <w:pStyle w:val="BodyText"/>
        <w:jc w:val="both"/>
      </w:pPr>
      <w:r>
        <w:t>For a deterministic correct label, if every allowed read makes the consumer assign that label probability at most 0.6, randomizing the reads cannot raise it above 0.6. This remains true when a read preserves the complete relevant information. The corresponding lower bound 0.4 concerns sampled-answer error or TV from a point-mass target, not greedy classification, which may already be correct. Evidence loss and inability of the frozen consumer to use sufficient evidence are therefore different experimental diagnoses.</w:t>
      </w:r>
    </w:p>
    <w:p w14:paraId="4AEEFF6E" w14:textId="77777777" w:rsidR="001F608A" w:rsidRDefault="00000000" w:rsidP="00017828">
      <w:pPr>
        <w:pStyle w:val="Heading2"/>
        <w:jc w:val="both"/>
      </w:pPr>
      <w:bookmarkStart w:id="8" w:name="preservation-during-a-gradual-transition"/>
      <w:bookmarkEnd w:id="7"/>
      <w:r>
        <w:lastRenderedPageBreak/>
        <w:t>3.2 Preservation during a gradual transition</w:t>
      </w:r>
    </w:p>
    <w:p w14:paraId="4DC9F487" w14:textId="77777777" w:rsidR="001F608A" w:rsidRDefault="00000000" w:rsidP="00017828">
      <w:pPr>
        <w:pStyle w:val="FirstParagraph"/>
        <w:jc w:val="both"/>
      </w:pPr>
      <w:r>
        <w:t xml:space="preserve">Let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be the original next-token distribution and </w:t>
      </w:r>
      <m:oMath>
        <m:r>
          <w:rPr>
            <w:rFonts w:ascii="Cambria Math" w:hAnsi="Cambria Math"/>
          </w:rPr>
          <m:t>Q</m:t>
        </m:r>
      </m:oMath>
      <w:r>
        <w:t xml:space="preserve"> the mediated distribution on a common committed prefix. An explicit output gate can implement</w:t>
      </w:r>
    </w:p>
    <w:p w14:paraId="57B6C984" w14:textId="77777777" w:rsidR="001F608A" w:rsidRDefault="00000000" w:rsidP="00017828">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P</m:t>
            </m:r>
          </m:e>
          <m:sub>
            <m:r>
              <w:rPr>
                <w:rFonts w:ascii="Cambria Math" w:hAnsi="Cambria Math"/>
              </w:rPr>
              <m:t>λ</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λQ</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tab/>
        <w:t>(5)</w:t>
      </w:r>
    </w:p>
    <w:p w14:paraId="1A5DAB11" w14:textId="77777777" w:rsidR="00E250B8" w:rsidRDefault="00000000" w:rsidP="00017828">
      <w:pPr>
        <w:pStyle w:val="FirstParagraph"/>
        <w:jc w:val="both"/>
      </w:pPr>
      <w:r>
        <w:t xml:space="preserve">This is interpolation of normalized probabilities, not logits or hidden states. Both branches are evaluated on the same committed history, with distinct internal states when their computations differ. At </w:t>
      </w:r>
      <m:oMath>
        <m:r>
          <w:rPr>
            <w:rFonts w:ascii="Cambria Math" w:hAnsi="Cambria Math"/>
          </w:rPr>
          <m:t>λ</m:t>
        </m:r>
        <m:r>
          <m:rPr>
            <m:sty m:val="p"/>
          </m:rPr>
          <w:rPr>
            <w:rFonts w:ascii="Cambria Math" w:hAnsi="Cambria Math"/>
          </w:rPr>
          <m:t>=</m:t>
        </m:r>
        <m:r>
          <w:rPr>
            <w:rFonts w:ascii="Cambria Math" w:hAnsi="Cambria Math"/>
          </w:rPr>
          <m:t>0</m:t>
        </m:r>
      </m:oMath>
      <w:r>
        <w:t>, the original behavior is recovered by construction. One may sample the branch first and sample a token only from that branch; doing so is exact for the mixture. The unselected branch must nevertheless be kept current or reconstructed before it is used again. Maintaining both Transformer states can consume nearly both forward computations even if one output projection is omitted. Deferring state updates exchanges immediate work for later reconstruction; Section 4.1 treats this cost explicitly.</w:t>
      </w:r>
    </w:p>
    <w:p w14:paraId="1678640D" w14:textId="77777777" w:rsidR="001F608A" w:rsidRDefault="00000000" w:rsidP="00017828">
      <w:pPr>
        <w:pStyle w:val="BodyText"/>
        <w:jc w:val="both"/>
      </w:pPr>
      <w:r>
        <w:rPr>
          <w:b/>
          <w:bCs/>
        </w:rPr>
        <w:t>Proposition 2 — Local distributional deviation.</w:t>
      </w:r>
      <w:r>
        <w:t xml:space="preserve"> At any fixed history,</w:t>
      </w:r>
    </w:p>
    <w:p w14:paraId="23A2F508" w14:textId="77777777" w:rsidR="001F608A" w:rsidRDefault="00000000" w:rsidP="00017828">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r>
          <w:rPr>
            <w:rFonts w:ascii="Cambria Math" w:hAnsi="Cambria Math"/>
          </w:rPr>
          <m:t>λ</m:t>
        </m:r>
        <m:r>
          <m:rPr>
            <m:sty m:val="p"/>
          </m:rPr>
          <w:rPr>
            <w:rFonts w:ascii="Cambria Math" w:hAnsi="Cambria Math"/>
          </w:rPr>
          <m:t>TV</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oMath>
      <w:r>
        <w:tab/>
        <w:t>(6)</w:t>
      </w:r>
    </w:p>
    <w:p w14:paraId="3D9EF120" w14:textId="77777777" w:rsidR="001F608A" w:rsidRDefault="00000000" w:rsidP="00017828">
      <w:pPr>
        <w:pStyle w:val="FirstParagraph"/>
        <w:jc w:val="both"/>
      </w:pPr>
      <w:r>
        <w:t xml:space="preserve">The identity follows directly from the definition of total variation. For a loss bounded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L</m:t>
            </m:r>
          </m:e>
        </m:d>
      </m:oMath>
      <w:r>
        <w:t xml:space="preserve">, the absolute change in its conditional expectation is at most </w:t>
      </w:r>
      <m:oMath>
        <m:r>
          <w:rPr>
            <w:rFonts w:ascii="Cambria Math" w:hAnsi="Cambria Math"/>
          </w:rPr>
          <m:t>L</m:t>
        </m:r>
      </m:oMath>
      <w:r>
        <w:t xml:space="preserve"> times this deviation. If, for every relevant history at step </w:t>
      </w:r>
      <m:oMath>
        <m:r>
          <w:rPr>
            <w:rFonts w:ascii="Cambria Math" w:hAnsi="Cambria Math"/>
          </w:rPr>
          <m:t>t</m:t>
        </m:r>
      </m:oMath>
      <w:r>
        <w:t xml:space="preserve">, the mediated branch differs from the original by at most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maximal coupling gives the sequence bound</w:t>
      </w:r>
    </w:p>
    <w:p w14:paraId="15951B77" w14:textId="77777777" w:rsidR="001F608A" w:rsidRDefault="00000000" w:rsidP="00017828">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λ</m:t>
                </m:r>
              </m:sub>
              <m:sup>
                <m:r>
                  <w:rPr>
                    <w:rFonts w:ascii="Cambria Math" w:hAnsi="Cambria Math"/>
                  </w:rPr>
                  <m:t>1</m:t>
                </m:r>
                <m:r>
                  <m:rPr>
                    <m:sty m:val="p"/>
                  </m:rPr>
                  <w:rPr>
                    <w:rFonts w:ascii="Cambria Math" w:hAnsi="Cambria Math"/>
                  </w:rPr>
                  <m:t>:</m:t>
                </m:r>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1</m:t>
                </m:r>
                <m:r>
                  <m:rPr>
                    <m:sty m:val="p"/>
                  </m:rPr>
                  <w:rPr>
                    <w:rFonts w:ascii="Cambria Math" w:hAnsi="Cambria Math"/>
                  </w:rPr>
                  <m:t>:</m:t>
                </m:r>
                <m:r>
                  <w:rPr>
                    <w:rFonts w:ascii="Cambria Math" w:hAnsi="Cambria Math"/>
                  </w:rPr>
                  <m:t>T</m:t>
                </m:r>
              </m:sup>
            </m:sSubSup>
          </m:e>
        </m:d>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t</m:t>
                    </m:r>
                  </m:sub>
                </m:sSub>
              </m:e>
            </m:nary>
            <m:sSub>
              <m:sSubPr>
                <m:ctrlPr>
                  <w:rPr>
                    <w:rFonts w:ascii="Cambria Math" w:hAnsi="Cambria Math"/>
                  </w:rPr>
                </m:ctrlPr>
              </m:sSubPr>
              <m:e>
                <m:r>
                  <w:rPr>
                    <w:rFonts w:ascii="Cambria Math" w:hAnsi="Cambria Math"/>
                  </w:rPr>
                  <m:t>δ</m:t>
                </m:r>
              </m:e>
              <m:sub>
                <m:r>
                  <w:rPr>
                    <w:rFonts w:ascii="Cambria Math" w:hAnsi="Cambria Math"/>
                  </w:rPr>
                  <m:t>t</m:t>
                </m:r>
              </m:sub>
            </m:sSub>
          </m:e>
        </m:d>
        <m:r>
          <m:rPr>
            <m:sty m:val="p"/>
          </m:rPr>
          <w:rPr>
            <w:rFonts w:ascii="Cambria Math" w:hAnsi="Cambria Math"/>
          </w:rPr>
          <m:t>.</m:t>
        </m:r>
      </m:oMath>
      <w:r>
        <w:tab/>
        <w:t>(7)</w:t>
      </w:r>
    </w:p>
    <w:p w14:paraId="144B589C" w14:textId="77777777" w:rsidR="00E250B8" w:rsidRDefault="00000000" w:rsidP="00017828">
      <w:pPr>
        <w:pStyle w:val="FirstParagraph"/>
        <w:jc w:val="both"/>
      </w:pPr>
      <w:r>
        <w:t>To see this, couple next-token choices while prefixes agree and sum their mismatch probabilities. This version assumes a deterministic gate schedule and uniform conditional bounds over relevant histories. Finite samples alone cannot certify such a supremum without additional structure or coverage assumptions. Proposition 4 replaces the supremum by expectations under the reference process; Propositions 5–6 extend that approach to adaptive gates and finite-sample acceptance.</w:t>
      </w:r>
    </w:p>
    <w:p w14:paraId="29930AE0" w14:textId="77777777" w:rsidR="001F608A" w:rsidRDefault="00000000" w:rsidP="00017828">
      <w:pPr>
        <w:pStyle w:val="BodyText"/>
        <w:jc w:val="both"/>
      </w:pPr>
      <w:r>
        <w:t xml:space="preserve">An alternative operational contract uses held-out task loss. Let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R</m:t>
            </m:r>
          </m:sub>
        </m:sSub>
      </m:oMath>
      <w:r>
        <w:t xml:space="preserve"> be a declared retention distribution and </w:t>
      </w:r>
      <m:oMath>
        <m:sSub>
          <m:sSubPr>
            <m:ctrlPr>
              <w:rPr>
                <w:rFonts w:ascii="Cambria Math" w:hAnsi="Cambria Math"/>
              </w:rPr>
            </m:ctrlPr>
          </m:sSubPr>
          <m:e>
            <m:r>
              <w:rPr>
                <w:rFonts w:ascii="Cambria Math" w:hAnsi="Cambria Math"/>
              </w:rPr>
              <m:t>ε</m:t>
            </m:r>
          </m:e>
          <m:sub>
            <m:r>
              <w:rPr>
                <w:rFonts w:ascii="Cambria Math" w:hAnsi="Cambria Math"/>
              </w:rPr>
              <m:t>R</m:t>
            </m:r>
          </m:sub>
        </m:sSub>
      </m:oMath>
      <w:r>
        <w:t xml:space="preserve"> its permitted degradation:</w:t>
      </w:r>
    </w:p>
    <w:p w14:paraId="091501AE" w14:textId="77777777" w:rsidR="001F608A" w:rsidRDefault="00000000" w:rsidP="00017828">
      <w:pPr>
        <w:pStyle w:val="BodyText"/>
        <w:keepLines/>
        <w:tabs>
          <w:tab w:val="center" w:pos="4968"/>
          <w:tab w:val="right" w:pos="9936"/>
        </w:tabs>
        <w:spacing w:before="80" w:after="160"/>
        <w:jc w:val="both"/>
      </w:pPr>
      <w:r>
        <w:tab/>
      </w:r>
      <m:oMath>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m:rPr>
                    <m:scr m:val="script"/>
                    <m:sty m:val="p"/>
                  </m:rPr>
                  <w:rPr>
                    <w:rFonts w:ascii="Cambria Math" w:hAnsi="Cambria Math"/>
                  </w:rPr>
                  <m:t>D</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λ</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m:rPr>
                    <m:scr m:val="script"/>
                    <m:sty m:val="p"/>
                  </m:rPr>
                  <w:rPr>
                    <w:rFonts w:ascii="Cambria Math" w:hAnsi="Cambria Math"/>
                  </w:rPr>
                  <m:t>D</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m:t>
        </m:r>
      </m:oMath>
      <w:r>
        <w:tab/>
        <w:t>(8)</w:t>
      </w:r>
    </w:p>
    <w:p w14:paraId="05EE1C93" w14:textId="77777777" w:rsidR="001F608A" w:rsidRDefault="00000000" w:rsidP="00017828">
      <w:pPr>
        <w:pStyle w:val="FirstParagraph"/>
        <w:jc w:val="both"/>
      </w:pPr>
      <w:r>
        <w:t>This is a condition to measure before advancing the migration. It is not implied by frozen weights or by the architecture’s names. Exact regression tests can enforce known symbolic constraints, while empirical confidence intervals describe performance on sampled tasks. The probability gate is a diagnostic tool and fallback route; it becomes an efficiency improvement only if the old branch can eventually be avoided at acceptable risk.</w:t>
      </w:r>
    </w:p>
    <w:p w14:paraId="1ACAD4E6" w14:textId="77777777" w:rsidR="00ED1AF7" w:rsidRDefault="00000000" w:rsidP="00017828">
      <w:pPr>
        <w:pStyle w:val="Heading2"/>
        <w:jc w:val="both"/>
      </w:pPr>
      <w:bookmarkStart w:id="9" w:name="h2-101"/>
      <w:r>
        <w:t>3.3 What the gate certifies</w:t>
      </w:r>
      <w:bookmarkEnd w:id="9"/>
    </w:p>
    <w:p w14:paraId="72563672" w14:textId="77777777" w:rsidR="00E250B8" w:rsidRDefault="00000000" w:rsidP="00017828">
      <w:pPr>
        <w:pStyle w:val="FirstParagraph"/>
        <w:jc w:val="both"/>
      </w:pPr>
      <w:r>
        <w:rPr>
          <w:b/>
          <w:bCs/>
        </w:rPr>
        <w:t>Proposition 3 — Branch-independent guarantees of the gate.</w:t>
      </w:r>
      <w:r>
        <w:t xml:space="preserve"> Fix a history </w:t>
      </w:r>
      <m:oMath>
        <m:r>
          <w:rPr>
            <w:rFonts w:ascii="Cambria Math" w:hAnsi="Cambria Math"/>
          </w:rPr>
          <m:t>h</m:t>
        </m:r>
      </m:oMath>
      <w:r>
        <w:t xml:space="preserve"> and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&lt;</m:t>
        </m:r>
        <m:r>
          <w:rPr>
            <w:rFonts w:ascii="Cambria Math" w:hAnsi="Cambria Math"/>
          </w:rPr>
          <m:t>1</m:t>
        </m:r>
      </m:oMath>
      <w:r>
        <w:t xml:space="preserve">. For any mediated distribution </w:t>
      </w:r>
      <m:oMath>
        <m:r>
          <w:rPr>
            <w:rFonts w:ascii="Cambria Math" w:hAnsi="Cambria Math"/>
          </w:rPr>
          <m:t>Q</m:t>
        </m:r>
      </m:oMath>
      <w:r>
        <w:t>, including an adversarial one, natural-log losses satisfy</w:t>
      </w:r>
    </w:p>
    <w:p w14:paraId="7073AAC6" w14:textId="77777777" w:rsidR="00ED1AF7" w:rsidRDefault="00000000" w:rsidP="00017828">
      <w:pPr>
        <w:pStyle w:val="BodyText"/>
        <w:keepLines/>
        <w:tabs>
          <w:tab w:val="center" w:pos="4968"/>
          <w:tab w:val="right" w:pos="9936"/>
        </w:tabs>
        <w:spacing w:before="80" w:after="160"/>
        <w:jc w:val="both"/>
      </w:pPr>
      <w:r>
        <w:tab/>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λ</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h</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 </m:t>
        </m:r>
        <m:r>
          <m:rPr>
            <m:nor/>
          </m:rPr>
          <m:t xml:space="preserve">for every token </m:t>
        </m:r>
        <m:r>
          <w:rPr>
            <w:rFonts w:ascii="Cambria Math" w:hAnsi="Cambria Math"/>
          </w:rPr>
          <m:t>y</m:t>
        </m:r>
        <m:r>
          <m:rPr>
            <m:sty m:val="p"/>
          </m:rPr>
          <w:rPr>
            <w:rFonts w:ascii="Cambria Math" w:hAnsi="Cambria Math"/>
          </w:rPr>
          <m:t>,</m:t>
        </m:r>
      </m:oMath>
      <w:r>
        <w:tab/>
        <w:t>(9)</w:t>
      </w:r>
    </w:p>
    <w:p w14:paraId="206B5568" w14:textId="77777777" w:rsidR="00ED1AF7" w:rsidRDefault="00000000" w:rsidP="00017828">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λ</m:t>
                </m:r>
              </m:sub>
            </m:sSub>
          </m:e>
        </m:d>
        <m:r>
          <m:rPr>
            <m:sty m:val="p"/>
          </m:rPr>
          <w:rPr>
            <w:rFonts w:ascii="Cambria Math" w:hAnsi="Cambria Math"/>
          </w:rPr>
          <m:t>≤min</m:t>
        </m:r>
        <m:d>
          <m:dPr>
            <m:begChr m:val="{"/>
            <m:endChr m:val="}"/>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 </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e>
        </m:d>
        <m:r>
          <m:rPr>
            <m:sty m:val="p"/>
          </m:rPr>
          <w:rPr>
            <w:rFonts w:ascii="Cambria Math" w:hAnsi="Cambria Math"/>
          </w:rPr>
          <m:t>.</m:t>
        </m:r>
      </m:oMath>
      <w:r>
        <w:tab/>
        <w:t>(10)</w:t>
      </w:r>
    </w:p>
    <w:p w14:paraId="50B84AC6" w14:textId="77777777" w:rsidR="00ED1AF7" w:rsidRDefault="00000000" w:rsidP="00017828">
      <w:pPr>
        <w:pStyle w:val="FirstParagraph"/>
        <w:jc w:val="both"/>
      </w:pPr>
      <w:r>
        <w:t xml:space="preserve">Moreover, if </w:t>
      </w:r>
      <m:oMath>
        <m:r>
          <w:rPr>
            <w:rFonts w:ascii="Cambria Math" w:hAnsi="Cambria Math"/>
          </w:rPr>
          <m:t>m</m:t>
        </m:r>
        <m:d>
          <m:dPr>
            <m:ctrlPr>
              <w:rPr>
                <w:rFonts w:ascii="Cambria Math" w:hAnsi="Cambria Math"/>
              </w:rPr>
            </m:ctrlPr>
          </m:dPr>
          <m:e>
            <m:r>
              <w:rPr>
                <w:rFonts w:ascii="Cambria Math" w:hAnsi="Cambria Math"/>
              </w:rPr>
              <m:t>h</m:t>
            </m:r>
          </m:e>
        </m:d>
      </m:oMath>
      <w:r>
        <w:t xml:space="preserve"> is the margin between the two most probable tokens under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the most probable token is unchanged whenever </w:t>
      </w:r>
      <m:oMath>
        <m:r>
          <w:rPr>
            <w:rFonts w:ascii="Cambria Math" w:hAnsi="Cambria Math"/>
          </w:rPr>
          <m:t>λ</m:t>
        </m:r>
        <m:r>
          <m:rPr>
            <m:sty m:val="p"/>
          </m:rPr>
          <w:rPr>
            <w:rFonts w:ascii="Cambria Math" w:hAnsi="Cambria Math"/>
          </w:rPr>
          <m:t>&lt;</m:t>
        </m:r>
        <m:r>
          <w:rPr>
            <w:rFonts w:ascii="Cambria Math" w:hAnsi="Cambria Math"/>
          </w:rPr>
          <m:t>m</m:t>
        </m:r>
        <m:d>
          <m:dPr>
            <m:ctrlPr>
              <w:rPr>
                <w:rFonts w:ascii="Cambria Math" w:hAnsi="Cambria Math"/>
              </w:rPr>
            </m:ctrlPr>
          </m:dPr>
          <m:e>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h</m:t>
                </m:r>
              </m:e>
            </m:d>
          </m:e>
        </m:d>
      </m:oMath>
      <w:r>
        <w:t>.</w:t>
      </w:r>
    </w:p>
    <w:p w14:paraId="49197F85" w14:textId="77777777" w:rsidR="00ED1AF7" w:rsidRDefault="00000000" w:rsidP="00017828">
      <w:pPr>
        <w:pStyle w:val="BodyText"/>
        <w:jc w:val="both"/>
      </w:pPr>
      <w:r>
        <w:t xml:space="preserve">Proof. Since </w:t>
      </w:r>
      <m:oMath>
        <m:sSub>
          <m:sSubPr>
            <m:ctrlPr>
              <w:rPr>
                <w:rFonts w:ascii="Cambria Math" w:hAnsi="Cambria Math"/>
              </w:rPr>
            </m:ctrlPr>
          </m:sSubPr>
          <m:e>
            <m:r>
              <w:rPr>
                <w:rFonts w:ascii="Cambria Math" w:hAnsi="Cambria Math"/>
              </w:rPr>
              <m:t>P</m:t>
            </m:r>
          </m:e>
          <m:sub>
            <m:r>
              <w:rPr>
                <w:rFonts w:ascii="Cambria Math" w:hAnsi="Cambria Math"/>
              </w:rPr>
              <m:t>λ</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pointwise, (9) follows by taking logarithms, and its expectation under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gives the second argument of the minimum in (10). The first argument follows from convexity of the Kullback–Leibler </w:t>
      </w:r>
      <w:r>
        <w:lastRenderedPageBreak/>
        <w:t xml:space="preserve">divergence in its second argument. For the margin, let </w:t>
      </w:r>
      <m:oMath>
        <m:r>
          <w:rPr>
            <w:rFonts w:ascii="Cambria Math" w:hAnsi="Cambria Math"/>
          </w:rPr>
          <m:t>a</m:t>
        </m:r>
      </m:oMath>
      <w:r>
        <w:t xml:space="preserve"> be the most probable token under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w:t>
      </w:r>
      <m:oMath>
        <m:r>
          <w:rPr>
            <w:rFonts w:ascii="Cambria Math" w:hAnsi="Cambria Math"/>
          </w:rPr>
          <m:t>c</m:t>
        </m:r>
      </m:oMath>
      <w:r>
        <w:t xml:space="preserve"> any other token; then </w:t>
      </w:r>
      <m:oMath>
        <m:sSub>
          <m:sSubPr>
            <m:ctrlPr>
              <w:rPr>
                <w:rFonts w:ascii="Cambria Math" w:hAnsi="Cambria Math"/>
              </w:rPr>
            </m:ctrlPr>
          </m:sSubPr>
          <m:e>
            <m:r>
              <w:rPr>
                <w:rFonts w:ascii="Cambria Math" w:hAnsi="Cambria Math"/>
              </w:rPr>
              <m:t>P</m:t>
            </m:r>
          </m:e>
          <m:sub>
            <m:r>
              <w:rPr>
                <w:rFonts w:ascii="Cambria Math" w:hAnsi="Cambria Math"/>
              </w:rPr>
              <m:t>λ</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λ</m:t>
            </m:r>
          </m:sub>
        </m:sSub>
        <m:d>
          <m:dPr>
            <m:ctrlPr>
              <w:rPr>
                <w:rFonts w:ascii="Cambria Math" w:hAnsi="Cambria Math"/>
              </w:rPr>
            </m:ctrlPr>
          </m:dPr>
          <m:e>
            <m:r>
              <w:rPr>
                <w:rFonts w:ascii="Cambria Math" w:hAnsi="Cambria Math"/>
              </w:rPr>
              <m:t>c</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m</m:t>
        </m:r>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λ</m:t>
        </m:r>
      </m:oMath>
      <w:r>
        <w:t>, which is positive under the stated condition.</w:t>
      </w:r>
    </w:p>
    <w:p w14:paraId="723DF93D" w14:textId="77777777" w:rsidR="00E250B8" w:rsidRDefault="00000000" w:rsidP="00017828">
      <w:pPr>
        <w:pStyle w:val="FirstParagraph"/>
        <w:jc w:val="both"/>
      </w:pPr>
      <w:r>
        <w:t xml:space="preserve">Summing (9) bounds excess log-loss along every sequence in the reference support by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log</m:t>
            </m:r>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oMath>
      <w:r>
        <w:t xml:space="preserve">, evaluated on that sequence if the gate is history-dependent. With a constant gate and loss measured as mean per-token log-loss,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oMath>
      <w:r>
        <w:t xml:space="preserve"> therefore suffices for (8), on any retention distribution with finite reference loss. At </w:t>
      </w:r>
      <m:oMath>
        <m:r>
          <w:rPr>
            <w:rFonts w:ascii="Cambria Math" w:hAnsi="Cambria Math"/>
          </w:rPr>
          <m:t>λ</m:t>
        </m:r>
        <m:r>
          <m:rPr>
            <m:sty m:val="p"/>
          </m:rPr>
          <w:rPr>
            <w:rFonts w:ascii="Cambria Math" w:hAnsi="Cambria Math"/>
          </w:rPr>
          <m:t>=</m:t>
        </m:r>
        <m:r>
          <w:rPr>
            <w:rFonts w:ascii="Cambria Math" w:hAnsi="Cambria Math"/>
          </w:rPr>
          <m:t>0</m:t>
        </m:r>
      </m:oMath>
      <w:r>
        <w:t xml:space="preserve"> the distributions are identical; expressions of the form zero times an infinite KL in (10) are interpreted through that identity. The most-probable-token conclusion assumes a strictly positive reference margin. These guarantees become weak as participation approaches one; they protect an early migration without establishing end-stage competence or efficiency.</w:t>
      </w:r>
    </w:p>
    <w:p w14:paraId="4E8F96E4" w14:textId="77777777" w:rsidR="00E250B8" w:rsidRDefault="00000000" w:rsidP="00017828">
      <w:pPr>
        <w:pStyle w:val="FirstParagraph"/>
        <w:jc w:val="both"/>
      </w:pPr>
      <w:r>
        <w:rPr>
          <w:b/>
          <w:bCs/>
        </w:rPr>
        <w:t>Proposition 4 — Reference-policy sequence bound for a fixed schedule.</w:t>
      </w:r>
      <w:r>
        <w:t xml:space="preserve"> Fix a deterministic participation schedule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and a prompt distribution. Draw continuations from the original model. For the resulting histories </w:t>
      </w:r>
      <m:oMath>
        <m:r>
          <w:rPr>
            <w:rFonts w:ascii="Cambria Math" w:hAnsi="Cambria Math"/>
          </w:rPr>
          <m:t>h</m:t>
        </m:r>
      </m:oMath>
      <w:r>
        <w:t xml:space="preserve"> at step </w:t>
      </w:r>
      <m:oMath>
        <m:r>
          <w:rPr>
            <w:rFonts w:ascii="Cambria Math" w:hAnsi="Cambria Math"/>
          </w:rPr>
          <m:t>t</m:t>
        </m:r>
      </m:oMath>
      <w:r>
        <w:t>, define</w:t>
      </w:r>
    </w:p>
    <w:p w14:paraId="759C7ADF" w14:textId="77777777" w:rsidR="00ED1AF7" w:rsidRDefault="00000000" w:rsidP="00017828">
      <w:pPr>
        <w:pStyle w:val="BodyText"/>
        <w:keepLines/>
        <w:tabs>
          <w:tab w:val="center" w:pos="4968"/>
          <w:tab w:val="right" w:pos="9936"/>
        </w:tabs>
        <w:spacing w:before="80" w:after="160"/>
        <w:jc w:val="both"/>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δ</m:t>
                </m:r>
              </m:e>
            </m:ba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ub>
        </m:sSub>
        <m:d>
          <m:dPr>
            <m:begChr m:val="["/>
            <m:endChr m:val="]"/>
            <m:ctrlPr>
              <w:rPr>
                <w:rFonts w:ascii="Cambria Math" w:hAnsi="Cambria Math"/>
              </w:rPr>
            </m:ctrlPr>
          </m:dPr>
          <m:e>
            <m:r>
              <m:rPr>
                <m:sty m:val="p"/>
              </m:rPr>
              <w:rPr>
                <w:rFonts w:ascii="Cambria Math" w:hAnsi="Cambria Math"/>
              </w:rPr>
              <m:t>TV</m:t>
            </m:r>
            <m:d>
              <m:dPr>
                <m:ctrlPr>
                  <w:rPr>
                    <w:rFonts w:ascii="Cambria Math" w:hAnsi="Cambria Math"/>
                  </w:rPr>
                </m:ctrlPr>
              </m:dPr>
              <m:e>
                <m:r>
                  <w:rPr>
                    <w:rFonts w:ascii="Cambria Math" w:hAnsi="Cambria Math"/>
                  </w:rPr>
                  <m:t>Q</m:t>
                </m:r>
                <m:d>
                  <m:dPr>
                    <m:ctrlPr>
                      <w:rPr>
                        <w:rFonts w:ascii="Cambria Math" w:hAnsi="Cambria Math"/>
                      </w:rPr>
                    </m:ctrlPr>
                  </m:dPr>
                  <m:e>
                    <m:r>
                      <m:rPr>
                        <m:sty m:val="p"/>
                      </m:rPr>
                      <w:rPr>
                        <w:rFonts w:ascii="Cambria Math" w:hAnsi="Cambria Math"/>
                      </w:rPr>
                      <m:t>⋅∣</m:t>
                    </m:r>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m:rPr>
                        <m:sty m:val="p"/>
                      </m:rPr>
                      <w:rPr>
                        <w:rFonts w:ascii="Cambria Math" w:hAnsi="Cambria Math"/>
                      </w:rPr>
                      <m:t>⋅∣</m:t>
                    </m:r>
                    <m:r>
                      <w:rPr>
                        <w:rFonts w:ascii="Cambria Math" w:hAnsi="Cambria Math"/>
                      </w:rPr>
                      <m:t>h</m:t>
                    </m:r>
                  </m:e>
                </m:d>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Q</m:t>
                </m:r>
                <m:d>
                  <m:dPr>
                    <m:ctrlPr>
                      <w:rPr>
                        <w:rFonts w:ascii="Cambria Math" w:hAnsi="Cambria Math"/>
                      </w:rPr>
                    </m:ctrlPr>
                  </m:dPr>
                  <m:e>
                    <m:r>
                      <m:rPr>
                        <m:sty m:val="p"/>
                      </m:rPr>
                      <w:rPr>
                        <w:rFonts w:ascii="Cambria Math" w:hAnsi="Cambria Math"/>
                      </w:rPr>
                      <m:t>⋅∣</m:t>
                    </m:r>
                    <m:r>
                      <w:rPr>
                        <w:rFonts w:ascii="Cambria Math" w:hAnsi="Cambria Math"/>
                      </w:rPr>
                      <m:t>h</m:t>
                    </m:r>
                  </m:e>
                </m:d>
              </m:e>
            </m:d>
          </m:e>
        </m:d>
        <m:r>
          <m:rPr>
            <m:sty m:val="p"/>
          </m:rPr>
          <w:rPr>
            <w:rFonts w:ascii="Cambria Math" w:hAnsi="Cambria Math"/>
          </w:rPr>
          <m:t>.</m:t>
        </m:r>
      </m:oMath>
      <w:r>
        <w:tab/>
        <w:t>(11)</w:t>
      </w:r>
    </w:p>
    <w:p w14:paraId="0F22B93F" w14:textId="77777777" w:rsidR="00ED1AF7" w:rsidRDefault="00000000" w:rsidP="00017828">
      <w:pPr>
        <w:pStyle w:val="FirstParagraph"/>
        <w:jc w:val="both"/>
      </w:pPr>
      <w:r>
        <w:t>Then</w:t>
      </w:r>
    </w:p>
    <w:p w14:paraId="42295FA8" w14:textId="77777777" w:rsidR="00ED1AF7" w:rsidRDefault="00000000" w:rsidP="00017828">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λ</m:t>
                </m:r>
              </m:sub>
              <m:sup>
                <m:r>
                  <w:rPr>
                    <w:rFonts w:ascii="Cambria Math" w:hAnsi="Cambria Math"/>
                  </w:rPr>
                  <m:t>1</m:t>
                </m:r>
                <m:r>
                  <m:rPr>
                    <m:sty m:val="p"/>
                  </m:rPr>
                  <w:rPr>
                    <w:rFonts w:ascii="Cambria Math" w:hAnsi="Cambria Math"/>
                  </w:rPr>
                  <m:t>:</m:t>
                </m:r>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1</m:t>
                </m:r>
                <m:r>
                  <m:rPr>
                    <m:sty m:val="p"/>
                  </m:rPr>
                  <w:rPr>
                    <w:rFonts w:ascii="Cambria Math" w:hAnsi="Cambria Math"/>
                  </w:rPr>
                  <m:t>:</m:t>
                </m:r>
                <m:r>
                  <w:rPr>
                    <w:rFonts w:ascii="Cambria Math" w:hAnsi="Cambria Math"/>
                  </w:rPr>
                  <m:t>T</m:t>
                </m:r>
              </m:sup>
            </m:sSubSup>
          </m:e>
        </m:d>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t</m:t>
                    </m:r>
                  </m:sub>
                </m:sSub>
              </m:e>
            </m:nary>
            <m:sSub>
              <m:sSubPr>
                <m:ctrlPr>
                  <w:rPr>
                    <w:rFonts w:ascii="Cambria Math" w:hAnsi="Cambria Math"/>
                  </w:rPr>
                </m:ctrlPr>
              </m:sSubPr>
              <m:e>
                <m:bar>
                  <m:barPr>
                    <m:pos m:val="top"/>
                    <m:ctrlPr>
                      <w:rPr>
                        <w:rFonts w:ascii="Cambria Math" w:hAnsi="Cambria Math"/>
                      </w:rPr>
                    </m:ctrlPr>
                  </m:barPr>
                  <m:e>
                    <m:r>
                      <w:rPr>
                        <w:rFonts w:ascii="Cambria Math" w:hAnsi="Cambria Math"/>
                      </w:rPr>
                      <m:t>δ</m:t>
                    </m:r>
                  </m:e>
                </m:bar>
              </m:e>
              <m:sub>
                <m:r>
                  <w:rPr>
                    <w:rFonts w:ascii="Cambria Math" w:hAnsi="Cambria Math"/>
                  </w:rPr>
                  <m:t>t</m:t>
                </m:r>
              </m:sub>
            </m:sSub>
            <m:r>
              <m:rPr>
                <m:sty m:val="p"/>
              </m:rPr>
              <w:rPr>
                <w:rFonts w:ascii="Cambria Math" w:hAnsi="Cambria Math"/>
              </w:rPr>
              <m:t>,</m:t>
            </m:r>
            <m:r>
              <w:rPr>
                <w:rFonts w:ascii="Cambria Math" w:hAnsi="Cambria Math"/>
              </w:rPr>
              <m:t>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e>
                </m:d>
              </m:e>
            </m:rad>
          </m:e>
        </m:d>
        <m:r>
          <m:rPr>
            <m:sty m:val="p"/>
          </m:rPr>
          <w:rPr>
            <w:rFonts w:ascii="Cambria Math" w:hAnsi="Cambria Math"/>
          </w:rPr>
          <m:t>.</m:t>
        </m:r>
      </m:oMath>
      <w:r>
        <w:tab/>
        <w:t>(12)</w:t>
      </w:r>
    </w:p>
    <w:p w14:paraId="48478B98" w14:textId="77777777" w:rsidR="00ED1AF7" w:rsidRDefault="00000000" w:rsidP="00017828">
      <w:pPr>
        <w:pStyle w:val="FirstParagraph"/>
        <w:jc w:val="both"/>
      </w:pPr>
      <w:r>
        <w:t xml:space="preserve">Proof. For the second term, interpolate between the two sequence distributions through hybrids that follow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for the first </w:t>
      </w:r>
      <m:oMath>
        <m:r>
          <w:rPr>
            <w:rFonts w:ascii="Cambria Math" w:hAnsi="Cambria Math"/>
          </w:rPr>
          <m:t>k</m:t>
        </m:r>
      </m:oMath>
      <w:r>
        <w:t xml:space="preserve"> tokens and </w:t>
      </w:r>
      <m:oMath>
        <m:sSub>
          <m:sSubPr>
            <m:ctrlPr>
              <w:rPr>
                <w:rFonts w:ascii="Cambria Math" w:hAnsi="Cambria Math"/>
              </w:rPr>
            </m:ctrlPr>
          </m:sSubPr>
          <m:e>
            <m:r>
              <w:rPr>
                <w:rFonts w:ascii="Cambria Math" w:hAnsi="Cambria Math"/>
              </w:rPr>
              <m:t>P</m:t>
            </m:r>
          </m:e>
          <m:sub>
            <m:r>
              <w:rPr>
                <w:rFonts w:ascii="Cambria Math" w:hAnsi="Cambria Math"/>
              </w:rPr>
              <m:t>λ</m:t>
            </m:r>
          </m:sub>
        </m:sSub>
      </m:oMath>
      <w:r>
        <w:t xml:space="preserve"> thereafter. Consecutive hybrids differ only at step </w:t>
      </w:r>
      <m:oMath>
        <m:r>
          <w:rPr>
            <w:rFonts w:ascii="Cambria Math" w:hAnsi="Cambria Math"/>
          </w:rPr>
          <m:t>k</m:t>
        </m:r>
      </m:oMath>
      <w:r>
        <w:t xml:space="preserve">, after a prefix distributed according to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so by Proposition 2 their total variation is at most </w:t>
      </w:r>
      <m:oMath>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bar>
              <m:barPr>
                <m:pos m:val="top"/>
                <m:ctrlPr>
                  <w:rPr>
                    <w:rFonts w:ascii="Cambria Math" w:hAnsi="Cambria Math"/>
                  </w:rPr>
                </m:ctrlPr>
              </m:barPr>
              <m:e>
                <m:r>
                  <w:rPr>
                    <w:rFonts w:ascii="Cambria Math" w:hAnsi="Cambria Math"/>
                  </w:rPr>
                  <m:t>δ</m:t>
                </m:r>
              </m:e>
            </m:bar>
          </m:e>
          <m:sub>
            <m:r>
              <w:rPr>
                <w:rFonts w:ascii="Cambria Math" w:hAnsi="Cambria Math"/>
              </w:rPr>
              <m:t>k</m:t>
            </m:r>
          </m:sub>
        </m:sSub>
      </m:oMath>
      <w:r>
        <w:t xml:space="preserve">, and the triangle inequality sums the steps. For the third term, the chain rule writes </w:t>
      </w:r>
      <m:oMath>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1</m:t>
                </m:r>
                <m:r>
                  <m:rPr>
                    <m:sty m:val="p"/>
                  </m:rPr>
                  <w:rPr>
                    <w:rFonts w:ascii="Cambria Math" w:hAnsi="Cambria Math"/>
                  </w:rPr>
                  <m:t>:</m:t>
                </m:r>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λ</m:t>
                </m:r>
              </m:sub>
              <m:sup>
                <m:r>
                  <w:rPr>
                    <w:rFonts w:ascii="Cambria Math" w:hAnsi="Cambria Math"/>
                  </w:rPr>
                  <m:t>1</m:t>
                </m:r>
                <m:r>
                  <m:rPr>
                    <m:sty m:val="p"/>
                  </m:rPr>
                  <w:rPr>
                    <w:rFonts w:ascii="Cambria Math" w:hAnsi="Cambria Math"/>
                  </w:rPr>
                  <m:t>:</m:t>
                </m:r>
                <m:r>
                  <w:rPr>
                    <w:rFonts w:ascii="Cambria Math" w:hAnsi="Cambria Math"/>
                  </w:rPr>
                  <m:t>T</m:t>
                </m:r>
              </m:sup>
            </m:sSubSup>
          </m:e>
        </m:d>
      </m:oMath>
      <w:r>
        <w:t xml:space="preserve"> as the sum over </w:t>
      </w:r>
      <m:oMath>
        <m:r>
          <w:rPr>
            <w:rFonts w:ascii="Cambria Math" w:hAnsi="Cambria Math"/>
          </w:rPr>
          <m:t>t</m:t>
        </m:r>
      </m:oMath>
      <w:r>
        <w:t xml:space="preserve"> of the expected per-step divergence under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-generated prefixes; apply (10) inside each expectation and then Pinsker’s inequality [19].</w:t>
      </w:r>
    </w:p>
    <w:p w14:paraId="7BC31EB5" w14:textId="77777777" w:rsidR="00E250B8" w:rsidRDefault="00000000" w:rsidP="00017828">
      <w:pPr>
        <w:pStyle w:val="FirstParagraph"/>
        <w:jc w:val="both"/>
      </w:pPr>
      <w:r>
        <w:t xml:space="preserve">The expectations use reference-generated histories on deployment prompts. Sample means of exact conditional discrepancies are unbiased when the relevant expectations are finite; the divergence involving </w:t>
      </w:r>
      <m:oMath>
        <m:r>
          <w:rPr>
            <w:rFonts w:ascii="Cambria Math" w:hAnsi="Cambria Math"/>
          </w:rPr>
          <m:t>Q</m:t>
        </m:r>
      </m:oMath>
      <w:r>
        <w:t xml:space="preserve"> alone may be infinite. Teacher-forced dataset continuations do not generally have the required prefix law. Directly using </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λ</m:t>
                </m:r>
              </m:sub>
            </m:sSub>
          </m:e>
        </m:d>
      </m:oMath>
      <w:r>
        <w:t xml:space="preserve"> instead of its upper bound through </w:t>
      </w:r>
      <m:oMath>
        <m:r>
          <w:rPr>
            <w:rFonts w:ascii="Cambria Math" w:hAnsi="Cambria Math"/>
          </w:rPr>
          <m:t>Q</m:t>
        </m:r>
      </m:oMath>
      <w:r>
        <w:t xml:space="preserve"> can be tighter and remains bounded when participation is capped below one. Propositions 5–6 use this direct quantity. All these distances concern imitation of the original distribution. Correctness against current evidence is evaluated separately, and neither TV nor KL of sampled sequence laws automatically bounds greedy-decoding accuracy.</w:t>
      </w:r>
    </w:p>
    <w:p w14:paraId="077DF374" w14:textId="77777777" w:rsidR="00E250B8" w:rsidRDefault="00000000" w:rsidP="00017828">
      <w:pPr>
        <w:pStyle w:val="Heading2"/>
        <w:jc w:val="both"/>
      </w:pPr>
      <w:bookmarkStart w:id="10" w:name="X0c5e92f2bfbeb7510048607e4d3df630ab941c6"/>
      <w:r>
        <w:t>3.4 Certification of a history dependent gate</w:t>
      </w:r>
    </w:p>
    <w:p w14:paraId="05F159A0" w14:textId="77777777" w:rsidR="00E250B8" w:rsidRDefault="00000000" w:rsidP="00017828">
      <w:pPr>
        <w:pStyle w:val="FirstParagraph"/>
        <w:jc w:val="both"/>
      </w:pPr>
      <w:r>
        <w:t xml:space="preserve">An operational mediator will usually vary participation with the question, the evidence, and the generated prefix. Equations (11)–(12) assume a deterministic schedule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Replacing it by its empirical mean in those equations is generally invalid: high participation can occur precisely where the mediated branch disagrees most. We now keep participation inside the expectation. Fix a finite token alphabet and a horizon </w:t>
      </w:r>
      <m:oMath>
        <m:r>
          <w:rPr>
            <w:rFonts w:ascii="Cambria Math" w:hAnsi="Cambria Math"/>
          </w:rPr>
          <m:t>T</m:t>
        </m:r>
      </m:oMath>
      <w:r>
        <w:t>, padding shorter outputs with an absorbing end symbol. Both branches and the gate are fixed causal functions of the common prompt and prefix, with their own internal states reconstructed on that prefix. Randomized internal policies must be marginalized into the actual conditional kernels or explicitly included in a common augmented state with the correct law.</w:t>
      </w:r>
    </w:p>
    <w:p w14:paraId="1707F03F" w14:textId="77777777" w:rsidR="00E250B8" w:rsidRDefault="00000000" w:rsidP="00017828">
      <w:pPr>
        <w:pStyle w:val="BodyText"/>
        <w:jc w:val="both"/>
      </w:pPr>
      <w:r>
        <w:rPr>
          <w:b/>
          <w:bCs/>
        </w:rPr>
        <w:t>Proposition 5 — Adaptive migration bound.</w:t>
      </w:r>
      <w:r>
        <w:t xml:space="preserve"> Write </w:t>
      </w:r>
      <m:oMath>
        <m:sSup>
          <m:sSupPr>
            <m:ctrlPr>
              <w:rPr>
                <w:rFonts w:ascii="Cambria Math" w:hAnsi="Cambria Math"/>
              </w:rPr>
            </m:ctrlPr>
          </m:sSupPr>
          <m:e>
            <m:r>
              <w:rPr>
                <w:rFonts w:ascii="Cambria Math" w:hAnsi="Cambria Math"/>
              </w:rPr>
              <m:t>P</m:t>
            </m:r>
          </m:e>
          <m:sup>
            <m:r>
              <w:rPr>
                <w:rFonts w:ascii="Cambria Math" w:hAnsi="Cambria Math"/>
              </w:rPr>
              <m:t>g</m:t>
            </m:r>
          </m:sup>
        </m:sSup>
      </m:oMath>
      <w:r>
        <w:t xml:space="preserve"> for the sequence law whose token kernel is</w:t>
      </w:r>
    </w:p>
    <w:p w14:paraId="26985F4E" w14:textId="77777777" w:rsidR="00E250B8" w:rsidRDefault="00000000" w:rsidP="00017828">
      <w:pPr>
        <w:pStyle w:val="BodyText"/>
        <w:keepLines/>
        <w:tabs>
          <w:tab w:val="center" w:pos="4968"/>
          <w:tab w:val="right" w:pos="9936"/>
        </w:tabs>
        <w:spacing w:before="100" w:after="160"/>
        <w:jc w:val="both"/>
      </w:pPr>
      <w:r>
        <w:tab/>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g</m:t>
            </m:r>
          </m:sup>
        </m:sSubSup>
        <m:d>
          <m:dPr>
            <m:ctrlPr>
              <w:rPr>
                <w:rFonts w:ascii="Cambria Math" w:hAnsi="Cambria Math"/>
              </w:rPr>
            </m:ctrlPr>
          </m:dPr>
          <m:e>
            <m:r>
              <m:rPr>
                <m:sty m:val="p"/>
              </m:rPr>
              <w:rPr>
                <w:rFonts w:ascii="Cambria Math" w:hAnsi="Cambria Math"/>
              </w:rPr>
              <m:t>⋅∣</m:t>
            </m:r>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h</m:t>
                </m:r>
              </m:e>
            </m:d>
          </m:e>
        </m:d>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d>
          <m:dPr>
            <m:ctrlPr>
              <w:rPr>
                <w:rFonts w:ascii="Cambria Math" w:hAnsi="Cambria Math"/>
              </w:rPr>
            </m:ctrlPr>
          </m:dPr>
          <m:e>
            <m:r>
              <m:rPr>
                <m:sty m:val="p"/>
              </m:rPr>
              <w:rPr>
                <w:rFonts w:ascii="Cambria Math" w:hAnsi="Cambria Math"/>
              </w:rPr>
              <m:t>⋅∣</m:t>
            </m:r>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h</m:t>
            </m:r>
          </m:e>
        </m:d>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oMath>
      <w:r>
        <w:tab/>
        <w:t>(13)</w:t>
      </w:r>
    </w:p>
    <w:p w14:paraId="3E8CF293" w14:textId="77777777" w:rsidR="00E250B8" w:rsidRDefault="00000000" w:rsidP="00017828">
      <w:pPr>
        <w:pStyle w:val="FirstParagraph"/>
        <w:jc w:val="both"/>
      </w:pPr>
      <w:r>
        <w:t xml:space="preserve">For one reference trajectory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oMath>
      <w:r>
        <w:t>, including a prompt from the declared prompt distribution, define</w:t>
      </w:r>
    </w:p>
    <w:p w14:paraId="4042D6EE" w14:textId="77777777" w:rsidR="00E250B8" w:rsidRDefault="00000000" w:rsidP="00017828">
      <w:pPr>
        <w:pStyle w:val="BodyText"/>
        <w:keepLines/>
        <w:tabs>
          <w:tab w:val="center" w:pos="4968"/>
          <w:tab w:val="right" w:pos="9936"/>
        </w:tabs>
        <w:spacing w:before="100" w:after="160"/>
        <w:jc w:val="both"/>
      </w:pPr>
      <w:r>
        <w:lastRenderedPageBreak/>
        <w:tab/>
      </w:r>
      <m:oMath>
        <m:sSub>
          <m:sSubPr>
            <m:ctrlPr>
              <w:rPr>
                <w:rFonts w:ascii="Cambria Math" w:hAnsi="Cambria Math"/>
              </w:rPr>
            </m:ctrlPr>
          </m:sSubPr>
          <m:e>
            <m:r>
              <w:rPr>
                <w:rFonts w:ascii="Cambria Math" w:hAnsi="Cambria Math"/>
              </w:rPr>
              <m:t>S</m:t>
            </m:r>
          </m:e>
          <m:sub>
            <m:r>
              <w:rPr>
                <w:rFonts w:ascii="Cambria Math" w:hAnsi="Cambria Math"/>
              </w:rPr>
              <m:t>g</m:t>
            </m:r>
          </m:sub>
        </m:sSub>
        <m:d>
          <m:dPr>
            <m:ctrlPr>
              <w:rPr>
                <w:rFonts w:ascii="Cambria Math" w:hAnsi="Cambria Math"/>
              </w:rPr>
            </m:ctrlPr>
          </m:dPr>
          <m:e>
            <m:r>
              <w:rPr>
                <w:rFonts w:ascii="Cambria Math" w:hAnsi="Cambria Math"/>
              </w:rPr>
              <m:t>H</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g</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&lt;</m:t>
                </m:r>
                <m:r>
                  <w:rPr>
                    <w:rFonts w:ascii="Cambria Math" w:hAnsi="Cambria Math"/>
                  </w:rPr>
                  <m:t>t</m:t>
                </m:r>
              </m:sub>
            </m:sSub>
          </m:e>
        </m:d>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&lt;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&lt;</m:t>
                    </m:r>
                    <m:r>
                      <w:rPr>
                        <w:rFonts w:ascii="Cambria Math" w:hAnsi="Cambria Math"/>
                      </w:rPr>
                      <m:t>t</m:t>
                    </m:r>
                  </m:sub>
                </m:sSub>
              </m:e>
            </m:d>
          </m:e>
        </m:d>
        <m:r>
          <m:rPr>
            <m:sty m:val="p"/>
          </m:rPr>
          <w:rPr>
            <w:rFonts w:ascii="Cambria Math" w:hAnsi="Cambria Math"/>
          </w:rPr>
          <m:t>.</m:t>
        </m:r>
        <m:r>
          <w:rPr>
            <w:rFonts w:ascii="Cambria Math" w:hAnsi="Cambria Math"/>
          </w:rPr>
          <m:t>  </m:t>
        </m:r>
      </m:oMath>
      <w:r>
        <w:tab/>
        <w:t>(14)</w:t>
      </w:r>
    </w:p>
    <w:p w14:paraId="5F3C4705" w14:textId="77777777" w:rsidR="00E250B8" w:rsidRDefault="00000000" w:rsidP="00017828">
      <w:pPr>
        <w:pStyle w:val="FirstParagraph"/>
        <w:keepLines/>
        <w:tabs>
          <w:tab w:val="center" w:pos="4968"/>
          <w:tab w:val="right" w:pos="9936"/>
        </w:tabs>
        <w:spacing w:before="100" w:after="160"/>
        <w:jc w:val="both"/>
      </w:pPr>
      <w:r>
        <w:tab/>
      </w:r>
      <m:oMath>
        <m:sSub>
          <m:sSubPr>
            <m:ctrlPr>
              <w:rPr>
                <w:rFonts w:ascii="Cambria Math" w:hAnsi="Cambria Math"/>
              </w:rPr>
            </m:ctrlPr>
          </m:sSubPr>
          <m:e>
            <m:r>
              <w:rPr>
                <w:rFonts w:ascii="Cambria Math" w:hAnsi="Cambria Math"/>
              </w:rPr>
              <m:t>K</m:t>
            </m:r>
          </m:e>
          <m:sub>
            <m:r>
              <w:rPr>
                <w:rFonts w:ascii="Cambria Math" w:hAnsi="Cambria Math"/>
              </w:rPr>
              <m:t>g</m:t>
            </m:r>
          </m:sub>
        </m:sSub>
        <m:d>
          <m:dPr>
            <m:ctrlPr>
              <w:rPr>
                <w:rFonts w:ascii="Cambria Math" w:hAnsi="Cambria Math"/>
              </w:rPr>
            </m:ctrlPr>
          </m:dPr>
          <m:e>
            <m:r>
              <w:rPr>
                <w:rFonts w:ascii="Cambria Math" w:hAnsi="Cambria Math"/>
              </w:rPr>
              <m:t>H</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D</m:t>
                </m:r>
              </m:e>
              <m:sub>
                <m:r>
                  <m:rPr>
                    <m:sty m:val="p"/>
                  </m:rPr>
                  <w:rPr>
                    <w:rFonts w:ascii="Cambria Math" w:hAnsi="Cambria Math"/>
                  </w:rPr>
                  <m:t>KL</m:t>
                </m:r>
              </m:sub>
            </m:sSub>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&lt;</m:t>
                    </m:r>
                    <m:r>
                      <w:rPr>
                        <w:rFonts w:ascii="Cambria Math" w:hAnsi="Cambria Math"/>
                      </w:rPr>
                      <m:t>t</m:t>
                    </m:r>
                  </m:sub>
                </m:sSub>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g</m:t>
                </m:r>
              </m:sup>
            </m:sSubSup>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&lt;</m:t>
                    </m:r>
                    <m:r>
                      <w:rPr>
                        <w:rFonts w:ascii="Cambria Math" w:hAnsi="Cambria Math"/>
                      </w:rPr>
                      <m:t>t</m:t>
                    </m:r>
                  </m:sub>
                </m:sSub>
              </m:e>
            </m:d>
          </m:e>
        </m:d>
        <m:r>
          <m:rPr>
            <m:sty m:val="p"/>
          </m:rPr>
          <w:rPr>
            <w:rFonts w:ascii="Cambria Math" w:hAnsi="Cambria Math"/>
          </w:rPr>
          <m:t>.</m:t>
        </m:r>
        <m:r>
          <w:rPr>
            <w:rFonts w:ascii="Cambria Math" w:hAnsi="Cambria Math"/>
          </w:rPr>
          <m:t>  </m:t>
        </m:r>
      </m:oMath>
      <w:r>
        <w:tab/>
        <w:t>(15)</w:t>
      </w:r>
    </w:p>
    <w:p w14:paraId="267D6D80" w14:textId="77777777" w:rsidR="00E250B8" w:rsidRDefault="00000000" w:rsidP="00017828">
      <w:pPr>
        <w:pStyle w:val="FirstParagraph"/>
        <w:jc w:val="both"/>
      </w:pPr>
      <w:r>
        <w:t>Then, for the joint laws of prompt and continuation,</w:t>
      </w:r>
    </w:p>
    <w:p w14:paraId="34DE8372" w14:textId="77777777" w:rsidR="00E250B8" w:rsidRDefault="00000000" w:rsidP="00017828">
      <w:pPr>
        <w:pStyle w:val="BodyText"/>
        <w:keepLines/>
        <w:tabs>
          <w:tab w:val="center" w:pos="4968"/>
          <w:tab w:val="right" w:pos="9936"/>
        </w:tabs>
        <w:spacing w:before="100" w:after="160"/>
        <w:jc w:val="both"/>
      </w:pPr>
      <w:r>
        <w:tab/>
      </w:r>
      <m:oMath>
        <m:r>
          <m:rPr>
            <m:sty m:val="p"/>
          </m:rPr>
          <w:rPr>
            <w:rFonts w:ascii="Cambria Math" w:hAnsi="Cambria Math"/>
          </w:rPr>
          <m:t>TV</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g</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0</m:t>
            </m:r>
          </m:sub>
        </m:sSub>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0</m:t>
                </m:r>
              </m:sub>
            </m:sSub>
            <m:sSub>
              <m:sSubPr>
                <m:ctrlPr>
                  <w:rPr>
                    <w:rFonts w:ascii="Cambria Math" w:hAnsi="Cambria Math"/>
                  </w:rPr>
                </m:ctrlPr>
              </m:sSubPr>
              <m:e>
                <m:r>
                  <w:rPr>
                    <w:rFonts w:ascii="Cambria Math" w:hAnsi="Cambria Math"/>
                  </w:rPr>
                  <m:t>K</m:t>
                </m:r>
              </m:e>
              <m:sub>
                <m:r>
                  <w:rPr>
                    <w:rFonts w:ascii="Cambria Math" w:hAnsi="Cambria Math"/>
                  </w:rPr>
                  <m:t>g</m:t>
                </m:r>
              </m:sub>
            </m:sSub>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m:t>
        </m:r>
      </m:oMath>
      <w:r>
        <w:tab/>
        <w:t>(16)</w:t>
      </w:r>
    </w:p>
    <w:p w14:paraId="57656BE1" w14:textId="77777777" w:rsidR="00E250B8" w:rsidRDefault="00000000" w:rsidP="00017828">
      <w:pPr>
        <w:pStyle w:val="FirstParagraph"/>
        <w:jc w:val="both"/>
      </w:pPr>
      <w:r>
        <w:rPr>
          <w:b/>
          <w:bCs/>
        </w:rPr>
        <w:t>Proof.</w:t>
      </w:r>
      <w:r>
        <w:t xml:space="preserve"> Use hybrids that take their first </w:t>
      </w:r>
      <m:oMath>
        <m:r>
          <w:rPr>
            <w:rFonts w:ascii="Cambria Math" w:hAnsi="Cambria Math"/>
          </w:rPr>
          <m:t>k</m:t>
        </m:r>
      </m:oMath>
      <w:r>
        <w:t xml:space="preserve"> tokens from the reference kernel and their remaining tokens from the migrated kernel. At the one differing step, the prefix has the reference law, and the conditional TV equals </w:t>
      </w: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h</m:t>
            </m:r>
          </m:e>
        </m:d>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e>
        </m:d>
      </m:oMath>
      <w:r>
        <w:t xml:space="preserve">. Applying the same subsequent conditional kernels cannot increase TV. The triangle inequality gives the second term. The chain rule gives </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g</m:t>
                </m:r>
              </m:sup>
            </m:sSup>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0</m:t>
            </m:r>
          </m:sub>
        </m:sSub>
        <m:sSub>
          <m:sSubPr>
            <m:ctrlPr>
              <w:rPr>
                <w:rFonts w:ascii="Cambria Math" w:hAnsi="Cambria Math"/>
              </w:rPr>
            </m:ctrlPr>
          </m:sSubPr>
          <m:e>
            <m:r>
              <w:rPr>
                <w:rFonts w:ascii="Cambria Math" w:hAnsi="Cambria Math"/>
              </w:rPr>
              <m:t>K</m:t>
            </m:r>
          </m:e>
          <m:sub>
            <m:r>
              <w:rPr>
                <w:rFonts w:ascii="Cambria Math" w:hAnsi="Cambria Math"/>
              </w:rPr>
              <m:t>g</m:t>
            </m:r>
          </m:sub>
        </m:sSub>
      </m:oMath>
      <w:r>
        <w:t xml:space="preserve">; Pinsker gives the third. If this KL is infinite, only the other terms are informative. The factor </w:t>
      </w:r>
      <m:oMath>
        <m:r>
          <w:rPr>
            <w:rFonts w:ascii="Cambria Math" w:hAnsi="Cambria Math"/>
          </w:rPr>
          <m:t>1</m:t>
        </m:r>
        <m:r>
          <m:rPr>
            <m:sty m:val="p"/>
          </m:rPr>
          <w:rPr>
            <w:rFonts w:ascii="Cambria Math" w:hAnsi="Cambria Math"/>
          </w:rPr>
          <m:t>/</m:t>
        </m:r>
        <m:r>
          <w:rPr>
            <w:rFonts w:ascii="Cambria Math" w:hAnsi="Cambria Math"/>
          </w:rPr>
          <m:t>2</m:t>
        </m:r>
      </m:oMath>
      <w:r>
        <w:t xml:space="preserve"> assumes natural logarithms.</w:t>
      </w:r>
    </w:p>
    <w:p w14:paraId="68E86ACE" w14:textId="77777777" w:rsidR="00E250B8" w:rsidRDefault="00000000" w:rsidP="00017828">
      <w:pPr>
        <w:pStyle w:val="BodyText"/>
        <w:jc w:val="both"/>
      </w:pPr>
      <w:r>
        <w:t xml:space="preserve">The result measures the actual migrated kernel. Full vocabulary probabilities make each per-prefix discrepancy computable; a shortlist or an unvalidated score predictor does not. On two equally likely prefixes, setting both </w:t>
      </w:r>
      <m:oMath>
        <m:r>
          <w:rPr>
            <w:rFonts w:ascii="Cambria Math" w:hAnsi="Cambria Math"/>
          </w:rPr>
          <m:t>g</m:t>
        </m:r>
      </m:oMath>
      <w:r>
        <w:t xml:space="preserve"> and the local discrepancy to 0 and 1 respectively gives </w:t>
      </w:r>
      <m:oMath>
        <m:r>
          <m:rPr>
            <m:scr m:val="double-struck"/>
            <m:sty m:val="p"/>
          </m:rPr>
          <w:rPr>
            <w:rFonts w:ascii="Cambria Math" w:hAnsi="Cambria Math"/>
          </w:rPr>
          <m:t>E</m:t>
        </m:r>
        <m:d>
          <m:dPr>
            <m:ctrlPr>
              <w:rPr>
                <w:rFonts w:ascii="Cambria Math" w:hAnsi="Cambria Math"/>
              </w:rPr>
            </m:ctrlPr>
          </m:dPr>
          <m:e>
            <m:r>
              <w:rPr>
                <w:rFonts w:ascii="Cambria Math" w:hAnsi="Cambria Math"/>
              </w:rPr>
              <m:t>gd</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whereas </w:t>
      </w:r>
      <m:oMath>
        <m:r>
          <m:rPr>
            <m:scr m:val="double-struck"/>
            <m:sty m:val="p"/>
          </m:rPr>
          <w:rPr>
            <w:rFonts w:ascii="Cambria Math" w:hAnsi="Cambria Math"/>
          </w:rPr>
          <m:t>E</m:t>
        </m:r>
        <m:d>
          <m:dPr>
            <m:ctrlPr>
              <w:rPr>
                <w:rFonts w:ascii="Cambria Math" w:hAnsi="Cambria Math"/>
              </w:rPr>
            </m:ctrlPr>
          </m:dPr>
          <m:e>
            <m:r>
              <w:rPr>
                <w:rFonts w:ascii="Cambria Math" w:hAnsi="Cambria Math"/>
              </w:rPr>
              <m:t>g</m:t>
            </m:r>
          </m:e>
        </m:d>
        <m:r>
          <m:rPr>
            <m:scr m:val="double-struck"/>
            <m:sty m:val="p"/>
          </m:rPr>
          <w:rPr>
            <w:rFonts w:ascii="Cambria Math" w:hAnsi="Cambria Math"/>
          </w:rPr>
          <m:t>E</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A gate cannot be certified by combining averages that conceal this dependence.</w:t>
      </w:r>
    </w:p>
    <w:p w14:paraId="37565965" w14:textId="77777777" w:rsidR="00E250B8" w:rsidRDefault="00000000" w:rsidP="00017828">
      <w:pPr>
        <w:pStyle w:val="Heading2"/>
        <w:jc w:val="both"/>
      </w:pPr>
      <w:bookmarkStart w:id="11" w:name="X49a12af2e141421ec7ae12fbbcdf1e7234d82be"/>
      <w:bookmarkEnd w:id="10"/>
      <w:r>
        <w:t>3.5 Finite sample acceptance of a migration candidate</w:t>
      </w:r>
    </w:p>
    <w:p w14:paraId="06B05B80" w14:textId="77777777" w:rsidR="00E250B8" w:rsidRDefault="00000000" w:rsidP="00017828">
      <w:pPr>
        <w:pStyle w:val="FirstParagraph"/>
        <w:jc w:val="both"/>
      </w:pPr>
      <w:r>
        <w:rPr>
          <w:b/>
          <w:bCs/>
        </w:rPr>
        <w:t>Proposition 6 — Simultaneous calibration.</w:t>
      </w:r>
      <w:r>
        <w:t xml:space="preserve"> Fix </w:t>
      </w:r>
      <m:oMath>
        <m:r>
          <w:rPr>
            <w:rFonts w:ascii="Cambria Math" w:hAnsi="Cambria Math"/>
          </w:rPr>
          <m:t>M</m:t>
        </m:r>
      </m:oMath>
      <w:r>
        <w:t xml:space="preserve"> candidate pairs of mediated kernels and gates before inspecting a calibration set. Draw </w:t>
      </w:r>
      <m:oMath>
        <m:r>
          <w:rPr>
            <w:rFonts w:ascii="Cambria Math" w:hAnsi="Cambria Math"/>
          </w:rPr>
          <m:t>n</m:t>
        </m:r>
      </m:oMath>
      <w:r>
        <w:t xml:space="preserve"> independent prompt–continuation trajectories from the reference process. Within a trajectory, tokens may be dependent. For candidate </w:t>
      </w:r>
      <m:oMath>
        <m:r>
          <w:rPr>
            <w:rFonts w:ascii="Cambria Math" w:hAnsi="Cambria Math"/>
          </w:rPr>
          <m:t>j</m:t>
        </m:r>
      </m:oMath>
      <w:r>
        <w:t xml:space="preserve">, suppose deterministic bounds </w:t>
      </w:r>
      <m:oMath>
        <m:sSub>
          <m:sSubPr>
            <m:ctrlPr>
              <w:rPr>
                <w:rFonts w:ascii="Cambria Math" w:hAnsi="Cambria Math"/>
              </w:rPr>
            </m:ctrlPr>
          </m:sSub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g</m:t>
                </m:r>
              </m:e>
            </m:ba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1</m:t>
        </m:r>
      </m:oMath>
      <w:r>
        <w:t xml:space="preserve"> hold on every relevant history. Set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bar>
                  <m:barPr>
                    <m:pos m:val="top"/>
                    <m:ctrlPr>
                      <w:rPr>
                        <w:rFonts w:ascii="Cambria Math" w:hAnsi="Cambria Math"/>
                      </w:rPr>
                    </m:ctrlPr>
                  </m:barPr>
                  <m:e>
                    <m:r>
                      <w:rPr>
                        <w:rFonts w:ascii="Cambria Math" w:hAnsi="Cambria Math"/>
                      </w:rPr>
                      <m:t>g</m:t>
                    </m:r>
                  </m:e>
                </m:bar>
              </m:e>
              <m:sub>
                <m:r>
                  <w:rPr>
                    <w:rFonts w:ascii="Cambria Math" w:hAnsi="Cambria Math"/>
                  </w:rPr>
                  <m:t>j</m:t>
                </m:r>
                <m:r>
                  <m:rPr>
                    <m:sty m:val="p"/>
                  </m:rPr>
                  <w:rPr>
                    <w:rFonts w:ascii="Cambria Math" w:hAnsi="Cambria Math"/>
                  </w:rPr>
                  <m:t>,</m:t>
                </m:r>
                <m:r>
                  <w:rPr>
                    <w:rFonts w:ascii="Cambria Math" w:hAnsi="Cambria Math"/>
                  </w:rPr>
                  <m:t>t</m:t>
                </m:r>
              </m:sub>
            </m:sSub>
          </m:e>
        </m:nary>
      </m:oMath>
      <w:r>
        <w:t xml:space="preserv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log</m:t>
            </m:r>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g</m:t>
                    </m:r>
                  </m:e>
                </m:bar>
              </m:e>
              <m:sub>
                <m:r>
                  <w:rPr>
                    <w:rFonts w:ascii="Cambria Math" w:hAnsi="Cambria Math"/>
                  </w:rPr>
                  <m:t>j</m:t>
                </m:r>
                <m:r>
                  <m:rPr>
                    <m:sty m:val="p"/>
                  </m:rPr>
                  <w:rPr>
                    <w:rFonts w:ascii="Cambria Math" w:hAnsi="Cambria Math"/>
                  </w:rPr>
                  <m:t>,</m:t>
                </m:r>
                <m:r>
                  <w:rPr>
                    <w:rFonts w:ascii="Cambria Math" w:hAnsi="Cambria Math"/>
                  </w:rPr>
                  <m:t>t</m:t>
                </m:r>
              </m:sub>
            </m:sSub>
          </m:e>
        </m:d>
      </m:oMath>
      <w:r>
        <w:t>, and</w:t>
      </w:r>
    </w:p>
    <w:p w14:paraId="36B2EEE1" w14:textId="77777777" w:rsidR="00E250B8" w:rsidRDefault="00000000" w:rsidP="00017828">
      <w:pPr>
        <w:pStyle w:val="BodyText"/>
        <w:keepLines/>
        <w:tabs>
          <w:tab w:val="center" w:pos="4968"/>
          <w:tab w:val="right" w:pos="9936"/>
        </w:tabs>
        <w:spacing w:before="100" w:after="160"/>
        <w:jc w:val="both"/>
      </w:pPr>
      <w:r>
        <w:tab/>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2M</m:t>
                    </m:r>
                    <m:r>
                      <m:rPr>
                        <m:sty m:val="p"/>
                      </m:rPr>
                      <w:rPr>
                        <w:rFonts w:ascii="Cambria Math" w:hAnsi="Cambria Math"/>
                      </w:rPr>
                      <m:t>/</m:t>
                    </m:r>
                    <m:r>
                      <w:rPr>
                        <w:rFonts w:ascii="Cambria Math" w:hAnsi="Cambria Math"/>
                      </w:rPr>
                      <m:t>η</m:t>
                    </m:r>
                  </m:e>
                </m:d>
              </m:num>
              <m:den>
                <m:r>
                  <w:rPr>
                    <w:rFonts w:ascii="Cambria Math" w:hAnsi="Cambria Math"/>
                  </w:rPr>
                  <m:t>2n</m:t>
                </m:r>
              </m:den>
            </m:f>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j</m:t>
            </m:r>
          </m:sub>
        </m:sSub>
        <m:r>
          <m:rPr>
            <m:sty m:val="p"/>
          </m:rPr>
          <w:rPr>
            <w:rFonts w:ascii="Cambria Math" w:hAnsi="Cambria Math"/>
          </w:rPr>
          <m:t>=min{</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S</m:t>
                </m:r>
              </m:e>
            </m:ba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j</m:t>
            </m:r>
          </m:sub>
        </m:sSub>
        <m:r>
          <m:rPr>
            <m:sty m:val="p"/>
          </m:rPr>
          <w:rPr>
            <w:rFonts w:ascii="Cambria Math" w:hAnsi="Cambria Math"/>
          </w:rPr>
          <m:t>=min{</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r>
          <w:rPr>
            <w:rFonts w:ascii="Cambria Math" w:hAnsi="Cambria Math"/>
          </w:rPr>
          <m:t>  </m:t>
        </m:r>
      </m:oMath>
      <w:r>
        <w:tab/>
        <w:t>(17)</w:t>
      </w:r>
    </w:p>
    <w:p w14:paraId="0982FC1E" w14:textId="77777777" w:rsidR="00E250B8" w:rsidRDefault="00000000" w:rsidP="00017828">
      <w:pPr>
        <w:pStyle w:val="FirstParagraph"/>
        <w:jc w:val="both"/>
      </w:pPr>
      <w:r>
        <w:t xml:space="preserve">With probability at least </w:t>
      </w:r>
      <m:oMath>
        <m:r>
          <w:rPr>
            <w:rFonts w:ascii="Cambria Math" w:hAnsi="Cambria Math"/>
          </w:rPr>
          <m:t>1</m:t>
        </m:r>
        <m:r>
          <m:rPr>
            <m:sty m:val="p"/>
          </m:rPr>
          <w:rPr>
            <w:rFonts w:ascii="Cambria Math" w:hAnsi="Cambria Math"/>
          </w:rPr>
          <m:t>-</m:t>
        </m:r>
        <m:r>
          <w:rPr>
            <w:rFonts w:ascii="Cambria Math" w:hAnsi="Cambria Math"/>
          </w:rPr>
          <m:t>η</m:t>
        </m:r>
      </m:oMath>
      <w:r>
        <w:t xml:space="preserve"> over the calibration sample, all </w:t>
      </w:r>
      <m:oMath>
        <m:r>
          <w:rPr>
            <w:rFonts w:ascii="Cambria Math" w:hAnsi="Cambria Math"/>
          </w:rPr>
          <m:t>M</m:t>
        </m:r>
      </m:oMath>
      <w:r>
        <w:t xml:space="preserve"> candidates simultaneously satisfy </w:t>
      </w:r>
      <m:oMath>
        <m:r>
          <m:rPr>
            <m:sty m:val="p"/>
          </m:rPr>
          <w:rPr>
            <w:rFonts w:ascii="Cambria Math" w:hAnsi="Cambria Math"/>
          </w:rPr>
          <m:t>TV</m:t>
        </m:r>
        <m:d>
          <m:dPr>
            <m:ctrlPr>
              <w:rPr>
                <w:rFonts w:ascii="Cambria Math" w:hAnsi="Cambria Math"/>
              </w:rPr>
            </m:ctrlPr>
          </m:dPr>
          <m:e>
            <m:sSup>
              <m:sSupPr>
                <m:ctrlPr>
                  <w:rPr>
                    <w:rFonts w:ascii="Cambria Math" w:hAnsi="Cambria Math"/>
                  </w:rPr>
                </m:ctrlPr>
              </m:sSupPr>
              <m:e>
                <m:r>
                  <w:rPr>
                    <w:rFonts w:ascii="Cambria Math" w:hAnsi="Cambria Math"/>
                  </w:rPr>
                  <m:t>P</m:t>
                </m:r>
              </m:e>
              <m:sup>
                <m:sSub>
                  <m:sSubPr>
                    <m:ctrlPr>
                      <w:rPr>
                        <w:rFonts w:ascii="Cambria Math" w:hAnsi="Cambria Math"/>
                      </w:rPr>
                    </m:ctrlPr>
                  </m:sSubPr>
                  <m:e>
                    <m:r>
                      <w:rPr>
                        <w:rFonts w:ascii="Cambria Math" w:hAnsi="Cambria Math"/>
                      </w:rPr>
                      <m:t>g</m:t>
                    </m:r>
                  </m:e>
                  <m:sub>
                    <m:r>
                      <w:rPr>
                        <w:rFonts w:ascii="Cambria Math" w:hAnsi="Cambria Math"/>
                      </w:rPr>
                      <m:t>j</m:t>
                    </m:r>
                  </m:sub>
                </m:sSub>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2</m:t>
            </m:r>
          </m:e>
        </m:rad>
        <m:r>
          <m:rPr>
            <m:sty m:val="p"/>
          </m:rPr>
          <w:rPr>
            <w:rFonts w:ascii="Cambria Math" w:hAnsi="Cambria Math"/>
          </w:rPr>
          <m:t>}</m:t>
        </m:r>
      </m:oMath>
      <w:r>
        <w:t>.</w:t>
      </w:r>
    </w:p>
    <w:p w14:paraId="010EBE3A" w14:textId="77777777" w:rsidR="00E250B8" w:rsidRDefault="00000000" w:rsidP="00017828">
      <w:pPr>
        <w:pStyle w:val="BodyText"/>
        <w:jc w:val="both"/>
      </w:pPr>
      <w:r>
        <w:rPr>
          <w:b/>
          <w:bCs/>
        </w:rPr>
        <w:t>Proof.</w:t>
      </w:r>
      <w:r>
        <w:t xml:space="preserve"> Each trajectory statistic satisfies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Pointwise domination </w:t>
      </w:r>
      <m:oMath>
        <m:sSubSup>
          <m:sSubSupPr>
            <m:ctrlPr>
              <w:rPr>
                <w:rFonts w:ascii="Cambria Math" w:hAnsi="Cambria Math"/>
              </w:rPr>
            </m:ctrlPr>
          </m:sSubSupPr>
          <m:e>
            <m:r>
              <w:rPr>
                <w:rFonts w:ascii="Cambria Math" w:hAnsi="Cambria Math"/>
              </w:rPr>
              <m:t>P</m:t>
            </m:r>
          </m:e>
          <m:sub>
            <m:r>
              <w:rPr>
                <w:rFonts w:ascii="Cambria Math" w:hAnsi="Cambria Math"/>
              </w:rPr>
              <m:t>t</m:t>
            </m:r>
          </m:sub>
          <m:sup>
            <m:sSub>
              <m:sSubPr>
                <m:ctrlPr>
                  <w:rPr>
                    <w:rFonts w:ascii="Cambria Math" w:hAnsi="Cambria Math"/>
                  </w:rPr>
                </m:ctrlPr>
              </m:sSubPr>
              <m:e>
                <m:r>
                  <w:rPr>
                    <w:rFonts w:ascii="Cambria Math" w:hAnsi="Cambria Math"/>
                  </w:rPr>
                  <m:t>g</m:t>
                </m:r>
              </m:e>
              <m:sub>
                <m:r>
                  <w:rPr>
                    <w:rFonts w:ascii="Cambria Math" w:hAnsi="Cambria Math"/>
                  </w:rPr>
                  <m:t>j</m:t>
                </m:r>
              </m:sub>
            </m:sSub>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g</m:t>
                    </m:r>
                  </m:e>
                </m:bar>
              </m:e>
              <m:sub>
                <m:r>
                  <w:rPr>
                    <w:rFonts w:ascii="Cambria Math" w:hAnsi="Cambria Math"/>
                  </w:rPr>
                  <m:t>j</m:t>
                </m:r>
                <m:r>
                  <m:rPr>
                    <m:sty m:val="p"/>
                  </m:rPr>
                  <w:rPr>
                    <w:rFonts w:ascii="Cambria Math" w:hAnsi="Cambria Math"/>
                  </w:rPr>
                  <m:t>,</m:t>
                </m:r>
                <m:r>
                  <w:rPr>
                    <w:rFonts w:ascii="Cambria Math" w:hAnsi="Cambria Math"/>
                  </w:rPr>
                  <m:t>t</m:t>
                </m:r>
              </m:sub>
            </m:sSub>
          </m:e>
        </m:d>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oMath>
      <w:r>
        <w:t xml:space="preserve"> gives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Apply the one-sided Hoeffding inequality [25] separately to their independent trajectory-level means. A union bound over </w:t>
      </w:r>
      <m:oMath>
        <m:r>
          <w:rPr>
            <w:rFonts w:ascii="Cambria Math" w:hAnsi="Cambria Math"/>
          </w:rPr>
          <m:t>2M</m:t>
        </m:r>
      </m:oMath>
      <w:r>
        <w:t xml:space="preserve"> quantities has failure probability at most </w:t>
      </w:r>
      <m:oMath>
        <m:r>
          <w:rPr>
            <w:rFonts w:ascii="Cambria Math" w:hAnsi="Cambria Math"/>
          </w:rPr>
          <m:t>η</m:t>
        </m:r>
      </m:oMath>
      <w:r>
        <w:t xml:space="preserve">. Combine with Proposition 5. The deterministic range bounds justify clipping the upper limits at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j</m:t>
            </m:r>
          </m:sub>
        </m:sSub>
      </m:oMath>
      <w:r>
        <w:t>.</w:t>
      </w:r>
    </w:p>
    <w:p w14:paraId="2DA47ACF" w14:textId="77777777" w:rsidR="00E250B8" w:rsidRDefault="00000000" w:rsidP="00017828">
      <w:pPr>
        <w:pStyle w:val="BodyText"/>
        <w:jc w:val="both"/>
      </w:pPr>
      <w:r>
        <w:t xml:space="preserve">This is an elementary bounded-loss calibration construction, not a new concentration inequality. Its use of fixed candidates and simultaneous acceptance follows the broader learn-then-test approach [26]. Choose a candidate with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after calibration, or keep the reference if none qualifies. A loss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L</m:t>
            </m:r>
          </m:e>
        </m:d>
      </m:oMath>
      <w:r>
        <w:t xml:space="preserve"> then changes in expectation by at most </w:t>
      </w:r>
      <m:oMath>
        <m:r>
          <w:rPr>
            <w:rFonts w:ascii="Cambria Math" w:hAnsi="Cambria Math"/>
          </w:rPr>
          <m:t>Lε</m:t>
        </m:r>
      </m:oMath>
      <w:r>
        <w:t>. This is a deployment-distribution guarantee for the sampled decoding kernel; it does not certify every prompt, correctness of the teacher, or greedy-decoded accuracy. Exact constraints and labeled task retention remain separate acceptance conditions.</w:t>
      </w:r>
    </w:p>
    <w:p w14:paraId="1A081279" w14:textId="77777777" w:rsidR="00E250B8" w:rsidRDefault="00000000" w:rsidP="00017828">
      <w:pPr>
        <w:pStyle w:val="BodyText"/>
        <w:jc w:val="both"/>
      </w:pPr>
      <w:r>
        <w:t xml:space="preserve">Full delegation is not excluded by the TV construction. For a candidate with some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g</m:t>
                </m:r>
              </m:e>
            </m:ba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oMath>
      <w:r>
        <w:t xml:space="preserve">, omit the KL certificate and retain the bounded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certificate with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T</m:t>
        </m:r>
      </m:oMath>
      <w:r>
        <w:t xml:space="preserve"> and the same conservative multiplicity factor. The branch-independent log-loss allowance becomes unavailable, but finite-sample evidence can still certify closeness. A dominating likelihood bound can alternatively provide a finite KL range.</w:t>
      </w:r>
    </w:p>
    <w:p w14:paraId="42B95E92" w14:textId="77777777" w:rsidR="00E250B8" w:rsidRDefault="00000000" w:rsidP="00017828">
      <w:pPr>
        <w:pStyle w:val="BodyText"/>
        <w:jc w:val="both"/>
      </w:pPr>
      <w:r>
        <w:lastRenderedPageBreak/>
        <w:t xml:space="preserve">These bounds can be conservative at long horizons: the TV correction scales with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and the KL correction can dominate a small measured divergence before its square root is taken. Calibration evaluates both branches and must be included in the cost. Repeatedly training new candidates against the same calibration results violates the fixed-family premise. For preplanned rounds with fresh data, allocating failure budgets </w:t>
      </w:r>
      <m:oMath>
        <m:sSub>
          <m:sSubPr>
            <m:ctrlPr>
              <w:rPr>
                <w:rFonts w:ascii="Cambria Math" w:hAnsi="Cambria Math"/>
              </w:rPr>
            </m:ctrlPr>
          </m:sSubPr>
          <m:e>
            <m:r>
              <w:rPr>
                <w:rFonts w:ascii="Cambria Math" w:hAnsi="Cambria Math"/>
              </w:rPr>
              <m:t>η</m:t>
            </m:r>
          </m:e>
          <m:sub>
            <m:r>
              <w:rPr>
                <w:rFonts w:ascii="Cambria Math" w:hAnsi="Cambria Math"/>
              </w:rPr>
              <m:t>r</m:t>
            </m:r>
          </m:sub>
        </m:sSub>
      </m:oMath>
      <w:r>
        <w:t xml:space="preserve"> with </w:t>
      </w:r>
      <m:oMath>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r</m:t>
                </m:r>
              </m:sub>
            </m:sSub>
          </m:e>
        </m:nary>
        <m:r>
          <m:rPr>
            <m:sty m:val="p"/>
          </m:rPr>
          <w:rPr>
            <w:rFonts w:ascii="Cambria Math" w:hAnsi="Cambria Math"/>
          </w:rPr>
          <m:t>≤</m:t>
        </m:r>
        <m:r>
          <w:rPr>
            <w:rFonts w:ascii="Cambria Math" w:hAnsi="Cambria Math"/>
          </w:rPr>
          <m:t>η</m:t>
        </m:r>
      </m:oMath>
      <w:r>
        <w:t xml:space="preserve"> gives an overall guarantee by a union bound; unplanned optional stopping needs a different procedure.</w:t>
      </w:r>
    </w:p>
    <w:p w14:paraId="5C6DE87B" w14:textId="77777777" w:rsidR="00E250B8" w:rsidRDefault="00000000" w:rsidP="00017828">
      <w:pPr>
        <w:pStyle w:val="BodyText"/>
        <w:jc w:val="both"/>
      </w:pPr>
      <w:r>
        <w:t xml:space="preserve">The certificate also has an explicit distributional scope. If only the prompt distribution changes from </w:t>
      </w:r>
      <m:oMath>
        <m:r>
          <w:rPr>
            <w:rFonts w:ascii="Cambria Math" w:hAnsi="Cambria Math"/>
          </w:rPr>
          <m:t>μ</m:t>
        </m:r>
      </m:oMath>
      <w:r>
        <w:t xml:space="preserve"> to </w:t>
      </w:r>
      <m:oMath>
        <m:r>
          <w:rPr>
            <w:rFonts w:ascii="Cambria Math" w:hAnsi="Cambria Math"/>
          </w:rPr>
          <m:t>ν</m:t>
        </m:r>
      </m:oMath>
      <w:r>
        <w:t xml:space="preserve">, their TV distance is at most </w:t>
      </w:r>
      <m:oMath>
        <m:r>
          <w:rPr>
            <w:rFonts w:ascii="Cambria Math" w:hAnsi="Cambria Math"/>
          </w:rPr>
          <m:t>ρ</m:t>
        </m:r>
      </m:oMath>
      <w:r>
        <w:t xml:space="preserve">, and the conditional model kernels remain unchanged, the new joint divergence is at most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ρ</m:t>
            </m:r>
          </m:e>
        </m:d>
      </m:oMath>
      <w:r>
        <w:t xml:space="preserve">. Indeed, the conditional sequence discrepancy is a fixed function of the prompt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its expectation can change by at most </w:t>
      </w:r>
      <m:oMath>
        <m:r>
          <w:rPr>
            <w:rFonts w:ascii="Cambria Math" w:hAnsi="Cambria Math"/>
          </w:rPr>
          <m:t>ρ</m:t>
        </m:r>
      </m:oMath>
      <w:r>
        <w:t xml:space="preserve">. Changed tools, evidence, model weights, or decoding rules change that function and require a new argument. A shift detector alone does not supply a certified value of </w:t>
      </w:r>
      <m:oMath>
        <m:r>
          <w:rPr>
            <w:rFonts w:ascii="Cambria Math" w:hAnsi="Cambria Math"/>
          </w:rPr>
          <m:t>ρ</m:t>
        </m:r>
      </m:oMath>
      <w:r>
        <w:t>.</w:t>
      </w:r>
    </w:p>
    <w:p w14:paraId="7F7CAC51" w14:textId="77777777" w:rsidR="001F608A" w:rsidRDefault="00000000" w:rsidP="00017828">
      <w:pPr>
        <w:pStyle w:val="Heading1"/>
        <w:jc w:val="both"/>
      </w:pPr>
      <w:bookmarkStart w:id="12" w:name="an-implementable-cvvc-migration"/>
      <w:bookmarkEnd w:id="6"/>
      <w:bookmarkEnd w:id="8"/>
      <w:bookmarkEnd w:id="11"/>
      <w:r>
        <w:t>4 An implementable CVVC migration</w:t>
      </w:r>
    </w:p>
    <w:p w14:paraId="6CEBA65F" w14:textId="77777777" w:rsidR="001F608A" w:rsidRDefault="00000000" w:rsidP="00017828">
      <w:pPr>
        <w:pStyle w:val="FirstParagraph"/>
        <w:jc w:val="both"/>
      </w:pPr>
      <w:r>
        <w:t>The reference implementation retains a frozen Transformer as the Value consumer, trains a compact Context encoder and a mediator, and maintains a versioned evidence archive. This paper adds a progressive transition and explicit migration tests to the earlier CVVC proposal. It does not assume that an arbitrary Transformer can be decomposed into preexisting Context and Value subnetworks without retraining.</w:t>
      </w:r>
    </w:p>
    <w:p w14:paraId="275A6999" w14:textId="77777777" w:rsidR="001F608A" w:rsidRDefault="00000000" w:rsidP="00017828">
      <w:pPr>
        <w:pStyle w:val="BodyText"/>
        <w:jc w:val="both"/>
      </w:pPr>
      <w:r>
        <w:t>Each evidence item has an identifier, source, revision, position convention, and representation epoch. The active working set contains a bounded number of items and a bounded total token count. Limiting fragment count alone is insufficient when fragments vary in size. Local generation state, archive storage, retrieval indices, and active evidence remain separate accounting categories.</w:t>
      </w:r>
    </w:p>
    <w:p w14:paraId="5291D963" w14:textId="77777777" w:rsidR="001F608A" w:rsidRDefault="00000000" w:rsidP="00017828">
      <w:pPr>
        <w:pStyle w:val="BodyText"/>
        <w:jc w:val="both"/>
      </w:pPr>
      <w:r>
        <w:t>For the first experiment, the mediator retrieves and assembles text fragments into a supported input format. This avoids making the architectural test depend on arbitrary insertion of cached hidden states. A later variant may use compatible KV fragments, but must specify which layers receive them, how positions are handled, which boundaries require recomputation, and how encoder changes invalidate caches. Final-layer KV fragments alone do not reproduce every lower-layer computation of a full-context Transformer.</w:t>
      </w:r>
    </w:p>
    <w:p w14:paraId="404D9DC1" w14:textId="77777777" w:rsidR="001F608A" w:rsidRDefault="00000000" w:rsidP="00017828">
      <w:pPr>
        <w:pStyle w:val="BodyText"/>
        <w:jc w:val="both"/>
      </w:pPr>
      <w:r>
        <w:t>The migration proceeds through five stages. First, establish the original model’s retention suite, evidence-sensitive tasks, and cost measurements. Second, run Context and VC in shadow mode while the original model supplies the response. Third, train the mediator using fragment relevance, task loss, and counterfactual comparisons with alternative working sets. Fourth, increase mediated participation through the probability gate or a separately tested task-level router. Finally, remove the legacy path only on task regions where the retention and resource contracts are satisfied.</w:t>
      </w:r>
    </w:p>
    <w:p w14:paraId="7CA9D970" w14:textId="77777777" w:rsidR="001F608A" w:rsidRDefault="00000000" w:rsidP="00017828">
      <w:pPr>
        <w:pStyle w:val="BodyText"/>
        <w:jc w:val="both"/>
      </w:pPr>
      <w:r>
        <w:t xml:space="preserve">For supervised examples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one possible training objective is</w:t>
      </w:r>
    </w:p>
    <w:p w14:paraId="1B07A636" w14:textId="77777777" w:rsidR="001F608A" w:rsidRDefault="00000000" w:rsidP="00017828">
      <w:pPr>
        <w:pStyle w:val="BodyText"/>
        <w:keepLines/>
        <w:tabs>
          <w:tab w:val="center" w:pos="4968"/>
          <w:tab w:val="right" w:pos="9936"/>
        </w:tabs>
        <w:spacing w:before="80" w:after="160"/>
        <w:jc w:val="both"/>
      </w:pPr>
      <w:r>
        <w:tab/>
      </w:r>
      <m:oMath>
        <m:r>
          <m:rPr>
            <m:scr m:val="script"/>
            <m:sty m:val="p"/>
          </m:rPr>
          <w:rPr>
            <w:rFonts w:ascii="Cambria Math" w:hAnsi="Cambria Math"/>
          </w:rPr>
          <m:t>J=</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e>
        </m:d>
        <m:r>
          <m:rPr>
            <m:sty m:val="p"/>
          </m:rPr>
          <w:rPr>
            <w:rFonts w:ascii="Cambria Math" w:hAnsi="Cambria Math"/>
          </w:rPr>
          <m:t>+</m:t>
        </m:r>
        <m:r>
          <w:rPr>
            <w:rFonts w:ascii="Cambria Math" w:hAnsi="Cambria Math"/>
          </w:rPr>
          <m:t>γ</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Q</m:t>
                </m:r>
              </m:e>
            </m:d>
          </m:e>
        </m:d>
        <m:r>
          <m:rPr>
            <m:sty m:val="p"/>
          </m:rPr>
          <w:rPr>
            <w:rFonts w:ascii="Cambria Math" w:hAnsi="Cambria Math"/>
          </w:rPr>
          <m:t>+</m:t>
        </m:r>
        <m:r>
          <w:rPr>
            <w:rFonts w:ascii="Cambria Math" w:hAnsi="Cambria Math"/>
          </w:rPr>
          <m:t>β</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e>
        </m:d>
        <m:r>
          <m:rPr>
            <m:sty m:val="p"/>
          </m:rPr>
          <w:rPr>
            <w:rFonts w:ascii="Cambria Math" w:hAnsi="Cambria Math"/>
          </w:rPr>
          <m:t>.</m:t>
        </m:r>
      </m:oMath>
      <w:r>
        <w:tab/>
        <w:t>(18)</w:t>
      </w:r>
    </w:p>
    <w:p w14:paraId="0F80174C" w14:textId="77777777" w:rsidR="00ED1AF7" w:rsidRDefault="00000000" w:rsidP="00017828">
      <w:pPr>
        <w:pStyle w:val="FirstParagraph"/>
        <w:jc w:val="both"/>
      </w:pPr>
      <w:r>
        <w:t xml:space="preserve">The first term teaches the task, the second discourages undesired drift on selected retention examples, and the third prices the actual mediation cost. The second term is the Learning-without-Forgetting construction [14] applied to output distributions. By Proposition 4 it controls sequence-level divergence from the original model when its expectation is taken over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-generated continuations of deployment prompts; taken over dataset continuations alone, it does not. Distillation should not force imitation of a teacher’s known factual errors or superseded evidence. Retention examples and update examples therefore need separate policies. Hard fragment selection can use supervised ranking followed by discrete policy optimization; any relaxed training selector must be evaluated with the hard inference budget.</w:t>
      </w:r>
    </w:p>
    <w:p w14:paraId="400A827F" w14:textId="77777777" w:rsidR="001F608A" w:rsidRDefault="00000000" w:rsidP="00017828">
      <w:pPr>
        <w:pStyle w:val="BodyText"/>
        <w:jc w:val="both"/>
      </w:pPr>
      <w:r>
        <w:lastRenderedPageBreak/>
        <w:t>Freeze Value initially to isolate adaptation in the access policy. If routing-only adaptation proves insufficient, permit a separate experiment with small Value updates and an explicitly larger state budget. This tests the claimed benefit of separation rather than treating hard freezing as a doctrine. Consolidation may improve the index, deduplicate evidence, and train the controller. Its effects must be measured on retained tasks because routing changes can produce functional forgetting even with an unchanged backbone.</w:t>
      </w:r>
    </w:p>
    <w:p w14:paraId="6E3D0B57" w14:textId="77777777" w:rsidR="001F608A" w:rsidRDefault="00000000" w:rsidP="00017828">
      <w:pPr>
        <w:pStyle w:val="BodyText"/>
        <w:keepNext/>
        <w:jc w:val="both"/>
      </w:pPr>
      <w:r>
        <w:rPr>
          <w:noProof/>
        </w:rPr>
        <w:drawing>
          <wp:inline distT="0" distB="0" distL="0" distR="0" wp14:anchorId="7964DF39" wp14:editId="2DD47A5B">
            <wp:extent cx="5334000" cy="2667000"/>
            <wp:effectExtent l="0" t="0" r="0" b="0"/>
            <wp:docPr id="30" name="Picture" descr="Functional architecture"/>
            <wp:cNvGraphicFramePr/>
            <a:graphic xmlns:a="http://schemas.openxmlformats.org/drawingml/2006/main">
              <a:graphicData uri="http://schemas.openxmlformats.org/drawingml/2006/picture">
                <pic:pic xmlns:pic="http://schemas.openxmlformats.org/drawingml/2006/picture">
                  <pic:nvPicPr>
                    <pic:cNvPr id="31" name="Picture" descr="architecture.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36E8F434" w14:textId="77777777" w:rsidR="001F608A" w:rsidRDefault="00000000" w:rsidP="00017828">
      <w:pPr>
        <w:pStyle w:val="BodyText"/>
        <w:spacing w:after="160" w:line="252" w:lineRule="auto"/>
        <w:jc w:val="both"/>
      </w:pPr>
      <w:r>
        <w:rPr>
          <w:sz w:val="19"/>
        </w:rPr>
        <w:t>Figure 1. A proposed migration architecture. Solid arrows carry candidate evidence or predictions; dashed arrows carry selection policy. The legacy route enables comparison and rollback during migration. This is an engineering diagram, not a literal cortical wiring diagram.</w:t>
      </w:r>
    </w:p>
    <w:p w14:paraId="21ED4270" w14:textId="77777777" w:rsidR="00E250B8" w:rsidRDefault="00000000" w:rsidP="00017828">
      <w:pPr>
        <w:pStyle w:val="Heading2"/>
        <w:jc w:val="both"/>
      </w:pPr>
      <w:bookmarkStart w:id="13" w:name="retiring-the-legacy-computation"/>
      <w:r>
        <w:t>4.1 Retiring the legacy computation</w:t>
      </w:r>
    </w:p>
    <w:p w14:paraId="261A8A79" w14:textId="77777777" w:rsidR="00E250B8" w:rsidRDefault="00000000" w:rsidP="00017828">
      <w:pPr>
        <w:pStyle w:val="FirstParagraph"/>
        <w:jc w:val="both"/>
      </w:pPr>
      <w:r>
        <w:t xml:space="preserve">A probability mixture preserves a reference contribution by evaluating or reconstructing reference state. It therefore solves a migration problem before it solves an efficiency problem. An episode-level router is a distinct implementation: at the prompt, choose the original branch or the mediated branch for the entire response, and execute only that branch. The episode mixture has the form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x</m:t>
                </m:r>
              </m:e>
            </m:d>
          </m:e>
        </m:d>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x</m:t>
            </m:r>
          </m:e>
        </m:d>
        <m:r>
          <w:rPr>
            <w:rFonts w:ascii="Cambria Math" w:hAnsi="Cambria Math"/>
          </w:rPr>
          <m:t>Q</m:t>
        </m:r>
        <m:d>
          <m:dPr>
            <m:ctrlPr>
              <w:rPr>
                <w:rFonts w:ascii="Cambria Math" w:hAnsi="Cambria Math"/>
              </w:rPr>
            </m:ctrlPr>
          </m:dPr>
          <m:e>
            <m:r>
              <m:rPr>
                <m:sty m:val="p"/>
              </m:rPr>
              <w:rPr>
                <w:rFonts w:ascii="Cambria Math" w:hAnsi="Cambria Math"/>
              </w:rPr>
              <m:t>⋅∣</m:t>
            </m:r>
            <m:r>
              <w:rPr>
                <w:rFonts w:ascii="Cambria Math" w:hAnsi="Cambria Math"/>
              </w:rPr>
              <m:t>x</m:t>
            </m:r>
          </m:e>
        </m:d>
      </m:oMath>
      <w:r>
        <w:t>. It is not the distribution obtained by mixing at every token. Its retention and cost must be measured as a separate candidate.</w:t>
      </w:r>
    </w:p>
    <w:p w14:paraId="633EF7E1" w14:textId="77777777" w:rsidR="00E250B8" w:rsidRDefault="00000000" w:rsidP="00017828">
      <w:pPr>
        <w:pStyle w:val="BodyText"/>
        <w:jc w:val="both"/>
      </w:pPr>
      <w:r>
        <w:t xml:space="preserve">Let </w:t>
      </w:r>
      <m:oMath>
        <m:r>
          <w:rPr>
            <w:rFonts w:ascii="Cambria Math" w:hAnsi="Cambria Math"/>
          </w:rPr>
          <m:t>r</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be such a router, selected from a fixed family of </w:t>
      </w:r>
      <m:oMath>
        <m:r>
          <w:rPr>
            <w:rFonts w:ascii="Cambria Math" w:hAnsi="Cambria Math"/>
          </w:rPr>
          <m:t>M</m:t>
        </m:r>
      </m:oMath>
      <w:r>
        <w:t xml:space="preserve"> candidates. For a bounded task loss </w:t>
      </w:r>
      <m:oMath>
        <m:r>
          <m:rPr>
            <m:scr m:val="script"/>
            <m:sty m:val="p"/>
          </m:rPr>
          <w:rPr>
            <w:rFonts w:ascii="Cambria Math" w:hAnsi="Cambria Math"/>
          </w:rPr>
          <m:t>l∈</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L</m:t>
            </m:r>
          </m:e>
        </m:d>
      </m:oMath>
      <w:r>
        <w:t xml:space="preserve">, use independent labeled evaluation episodes to measure the paired excess loss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
          <m:dPr>
            <m:ctrlPr>
              <w:rPr>
                <w:rFonts w:ascii="Cambria Math" w:hAnsi="Cambria Math"/>
              </w:rPr>
            </m:ctrlPr>
          </m:dPr>
          <m:e>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d>
      </m:oMath>
      <w:r>
        <w:t xml:space="preserve">. Here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i</m:t>
            </m:r>
          </m:sub>
        </m:sSub>
      </m:oMath>
      <w:r>
        <w:t xml:space="preserve"> are independently or jointly sampled complete responses with the correct branch marginals. A direct one-sided acceptance rule is</w:t>
      </w:r>
    </w:p>
    <w:p w14:paraId="01B86E39" w14:textId="77777777" w:rsidR="00E250B8" w:rsidRDefault="00000000" w:rsidP="00017828">
      <w:pPr>
        <w:pStyle w:val="BodyText"/>
        <w:keepLines/>
        <w:tabs>
          <w:tab w:val="center" w:pos="4968"/>
          <w:tab w:val="right" w:pos="9936"/>
        </w:tabs>
        <w:spacing w:before="100" w:after="160"/>
        <w:jc w:val="both"/>
      </w:pPr>
      <w:r>
        <w:tab/>
      </w:r>
      <m:oMath>
        <m:r>
          <m:rPr>
            <m:scr m:val="double-struck"/>
            <m:sty m:val="p"/>
          </m:rPr>
          <w:rPr>
            <w:rFonts w:ascii="Cambria Math" w:hAnsi="Cambria Math"/>
          </w:rPr>
          <m:t>E</m:t>
        </m:r>
        <m:r>
          <w:rPr>
            <w:rFonts w:ascii="Cambria Math" w:hAnsi="Cambria Math"/>
          </w:rPr>
          <m:t>X</m:t>
        </m:r>
        <m:r>
          <m:rPr>
            <m:sty m:val="p"/>
          </m:rPr>
          <w:rPr>
            <w:rFonts w:ascii="Cambria Math" w:hAnsi="Cambria Math"/>
          </w:rPr>
          <m:t>≤</m:t>
        </m:r>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2L</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η</m:t>
                    </m:r>
                  </m:e>
                </m:d>
              </m:num>
              <m:den>
                <m:r>
                  <w:rPr>
                    <w:rFonts w:ascii="Cambria Math" w:hAnsi="Cambria Math"/>
                  </w:rPr>
                  <m:t>2n</m:t>
                </m:r>
              </m:den>
            </m:f>
          </m:e>
        </m:ra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m:t>
        </m:r>
        <m:r>
          <w:rPr>
            <w:rFonts w:ascii="Cambria Math" w:hAnsi="Cambria Math"/>
          </w:rPr>
          <m:t>  </m:t>
        </m:r>
      </m:oMath>
      <w:r>
        <w:tab/>
        <w:t>(19)</w:t>
      </w:r>
    </w:p>
    <w:p w14:paraId="1B69415F" w14:textId="77777777" w:rsidR="00E250B8" w:rsidRDefault="00000000" w:rsidP="00017828">
      <w:pPr>
        <w:pStyle w:val="FirstParagraph"/>
        <w:jc w:val="both"/>
      </w:pPr>
      <w:r>
        <w:t xml:space="preserve">The first inequality holds simultaneously with probability at least </w:t>
      </w:r>
      <m:oMath>
        <m:r>
          <w:rPr>
            <w:rFonts w:ascii="Cambria Math" w:hAnsi="Cambria Math"/>
          </w:rPr>
          <m:t>1</m:t>
        </m:r>
        <m:r>
          <m:rPr>
            <m:sty m:val="p"/>
          </m:rPr>
          <w:rPr>
            <w:rFonts w:ascii="Cambria Math" w:hAnsi="Cambria Math"/>
          </w:rPr>
          <m:t>-</m:t>
        </m:r>
        <m:r>
          <w:rPr>
            <w:rFonts w:ascii="Cambria Math" w:hAnsi="Cambria Math"/>
          </w:rPr>
          <m:t>η</m:t>
        </m:r>
      </m:oMath>
      <w:r>
        <w:t xml:space="preserve"> by Hoeffding on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e>
        </m:d>
      </m:oMath>
      <w:r>
        <w:t>. The final inequality is a test that may fail, not an automatic conclusion. Separate uncertainty budgets are needed if this test and Proposition 6 must both hold. This direct test can assess greedy outputs as well as sampled outputs when that decoding rule is fixed. It evaluates actual task retention; a TV certificate instead protects every bounded loss but may require much more data.</w:t>
      </w:r>
    </w:p>
    <w:p w14:paraId="2FFDA9FD" w14:textId="77777777" w:rsidR="00E250B8" w:rsidRDefault="00000000" w:rsidP="00017828">
      <w:pPr>
        <w:pStyle w:val="BodyText"/>
        <w:jc w:val="both"/>
      </w:pPr>
      <w:r>
        <w:t xml:space="preserve">Coverage </w:t>
      </w:r>
      <m:oMath>
        <m:r>
          <m:rPr>
            <m:sty m:val="p"/>
          </m:rPr>
          <w:rPr>
            <w:rFonts w:ascii="Cambria Math" w:hAnsi="Cambria Math"/>
          </w:rPr>
          <m:t>Pr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oMath>
      <w:r>
        <w:t xml:space="preserve"> and selective quality on delegated prompts must also be reported. A low overall excess loss can hide a small delegated group with high conditional loss. Full retirement on a declared task region requires </w:t>
      </w:r>
      <m:oMath>
        <m:r>
          <w:rPr>
            <w:rFonts w:ascii="Cambria Math" w:hAnsi="Cambria Math"/>
          </w:rPr>
          <w:lastRenderedPageBreak/>
          <m:t>r</m:t>
        </m:r>
        <m:r>
          <m:rPr>
            <m:sty m:val="p"/>
          </m:rPr>
          <w:rPr>
            <w:rFonts w:ascii="Cambria Math" w:hAnsi="Cambria Math"/>
          </w:rPr>
          <m:t>=</m:t>
        </m:r>
        <m:r>
          <w:rPr>
            <w:rFonts w:ascii="Cambria Math" w:hAnsi="Cambria Math"/>
          </w:rPr>
          <m:t>1</m:t>
        </m:r>
      </m:oMath>
      <w:r>
        <w:t xml:space="preserve"> there, adequate labeled quality, and sufficient validation within that region. A fallback to an original model with a known obsolete answer is not an update policy. Revised facts are judged against current authoritative labels, while unaffected competence is evaluated on the retention suite.</w:t>
      </w:r>
    </w:p>
    <w:p w14:paraId="316F1C89" w14:textId="77777777" w:rsidR="00E250B8" w:rsidRDefault="00000000" w:rsidP="00017828">
      <w:pPr>
        <w:pStyle w:val="BodyText"/>
        <w:jc w:val="both"/>
      </w:pPr>
      <w:r>
        <w:t xml:space="preserve">Let </w:t>
      </w:r>
      <m:oMath>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r>
              <w:rPr>
                <w:rFonts w:ascii="Cambria Math" w:hAnsi="Cambria Math"/>
              </w:rPr>
              <m:t>x</m:t>
            </m:r>
          </m:e>
        </m:d>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Q</m:t>
            </m:r>
          </m:sub>
        </m:sSub>
        <m:d>
          <m:dPr>
            <m:ctrlPr>
              <w:rPr>
                <w:rFonts w:ascii="Cambria Math" w:hAnsi="Cambria Math"/>
              </w:rPr>
            </m:ctrlPr>
          </m:dPr>
          <m:e>
            <m:r>
              <w:rPr>
                <w:rFonts w:ascii="Cambria Math" w:hAnsi="Cambria Math"/>
              </w:rPr>
              <m:t>x</m:t>
            </m:r>
          </m:e>
        </m:d>
      </m:oMath>
      <w:r>
        <w:t xml:space="preserve"> include each branch’s complete response cost, and let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be routing cost. For episode routing without speculative execution,</w:t>
      </w:r>
    </w:p>
    <w:p w14:paraId="0EA69481" w14:textId="77777777" w:rsidR="00E250B8" w:rsidRDefault="00000000" w:rsidP="00017828">
      <w:pPr>
        <w:pStyle w:val="BodyText"/>
        <w:keepLines/>
        <w:tabs>
          <w:tab w:val="center" w:pos="4968"/>
          <w:tab w:val="right" w:pos="9936"/>
        </w:tabs>
        <w:spacing w:before="100" w:after="160"/>
        <w:jc w:val="both"/>
      </w:pPr>
      <w:r>
        <w:tab/>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C</m:t>
            </m:r>
          </m:e>
          <m:sub>
            <m:r>
              <m:rPr>
                <m:sty m:val="p"/>
              </m:rPr>
              <w:rPr>
                <w:rFonts w:ascii="Cambria Math" w:hAnsi="Cambria Math"/>
              </w:rPr>
              <m:t>run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cr m:val="double-struck"/>
            <m:sty m:val="p"/>
          </m:rPr>
          <w:rPr>
            <w:rFonts w:ascii="Cambria Math" w:hAnsi="Cambria Math"/>
          </w:rPr>
          <m:t>+E</m:t>
        </m:r>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X</m:t>
                    </m:r>
                  </m:e>
                </m:d>
              </m:e>
            </m:d>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C</m:t>
                </m:r>
              </m:e>
              <m:sub>
                <m:r>
                  <w:rPr>
                    <w:rFonts w:ascii="Cambria Math" w:hAnsi="Cambria Math"/>
                  </w:rPr>
                  <m:t>Q</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oMath>
      <w:r>
        <w:tab/>
        <w:t>(20)</w:t>
      </w:r>
    </w:p>
    <w:p w14:paraId="279BDF73" w14:textId="77777777" w:rsidR="00E250B8" w:rsidRDefault="00000000" w:rsidP="00017828">
      <w:pPr>
        <w:pStyle w:val="FirstParagraph"/>
        <w:jc w:val="both"/>
      </w:pPr>
      <w:r>
        <w:t xml:space="preserve">Using the original model to calculate the router’s score must be charged in </w:t>
      </w:r>
      <m:oMath>
        <m:sSub>
          <m:sSubPr>
            <m:ctrlPr>
              <w:rPr>
                <w:rFonts w:ascii="Cambria Math" w:hAnsi="Cambria Math"/>
              </w:rPr>
            </m:ctrlPr>
          </m:sSubPr>
          <m:e>
            <m:r>
              <w:rPr>
                <w:rFonts w:ascii="Cambria Math" w:hAnsi="Cambria Math"/>
              </w:rPr>
              <m:t>C</m:t>
            </m:r>
          </m:e>
          <m:sub>
            <m:r>
              <w:rPr>
                <w:rFonts w:ascii="Cambria Math" w:hAnsi="Cambria Math"/>
              </w:rPr>
              <m:t>r</m:t>
            </m:r>
          </m:sub>
        </m:sSub>
      </m:oMath>
      <w:r>
        <w:t>; calling that reference evaluation free would defeat the efficiency claim. Shared weights need not be duplicated, but different attention histories generally require distinct state. Mid-response fallback additionally requires either a warm reference state or reconstruction from the exact committed prefix. A stale cache is not the original branch in Proposition 5, and a resumed model cannot undo tokens already released.</w:t>
      </w:r>
    </w:p>
    <w:p w14:paraId="21D7F64D" w14:textId="4DD9347B" w:rsidR="00E250B8" w:rsidRDefault="00000000" w:rsidP="00017828">
      <w:pPr>
        <w:pStyle w:val="BodyText"/>
        <w:jc w:val="both"/>
      </w:pPr>
      <w:r>
        <w:t xml:space="preserve">For an explicitly illustrative cost calculation, take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r>
          <w:rPr>
            <w:rFonts w:ascii="Cambria Math" w:hAnsi="Cambria Math"/>
          </w:rPr>
          <m:t>0.35</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0.02</m:t>
        </m:r>
      </m:oMath>
      <w:r>
        <w:t>, and coverage 0.8. Runtime cost is 0.50 units per episode. Calibrating on 4,096 episodes at 1.35 units each cost 5,529.6 units, so savings exceed that overhead only after 11,060 deployment episodes. These assigned units are not latency measurements. Training, revalidation after revisions, and archive maintenance can delay this crossover further.</w:t>
      </w:r>
    </w:p>
    <w:p w14:paraId="7510B24C" w14:textId="77777777" w:rsidR="001F608A" w:rsidRDefault="00000000" w:rsidP="00017828">
      <w:pPr>
        <w:pStyle w:val="Heading1"/>
        <w:jc w:val="both"/>
      </w:pPr>
      <w:bookmarkStart w:id="14" w:name="X23e293c5bd62885ec22f48e84bc7614924f2030"/>
      <w:bookmarkEnd w:id="12"/>
      <w:bookmarkEnd w:id="13"/>
      <w:r>
        <w:t>5 What corticothalamic organization contributes</w:t>
      </w:r>
    </w:p>
    <w:p w14:paraId="1C951502" w14:textId="77777777" w:rsidR="001F608A" w:rsidRDefault="00000000" w:rsidP="00017828">
      <w:pPr>
        <w:pStyle w:val="FirstParagraph"/>
        <w:jc w:val="both"/>
      </w:pPr>
      <w:r>
        <w:t>The biological comparison is useful because it suggests that content transmission and regulation of transmission can be partly differentiated, recurrent, and dependent on timescale. It is not evidence that these operations are exclusive to one layer or that they arose in a particular evolutionary order. We use a limited set of primary studies to constrain the mapping; the discussion is not a systematic review of all thalamic nuclei, species, or developmental stages. The closest classical precedent is the distinction between drivers, which carry the information a relay cell transmits, and modulators, which alter how that information is transmitted [21]. That distinction was drawn on synaptic and physiological criteria in specific thalamic circuits; we borrow its logic, not an assumption that every corticothalamic input falls cleanly into one class.</w:t>
      </w:r>
    </w:p>
    <w:p w14:paraId="1E53A9E5" w14:textId="77777777" w:rsidR="001F608A" w:rsidRDefault="00000000" w:rsidP="00017828">
      <w:pPr>
        <w:pStyle w:val="Heading2"/>
        <w:jc w:val="both"/>
      </w:pPr>
      <w:bookmarkStart w:id="15" w:name="X7c22f5fe9c83a7d9004f41474e74c31ae026ce4"/>
      <w:r>
        <w:t>5.1 Local materialization and the role of layer 4</w:t>
      </w:r>
    </w:p>
    <w:p w14:paraId="0AA98A90" w14:textId="77777777" w:rsidR="001F608A" w:rsidRDefault="00000000" w:rsidP="00017828">
      <w:pPr>
        <w:pStyle w:val="FirstParagraph"/>
        <w:jc w:val="both"/>
      </w:pPr>
      <w:r>
        <w:t>Layer 4 provides a useful model for a local transformation of incoming signals, but granularity is not a binary marker of whether a circuit has an interface. Yamawaki and colleagues identified neurons near the L3–L5A boundary of mouse motor cortex with L4-like connectivity, including thalamic input and largely unidirectional excitation of L2/3 [6]. This finding prevents a simple inference from agranular appearance to an incomplete architectural separation.</w:t>
      </w:r>
    </w:p>
    <w:p w14:paraId="25357E05" w14:textId="62D0CEB1" w:rsidR="001F608A" w:rsidRDefault="00000000" w:rsidP="00017828">
      <w:pPr>
        <w:pStyle w:val="BodyText"/>
        <w:jc w:val="both"/>
      </w:pPr>
      <w:r>
        <w:t xml:space="preserve">Nor is L4 the only legal route into superficial processing. Gambino and colleagues linked higher-order thalamic input to dendritic plateau potentials and sensory-evoked potentiation in L2/3 [7]. The engineering lesson is to make materialization an explicit function without asserting that every biological signal </w:t>
      </w:r>
      <w:r w:rsidR="002F3231">
        <w:t>cross</w:t>
      </w:r>
      <w:r>
        <w:t xml:space="preserve"> one obligatory boundary. In CVVC, a strict access boundary is a design choice whose benefits and losses can be measured.</w:t>
      </w:r>
    </w:p>
    <w:p w14:paraId="10305924" w14:textId="77777777" w:rsidR="001F608A" w:rsidRDefault="00000000" w:rsidP="00017828">
      <w:pPr>
        <w:pStyle w:val="Heading2"/>
        <w:jc w:val="both"/>
      </w:pPr>
      <w:bookmarkStart w:id="16" w:name="layer-5-and-publication"/>
      <w:bookmarkEnd w:id="15"/>
      <w:r>
        <w:t>5.2 Layer 5 and publication</w:t>
      </w:r>
    </w:p>
    <w:p w14:paraId="29D86CF5" w14:textId="77777777" w:rsidR="001F608A" w:rsidRDefault="00000000" w:rsidP="00017828">
      <w:pPr>
        <w:pStyle w:val="FirstParagraph"/>
        <w:jc w:val="both"/>
      </w:pPr>
      <w:r>
        <w:t>L5B input to the posterior medial thalamic nucleus supplies a tractable example of cortical influence on higher-order thalamus. In anesthetized mice, Mease and colleagues found sparse, state-dependent spike transfer shaped by synaptic depression and cortical activity [8]. The observation supports a dynamically filtered transmission pathway. It does not establish a universal rule that the first spike always transfers, later spikes never transfer, or a burst constitutes an irrevocable decision.</w:t>
      </w:r>
    </w:p>
    <w:p w14:paraId="6ED8B34A" w14:textId="77777777" w:rsidR="001F608A" w:rsidRDefault="00000000" w:rsidP="00017828">
      <w:pPr>
        <w:pStyle w:val="BodyText"/>
        <w:jc w:val="both"/>
      </w:pPr>
      <w:r>
        <w:lastRenderedPageBreak/>
        <w:t>The term publication is therefore a proposed computational interpretation. A branching axon can distribute a common presynaptic event to several targets, while transmission and interpretation remain target-dependent. In a software system, a commit requires an explicit decision about durable state, ordering, failure handling, and side effects. In this paper no single cortical burst is treated as proof of such a protocol. The distinction also prevents confusing Context as available task state with Context as an already executed action.</w:t>
      </w:r>
    </w:p>
    <w:p w14:paraId="0A63183F" w14:textId="77777777" w:rsidR="001F608A" w:rsidRDefault="00000000" w:rsidP="00017828">
      <w:pPr>
        <w:pStyle w:val="Heading2"/>
        <w:jc w:val="both"/>
      </w:pPr>
      <w:bookmarkStart w:id="17" w:name="layer-6-and-reticular-regulation"/>
      <w:bookmarkEnd w:id="16"/>
      <w:r>
        <w:t>5.3 Layer 6 and reticular regulation</w:t>
      </w:r>
    </w:p>
    <w:p w14:paraId="16A5CDD4" w14:textId="77777777" w:rsidR="001F608A" w:rsidRDefault="00000000" w:rsidP="00017828">
      <w:pPr>
        <w:pStyle w:val="FirstParagraph"/>
        <w:jc w:val="both"/>
      </w:pPr>
      <w:r>
        <w:t>Crandall and colleagues demonstrated that corticothalamic activity can switch its net influence through the interaction of direct excitation and indirect inhibition involving the thalamic reticular nucleus [9]. This motivates a controller whose effective sign depends on activity and state. It does not motivate a fixed inhibitory gate, nor does it imply that one parameter adequately captures the entire L6 population.</w:t>
      </w:r>
    </w:p>
    <w:p w14:paraId="71D6068B" w14:textId="77777777" w:rsidR="001F608A" w:rsidRDefault="00000000" w:rsidP="00017828">
      <w:pPr>
        <w:pStyle w:val="BodyText"/>
        <w:jc w:val="both"/>
      </w:pPr>
      <w:r>
        <w:t xml:space="preserve">A minimal engineering analogue uses fast content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a slower control state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a resource state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for history-dependent transmission:</w:t>
      </w:r>
    </w:p>
    <w:p w14:paraId="3AC5FC1B" w14:textId="77777777" w:rsidR="001F608A" w:rsidRDefault="00000000" w:rsidP="00017828">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αf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cr m:val="script"/>
            <m:sty m:val="p"/>
          </m:rP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m:t>
        </m:r>
      </m:oMath>
      <w:r>
        <w:tab/>
        <w:t>(21)</w:t>
      </w:r>
    </w:p>
    <w:p w14:paraId="58656A27" w14:textId="77777777" w:rsidR="001F608A" w:rsidRDefault="00000000" w:rsidP="00017828">
      <w:pPr>
        <w:pStyle w:val="FirstParagraph"/>
        <w:jc w:val="both"/>
      </w:pPr>
      <w:r>
        <w:t xml:space="preserve">Here </w:t>
      </w:r>
      <m:oMath>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represents competing demands or contextual inputs. The equation is a proposed abstraction, not a fitted physiological model. It deliberately permits the effect of past control activity to persist after the input ends. Calling the control state an expiring subscription can be useful for software design, provided its decay, renewal, and scope are defined rather than attributed literally to a particular receptor.</w:t>
      </w:r>
    </w:p>
    <w:p w14:paraId="45A64BE9" w14:textId="77777777" w:rsidR="001F608A" w:rsidRDefault="00000000" w:rsidP="00017828">
      <w:pPr>
        <w:pStyle w:val="Heading2"/>
        <w:jc w:val="both"/>
      </w:pPr>
      <w:bookmarkStart w:id="18" w:name="Xbc1bb6d9fb574d81a34463992d34db229bdaeb9"/>
      <w:bookmarkEnd w:id="17"/>
      <w:r>
        <w:t>5.4 Thalamic coordination and working representations</w:t>
      </w:r>
    </w:p>
    <w:p w14:paraId="17BAF925" w14:textId="77777777" w:rsidR="001F608A" w:rsidRDefault="00000000" w:rsidP="00017828">
      <w:pPr>
        <w:pStyle w:val="FirstParagraph"/>
        <w:jc w:val="both"/>
      </w:pPr>
      <w:r>
        <w:t>Schmitt and colleagues showed that mediodorsal thalamus can sustain prefrontal rule representations through amplification of functional connectivity rather than simply relaying the categorical rule information [10]. This provides a concrete precedent for distinguishing represented content from a contribution to its effective maintenance. It supports investigating distributed mediation; it does not localize a symbolic fragment buffer or every working-memory operation to thalamus.</w:t>
      </w:r>
    </w:p>
    <w:p w14:paraId="7AF4CF90" w14:textId="77777777" w:rsidR="00ED1AF7" w:rsidRDefault="00000000" w:rsidP="00017828">
      <w:pPr>
        <w:pStyle w:val="BodyText"/>
        <w:jc w:val="both"/>
      </w:pPr>
      <w:r>
        <w:t>A closer precedent for the hypothesis of Section 6 comes from a task in which mice switched between sets of learned cues that directed attention to visual or auditory targets [22]. Mediodorsal activity tracked the statistics of cue presentation and was required for switching between cueing contexts. Some mediodorsal responses sustained context-relevant prefrontal representations while others suppressed irrelevant ones, and the authors’ modeling suggested that this suppression reduces interference and preserves unused cortical traces for later use. This is the biological counterpart of the claim that adapting access can protect representations that are not currently in use. It is evidence from one circuit and one task, and it concerns suppression of competing representations rather than a bounded buffer of selected items.</w:t>
      </w:r>
    </w:p>
    <w:p w14:paraId="1CCBC053" w14:textId="77777777" w:rsidR="001F608A" w:rsidRDefault="00000000" w:rsidP="00017828">
      <w:pPr>
        <w:pStyle w:val="BodyText"/>
        <w:jc w:val="both"/>
      </w:pPr>
      <w:r>
        <w:t>A bounded CVVC working set can consequently be viewed as an engineered constraint inspired by selective communication. Its capacity is measured in tokens, fragments, or bytes. Biological working-set capacity must be measured behaviorally and physiologically, and cannot be inferred by assigning a fragment to a relay cell or equating reticular inhibition with a literal Remove instruction.</w:t>
      </w:r>
    </w:p>
    <w:p w14:paraId="4F9DF11D" w14:textId="77777777" w:rsidR="001F608A" w:rsidRDefault="00000000" w:rsidP="00017828">
      <w:pPr>
        <w:pStyle w:val="Heading2"/>
        <w:jc w:val="both"/>
      </w:pPr>
      <w:bookmarkStart w:id="19" w:name="X60ef0366433ff609ba8978e452cd03ac4799d44"/>
      <w:bookmarkEnd w:id="18"/>
      <w:r>
        <w:t>5.5 Action selection is not a binary plan and command split</w:t>
      </w:r>
    </w:p>
    <w:p w14:paraId="7937D1E1" w14:textId="77777777" w:rsidR="001F608A" w:rsidRDefault="00000000" w:rsidP="00017828">
      <w:pPr>
        <w:pStyle w:val="FirstParagraph"/>
        <w:jc w:val="both"/>
      </w:pPr>
      <w:r>
        <w:t xml:space="preserve">Kress and colleagues found functional input from both intratelencephalic and pyramidal-tract cortical populations to both direct- and indirect-pathway striatal projection neurons [11]. This argues against using a strict IT-to-direct and PT-to-indirect separation as the foundation of the architectural mapping. Target-defined </w:t>
      </w:r>
      <w:r>
        <w:lastRenderedPageBreak/>
        <w:t>cortical classes do not by themselves specify whether a signal means an uncommitted plan or an issued command.</w:t>
      </w:r>
    </w:p>
    <w:p w14:paraId="6D7B979A" w14:textId="77777777" w:rsidR="001F608A" w:rsidRDefault="00000000" w:rsidP="00017828">
      <w:pPr>
        <w:pStyle w:val="BodyText"/>
        <w:jc w:val="both"/>
      </w:pPr>
      <w:r>
        <w:t>Basal-ganglia and cerebellar functions should therefore remain outside any claim that the CVVC triple is a complete model of the brain. In an engineering extension, candidate selection, release, prediction of consequences, and calibration can be separate services. Their placement follows the task and measured interactions. The present hypothesis concerns the access–representation relationship and does not require explaining all motor control within three software objects.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06"/>
        <w:gridCol w:w="3225"/>
        <w:gridCol w:w="3885"/>
      </w:tblGrid>
      <w:tr w:rsidR="001F608A" w14:paraId="45FFE8DD" w14:textId="77777777" w:rsidTr="001F608A">
        <w:trPr>
          <w:cnfStyle w:val="100000000000" w:firstRow="1" w:lastRow="0" w:firstColumn="0" w:lastColumn="0" w:oddVBand="0" w:evenVBand="0" w:oddHBand="0" w:evenHBand="0" w:firstRowFirstColumn="0" w:firstRowLastColumn="0" w:lastRowFirstColumn="0" w:lastRowLastColumn="0"/>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3973DA51" w14:textId="77777777" w:rsidR="001F608A" w:rsidRDefault="00000000" w:rsidP="00017828">
            <w:pPr>
              <w:pStyle w:val="Compact"/>
              <w:spacing w:before="40" w:after="40" w:line="240" w:lineRule="auto"/>
              <w:jc w:val="both"/>
            </w:pPr>
            <w:r>
              <w:rPr>
                <w:rFonts w:ascii="Arial" w:hAnsi="Arial"/>
                <w:b/>
                <w:color w:val="FFFFFF"/>
                <w:sz w:val="20"/>
              </w:rPr>
              <w:t>Engineering role</w:t>
            </w:r>
          </w:p>
        </w:tc>
        <w:tc>
          <w:tcPr>
            <w:tcW w:w="3168"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2C8B3A81" w14:textId="77777777" w:rsidR="001F608A" w:rsidRDefault="00000000" w:rsidP="00017828">
            <w:pPr>
              <w:pStyle w:val="Compact"/>
              <w:spacing w:before="40" w:after="40" w:line="240" w:lineRule="auto"/>
              <w:jc w:val="both"/>
            </w:pPr>
            <w:r>
              <w:rPr>
                <w:rFonts w:ascii="Arial" w:hAnsi="Arial"/>
                <w:b/>
                <w:color w:val="FFFFFF"/>
                <w:sz w:val="20"/>
              </w:rPr>
              <w:t>Biological motivation</w:t>
            </w:r>
          </w:p>
        </w:tc>
        <w:tc>
          <w:tcPr>
            <w:tcW w:w="3816"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745041F9" w14:textId="77777777" w:rsidR="001F608A" w:rsidRDefault="00000000" w:rsidP="00017828">
            <w:pPr>
              <w:pStyle w:val="Compact"/>
              <w:spacing w:before="40" w:after="40" w:line="240" w:lineRule="auto"/>
              <w:jc w:val="both"/>
            </w:pPr>
            <w:r>
              <w:rPr>
                <w:rFonts w:ascii="Arial" w:hAnsi="Arial"/>
                <w:b/>
                <w:color w:val="FFFFFF"/>
                <w:sz w:val="20"/>
              </w:rPr>
              <w:t>Interpretation that is not established</w:t>
            </w:r>
          </w:p>
        </w:tc>
      </w:tr>
      <w:tr w:rsidR="001F608A" w14:paraId="7B9ACD41" w14:textId="77777777" w:rsidTr="001F608A">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595466C" w14:textId="77777777" w:rsidR="001F608A" w:rsidRDefault="00000000" w:rsidP="00017828">
            <w:pPr>
              <w:pStyle w:val="Compact"/>
              <w:spacing w:before="40" w:after="40" w:line="240" w:lineRule="auto"/>
              <w:jc w:val="both"/>
            </w:pPr>
            <w:r>
              <w:rPr>
                <w:rFonts w:ascii="Arial" w:hAnsi="Arial"/>
                <w:sz w:val="20"/>
              </w:rPr>
              <w:t>Materialize selected input</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ABB526F" w14:textId="77777777" w:rsidR="001F608A" w:rsidRDefault="00000000" w:rsidP="00017828">
            <w:pPr>
              <w:pStyle w:val="Compact"/>
              <w:spacing w:before="40" w:after="40" w:line="240" w:lineRule="auto"/>
              <w:jc w:val="both"/>
            </w:pPr>
            <w:r>
              <w:rPr>
                <w:rFonts w:ascii="Arial" w:hAnsi="Arial"/>
                <w:sz w:val="20"/>
              </w:rPr>
              <w:t>Local input transformations involving L4 and other targets</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0F5644D1" w14:textId="77777777" w:rsidR="001F608A" w:rsidRDefault="00000000" w:rsidP="00017828">
            <w:pPr>
              <w:pStyle w:val="Compact"/>
              <w:spacing w:before="40" w:after="40" w:line="240" w:lineRule="auto"/>
              <w:jc w:val="both"/>
            </w:pPr>
            <w:r>
              <w:rPr>
                <w:rFonts w:ascii="Arial" w:hAnsi="Arial"/>
                <w:sz w:val="20"/>
              </w:rPr>
              <w:t>Every cortical object must pass through L4</w:t>
            </w:r>
          </w:p>
        </w:tc>
      </w:tr>
      <w:tr w:rsidR="001F608A" w14:paraId="1D665756" w14:textId="77777777" w:rsidTr="001F608A">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C133D1" w14:textId="77777777" w:rsidR="001F608A" w:rsidRDefault="00000000" w:rsidP="00017828">
            <w:pPr>
              <w:pStyle w:val="Compact"/>
              <w:spacing w:before="40" w:after="40" w:line="240" w:lineRule="auto"/>
              <w:jc w:val="both"/>
            </w:pPr>
            <w:r>
              <w:rPr>
                <w:rFonts w:ascii="Arial" w:hAnsi="Arial"/>
                <w:sz w:val="20"/>
              </w:rPr>
              <w:t>Maintain learned representations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EDC6D9" w14:textId="77777777" w:rsidR="001F608A" w:rsidRDefault="00000000" w:rsidP="00017828">
            <w:pPr>
              <w:pStyle w:val="Compact"/>
              <w:spacing w:before="40" w:after="40" w:line="240" w:lineRule="auto"/>
              <w:jc w:val="both"/>
            </w:pPr>
            <w:r>
              <w:rPr>
                <w:rFonts w:ascii="Arial" w:hAnsi="Arial"/>
                <w:sz w:val="20"/>
              </w:rPr>
              <w:t>Cortical recurrent processing</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F2384B" w14:textId="77777777" w:rsidR="001F608A" w:rsidRDefault="00000000" w:rsidP="00017828">
            <w:pPr>
              <w:pStyle w:val="Compact"/>
              <w:spacing w:before="40" w:after="40" w:line="240" w:lineRule="auto"/>
              <w:jc w:val="both"/>
            </w:pPr>
            <w:r>
              <w:rPr>
                <w:rFonts w:ascii="Arial" w:hAnsi="Arial"/>
                <w:sz w:val="20"/>
              </w:rPr>
              <w:t>L2/3 is frozen or isolated from thalamus</w:t>
            </w:r>
          </w:p>
        </w:tc>
      </w:tr>
      <w:tr w:rsidR="001F608A" w14:paraId="203C29B0" w14:textId="77777777" w:rsidTr="001F608A">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A3139A8" w14:textId="77777777" w:rsidR="001F608A" w:rsidRDefault="00000000" w:rsidP="00017828">
            <w:pPr>
              <w:pStyle w:val="Compact"/>
              <w:spacing w:before="40" w:after="40" w:line="240" w:lineRule="auto"/>
              <w:jc w:val="both"/>
            </w:pPr>
            <w:r>
              <w:rPr>
                <w:rFonts w:ascii="Arial" w:hAnsi="Arial"/>
                <w:sz w:val="20"/>
              </w:rPr>
              <w:t>Regulate access and effective coupling</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D7DE3CE" w14:textId="77777777" w:rsidR="001F608A" w:rsidRDefault="00000000" w:rsidP="00017828">
            <w:pPr>
              <w:pStyle w:val="Compact"/>
              <w:spacing w:before="40" w:after="40" w:line="240" w:lineRule="auto"/>
              <w:jc w:val="both"/>
            </w:pPr>
            <w:r>
              <w:rPr>
                <w:rFonts w:ascii="Arial" w:hAnsi="Arial"/>
                <w:sz w:val="20"/>
              </w:rPr>
              <w:t>Corticothalamic and reticular interactions</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19946C0" w14:textId="77777777" w:rsidR="001F608A" w:rsidRDefault="00000000" w:rsidP="00017828">
            <w:pPr>
              <w:pStyle w:val="Compact"/>
              <w:spacing w:before="40" w:after="40" w:line="240" w:lineRule="auto"/>
              <w:jc w:val="both"/>
            </w:pPr>
            <w:r>
              <w:rPr>
                <w:rFonts w:ascii="Arial" w:hAnsi="Arial"/>
                <w:sz w:val="20"/>
              </w:rPr>
              <w:t>A central thalamic buffer implements literal fragment instructions</w:t>
            </w:r>
          </w:p>
        </w:tc>
      </w:tr>
      <w:tr w:rsidR="001F608A" w14:paraId="7D6743C0" w14:textId="77777777" w:rsidTr="001F608A">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181B2E" w14:textId="77777777" w:rsidR="001F608A" w:rsidRDefault="00000000" w:rsidP="00017828">
            <w:pPr>
              <w:pStyle w:val="Compact"/>
              <w:spacing w:before="40" w:after="40" w:line="240" w:lineRule="auto"/>
              <w:jc w:val="both"/>
            </w:pPr>
            <w:r>
              <w:rPr>
                <w:rFonts w:ascii="Arial" w:hAnsi="Arial"/>
                <w:sz w:val="20"/>
              </w:rPr>
              <w:t>Distribute a selected signal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D7902D" w14:textId="77777777" w:rsidR="001F608A" w:rsidRDefault="00000000" w:rsidP="00017828">
            <w:pPr>
              <w:pStyle w:val="Compact"/>
              <w:spacing w:before="40" w:after="40" w:line="240" w:lineRule="auto"/>
              <w:jc w:val="both"/>
            </w:pPr>
            <w:r>
              <w:rPr>
                <w:rFonts w:ascii="Arial" w:hAnsi="Arial"/>
                <w:sz w:val="20"/>
              </w:rPr>
              <w:t>Some corticofugal and transthalamic projections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C2C75E" w14:textId="77777777" w:rsidR="001F608A" w:rsidRDefault="00000000" w:rsidP="00017828">
            <w:pPr>
              <w:pStyle w:val="Compact"/>
              <w:spacing w:before="40" w:after="40" w:line="240" w:lineRule="auto"/>
              <w:jc w:val="both"/>
            </w:pPr>
            <w:r>
              <w:rPr>
                <w:rFonts w:ascii="Arial" w:hAnsi="Arial"/>
                <w:sz w:val="20"/>
              </w:rPr>
              <w:t>Every L5 burst is a globally consistent commit</w:t>
            </w:r>
          </w:p>
        </w:tc>
      </w:tr>
      <w:tr w:rsidR="001F608A" w14:paraId="1642FA2F" w14:textId="77777777" w:rsidTr="001F608A">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D9F1E73" w14:textId="77777777" w:rsidR="001F608A" w:rsidRDefault="00000000" w:rsidP="00017828">
            <w:pPr>
              <w:pStyle w:val="Compact"/>
              <w:spacing w:before="40" w:after="40" w:line="240" w:lineRule="auto"/>
              <w:jc w:val="both"/>
            </w:pPr>
            <w:r>
              <w:rPr>
                <w:rFonts w:ascii="Arial" w:hAnsi="Arial"/>
                <w:sz w:val="20"/>
              </w:rPr>
              <w:t>Preserve continuing competence</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C600BCD" w14:textId="77777777" w:rsidR="001F608A" w:rsidRDefault="00000000" w:rsidP="00017828">
            <w:pPr>
              <w:pStyle w:val="Compact"/>
              <w:spacing w:before="40" w:after="40" w:line="240" w:lineRule="auto"/>
              <w:jc w:val="both"/>
            </w:pPr>
            <w:r>
              <w:rPr>
                <w:rFonts w:ascii="Arial" w:hAnsi="Arial"/>
                <w:sz w:val="20"/>
              </w:rPr>
              <w:t>Functional continuity during reorganization</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BB19235" w14:textId="77777777" w:rsidR="001F608A" w:rsidRDefault="00000000" w:rsidP="00017828">
            <w:pPr>
              <w:pStyle w:val="Compact"/>
              <w:spacing w:before="40" w:after="40" w:line="240" w:lineRule="auto"/>
              <w:jc w:val="both"/>
            </w:pPr>
            <w:r>
              <w:rPr>
                <w:rFonts w:ascii="Arial" w:hAnsi="Arial"/>
                <w:sz w:val="20"/>
              </w:rPr>
              <w:t>Evolution preserves ancestral behavior or unchanged subcortical modules</w:t>
            </w:r>
          </w:p>
        </w:tc>
      </w:tr>
    </w:tbl>
    <w:p w14:paraId="2284AB87" w14:textId="77777777" w:rsidR="001F608A" w:rsidRDefault="00000000" w:rsidP="00017828">
      <w:pPr>
        <w:pStyle w:val="Caption"/>
        <w:spacing w:before="80" w:after="160" w:line="252" w:lineRule="auto"/>
        <w:jc w:val="both"/>
      </w:pPr>
      <w:r>
        <w:rPr>
          <w:sz w:val="19"/>
        </w:rPr>
        <w:t>Table 2. The mapping is between operations, with explicit limits on anatomical and historical inference.</w:t>
      </w:r>
    </w:p>
    <w:p w14:paraId="56B51456" w14:textId="77777777" w:rsidR="00E250B8" w:rsidRDefault="00000000" w:rsidP="00017828">
      <w:pPr>
        <w:pStyle w:val="Heading2"/>
        <w:jc w:val="both"/>
      </w:pPr>
      <w:bookmarkStart w:id="20" w:name="X735c387836292eb5bd7a339c2b3244f38559479"/>
      <w:r>
        <w:t>5.6 Recent evidence separates routing from learning</w:t>
      </w:r>
    </w:p>
    <w:p w14:paraId="7BDA0D37" w14:textId="77777777" w:rsidR="00E250B8" w:rsidRDefault="00000000" w:rsidP="00017828">
      <w:pPr>
        <w:pStyle w:val="FirstParagraph"/>
        <w:jc w:val="both"/>
      </w:pPr>
      <w:r>
        <w:t>Three studies sharpen the comparison. Zhang and colleagues trained biologically constrained PFC–MD models and reported improved performance under cue uncertainty and context changes when MD circuitry was included [28]. This is a computational result grounded in physiological findings, not a direct experiment showing that a software mediator exists in thalamus. It motivates separating uncertain input from uncertain cue-to-rule mapping in the engineering benchmark.</w:t>
      </w:r>
    </w:p>
    <w:p w14:paraId="7739FF59" w14:textId="77777777" w:rsidR="00E250B8" w:rsidRDefault="00000000" w:rsidP="00017828">
      <w:pPr>
        <w:pStyle w:val="BodyText"/>
        <w:jc w:val="both"/>
      </w:pPr>
      <w:r>
        <w:t>Wang and colleagues combined human fMRI with modeling in probabilistic reversal learning [29]. Their results linked prefrontal–thalamic interactions to context inference and differences between model-based and model-free behavior. The model proposes that impaired context inference can lead to slower overwriting of a strategy representation. This provides a testable alternative to a purely access-based explanation: apparent routing failure may change what is subsequently learned. Imaging and fitted connectivity alone do not establish the causal effect of a targeted circuit intervention.</w:t>
      </w:r>
    </w:p>
    <w:p w14:paraId="0705E9A7" w14:textId="77777777" w:rsidR="00E250B8" w:rsidRDefault="00000000" w:rsidP="00017828">
      <w:pPr>
        <w:pStyle w:val="BodyText"/>
        <w:jc w:val="both"/>
      </w:pPr>
      <w:r>
        <w:t>Le and colleagues studied MD projections to orbitofrontal cortex during olfactory associative learning in male mice [30]. Inactivating the projection impaired acquisition without impairing performance in the well-trained phase, and disrupted learning-associated changes in cortical selectivity. Their results implicate local inhibitory circuitry in this interaction. This finding limits a literal frozen-Value analogy: thalamic influence can help shape a representation during learning, as well as regulate its use. The computational counterpart should therefore distinguish a frozen-consumer phase from a separately evaluated consolidation or consumer-update phase.</w:t>
      </w:r>
    </w:p>
    <w:p w14:paraId="08E169F0" w14:textId="77777777" w:rsidR="00E250B8" w:rsidRDefault="00000000" w:rsidP="00017828">
      <w:pPr>
        <w:pStyle w:val="BodyText"/>
        <w:jc w:val="both"/>
      </w:pPr>
      <w:r>
        <w:t xml:space="preserve">Together these studies motivate a factorial test of sensory uncertainty, rule uncertainty, and learning stage. They do not establish that neocortical evolution inserted one controller, that all thalamic nuclei perform the same operation, or that functional separation requires anatomical isolation. The hypothesis concerns whether access </w:t>
      </w:r>
      <w:r>
        <w:lastRenderedPageBreak/>
        <w:t>can be adapted with less interference in a declared regime, while allowing that other regimes require representational change.</w:t>
      </w:r>
    </w:p>
    <w:bookmarkEnd w:id="14"/>
    <w:bookmarkEnd w:id="19"/>
    <w:bookmarkEnd w:id="20"/>
    <w:p w14:paraId="4AA9CD7D" w14:textId="77777777" w:rsidR="001F608A" w:rsidRDefault="00000000" w:rsidP="00017828">
      <w:pPr>
        <w:pStyle w:val="Heading1"/>
        <w:jc w:val="both"/>
      </w:pPr>
      <w:r>
        <w:t>6 A hypothesis about selective adaptability</w:t>
      </w:r>
    </w:p>
    <w:p w14:paraId="6F3D222D" w14:textId="77777777" w:rsidR="001F608A" w:rsidRDefault="00000000" w:rsidP="00017828">
      <w:pPr>
        <w:pStyle w:val="FirstParagraph"/>
        <w:jc w:val="both"/>
      </w:pPr>
      <w:r>
        <w:t>The central computational hypothesis is stated in a form that can fail: under sequential changes in task demands that reuse existing representations, a model with a separately adaptable mediator will show less retained-task degradation than an equally resourced model with undifferentiated adaptation, at matched new-task performance. The hypothesis concerns a specified regime. If new tasks require genuinely new representations, routing alone may be insufficient.</w:t>
      </w:r>
    </w:p>
    <w:p w14:paraId="17551C86" w14:textId="77777777" w:rsidR="001F608A" w:rsidRDefault="00000000" w:rsidP="00017828">
      <w:pPr>
        <w:pStyle w:val="BodyText"/>
        <w:jc w:val="both"/>
      </w:pPr>
      <w:r>
        <w:t xml:space="preserve">Let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before</m:t>
            </m:r>
          </m:sup>
        </m:sSubSup>
      </m:oMath>
      <w:r>
        <w:t xml:space="preserve"> and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after</m:t>
            </m:r>
          </m:sup>
        </m:sSubSup>
      </m:oMath>
      <w:r>
        <w:t xml:space="preserve"> be accuracy on retained task </w:t>
      </w:r>
      <m:oMath>
        <m:r>
          <w:rPr>
            <w:rFonts w:ascii="Cambria Math" w:hAnsi="Cambria Math"/>
          </w:rPr>
          <m:t>i</m:t>
        </m:r>
      </m:oMath>
      <w:r>
        <w:t>, measured before and after adaptation. Define forgetting as</w:t>
      </w:r>
    </w:p>
    <w:p w14:paraId="3734040B" w14:textId="77777777" w:rsidR="001F608A" w:rsidRDefault="00000000" w:rsidP="00017828">
      <w:pPr>
        <w:pStyle w:val="BodyText"/>
        <w:keepLines/>
        <w:tabs>
          <w:tab w:val="center" w:pos="4968"/>
          <w:tab w:val="right" w:pos="9936"/>
        </w:tabs>
        <w:spacing w:before="80" w:after="160"/>
        <w:jc w:val="both"/>
      </w:pPr>
      <w:r>
        <w:tab/>
      </w: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before</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after</m:t>
                    </m:r>
                  </m:sup>
                </m:sSubSup>
              </m:e>
            </m:d>
          </m:e>
        </m:nary>
        <m:r>
          <m:rPr>
            <m:sty m:val="p"/>
          </m:rPr>
          <w:rPr>
            <w:rFonts w:ascii="Cambria Math" w:hAnsi="Cambria Math"/>
          </w:rPr>
          <m:t>.</m:t>
        </m:r>
      </m:oMath>
      <w:r>
        <w:tab/>
        <w:t>(22)</w:t>
      </w:r>
    </w:p>
    <w:p w14:paraId="618BD8C9" w14:textId="77777777" w:rsidR="00ED1AF7" w:rsidRDefault="00000000" w:rsidP="00017828">
      <w:pPr>
        <w:pStyle w:val="FirstParagraph"/>
        <w:jc w:val="both"/>
      </w:pPr>
      <w:r>
        <w:t xml:space="preserve">Negative values indicate improvement. When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before</m:t>
            </m:r>
          </m:sup>
        </m:sSubSup>
      </m:oMath>
      <w:r>
        <w:t xml:space="preserve"> is measured immediately after task </w:t>
      </w:r>
      <m:oMath>
        <m:r>
          <w:rPr>
            <w:rFonts w:ascii="Cambria Math" w:hAnsi="Cambria Math"/>
          </w:rPr>
          <m:t>i</m:t>
        </m:r>
      </m:oMath>
      <w:r>
        <w:t xml:space="preserve"> was learned, </w:t>
      </w:r>
      <m:oMath>
        <m:r>
          <w:rPr>
            <w:rFonts w:ascii="Cambria Math" w:hAnsi="Cambria Math"/>
          </w:rPr>
          <m:t>F</m:t>
        </m:r>
      </m:oMath>
      <w:r>
        <w:t xml:space="preserve"> is the negative of the backward-transfer statistic of Gradient Episodic Memory [16]. Compare </w:t>
      </w:r>
      <m:oMath>
        <m:r>
          <w:rPr>
            <w:rFonts w:ascii="Cambria Math" w:hAnsi="Cambria Math"/>
          </w:rPr>
          <m:t>F</m:t>
        </m:r>
      </m:oMath>
      <w:r>
        <w:t xml:space="preserve"> at a matched level of new-task accuracy and alongside total cost. Because exact matching is rarely achievable, report the comparison as a frontier: forgetting against new-task accuracy and total cost across a sweep of each method’s adaptation strength. The hypothesis is supported where the adaptive-mediator frontier lies below the others over the matched range, not by a single operating point chosen after the fact. A model that changes nothing and learns nothing may have low forgetting but does not satisfy the hypothesis. A larger mediator may win through added capacity, which requires a matched-capacity control.</w:t>
      </w:r>
    </w:p>
    <w:p w14:paraId="4D08791A" w14:textId="77777777" w:rsidR="001F608A" w:rsidRDefault="00000000" w:rsidP="00017828">
      <w:pPr>
        <w:pStyle w:val="BodyText"/>
        <w:jc w:val="both"/>
      </w:pPr>
      <w:r>
        <w:t>The corresponding biological prediction is a partial interaction between perturbation target and task demand. A perturbation affecting coordination should disproportionately impair switching or context-dependent selection, relative to a stable discrimination using similar inputs and outputs. A perturbation affecting the relevant represented distinction should disproportionately impair that discrimination. The effects need not be exclusive, because routing and representation operate in recurrent networks.</w:t>
      </w:r>
    </w:p>
    <w:p w14:paraId="591AAB5E" w14:textId="77777777" w:rsidR="001F608A" w:rsidRDefault="00000000" w:rsidP="00017828">
      <w:pPr>
        <w:pStyle w:val="BodyText"/>
        <w:jc w:val="both"/>
      </w:pPr>
      <w:r>
        <w:t>One proposed difference-in-differences statistic is</w:t>
      </w:r>
    </w:p>
    <w:p w14:paraId="6F2D1594" w14:textId="77777777" w:rsidR="001F608A" w:rsidRDefault="00000000" w:rsidP="00017828">
      <w:pPr>
        <w:pStyle w:val="BodyText"/>
        <w:keepLines/>
        <w:tabs>
          <w:tab w:val="center" w:pos="4968"/>
          <w:tab w:val="right" w:pos="9936"/>
        </w:tabs>
        <w:spacing w:before="80" w:after="160"/>
        <w:jc w:val="both"/>
      </w:pPr>
      <w:r>
        <w:tab/>
      </w:r>
      <m:oMath>
        <m:r>
          <w:rPr>
            <w:rFonts w:ascii="Cambria Math" w:hAnsi="Cambria Math"/>
          </w:rPr>
          <m:t>Δ</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R</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r>
                  <m:rPr>
                    <m:sty m:val="p"/>
                  </m:rPr>
                  <w:rPr>
                    <w:rFonts w:ascii="Cambria Math" w:hAnsi="Cambria Math"/>
                  </w:rPr>
                  <m:t>,</m:t>
                </m:r>
                <m:r>
                  <w:rPr>
                    <w:rFonts w:ascii="Cambria Math" w:hAnsi="Cambria Math"/>
                  </w:rPr>
                  <m:t>D</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D</m:t>
                </m:r>
              </m:sub>
            </m:sSub>
          </m:e>
        </m:d>
        <m:r>
          <m:rPr>
            <m:sty m:val="p"/>
          </m:rPr>
          <w:rPr>
            <w:rFonts w:ascii="Cambria Math" w:hAnsi="Cambria Math"/>
          </w:rPr>
          <m:t>,</m:t>
        </m:r>
      </m:oMath>
      <w:r>
        <w:tab/>
        <w:t>(23)</w:t>
      </w:r>
    </w:p>
    <w:p w14:paraId="2FA1C634" w14:textId="1A917230" w:rsidR="001F608A" w:rsidRDefault="00000000" w:rsidP="00017828">
      <w:pPr>
        <w:pStyle w:val="FirstParagraph"/>
        <w:jc w:val="both"/>
      </w:pPr>
      <w:r>
        <w:t xml:space="preserve">where </w:t>
      </w:r>
      <m:oMath>
        <m:r>
          <w:rPr>
            <w:rFonts w:ascii="Cambria Math" w:hAnsi="Cambria Math"/>
          </w:rPr>
          <m:t>e</m:t>
        </m:r>
      </m:oMath>
      <w:r>
        <w:t xml:space="preserve"> denotes error increase relative to each task’s unperturbed baseline, </w:t>
      </w:r>
      <m:oMath>
        <m:r>
          <w:rPr>
            <w:rFonts w:ascii="Cambria Math" w:hAnsi="Cambria Math"/>
          </w:rPr>
          <m:t>R</m:t>
        </m:r>
      </m:oMath>
      <w:r>
        <w:t xml:space="preserve"> and </w:t>
      </w:r>
      <m:oMath>
        <m:r>
          <w:rPr>
            <w:rFonts w:ascii="Cambria Math" w:hAnsi="Cambria Math"/>
          </w:rPr>
          <m:t>E</m:t>
        </m:r>
      </m:oMath>
      <w:r>
        <w:t xml:space="preserve"> denote independently defined coordination and representation interventions, and </w:t>
      </w:r>
      <m:oMath>
        <m:r>
          <w:rPr>
            <w:rFonts w:ascii="Cambria Math" w:hAnsi="Cambria Math"/>
          </w:rPr>
          <m:t>S</m:t>
        </m:r>
      </m:oMath>
      <w:r>
        <w:t xml:space="preserve"> and </w:t>
      </w:r>
      <m:oMath>
        <m:r>
          <w:rPr>
            <w:rFonts w:ascii="Cambria Math" w:hAnsi="Cambria Math"/>
          </w:rPr>
          <m:t>D</m:t>
        </m:r>
      </m:oMath>
      <w:r>
        <w:t xml:space="preserve"> denote switching and stable discrimination. The hypothesis predicts </w:t>
      </w:r>
      <m:oMath>
        <m:r>
          <w:rPr>
            <w:rFonts w:ascii="Cambria Math" w:hAnsi="Cambria Math"/>
          </w:rPr>
          <m:t>Δ</m:t>
        </m:r>
        <m:r>
          <m:rPr>
            <m:sty m:val="p"/>
          </m:rPr>
          <w:rPr>
            <w:rFonts w:ascii="Cambria Math" w:hAnsi="Cambria Math"/>
          </w:rPr>
          <m:t>&gt;</m:t>
        </m:r>
        <m:r>
          <w:rPr>
            <w:rFonts w:ascii="Cambria Math" w:hAnsi="Cambria Math"/>
          </w:rPr>
          <m:t>0</m:t>
        </m:r>
      </m:oMath>
      <w:r>
        <w:t xml:space="preserve"> under matched intervention severity. The labels must be fixed before seeing the behavioral results; </w:t>
      </w:r>
      <w:r w:rsidR="002F3231">
        <w:t>otherwise,</w:t>
      </w:r>
      <w:r>
        <w:t xml:space="preserve"> any dissociation could be redescribed as support.</w:t>
      </w:r>
    </w:p>
    <w:p w14:paraId="6C3D810B" w14:textId="77777777" w:rsidR="00ED1AF7" w:rsidRDefault="00000000" w:rsidP="00017828">
      <w:pPr>
        <w:pStyle w:val="BodyText"/>
        <w:jc w:val="both"/>
      </w:pPr>
      <w:r>
        <w:t xml:space="preserve">The statistic </w:t>
      </w:r>
      <m:oMath>
        <m:r>
          <w:rPr>
            <w:rFonts w:ascii="Cambria Math" w:hAnsi="Cambria Math"/>
          </w:rPr>
          <m:t>Δ</m:t>
        </m:r>
      </m:oMath>
      <w:r>
        <w:t xml:space="preserve"> has a weakness that matched severity does not remove. Error increases on two different tasks are measured on scales the experimenter chooses, such as proportion correct, </w:t>
      </w:r>
      <m:oMath>
        <m:r>
          <w:rPr>
            <w:rFonts w:ascii="Cambria Math" w:hAnsi="Cambria Math"/>
          </w:rPr>
          <m:t>d</m:t>
        </m:r>
        <m:r>
          <m:rPr>
            <m:sty m:val="p"/>
          </m:rPr>
          <w:rPr>
            <w:rFonts w:ascii="Cambria Math" w:hAnsi="Cambria Math"/>
          </w:rPr>
          <m:t>'</m:t>
        </m:r>
      </m:oMath>
      <w:r>
        <w:t>, or log-odds, and an interaction whose sign depends on that choice is called removable [24].</w:t>
      </w:r>
    </w:p>
    <w:p w14:paraId="0E8C8021" w14:textId="77777777" w:rsidR="00ED1AF7" w:rsidRDefault="00000000" w:rsidP="00017828">
      <w:pPr>
        <w:pStyle w:val="BodyText"/>
        <w:jc w:val="both"/>
      </w:pPr>
      <w:r>
        <w:rPr>
          <w:b/>
          <w:bCs/>
        </w:rPr>
        <w:t>Proposition 7 — Which dissociations are scale-free.</w:t>
      </w:r>
      <w:r>
        <w:t xml:space="preserve"> Let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oMath>
      <w:r>
        <w:t xml:space="preserve"> denote performance under intervention </w:t>
      </w:r>
      <m:oMath>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on task </w:t>
      </w: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and measure error increases on any strictly increasing task-specific scales </w:t>
      </w:r>
      <m:oMath>
        <m:sSub>
          <m:sSubPr>
            <m:ctrlPr>
              <w:rPr>
                <w:rFonts w:ascii="Cambria Math" w:hAnsi="Cambria Math"/>
              </w:rPr>
            </m:ctrlPr>
          </m:sSubPr>
          <m:e>
            <m:r>
              <w:rPr>
                <w:rFonts w:ascii="Cambria Math" w:hAnsi="Cambria Math"/>
              </w:rPr>
              <m:t>φ</m:t>
            </m:r>
          </m:e>
          <m:sub>
            <m:r>
              <w:rPr>
                <w:rFonts w:ascii="Cambria Math" w:hAnsi="Cambria Math"/>
              </w:rPr>
              <m:t>T</m:t>
            </m:r>
          </m:sub>
        </m:sSub>
      </m:oMath>
      <w:r>
        <w:t xml:space="preserve">, so that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e>
        </m:d>
      </m:oMath>
      <w:r>
        <w:t xml:space="preserve">. (a) If the interventions are ranked oppositely in the two tasks, with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S</m:t>
            </m:r>
          </m:sub>
        </m:sSub>
        <m:r>
          <m:rPr>
            <m:sty m:val="p"/>
          </m:rPr>
          <w:rPr>
            <w:rFonts w:ascii="Cambria Math" w:hAnsi="Cambria Math"/>
          </w:rPr>
          <m:t>&lt;</m:t>
        </m:r>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D</m:t>
            </m:r>
          </m:sub>
        </m:sSub>
        <m:r>
          <m:rPr>
            <m:sty m:val="p"/>
          </m:rP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D</m:t>
            </m:r>
          </m:sub>
        </m:sSub>
      </m:oMath>
      <w:r>
        <w:t xml:space="preserve">, then </w:t>
      </w:r>
      <m:oMath>
        <m:r>
          <w:rPr>
            <w:rFonts w:ascii="Cambria Math" w:hAnsi="Cambria Math"/>
          </w:rPr>
          <m:t>Δ</m:t>
        </m:r>
        <m:r>
          <m:rPr>
            <m:sty m:val="p"/>
          </m:rPr>
          <w:rPr>
            <w:rFonts w:ascii="Cambria Math" w:hAnsi="Cambria Math"/>
          </w:rPr>
          <m:t>&gt;</m:t>
        </m:r>
        <m:r>
          <w:rPr>
            <w:rFonts w:ascii="Cambria Math" w:hAnsi="Cambria Math"/>
          </w:rPr>
          <m:t>0</m:t>
        </m:r>
      </m:oMath>
      <w:r>
        <w:t xml:space="preserve"> on every such pair of scales. (b) If the ranking is the same in both tasks, with strict inequalities, there are scales on which </w:t>
      </w:r>
      <m:oMath>
        <m:r>
          <w:rPr>
            <w:rFonts w:ascii="Cambria Math" w:hAnsi="Cambria Math"/>
          </w:rPr>
          <m:t>Δ</m:t>
        </m:r>
        <m:r>
          <m:rPr>
            <m:sty m:val="p"/>
          </m:rPr>
          <w:rPr>
            <w:rFonts w:ascii="Cambria Math" w:hAnsi="Cambria Math"/>
          </w:rPr>
          <m:t>&gt;</m:t>
        </m:r>
        <m:r>
          <w:rPr>
            <w:rFonts w:ascii="Cambria Math" w:hAnsi="Cambria Math"/>
          </w:rPr>
          <m:t>0</m:t>
        </m:r>
      </m:oMath>
      <w:r>
        <w:t xml:space="preserve"> and others on which </w:t>
      </w:r>
      <m:oMath>
        <m:r>
          <w:rPr>
            <w:rFonts w:ascii="Cambria Math" w:hAnsi="Cambria Math"/>
          </w:rPr>
          <m:t>Δ</m:t>
        </m:r>
        <m:r>
          <m:rPr>
            <m:sty m:val="p"/>
          </m:rPr>
          <w:rPr>
            <w:rFonts w:ascii="Cambria Math" w:hAnsi="Cambria Math"/>
          </w:rPr>
          <m:t>&lt;</m:t>
        </m:r>
        <m:r>
          <w:rPr>
            <w:rFonts w:ascii="Cambria Math" w:hAnsi="Cambria Math"/>
          </w:rPr>
          <m:t>0</m:t>
        </m:r>
      </m:oMath>
      <w:r>
        <w:t xml:space="preserve">. (c) If both interventions act through one shared latent quantity,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oMath>
      <w:r>
        <w:t xml:space="preserve"> with every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strictly increasing, the ranking is necessarily the same in both tasks.</w:t>
      </w:r>
    </w:p>
    <w:p w14:paraId="3F1C32A7" w14:textId="309B58CF" w:rsidR="00ED1AF7" w:rsidRDefault="00000000" w:rsidP="00017828">
      <w:pPr>
        <w:pStyle w:val="BodyText"/>
        <w:jc w:val="both"/>
      </w:pPr>
      <w:r>
        <w:lastRenderedPageBreak/>
        <w:t xml:space="preserve">Proof. Write </w:t>
      </w: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with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T</m:t>
                </m:r>
              </m:sub>
            </m:sSub>
          </m:e>
        </m:d>
      </m:oMath>
      <w:r>
        <w:t xml:space="preserve">. The sign of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the within-task ranking and does not depend on </w:t>
      </w:r>
      <m:oMath>
        <m:sSub>
          <m:sSubPr>
            <m:ctrlPr>
              <w:rPr>
                <w:rFonts w:ascii="Cambria Math" w:hAnsi="Cambria Math"/>
              </w:rPr>
            </m:ctrlPr>
          </m:sSubPr>
          <m:e>
            <m:r>
              <w:rPr>
                <w:rFonts w:ascii="Cambria Math" w:hAnsi="Cambria Math"/>
              </w:rPr>
              <m:t>φ</m:t>
            </m:r>
          </m:e>
          <m:sub>
            <m:r>
              <w:rPr>
                <w:rFonts w:ascii="Cambria Math" w:hAnsi="Cambria Math"/>
              </w:rPr>
              <m:t>T</m:t>
            </m:r>
          </m:sub>
        </m:sSub>
      </m:oMath>
      <w:r>
        <w:t xml:space="preserve">. Under (a),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&gt;</m:t>
        </m:r>
        <m:r>
          <w:rPr>
            <w:rFonts w:ascii="Cambria Math" w:hAnsi="Cambria Math"/>
          </w:rPr>
          <m:t>0</m:t>
        </m:r>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Under (b),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share a sign, and multiplying </w:t>
      </w:r>
      <m:oMath>
        <m:sSub>
          <m:sSubPr>
            <m:ctrlPr>
              <w:rPr>
                <w:rFonts w:ascii="Cambria Math" w:hAnsi="Cambria Math"/>
              </w:rPr>
            </m:ctrlPr>
          </m:sSubPr>
          <m:e>
            <m:r>
              <w:rPr>
                <w:rFonts w:ascii="Cambria Math" w:hAnsi="Cambria Math"/>
              </w:rPr>
              <m:t>φ</m:t>
            </m:r>
          </m:e>
          <m:sub>
            <m:r>
              <w:rPr>
                <w:rFonts w:ascii="Cambria Math" w:hAnsi="Cambria Math"/>
              </w:rPr>
              <m:t>S</m:t>
            </m:r>
          </m:sub>
        </m:sSub>
      </m:oMath>
      <w:r>
        <w:t xml:space="preserve"> by a </w:t>
      </w:r>
      <w:r w:rsidR="002F3231">
        <w:t>positive constant change</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e>
        </m:d>
      </m:oMath>
      <w:r>
        <w:t xml:space="preserve"> arbitrarily while leaving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fixed. Under (c),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T</m:t>
            </m:r>
          </m:sub>
        </m:sSub>
      </m:oMath>
      <w:r>
        <w:t xml:space="preserve"> holds exactly when </w:t>
      </w:r>
      <m:oMath>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E</m:t>
            </m:r>
          </m:sub>
        </m:sSub>
      </m:oMath>
      <w:r>
        <w:t>, for both tasks.</w:t>
      </w:r>
    </w:p>
    <w:p w14:paraId="37D00124" w14:textId="77777777" w:rsidR="00E250B8" w:rsidRDefault="00000000" w:rsidP="00017828">
      <w:pPr>
        <w:pStyle w:val="FirstParagraph"/>
        <w:jc w:val="both"/>
      </w:pPr>
      <w:r>
        <w:t xml:space="preserve">Part (c) is the reversed-association logic of state-trace analysis [23]. It rules out explanations in which the two intervention conditions differ only through one common scalar resource and both task functions increase with that resource. We therefore make the crossover the primary preregistered ordinal prediction. A positive </w:t>
      </w:r>
      <m:oMath>
        <m:r>
          <w:rPr>
            <w:rFonts w:ascii="Cambria Math" w:hAnsi="Cambria Math"/>
          </w:rPr>
          <m:t>Δ</m:t>
        </m:r>
      </m:oMath>
      <w:r>
        <w:t xml:space="preserve"> without crossover remains reportable on a scale fixed in advance, but cannot alone reject that scalar model. Even a crossover does not identify mediation uniquely. Section 6.1 gives a counterexample showing why subject heterogeneity also has to be addressed before applying the condition-level conclusion to group means.</w:t>
      </w:r>
    </w:p>
    <w:p w14:paraId="41C89F10" w14:textId="77777777" w:rsidR="001F608A" w:rsidRDefault="00000000" w:rsidP="00017828">
      <w:pPr>
        <w:pStyle w:val="BodyText"/>
        <w:jc w:val="both"/>
      </w:pPr>
      <w:r>
        <w:t>This does not identify the evolutionary origin of the circuits. An architectural dissociation in a living animal is evidence about present function. Establishing evolutionary reorganization requires comparative developmental and connectivity evidence in addition to the perturbation result.</w:t>
      </w:r>
    </w:p>
    <w:p w14:paraId="488B129C" w14:textId="77777777" w:rsidR="00E250B8" w:rsidRDefault="00000000" w:rsidP="00017828">
      <w:pPr>
        <w:pStyle w:val="Heading2"/>
        <w:jc w:val="both"/>
      </w:pPr>
      <w:bookmarkStart w:id="21" w:name="X32397e764f403c3f3dabba5b6de236b7ef52fac"/>
      <w:r>
        <w:t>6.1 What an aggregate crossover cannot identify</w:t>
      </w:r>
    </w:p>
    <w:p w14:paraId="1A55D6CC" w14:textId="77777777" w:rsidR="00E250B8" w:rsidRDefault="00000000" w:rsidP="00017828">
      <w:pPr>
        <w:pStyle w:val="FirstParagraph"/>
        <w:jc w:val="both"/>
      </w:pPr>
      <w:r>
        <w:t>Proposition 7(c) assumes one condition-level scalar with task functions that are monotone in the same direction. It does not exclude every one-dimensional explanation with subject-specific intervention effects. Even a sample containing the same subjects in both tasks can exhibit an aggregate crossover while every individual has a scalar resource and strictly increasing task functions.</w:t>
      </w:r>
    </w:p>
    <w:p w14:paraId="6A1E07B4" w14:textId="77777777" w:rsidR="00E250B8" w:rsidRDefault="00000000" w:rsidP="00017828">
      <w:pPr>
        <w:pStyle w:val="BodyText"/>
        <w:jc w:val="both"/>
      </w:pPr>
      <w:r>
        <w:t xml:space="preserve">Consider two equally weighted subjects A and B. Let their switching/discrimination performances be </w:t>
      </w:r>
      <m:oMath>
        <m:d>
          <m:dPr>
            <m:ctrlPr>
              <w:rPr>
                <w:rFonts w:ascii="Cambria Math" w:hAnsi="Cambria Math"/>
              </w:rPr>
            </m:ctrlPr>
          </m:dPr>
          <m:e>
            <m:r>
              <w:rPr>
                <w:rFonts w:ascii="Cambria Math" w:hAnsi="Cambria Math"/>
              </w:rPr>
              <m:t>0.9θ</m:t>
            </m:r>
            <m:r>
              <m:rPr>
                <m:sty m:val="p"/>
              </m:rPr>
              <w:rPr>
                <w:rFonts w:ascii="Cambria Math" w:hAnsi="Cambria Math"/>
              </w:rPr>
              <m:t>,</m:t>
            </m:r>
            <m:r>
              <w:rPr>
                <w:rFonts w:ascii="Cambria Math" w:hAnsi="Cambria Math"/>
              </w:rPr>
              <m:t>0.1θ</m:t>
            </m:r>
          </m:e>
        </m:d>
      </m:oMath>
      <w:r>
        <w:t xml:space="preserve"> and </w:t>
      </w:r>
      <m:oMath>
        <m:d>
          <m:dPr>
            <m:ctrlPr>
              <w:rPr>
                <w:rFonts w:ascii="Cambria Math" w:hAnsi="Cambria Math"/>
              </w:rPr>
            </m:ctrlPr>
          </m:dPr>
          <m:e>
            <m:r>
              <w:rPr>
                <w:rFonts w:ascii="Cambria Math" w:hAnsi="Cambria Math"/>
              </w:rPr>
              <m:t>0.1θ</m:t>
            </m:r>
            <m:r>
              <m:rPr>
                <m:sty m:val="p"/>
              </m:rPr>
              <w:rPr>
                <w:rFonts w:ascii="Cambria Math" w:hAnsi="Cambria Math"/>
              </w:rPr>
              <m:t>,</m:t>
            </m:r>
            <m:r>
              <w:rPr>
                <w:rFonts w:ascii="Cambria Math" w:hAnsi="Cambria Math"/>
              </w:rPr>
              <m:t>0.9θ</m:t>
            </m:r>
          </m:e>
        </m:d>
      </m:oMath>
      <w:r>
        <w:t xml:space="preserve"> respectively. Both begin at </w:t>
      </w:r>
      <m:oMath>
        <m:r>
          <w:rPr>
            <w:rFonts w:ascii="Cambria Math" w:hAnsi="Cambria Math"/>
          </w:rPr>
          <m:t>θ</m:t>
        </m:r>
        <m:r>
          <m:rPr>
            <m:sty m:val="p"/>
          </m:rPr>
          <w:rPr>
            <w:rFonts w:ascii="Cambria Math" w:hAnsi="Cambria Math"/>
          </w:rPr>
          <m:t>=</m:t>
        </m:r>
        <m:r>
          <w:rPr>
            <w:rFonts w:ascii="Cambria Math" w:hAnsi="Cambria Math"/>
          </w:rPr>
          <m:t>1</m:t>
        </m:r>
      </m:oMath>
      <w:r>
        <w:t xml:space="preserve">. Intervention R leaves resources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0.8</m:t>
            </m:r>
          </m:e>
        </m:d>
      </m:oMath>
      <w:r>
        <w:t xml:space="preserve">, whereas E leaves </w:t>
      </w:r>
      <m:oMath>
        <m:d>
          <m:dPr>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m:t>
            </m:r>
          </m:e>
        </m:d>
      </m:oMath>
      <w:r>
        <w:t xml:space="preserve">. Each intervention reduces each subject’s resource. The population means are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0.04</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0.27</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R</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0.36</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0.03</m:t>
        </m:r>
      </m:oMath>
      <w:r>
        <w:t>: a crossover. Within A, E is better on both tasks; within B, R is better on both. The aggregate result therefore does not reject these heterogeneous scalar models.</w:t>
      </w:r>
    </w:p>
    <w:p w14:paraId="1D1A7C0E" w14:textId="77777777" w:rsidR="00E250B8" w:rsidRDefault="00000000" w:rsidP="00017828">
      <w:pPr>
        <w:pStyle w:val="BodyText"/>
        <w:jc w:val="both"/>
      </w:pPr>
      <w:r>
        <w:t>The biological protocol should estimate intervention rankings within subjects over repeated trials and doses, then model subject variability explicitly. A within-subject crossover rejects the corresponding deterministic monotone scalar model for that subject. It still does not identify the circuit mechanism uniquely, and stochastic latent-state distributions require a richer model than one scalar per condition. Dose, sensory quality, movement, and arousal should be measured independently; two significant group differences are not by themselves evidence of a distinct mediator.</w:t>
      </w:r>
    </w:p>
    <w:p w14:paraId="1C15DBA3" w14:textId="77777777" w:rsidR="00E250B8" w:rsidRDefault="00000000" w:rsidP="00017828">
      <w:pPr>
        <w:pStyle w:val="BodyText"/>
        <w:jc w:val="both"/>
      </w:pPr>
      <w:r>
        <w:t>To distinguish access from acquisition, perturb the same identified pathway during learning and during retrieval, and test an unperturbed return to the earlier task. Rapid recovery after removing a routing perturbation, preserved evidence content, and selective impairment of rule changes would favor an access account. Persistent changes in later unperturbed performance would instead motivate a plasticity or state-update account. Neither signature is exclusive, so the analysis should compare these explicit alternatives rather than relabel each observed effect as mediation.</w:t>
      </w:r>
    </w:p>
    <w:p w14:paraId="0D97B8AF" w14:textId="77777777" w:rsidR="00E250B8" w:rsidRDefault="00000000" w:rsidP="00017828">
      <w:pPr>
        <w:pStyle w:val="Heading1"/>
        <w:jc w:val="both"/>
      </w:pPr>
      <w:bookmarkStart w:id="22" w:name="X944933dd5cd5bf41375183a7bf80cff8ec4137b"/>
      <w:bookmarkEnd w:id="21"/>
      <w:r>
        <w:t>7 Verification and computational evaluation</w:t>
      </w:r>
    </w:p>
    <w:p w14:paraId="1094DB75" w14:textId="77777777" w:rsidR="00E250B8" w:rsidRDefault="00000000" w:rsidP="00017828">
      <w:pPr>
        <w:pStyle w:val="Heading2"/>
        <w:jc w:val="both"/>
      </w:pPr>
      <w:bookmarkStart w:id="23" w:name="executed-finite-probability-checks"/>
      <w:bookmarkEnd w:id="22"/>
      <w:r>
        <w:t>7.1 Executed finite probability checks</w:t>
      </w:r>
    </w:p>
    <w:p w14:paraId="39B3CEBA" w14:textId="77777777" w:rsidR="00E250B8" w:rsidRDefault="00000000" w:rsidP="00017828">
      <w:pPr>
        <w:pStyle w:val="FirstParagraph"/>
        <w:jc w:val="both"/>
      </w:pPr>
      <w:r>
        <w:t>We implemented exact finite-tree checks to test the algebra and expose invalid shortcuts. These experiments contain no trained Transformer and no neural recordings. They validate the proposed certification calculations on fully enumerable distributions; they do not test the claimed architectural advantage.</w:t>
      </w:r>
    </w:p>
    <w:p w14:paraId="420E8A64" w14:textId="77777777" w:rsidR="00E250B8" w:rsidRDefault="00000000" w:rsidP="00017828">
      <w:pPr>
        <w:pStyle w:val="BodyText"/>
        <w:jc w:val="both"/>
      </w:pPr>
      <w:r>
        <w:lastRenderedPageBreak/>
        <w:t xml:space="preserve">For 100 independent binary trees of horizon 8, reference and mediated token probabilities were sampled uniformly from </w:t>
      </w:r>
      <m:oMath>
        <m:d>
          <m:dPr>
            <m:begChr m:val="["/>
            <m:endChr m:val="]"/>
            <m:ctrlPr>
              <w:rPr>
                <w:rFonts w:ascii="Cambria Math" w:hAnsi="Cambria Math"/>
              </w:rPr>
            </m:ctrlPr>
          </m:dPr>
          <m:e>
            <m:r>
              <w:rPr>
                <w:rFonts w:ascii="Cambria Math" w:hAnsi="Cambria Math"/>
              </w:rPr>
              <m:t>0.05</m:t>
            </m:r>
            <m:r>
              <m:rPr>
                <m:sty m:val="p"/>
              </m:rPr>
              <w:rPr>
                <w:rFonts w:ascii="Cambria Math" w:hAnsi="Cambria Math"/>
              </w:rPr>
              <m:t>,</m:t>
            </m:r>
            <m:r>
              <w:rPr>
                <w:rFonts w:ascii="Cambria Math" w:hAnsi="Cambria Math"/>
              </w:rPr>
              <m:t>0.95</m:t>
            </m:r>
          </m:e>
        </m:d>
      </m:oMath>
      <w:r>
        <w:t xml:space="preserve">, and a separate gate value was sampled uniformly from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0.7</m:t>
            </m:r>
          </m:e>
        </m:d>
      </m:oMath>
      <w:r>
        <w:t xml:space="preserve"> at each of the 255 prefixes. All 256 completed sequences were enumerated. The largest residual in the local mixture TV identity was </w:t>
      </w:r>
      <m:oMath>
        <m:r>
          <w:rPr>
            <w:rFonts w:ascii="Cambria Math" w:hAnsi="Cambria Math"/>
          </w:rPr>
          <m:t>1.67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the largest discrepancy between sequence KL and its reference-prefix chain-rule sum was </w:t>
      </w:r>
      <m:oMath>
        <m:r>
          <w:rPr>
            <w:rFonts w:ascii="Cambria Math" w:hAnsi="Cambria Math"/>
          </w:rPr>
          <m:t>3.33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No bound violation exceeded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These checks support the implementation of the identities, while the proofs establish their general scope.</w:t>
      </w:r>
    </w:p>
    <w:p w14:paraId="42DFE97B" w14:textId="77777777" w:rsidR="00E250B8" w:rsidRDefault="00000000" w:rsidP="00017828">
      <w:pPr>
        <w:pStyle w:val="BodyText"/>
        <w:jc w:val="both"/>
      </w:pPr>
      <w:r>
        <w:t>For a separate calibration experiment, we fixed one tree and three history-dependent gates, then generated 4,096 independent reference trajectories. The three candidates were specified before sampling, with gate caps 0.05, 0.15, and 0.30. Table 3 compares exact sequence TV, the population bound in Proposition 5, and the simultaneous 95% certificate in Proposition 6.</w:t>
      </w:r>
    </w:p>
    <w:tbl>
      <w:tblPr>
        <w:tblStyle w:val="Table"/>
        <w:tblW w:w="4459" w:type="pct"/>
        <w:jc w:val="center"/>
        <w:tblLayout w:type="fixed"/>
        <w:tblLook w:val="0020" w:firstRow="1" w:lastRow="0" w:firstColumn="0" w:lastColumn="0" w:noHBand="0" w:noVBand="0"/>
      </w:tblPr>
      <w:tblGrid>
        <w:gridCol w:w="1465"/>
        <w:gridCol w:w="2566"/>
        <w:gridCol w:w="2566"/>
        <w:gridCol w:w="2424"/>
      </w:tblGrid>
      <w:tr w:rsidR="00E250B8" w14:paraId="6AE30F26" w14:textId="77777777" w:rsidTr="0007160C">
        <w:trPr>
          <w:cnfStyle w:val="100000000000" w:firstRow="1" w:lastRow="0" w:firstColumn="0" w:lastColumn="0" w:oddVBand="0" w:evenVBand="0" w:oddHBand="0" w:evenHBand="0" w:firstRowFirstColumn="0" w:firstRowLastColumn="0" w:lastRowFirstColumn="0" w:lastRowLastColumn="0"/>
          <w:cantSplit/>
          <w:tblHeader/>
          <w:jc w:val="center"/>
        </w:trPr>
        <w:tc>
          <w:tcPr>
            <w:tcW w:w="1465"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230CF4A5" w14:textId="77777777" w:rsidR="00E250B8" w:rsidRDefault="00000000" w:rsidP="00017828">
            <w:pPr>
              <w:pStyle w:val="Compact"/>
              <w:spacing w:before="40" w:after="40" w:line="240" w:lineRule="auto"/>
              <w:jc w:val="both"/>
            </w:pPr>
            <w:r>
              <w:rPr>
                <w:b/>
                <w:color w:val="FFFFFF"/>
                <w:sz w:val="20"/>
              </w:rPr>
              <w:t>Gate cap</w:t>
            </w:r>
          </w:p>
        </w:tc>
        <w:tc>
          <w:tcPr>
            <w:tcW w:w="2566"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43121311" w14:textId="77777777" w:rsidR="00E250B8" w:rsidRDefault="00000000" w:rsidP="00017828">
            <w:pPr>
              <w:pStyle w:val="Compact"/>
              <w:spacing w:before="40" w:after="40" w:line="240" w:lineRule="auto"/>
              <w:jc w:val="both"/>
            </w:pPr>
            <w:r>
              <w:rPr>
                <w:b/>
                <w:color w:val="FFFFFF"/>
                <w:sz w:val="20"/>
              </w:rPr>
              <w:t>Exact sequence TV</w:t>
            </w:r>
          </w:p>
        </w:tc>
        <w:tc>
          <w:tcPr>
            <w:tcW w:w="2566"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277244B3" w14:textId="77777777" w:rsidR="00E250B8" w:rsidRDefault="00000000" w:rsidP="00017828">
            <w:pPr>
              <w:pStyle w:val="Compact"/>
              <w:spacing w:before="40" w:after="40" w:line="240" w:lineRule="auto"/>
              <w:jc w:val="both"/>
            </w:pPr>
            <w:r>
              <w:rPr>
                <w:b/>
                <w:color w:val="FFFFFF"/>
                <w:sz w:val="20"/>
              </w:rPr>
              <w:t>Population bound</w:t>
            </w:r>
          </w:p>
        </w:tc>
        <w:tc>
          <w:tcPr>
            <w:tcW w:w="2424"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65C2527A" w14:textId="77777777" w:rsidR="00E250B8" w:rsidRDefault="00000000" w:rsidP="00017828">
            <w:pPr>
              <w:pStyle w:val="Compact"/>
              <w:spacing w:before="40" w:after="40" w:line="240" w:lineRule="auto"/>
              <w:jc w:val="both"/>
            </w:pPr>
            <w:r>
              <w:rPr>
                <w:b/>
                <w:color w:val="FFFFFF"/>
                <w:sz w:val="20"/>
              </w:rPr>
              <w:t>Finite sample certificate</w:t>
            </w:r>
          </w:p>
        </w:tc>
      </w:tr>
      <w:tr w:rsidR="00E250B8" w14:paraId="79951078" w14:textId="77777777" w:rsidTr="0007160C">
        <w:trPr>
          <w:cantSplit/>
          <w:jc w:val="center"/>
        </w:trPr>
        <w:tc>
          <w:tcPr>
            <w:tcW w:w="1465"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3C9162C" w14:textId="77777777" w:rsidR="00E250B8" w:rsidRDefault="00000000" w:rsidP="00017828">
            <w:pPr>
              <w:pStyle w:val="Compact"/>
              <w:spacing w:before="40" w:after="40" w:line="240" w:lineRule="auto"/>
              <w:jc w:val="both"/>
            </w:pPr>
            <w:r>
              <w:rPr>
                <w:sz w:val="20"/>
              </w:rPr>
              <w:t>0.05</w:t>
            </w:r>
          </w:p>
        </w:tc>
        <w:tc>
          <w:tcPr>
            <w:tcW w:w="256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4646914" w14:textId="77777777" w:rsidR="00E250B8" w:rsidRDefault="00000000" w:rsidP="00017828">
            <w:pPr>
              <w:pStyle w:val="Compact"/>
              <w:spacing w:before="40" w:after="40" w:line="240" w:lineRule="auto"/>
              <w:jc w:val="both"/>
            </w:pPr>
            <w:r>
              <w:rPr>
                <w:sz w:val="20"/>
              </w:rPr>
              <w:t>0.01455</w:t>
            </w:r>
          </w:p>
        </w:tc>
        <w:tc>
          <w:tcPr>
            <w:tcW w:w="256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B200EF7" w14:textId="77777777" w:rsidR="00E250B8" w:rsidRDefault="00000000" w:rsidP="00017828">
            <w:pPr>
              <w:pStyle w:val="Compact"/>
              <w:spacing w:before="40" w:after="40" w:line="240" w:lineRule="auto"/>
              <w:jc w:val="both"/>
            </w:pPr>
            <w:r>
              <w:rPr>
                <w:sz w:val="20"/>
              </w:rPr>
              <w:t>0.02083</w:t>
            </w:r>
          </w:p>
        </w:tc>
        <w:tc>
          <w:tcPr>
            <w:tcW w:w="242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7EAE662" w14:textId="77777777" w:rsidR="00E250B8" w:rsidRDefault="00000000" w:rsidP="00017828">
            <w:pPr>
              <w:pStyle w:val="Compact"/>
              <w:spacing w:before="40" w:after="40" w:line="240" w:lineRule="auto"/>
              <w:jc w:val="both"/>
            </w:pPr>
            <w:r>
              <w:rPr>
                <w:sz w:val="20"/>
              </w:rPr>
              <w:t>0.04040</w:t>
            </w:r>
          </w:p>
        </w:tc>
      </w:tr>
      <w:tr w:rsidR="00E250B8" w14:paraId="3F8DB206" w14:textId="77777777" w:rsidTr="0007160C">
        <w:trPr>
          <w:cantSplit/>
          <w:jc w:val="center"/>
        </w:trPr>
        <w:tc>
          <w:tcPr>
            <w:tcW w:w="14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A5C7BF" w14:textId="77777777" w:rsidR="00E250B8" w:rsidRDefault="00000000" w:rsidP="00017828">
            <w:pPr>
              <w:pStyle w:val="Compact"/>
              <w:spacing w:before="40" w:after="40" w:line="240" w:lineRule="auto"/>
              <w:jc w:val="both"/>
            </w:pPr>
            <w:r>
              <w:rPr>
                <w:sz w:val="20"/>
              </w:rPr>
              <w:t>0.15</w:t>
            </w:r>
          </w:p>
        </w:tc>
        <w:tc>
          <w:tcPr>
            <w:tcW w:w="25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ECE9D8" w14:textId="77777777" w:rsidR="00E250B8" w:rsidRDefault="00000000" w:rsidP="00017828">
            <w:pPr>
              <w:pStyle w:val="Compact"/>
              <w:spacing w:before="40" w:after="40" w:line="240" w:lineRule="auto"/>
              <w:jc w:val="both"/>
            </w:pPr>
            <w:r>
              <w:rPr>
                <w:sz w:val="20"/>
              </w:rPr>
              <w:t>0.04299</w:t>
            </w:r>
          </w:p>
        </w:tc>
        <w:tc>
          <w:tcPr>
            <w:tcW w:w="25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D3B5D3" w14:textId="77777777" w:rsidR="00E250B8" w:rsidRDefault="00000000" w:rsidP="00017828">
            <w:pPr>
              <w:pStyle w:val="Compact"/>
              <w:spacing w:before="40" w:after="40" w:line="240" w:lineRule="auto"/>
              <w:jc w:val="both"/>
            </w:pPr>
            <w:r>
              <w:rPr>
                <w:sz w:val="20"/>
              </w:rPr>
              <w:t>0.06128</w:t>
            </w:r>
          </w:p>
        </w:tc>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F31587" w14:textId="77777777" w:rsidR="00E250B8" w:rsidRDefault="00000000" w:rsidP="00017828">
            <w:pPr>
              <w:pStyle w:val="Compact"/>
              <w:spacing w:before="40" w:after="40" w:line="240" w:lineRule="auto"/>
              <w:jc w:val="both"/>
            </w:pPr>
            <w:r>
              <w:rPr>
                <w:sz w:val="20"/>
              </w:rPr>
              <w:t>0.12119</w:t>
            </w:r>
          </w:p>
        </w:tc>
      </w:tr>
      <w:tr w:rsidR="00E250B8" w14:paraId="77CF01A6" w14:textId="77777777" w:rsidTr="0007160C">
        <w:trPr>
          <w:cantSplit/>
          <w:jc w:val="center"/>
        </w:trPr>
        <w:tc>
          <w:tcPr>
            <w:tcW w:w="1465"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39F3676F" w14:textId="77777777" w:rsidR="00E250B8" w:rsidRDefault="00000000" w:rsidP="00017828">
            <w:pPr>
              <w:pStyle w:val="Compact"/>
              <w:spacing w:before="40" w:after="40" w:line="240" w:lineRule="auto"/>
              <w:jc w:val="both"/>
            </w:pPr>
            <w:r>
              <w:rPr>
                <w:sz w:val="20"/>
              </w:rPr>
              <w:t>0.30</w:t>
            </w:r>
          </w:p>
        </w:tc>
        <w:tc>
          <w:tcPr>
            <w:tcW w:w="256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9D3E7FD" w14:textId="77777777" w:rsidR="00E250B8" w:rsidRDefault="00000000" w:rsidP="00017828">
            <w:pPr>
              <w:pStyle w:val="Compact"/>
              <w:spacing w:before="40" w:after="40" w:line="240" w:lineRule="auto"/>
              <w:jc w:val="both"/>
            </w:pPr>
            <w:r>
              <w:rPr>
                <w:sz w:val="20"/>
              </w:rPr>
              <w:t>0.08407</w:t>
            </w:r>
          </w:p>
        </w:tc>
        <w:tc>
          <w:tcPr>
            <w:tcW w:w="256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177A681" w14:textId="77777777" w:rsidR="00E250B8" w:rsidRDefault="00000000" w:rsidP="00017828">
            <w:pPr>
              <w:pStyle w:val="Compact"/>
              <w:spacing w:before="40" w:after="40" w:line="240" w:lineRule="auto"/>
              <w:jc w:val="both"/>
            </w:pPr>
            <w:r>
              <w:rPr>
                <w:sz w:val="20"/>
              </w:rPr>
              <w:t>0.12003</w:t>
            </w:r>
          </w:p>
        </w:tc>
        <w:tc>
          <w:tcPr>
            <w:tcW w:w="2424"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463B9BA6" w14:textId="77777777" w:rsidR="00E250B8" w:rsidRDefault="00000000" w:rsidP="00017828">
            <w:pPr>
              <w:pStyle w:val="Compact"/>
              <w:spacing w:before="40" w:after="40" w:line="240" w:lineRule="auto"/>
              <w:jc w:val="both"/>
            </w:pPr>
            <w:r>
              <w:rPr>
                <w:sz w:val="20"/>
              </w:rPr>
              <w:t>0.22170</w:t>
            </w:r>
          </w:p>
        </w:tc>
      </w:tr>
    </w:tbl>
    <w:p w14:paraId="5B7F2F0B" w14:textId="77777777" w:rsidR="00E250B8" w:rsidRDefault="00000000" w:rsidP="00017828">
      <w:pPr>
        <w:pStyle w:val="Caption"/>
        <w:spacing w:before="80" w:after="160"/>
        <w:jc w:val="both"/>
      </w:pPr>
      <w:r>
        <w:t>Table 3. Calculated bounds on one synthetic binary tree. The 95% statement concerns simultaneous validity over repeated calibration samples, not 95% of prompts. The displayed certificates use one calibration sample and are not estimates of coverage frequency.</w:t>
      </w:r>
    </w:p>
    <w:p w14:paraId="393CAF02" w14:textId="77777777" w:rsidR="00E250B8" w:rsidRDefault="00000000" w:rsidP="00017828">
      <w:pPr>
        <w:pStyle w:val="BodyText"/>
        <w:jc w:val="both"/>
      </w:pPr>
      <w:r>
        <w:t>At a predeclared TV tolerance 0.05, only the first candidate is accepted. The second candidate is actually within tolerance on the enumerable tree, but the certificate cannot establish it. This distinction matters operationally: rejection of a candidate can reflect insufficient statistical precision rather than actual loss of competence. The table also shows that the better population bound need not supply the better finite-sample certificate after its range-dependent correction.</w:t>
      </w:r>
    </w:p>
    <w:p w14:paraId="6812BCC9" w14:textId="77777777" w:rsidR="00E250B8" w:rsidRDefault="00000000" w:rsidP="00017828">
      <w:pPr>
        <w:pStyle w:val="BodyText"/>
        <w:jc w:val="both"/>
      </w:pPr>
      <w:r>
        <w:t>Two exact two-token examples test evaluation scope. The reference emits a fair first bit and then always emits zero. A mediated model agrees at the root and after prefix zero, but emits one after prefix one. Teacher forcing on the single string 00 observes zero discrepancy even though full delegation has sequence TV 0.5. A gate that delegates only after prefix one also has TV 0.5; multiplying mean participation 0.5 by mean local discrepancy 0.5 incorrectly predicts 0.25. Correct reference-prefix expectations return 0.5 in both cases.</w:t>
      </w:r>
    </w:p>
    <w:p w14:paraId="31E15BCA" w14:textId="77777777" w:rsidR="00E250B8" w:rsidRDefault="00000000" w:rsidP="00017828">
      <w:pPr>
        <w:pStyle w:val="BodyText"/>
        <w:jc w:val="both"/>
      </w:pPr>
      <w:r>
        <w:t>The heterogeneous-subject construction in Section 6.1 was also evaluated directly, reproducing the four stated means. It is a counterexample to an overbroad interpretation of aggregate crossover, not an empirical model of an animal population. Appendix A specifies the random generation and enumeration procedures needed to reproduce the numerical checks.</w:t>
      </w:r>
    </w:p>
    <w:p w14:paraId="2D8B1605" w14:textId="77777777" w:rsidR="00E250B8" w:rsidRDefault="00000000" w:rsidP="00017828">
      <w:pPr>
        <w:pStyle w:val="Heading2"/>
        <w:jc w:val="both"/>
      </w:pPr>
      <w:bookmarkStart w:id="24" w:name="proposed-transformer-comparison"/>
      <w:bookmarkEnd w:id="23"/>
      <w:r>
        <w:t>7.2 Proposed Transformer comparison</w:t>
      </w:r>
    </w:p>
    <w:bookmarkEnd w:id="24"/>
    <w:p w14:paraId="4BD89C27" w14:textId="77777777" w:rsidR="001F608A" w:rsidRDefault="00000000" w:rsidP="00017828">
      <w:pPr>
        <w:pStyle w:val="FirstParagraph"/>
        <w:jc w:val="both"/>
      </w:pPr>
      <w:r>
        <w:t>Use a trained autoregressive model of manageable size and a versioned document collection. Construct tasks in which the correct answer depends on selecting a rule, revision, or relation, while the underlying vocabulary and component facts remain familiar. Interleave retained tasks with new routing demands. Include a second family requiring new concepts so that the limitations of access-only adaptation are visible.</w:t>
      </w:r>
    </w:p>
    <w:p w14:paraId="4FEB51F1" w14:textId="77777777" w:rsidR="001F608A" w:rsidRDefault="00000000" w:rsidP="00017828">
      <w:pPr>
        <w:pStyle w:val="BodyText"/>
        <w:jc w:val="both"/>
      </w:pPr>
      <w:r>
        <w:t xml:space="preserve">The primary comparison includes five systems: the original model with full-context input; conventional retrieval with a fixed assembly policy; a frozen backbone with a generic trainable adapter; CVVC with a fixed mediator; and CVVC with an adaptive mediator. Add a small-backbone-update CVVC variant to test whether hard </w:t>
      </w:r>
      <w:r>
        <w:lastRenderedPageBreak/>
        <w:t>freezing is necessary. Match trainable parameter counts where meaningful, and also match training exposure, retrieval corpus, inference budget, and available supervision. Parameter matching alone is not a complete resource control.</w:t>
      </w:r>
    </w:p>
    <w:p w14:paraId="11B37939" w14:textId="77777777" w:rsidR="00E250B8" w:rsidRDefault="00000000" w:rsidP="00017828">
      <w:pPr>
        <w:pStyle w:val="FirstParagraph"/>
        <w:jc w:val="both"/>
      </w:pPr>
      <w:r>
        <w:t>The migration test measures each mediated model independently, then evaluates fixed and adaptive participation. Compare population proxies from reference-generated histories with the finite-sample certificate, using a separate calibration split and a fixed candidate family. Evaluate teacher-forced prefixes, sampled continuations, and the actual deployment decoding rule separately. Separate source-selection, version-eligibility, assembly, and reasoning errors. A zero gate must reproduce the reference distribution, and violation of (9) indicates an implementation defect. Test episode-level routers separately from token mixtures; neither a gate cap nor a low fraction of selected reference outputs proves a reduction in executed reference work.</w:t>
      </w:r>
    </w:p>
    <w:p w14:paraId="2D3E3E0D" w14:textId="77777777" w:rsidR="001F608A" w:rsidRDefault="00000000" w:rsidP="00017828">
      <w:pPr>
        <w:pStyle w:val="BodyText"/>
        <w:jc w:val="both"/>
      </w:pPr>
      <w:r>
        <w:t>The sequential test alternates the relevance of familiar documents while preserving the documents themselves, then introduces revised facts and new task rules. Record retention after each update and after a delayed return to an earlier task. An important adversarial condition places a highly repeated obsolete rule beside one valid signed revision. The mediator must respect eligibility rather than equating repetition with authority.</w:t>
      </w:r>
    </w:p>
    <w:p w14:paraId="47DF30FE" w14:textId="77777777" w:rsidR="00E250B8" w:rsidRDefault="00000000" w:rsidP="00017828">
      <w:pPr>
        <w:pStyle w:val="FirstParagraph"/>
        <w:jc w:val="both"/>
      </w:pPr>
      <w:r>
        <w:t>The information-loss test removes a decisive distinction by construction, so the Bayes error of the read is known exactly. A second condition retains the distinction but restricts the frozen consumer’s permitted input formats, testing the compatibility issue in Corollary 3. Compare coarse summaries, membership-preserving refinement, and ordinary fragment retrieval at matched cost. An oracle selector supplies an upper bound on what the permitted reads can achieve with that consumer; a learned selector is then judged against this oracle. A delayed-query variant drops a distinction from the active set while retaining it in the archive, and measures whether retrieval restores it before answering. This separates archive retention from useful access.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06"/>
        <w:gridCol w:w="3225"/>
        <w:gridCol w:w="3885"/>
      </w:tblGrid>
      <w:tr w:rsidR="001F608A" w14:paraId="2865C0F4" w14:textId="77777777" w:rsidTr="001F608A">
        <w:trPr>
          <w:cnfStyle w:val="100000000000" w:firstRow="1" w:lastRow="0" w:firstColumn="0" w:lastColumn="0" w:oddVBand="0" w:evenVBand="0" w:oddHBand="0" w:evenHBand="0" w:firstRowFirstColumn="0" w:firstRowLastColumn="0" w:lastRowFirstColumn="0" w:lastRowLastColumn="0"/>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586769EC" w14:textId="77777777" w:rsidR="001F608A" w:rsidRDefault="00000000" w:rsidP="00017828">
            <w:pPr>
              <w:pStyle w:val="Compact"/>
              <w:spacing w:before="40" w:after="40" w:line="240" w:lineRule="auto"/>
              <w:jc w:val="both"/>
            </w:pPr>
            <w:r>
              <w:rPr>
                <w:rFonts w:ascii="Arial" w:hAnsi="Arial"/>
                <w:b/>
                <w:color w:val="FFFFFF"/>
                <w:sz w:val="20"/>
              </w:rPr>
              <w:t>Question</w:t>
            </w:r>
          </w:p>
        </w:tc>
        <w:tc>
          <w:tcPr>
            <w:tcW w:w="3168"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125760EC" w14:textId="77777777" w:rsidR="001F608A" w:rsidRDefault="00000000" w:rsidP="00017828">
            <w:pPr>
              <w:pStyle w:val="Compact"/>
              <w:spacing w:before="40" w:after="40" w:line="240" w:lineRule="auto"/>
              <w:jc w:val="both"/>
            </w:pPr>
            <w:r>
              <w:rPr>
                <w:rFonts w:ascii="Arial" w:hAnsi="Arial"/>
                <w:b/>
                <w:color w:val="FFFFFF"/>
                <w:sz w:val="20"/>
              </w:rPr>
              <w:t>Primary comparison</w:t>
            </w:r>
          </w:p>
        </w:tc>
        <w:tc>
          <w:tcPr>
            <w:tcW w:w="3816" w:type="dxa"/>
            <w:tcBorders>
              <w:top w:val="single" w:sz="4" w:space="0" w:color="D9D9D9"/>
              <w:left w:val="single" w:sz="4" w:space="0" w:color="D9D9D9"/>
              <w:bottom w:val="single" w:sz="4" w:space="0" w:color="D9D9D9"/>
              <w:right w:val="single" w:sz="4" w:space="0" w:color="D9D9D9"/>
            </w:tcBorders>
            <w:shd w:val="clear" w:color="auto" w:fill="243A4B"/>
            <w:tcMar>
              <w:top w:w="90" w:type="dxa"/>
              <w:left w:w="90" w:type="dxa"/>
              <w:bottom w:w="90" w:type="dxa"/>
              <w:right w:w="90" w:type="dxa"/>
            </w:tcMar>
            <w:vAlign w:val="center"/>
          </w:tcPr>
          <w:p w14:paraId="3D2DFD93" w14:textId="77777777" w:rsidR="001F608A" w:rsidRDefault="00000000" w:rsidP="00017828">
            <w:pPr>
              <w:pStyle w:val="Compact"/>
              <w:spacing w:before="40" w:after="40" w:line="240" w:lineRule="auto"/>
              <w:jc w:val="both"/>
            </w:pPr>
            <w:r>
              <w:rPr>
                <w:rFonts w:ascii="Arial" w:hAnsi="Arial"/>
                <w:b/>
                <w:color w:val="FFFFFF"/>
                <w:sz w:val="20"/>
              </w:rPr>
              <w:t>Result that rejects the claim</w:t>
            </w:r>
          </w:p>
        </w:tc>
      </w:tr>
      <w:tr w:rsidR="001F608A" w14:paraId="10A50B90" w14:textId="77777777" w:rsidTr="001F608A">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2A80E3B" w14:textId="77777777" w:rsidR="001F608A" w:rsidRDefault="00000000" w:rsidP="00017828">
            <w:pPr>
              <w:pStyle w:val="Compact"/>
              <w:spacing w:before="40" w:after="40" w:line="240" w:lineRule="auto"/>
              <w:jc w:val="both"/>
            </w:pPr>
            <w:r>
              <w:rPr>
                <w:rFonts w:ascii="Arial" w:hAnsi="Arial"/>
                <w:sz w:val="20"/>
              </w:rPr>
              <w:t>Does mediation reduce interference</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436D31C" w14:textId="77777777" w:rsidR="001F608A" w:rsidRDefault="00000000" w:rsidP="00017828">
            <w:pPr>
              <w:pStyle w:val="Compact"/>
              <w:spacing w:before="40" w:after="40" w:line="240" w:lineRule="auto"/>
              <w:jc w:val="both"/>
            </w:pPr>
            <w:r>
              <w:rPr>
                <w:rFonts w:ascii="Arial" w:hAnsi="Arial"/>
                <w:sz w:val="20"/>
              </w:rPr>
              <w:t>Adaptive CVVC versus matched generic adapter</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64DC5AC" w14:textId="77777777" w:rsidR="001F608A" w:rsidRDefault="00000000" w:rsidP="00017828">
            <w:pPr>
              <w:pStyle w:val="Compact"/>
              <w:spacing w:before="40" w:after="40" w:line="240" w:lineRule="auto"/>
              <w:jc w:val="both"/>
            </w:pPr>
            <w:r>
              <w:rPr>
                <w:rFonts w:ascii="Arial" w:hAnsi="Arial"/>
                <w:sz w:val="20"/>
              </w:rPr>
              <w:t>Equal or worse retention at matched new-task quality and cost</w:t>
            </w:r>
          </w:p>
        </w:tc>
      </w:tr>
      <w:tr w:rsidR="001F608A" w14:paraId="3D41F67C" w14:textId="77777777" w:rsidTr="001F608A">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B95002" w14:textId="77777777" w:rsidR="001F608A" w:rsidRDefault="00000000" w:rsidP="00017828">
            <w:pPr>
              <w:pStyle w:val="Compact"/>
              <w:spacing w:before="40" w:after="40" w:line="240" w:lineRule="auto"/>
              <w:jc w:val="both"/>
            </w:pPr>
            <w:r>
              <w:rPr>
                <w:rFonts w:ascii="Arial" w:hAnsi="Arial"/>
                <w:sz w:val="20"/>
              </w:rPr>
              <w:t>Is the access policy responsible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3F1526" w14:textId="77777777" w:rsidR="001F608A" w:rsidRDefault="00000000" w:rsidP="00017828">
            <w:pPr>
              <w:pStyle w:val="Compact"/>
              <w:spacing w:before="40" w:after="40" w:line="240" w:lineRule="auto"/>
              <w:jc w:val="both"/>
            </w:pPr>
            <w:r>
              <w:rPr>
                <w:rFonts w:ascii="Arial" w:hAnsi="Arial"/>
                <w:sz w:val="20"/>
              </w:rPr>
              <w:t>Adaptive versus fixed mediator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1B2407" w14:textId="77777777" w:rsidR="001F608A" w:rsidRDefault="00000000" w:rsidP="00017828">
            <w:pPr>
              <w:pStyle w:val="Compact"/>
              <w:spacing w:before="40" w:after="40" w:line="240" w:lineRule="auto"/>
              <w:jc w:val="both"/>
            </w:pPr>
            <w:r>
              <w:rPr>
                <w:rFonts w:ascii="Arial" w:hAnsi="Arial"/>
                <w:sz w:val="20"/>
              </w:rPr>
              <w:t>No reliable advantage from adaptation</w:t>
            </w:r>
          </w:p>
        </w:tc>
      </w:tr>
      <w:tr w:rsidR="001F608A" w14:paraId="03836786" w14:textId="77777777" w:rsidTr="001F608A">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2699DA00" w14:textId="77777777" w:rsidR="001F608A" w:rsidRDefault="00000000" w:rsidP="00017828">
            <w:pPr>
              <w:pStyle w:val="Compact"/>
              <w:spacing w:before="40" w:after="40" w:line="240" w:lineRule="auto"/>
              <w:jc w:val="both"/>
            </w:pPr>
            <w:r>
              <w:rPr>
                <w:rFonts w:ascii="Arial" w:hAnsi="Arial"/>
                <w:sz w:val="20"/>
              </w:rPr>
              <w:t>Does freezing preserve usable competence</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774CFB80" w14:textId="77777777" w:rsidR="001F608A" w:rsidRDefault="00000000" w:rsidP="00017828">
            <w:pPr>
              <w:pStyle w:val="Compact"/>
              <w:spacing w:before="40" w:after="40" w:line="240" w:lineRule="auto"/>
              <w:jc w:val="both"/>
            </w:pPr>
            <w:r>
              <w:rPr>
                <w:rFonts w:ascii="Arial" w:hAnsi="Arial"/>
                <w:sz w:val="20"/>
              </w:rPr>
              <w:t>Frozen Value with changed routing versus original model</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F5964F8" w14:textId="77777777" w:rsidR="001F608A" w:rsidRDefault="00000000" w:rsidP="00017828">
            <w:pPr>
              <w:pStyle w:val="Compact"/>
              <w:spacing w:before="40" w:after="40" w:line="240" w:lineRule="auto"/>
              <w:jc w:val="both"/>
            </w:pPr>
            <w:r>
              <w:rPr>
                <w:rFonts w:ascii="Arial" w:hAnsi="Arial"/>
                <w:sz w:val="20"/>
              </w:rPr>
              <w:t>Large task loss despite unchanged backbone weights</w:t>
            </w:r>
          </w:p>
        </w:tc>
      </w:tr>
      <w:tr w:rsidR="001F608A" w14:paraId="16FF3E93" w14:textId="77777777" w:rsidTr="001F608A">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272298" w14:textId="77777777" w:rsidR="001F608A" w:rsidRDefault="00000000" w:rsidP="00017828">
            <w:pPr>
              <w:pStyle w:val="Compact"/>
              <w:spacing w:before="40" w:after="40" w:line="240" w:lineRule="auto"/>
              <w:jc w:val="both"/>
            </w:pPr>
            <w:r>
              <w:rPr>
                <w:rFonts w:ascii="Arial" w:hAnsi="Arial"/>
                <w:sz w:val="20"/>
              </w:rPr>
              <w:t>Can migration remove the old path</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6713C8" w14:textId="77777777" w:rsidR="001F608A" w:rsidRDefault="00000000" w:rsidP="00017828">
            <w:pPr>
              <w:pStyle w:val="Compact"/>
              <w:spacing w:before="40" w:after="40" w:line="240" w:lineRule="auto"/>
              <w:jc w:val="both"/>
            </w:pPr>
            <w:r>
              <w:rPr>
                <w:rFonts w:ascii="Arial" w:hAnsi="Arial"/>
                <w:sz w:val="20"/>
              </w:rPr>
              <w:t>Final mediated route versus gated coexistence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6ED571" w14:textId="77777777" w:rsidR="001F608A" w:rsidRDefault="00000000" w:rsidP="00017828">
            <w:pPr>
              <w:pStyle w:val="Compact"/>
              <w:spacing w:before="40" w:after="40" w:line="240" w:lineRule="auto"/>
              <w:jc w:val="both"/>
            </w:pPr>
            <w:r>
              <w:rPr>
                <w:rFonts w:ascii="Arial" w:hAnsi="Arial"/>
                <w:sz w:val="20"/>
              </w:rPr>
              <w:t>Required fallback remains frequent or dominates cost</w:t>
            </w:r>
          </w:p>
        </w:tc>
      </w:tr>
      <w:tr w:rsidR="001F608A" w14:paraId="44686FAE" w14:textId="77777777" w:rsidTr="001F608A">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9103DCE" w14:textId="77777777" w:rsidR="001F608A" w:rsidRDefault="00000000" w:rsidP="00017828">
            <w:pPr>
              <w:pStyle w:val="Compact"/>
              <w:spacing w:before="40" w:after="40" w:line="240" w:lineRule="auto"/>
              <w:jc w:val="both"/>
            </w:pPr>
            <w:r>
              <w:rPr>
                <w:rFonts w:ascii="Arial" w:hAnsi="Arial"/>
                <w:sz w:val="20"/>
              </w:rPr>
              <w:t>Does bounded reading remain sufficient</w:t>
            </w:r>
          </w:p>
        </w:tc>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5F1FEEB6" w14:textId="77777777" w:rsidR="001F608A" w:rsidRDefault="00000000" w:rsidP="00017828">
            <w:pPr>
              <w:pStyle w:val="Compact"/>
              <w:spacing w:before="40" w:after="40" w:line="240" w:lineRule="auto"/>
              <w:jc w:val="both"/>
            </w:pPr>
            <w:r>
              <w:rPr>
                <w:rFonts w:ascii="Arial" w:hAnsi="Arial"/>
                <w:sz w:val="20"/>
              </w:rPr>
              <w:t>Evidence budget sweep</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90" w:type="dxa"/>
              <w:left w:w="90" w:type="dxa"/>
              <w:bottom w:w="90" w:type="dxa"/>
              <w:right w:w="90" w:type="dxa"/>
            </w:tcMar>
            <w:vAlign w:val="center"/>
          </w:tcPr>
          <w:p w14:paraId="6715A504" w14:textId="77777777" w:rsidR="001F608A" w:rsidRDefault="00000000" w:rsidP="00017828">
            <w:pPr>
              <w:pStyle w:val="Compact"/>
              <w:spacing w:before="40" w:after="40" w:line="240" w:lineRule="auto"/>
              <w:jc w:val="both"/>
            </w:pPr>
            <w:r>
              <w:rPr>
                <w:rFonts w:ascii="Arial" w:hAnsi="Arial"/>
                <w:sz w:val="20"/>
              </w:rPr>
              <w:t>Reliable answers require nearly full-context access</w:t>
            </w:r>
          </w:p>
        </w:tc>
      </w:tr>
    </w:tbl>
    <w:p w14:paraId="75914F42" w14:textId="77777777" w:rsidR="001F608A" w:rsidRDefault="00000000" w:rsidP="00017828">
      <w:pPr>
        <w:pStyle w:val="Caption"/>
        <w:spacing w:before="80" w:after="160" w:line="252" w:lineRule="auto"/>
        <w:jc w:val="both"/>
      </w:pPr>
      <w:r>
        <w:rPr>
          <w:sz w:val="19"/>
        </w:rPr>
        <w:t>Table 4. Proposed falsification criteria. These are experiment specifications, not reported outcomes.</w:t>
      </w:r>
    </w:p>
    <w:p w14:paraId="629A8A24" w14:textId="77777777" w:rsidR="001F608A" w:rsidRDefault="00000000" w:rsidP="00017828">
      <w:pPr>
        <w:pStyle w:val="BodyText"/>
        <w:jc w:val="both"/>
      </w:pPr>
      <w:r>
        <w:t>Report task accuracy, supported-answer accuracy, calibration, forgetting, latency, peak accelerator memory, host and archive storage, tokens processed, and retraining cost. Count shadow runs, teacher queries, candidate evaluations, validation, and fragment recomputation. Plot retention and adaptation against total cost. A bounded Value read does not imply bounded total work if Context scans the entire archive or deliberation repeats indefinitely.</w:t>
      </w:r>
    </w:p>
    <w:p w14:paraId="5DB267F5" w14:textId="77777777" w:rsidR="001F608A" w:rsidRDefault="00000000" w:rsidP="00017828">
      <w:pPr>
        <w:pStyle w:val="BodyText"/>
        <w:jc w:val="both"/>
      </w:pPr>
      <w:r>
        <w:t xml:space="preserve">Use at least five independent training seeds as an initial design, then justify sample size from pilot variance and a predeclared meaningful effect. Report paired uncertainty intervals across seeds and task families. Tune budgets and thresholds on validation tasks; reserve unseen task combinations and topic transitions for final </w:t>
      </w:r>
      <w:r>
        <w:lastRenderedPageBreak/>
        <w:t>testing. A routing system that performs well only on its own training partition has not demonstrated general separation of control and competence.</w:t>
      </w:r>
    </w:p>
    <w:p w14:paraId="204B1CE3" w14:textId="77777777" w:rsidR="001F608A" w:rsidRDefault="00000000" w:rsidP="00017828">
      <w:pPr>
        <w:pStyle w:val="Heading1"/>
        <w:jc w:val="both"/>
      </w:pPr>
      <w:bookmarkStart w:id="25" w:name="biological-and-evolutionary-tests"/>
      <w:r>
        <w:t>8 Biological and evolutionary tests</w:t>
      </w:r>
    </w:p>
    <w:p w14:paraId="7CA0061B" w14:textId="77777777" w:rsidR="001F608A" w:rsidRDefault="00000000" w:rsidP="00017828">
      <w:pPr>
        <w:pStyle w:val="FirstParagraph"/>
        <w:jc w:val="both"/>
      </w:pPr>
      <w:r>
        <w:t>A physiological study should select a circuit with established projections and an experimentally tractable task, rather than beginning from the assumption that all cortex shares one canonical implementation. Compare stable sensory discrimination with switching between rules based on the same sensory alternatives. Measure movement, arousal, sensory drive, and baseline difficulty so that a general reduction in responsiveness is not mistaken for selective disruption of mediation.</w:t>
      </w:r>
    </w:p>
    <w:p w14:paraId="22172B41" w14:textId="77777777" w:rsidR="001F608A" w:rsidRDefault="00000000" w:rsidP="00017828">
      <w:pPr>
        <w:pStyle w:val="BodyText"/>
        <w:jc w:val="both"/>
      </w:pPr>
      <w:r>
        <w:t>Interventions can target a defined corticothalamic population, a thalamic projection, or a cortical representation, with timing restricted to cue, delay, or response periods. Readouts should include both task performance and population information. A decrease in switching accompanied by preserved stimulus discriminability is more informative than a decrease in accuracy alone. Conversely, preserved decoding by an external classifier does not prove that downstream circuits can still access the representation.</w:t>
      </w:r>
    </w:p>
    <w:p w14:paraId="6DE31063" w14:textId="59988E85" w:rsidR="00E250B8" w:rsidRDefault="00000000" w:rsidP="00017828">
      <w:pPr>
        <w:pStyle w:val="FirstParagraph"/>
        <w:jc w:val="both"/>
      </w:pPr>
      <w:r>
        <w:t xml:space="preserve">The predicted effect is weakened if sensory loss, movement, arousal, or intervention severity accounts for the behavior. Estimate repeated within-subject rankings and a hierarchical model of their variation, rather than using the aggregate crossover alone. </w:t>
      </w:r>
      <w:r w:rsidR="00ED13FF">
        <w:t>Also,</w:t>
      </w:r>
      <w:r>
        <w:t xml:space="preserve"> cross learning versus well-trained retrieval with sensory uncertainty versus rule uncertainty. A lack of the preregistered dissociation rejects that operationalization in the selected circuit and task; it should not be rescued by moving the proposed mediator to an untested region. A same-direction ranking is compatible with the monotone scalar account, although it does not prove that account.</w:t>
      </w:r>
    </w:p>
    <w:p w14:paraId="3AF89383" w14:textId="6EE1C93C" w:rsidR="001F608A" w:rsidRDefault="00000000" w:rsidP="00017828">
      <w:pPr>
        <w:pStyle w:val="BodyText"/>
        <w:jc w:val="both"/>
      </w:pPr>
      <w:r>
        <w:t xml:space="preserve">The evolutionary component requires a separate design. Compare homologous or explicitly hypothesized corresponding populations across species using developmental origin, molecular identity, connectivity, and physiological function. Test whether changes in recurrent coordination and access control accompany the relevant behavioral flexibility after accounting for brain size, ecology, and shared ancestry. Multiple </w:t>
      </w:r>
      <w:r w:rsidR="00ED13FF">
        <w:t>mammalians</w:t>
      </w:r>
      <w:r>
        <w:t xml:space="preserve"> and sauropsid lineages are needed; a reptile–human contrast cannot identify a historical sequence.</w:t>
      </w:r>
    </w:p>
    <w:p w14:paraId="6D3FD1A4" w14:textId="77777777" w:rsidR="001F608A" w:rsidRDefault="00000000" w:rsidP="00017828">
      <w:pPr>
        <w:pStyle w:val="BodyText"/>
        <w:jc w:val="both"/>
      </w:pPr>
      <w:r>
        <w:t>Different pallial architectures may implement similar operations. That outcome would support a functional principle while weakening a claim that six-layer lamination is necessary for it. Conversely, demonstrating a specific developmental change that alters coordination while preserving a representation would strengthen a mechanistic account. Software elegance supplies no evidence for either result.</w:t>
      </w:r>
    </w:p>
    <w:p w14:paraId="445A849A" w14:textId="77777777" w:rsidR="001F608A" w:rsidRDefault="00000000" w:rsidP="00017828">
      <w:pPr>
        <w:pStyle w:val="Heading1"/>
        <w:jc w:val="both"/>
      </w:pPr>
      <w:bookmarkStart w:id="26" w:name="Xadb2c590fbb37dd161bcbee698115883d19869c"/>
      <w:bookmarkEnd w:id="25"/>
      <w:r>
        <w:t>9 Implications for the Attentionlet research line</w:t>
      </w:r>
    </w:p>
    <w:p w14:paraId="5F9DE3E1" w14:textId="6AE4DF85" w:rsidR="00E250B8" w:rsidRDefault="00000000" w:rsidP="00017828">
      <w:pPr>
        <w:pStyle w:val="FirstParagraph"/>
        <w:jc w:val="both"/>
      </w:pPr>
      <w:r>
        <w:t>The mediator can control both which representation is read and how much detail is recovered. In the Attentionlet and KV Counter line [31,32], a coarse aggregate can propose a low-cost read, while an evidence archive permits reopening when identity, chronology, or revision is decisive. In the Same Flower line</w:t>
      </w:r>
      <w:r w:rsidR="004129A5">
        <w:t xml:space="preserve"> [33]</w:t>
      </w:r>
      <w:r>
        <w:t>, another proposed action is to consult a different seeded visitor. These are engineering integrations with the present migration contract.</w:t>
      </w:r>
    </w:p>
    <w:p w14:paraId="473C2A12" w14:textId="77777777" w:rsidR="00E250B8" w:rsidRDefault="00000000" w:rsidP="00017828">
      <w:pPr>
        <w:pStyle w:val="FirstParagraph"/>
        <w:jc w:val="both"/>
      </w:pPr>
      <w:r>
        <w:t>A controller should compare another viewpoint with finer evidence. If all visitors receive the same insufficient statistic, their agreement cannot recover the discarded distinction in Proposition 1. If sufficient evidence is present but the frozen consumer cannot use its encoding, Corollary 3 calls for a different permitted read, a compatible adapter, or a separately tested consumer update. If evidence is sufficient and usable, a learned access policy may still choose poorly. These diagnoses lead to different interventions and should not be combined into one confidence score. A numerical attention-read certificate also requires a separate link to output distributions before it can be substituted into Proposition 5.</w:t>
      </w:r>
    </w:p>
    <w:p w14:paraId="6A26CDA0" w14:textId="77777777" w:rsidR="001F608A" w:rsidRDefault="00000000" w:rsidP="00017828">
      <w:pPr>
        <w:pStyle w:val="BodyText"/>
        <w:jc w:val="both"/>
      </w:pPr>
      <w:r>
        <w:lastRenderedPageBreak/>
        <w:t>Mediation therefore has at least two separable meanings in the engineering program: restricting the effective read and adapting the restriction. The first can be implemented with masks, retrieval, or assembly. The second requires evidence about the consequences of changing those choices. Keeping them separate prevents a static compressor from being credited with the benefits of a learned controller, or a controller from hiding the cost of unrestricted retrieval.</w:t>
      </w:r>
    </w:p>
    <w:p w14:paraId="6DAB7233" w14:textId="77777777" w:rsidR="001F608A" w:rsidRDefault="00000000" w:rsidP="00017828">
      <w:pPr>
        <w:pStyle w:val="BodyText"/>
        <w:jc w:val="both"/>
      </w:pPr>
      <w:r>
        <w:t>Durable release is a further engineering function. A generated conclusion becomes an archived record only through an explicit commit rule; speculative branches remain distinguishable from accepted evidence. No anatomical assumption about L5 is needed to enforce this contract. Biology motivates questions about coordination, while the implementation can adopt stronger consistency guarantees than a biological circuit has been shown to provide.</w:t>
      </w:r>
    </w:p>
    <w:p w14:paraId="65491120" w14:textId="77777777" w:rsidR="001F608A" w:rsidRDefault="00000000" w:rsidP="00017828">
      <w:pPr>
        <w:pStyle w:val="Heading1"/>
        <w:jc w:val="both"/>
      </w:pPr>
      <w:bookmarkStart w:id="27" w:name="limitations-and-conclusion"/>
      <w:bookmarkEnd w:id="26"/>
      <w:r>
        <w:t>10 Limitations and conclusion</w:t>
      </w:r>
    </w:p>
    <w:p w14:paraId="3F22E98B" w14:textId="77777777" w:rsidR="00E250B8" w:rsidRDefault="00000000" w:rsidP="00017828">
      <w:pPr>
        <w:pStyle w:val="FirstParagraph"/>
        <w:jc w:val="both"/>
      </w:pPr>
      <w:r>
        <w:t>The mathematical contribution is a conditional contract for migration, with a finite-sample route to candidate acceptance. The finite-tree calculations verify its implementation and demonstrate conservative rejection; they do not measure Transformer retention, cost savings, or neural mechanisms. Certification is conditional on the reference prefix law, fixed candidate family, declared decoding rule, bounded statistics, and appropriate state reconstruction. A long horizon or narrow tolerance can make calibration impractical. Learned routing can fail through missing evidence, incompatible reads, or poor policy selection even when its backbone is frozen.</w:t>
      </w:r>
    </w:p>
    <w:p w14:paraId="39664912" w14:textId="77777777" w:rsidR="001F608A" w:rsidRDefault="00000000" w:rsidP="00017828">
      <w:pPr>
        <w:pStyle w:val="BodyText"/>
        <w:jc w:val="both"/>
      </w:pPr>
      <w:r>
        <w:t>The strongest common principle is progressive reorganization of access under a continuity constraint. MVVM makes selected dependencies explicit in software. CVVC can create an independently adaptable route between contextual state, evidence, and a trained consumer. Corticothalamic organization supplies examples of differentiated transmission and regulation that motivate this design without determining it.</w:t>
      </w:r>
    </w:p>
    <w:p w14:paraId="240E0DA2" w14:textId="77777777" w:rsidR="00E250B8" w:rsidRDefault="00000000" w:rsidP="00017828">
      <w:pPr>
        <w:pStyle w:val="FirstParagraph"/>
        <w:jc w:val="both"/>
      </w:pPr>
      <w:r>
        <w:t>The next decisive experiment is a matched-cost Transformer migration in which the final mediated or episode-routed system satisfies labeled retention and update requirements while executing less total work, including calibration and fallback. The biological counterpart tests within-subject intervention rankings across learning stage and uncertainty type, with representations and behavior measured together. Success in one domain would support its own architectural claim; it would not establish anatomical equivalence or evolutionary history in another.</w:t>
      </w:r>
    </w:p>
    <w:p w14:paraId="4A2DCE60" w14:textId="77777777" w:rsidR="001F608A" w:rsidRDefault="00000000" w:rsidP="00017828">
      <w:pPr>
        <w:pStyle w:val="Heading1"/>
        <w:jc w:val="both"/>
      </w:pPr>
      <w:bookmarkStart w:id="28" w:name="references"/>
      <w:bookmarkEnd w:id="27"/>
      <w:r>
        <w:t>References</w:t>
      </w:r>
    </w:p>
    <w:p w14:paraId="5A532080" w14:textId="77777777" w:rsidR="001F608A" w:rsidRDefault="00000000" w:rsidP="00017828">
      <w:pPr>
        <w:pStyle w:val="FirstParagraph"/>
        <w:spacing w:after="160" w:line="252" w:lineRule="auto"/>
        <w:jc w:val="both"/>
      </w:pPr>
      <w:r>
        <w:rPr>
          <w:sz w:val="21"/>
        </w:rPr>
        <w:t>[1] Ghosh, Dyuti, Ghosh, Dibya, and Ghosh, Debi Prasad. (2025). CVVC-RAG: A Three-Strand, MVVM-Style Architecture for Deliberative Retrieval-Augmented Generation. Conceptual manuscript. https://doi.org/10.13140/RG.2.2.35568.78086</w:t>
      </w:r>
    </w:p>
    <w:p w14:paraId="4212B05B" w14:textId="77777777" w:rsidR="001F608A" w:rsidRDefault="00000000" w:rsidP="00017828">
      <w:pPr>
        <w:pStyle w:val="BodyText"/>
        <w:spacing w:after="160" w:line="252" w:lineRule="auto"/>
        <w:jc w:val="both"/>
      </w:pPr>
      <w:r>
        <w:rPr>
          <w:sz w:val="21"/>
        </w:rPr>
        <w:t>[2] Ghosh, Dyuti, Ghosh, Dibya, and Ghosh, Debi Prasad. (2025). Continual CVVC-RAG: A Biologically-Inspired Architecture for Lifelong Retrieval-Augmented Generation. Conceptual manuscript. https://doi.org/10.13140/RG.2.2.27009.77923</w:t>
      </w:r>
    </w:p>
    <w:p w14:paraId="62047570" w14:textId="77777777" w:rsidR="001F608A" w:rsidRDefault="00000000" w:rsidP="00017828">
      <w:pPr>
        <w:pStyle w:val="BodyText"/>
        <w:spacing w:after="160" w:line="252" w:lineRule="auto"/>
        <w:jc w:val="both"/>
      </w:pPr>
      <w:r>
        <w:rPr>
          <w:sz w:val="21"/>
        </w:rPr>
        <w:t>[3] Microsoft. Model-View-ViewModel. Enterprise Application Patterns Using .NET MAUI. Accessed 10 October 2026. https://learn.microsoft.com/en-us/dotnet/architecture/maui/mvvm</w:t>
      </w:r>
    </w:p>
    <w:p w14:paraId="601A367B" w14:textId="77777777" w:rsidR="001F608A" w:rsidRDefault="00000000" w:rsidP="00017828">
      <w:pPr>
        <w:pStyle w:val="BodyText"/>
        <w:spacing w:after="160" w:line="252" w:lineRule="auto"/>
        <w:jc w:val="both"/>
      </w:pPr>
      <w:r>
        <w:rPr>
          <w:sz w:val="21"/>
        </w:rPr>
        <w:t>[4] Fowler, M. Strangler Fig. Accessed 10 October 2026. https://martinfowler.com/bliki/StranglerFigApplication.html</w:t>
      </w:r>
    </w:p>
    <w:p w14:paraId="68A902FE" w14:textId="77777777" w:rsidR="001F608A" w:rsidRDefault="00000000" w:rsidP="00017828">
      <w:pPr>
        <w:pStyle w:val="BodyText"/>
        <w:spacing w:after="160" w:line="252" w:lineRule="auto"/>
        <w:jc w:val="both"/>
      </w:pPr>
      <w:r>
        <w:rPr>
          <w:sz w:val="21"/>
        </w:rPr>
        <w:t>[5] Tosches, M. A., Yamawaki, T. M., Naumann, R. K., Jacobi, A., Tushev, G., and Laurent, G. (2018). Evolution of pallium, hippocampus, and cortical cell types revealed by single-cell transcriptomics in reptiles. Science, 360, 881–888. https://pubmed.ncbi.nlm.nih.gov/29724907/</w:t>
      </w:r>
    </w:p>
    <w:p w14:paraId="36E4C335" w14:textId="77777777" w:rsidR="001F608A" w:rsidRDefault="00000000" w:rsidP="00017828">
      <w:pPr>
        <w:pStyle w:val="BodyText"/>
        <w:spacing w:after="160" w:line="252" w:lineRule="auto"/>
        <w:jc w:val="both"/>
      </w:pPr>
      <w:r>
        <w:rPr>
          <w:sz w:val="21"/>
        </w:rPr>
        <w:lastRenderedPageBreak/>
        <w:t>[6] Yamawaki, N., Borges, K., Suter, B. A., Harris, K. D., and Shepherd, G. M. G. (2014). A genuine layer 4 in motor cortex with prototypical synaptic circuit connectivity. eLife, 3, e05422. https://doi.org/10.7554/eLife.05422</w:t>
      </w:r>
    </w:p>
    <w:p w14:paraId="0121A88A" w14:textId="77777777" w:rsidR="001F608A" w:rsidRDefault="00000000" w:rsidP="00017828">
      <w:pPr>
        <w:pStyle w:val="BodyText"/>
        <w:spacing w:after="160" w:line="252" w:lineRule="auto"/>
        <w:jc w:val="both"/>
      </w:pPr>
      <w:r>
        <w:rPr>
          <w:sz w:val="21"/>
        </w:rPr>
        <w:t>[7] Gambino, F., et al. (2014). Sensory-evoked LTP driven by dendritic plateau potentials in vivo. Nature, 515, 116–119. https://doi.org/10.1038/nature13664</w:t>
      </w:r>
    </w:p>
    <w:p w14:paraId="034B7946" w14:textId="77777777" w:rsidR="001F608A" w:rsidRDefault="00000000" w:rsidP="00017828">
      <w:pPr>
        <w:pStyle w:val="BodyText"/>
        <w:spacing w:after="160" w:line="252" w:lineRule="auto"/>
        <w:jc w:val="both"/>
      </w:pPr>
      <w:r>
        <w:rPr>
          <w:sz w:val="21"/>
        </w:rPr>
        <w:t>[8] Mease, R. A., Sumser, A., Sakmann, B., and Groh, A. (2016). Corticothalamic Spike Transfer via the L5B-POm Pathway in vivo. Cerebral Cortex, 26, 3461–3475. https://doi.org/10.1093/cercor/bhw123</w:t>
      </w:r>
    </w:p>
    <w:p w14:paraId="01781C52" w14:textId="77777777" w:rsidR="001F608A" w:rsidRDefault="00000000" w:rsidP="00017828">
      <w:pPr>
        <w:pStyle w:val="BodyText"/>
        <w:spacing w:after="160" w:line="252" w:lineRule="auto"/>
        <w:jc w:val="both"/>
      </w:pPr>
      <w:r>
        <w:rPr>
          <w:sz w:val="21"/>
        </w:rPr>
        <w:t>[9] Crandall, S. R., Cruikshank, S. J., and Connors, B. W. (2015). A corticothalamic switch: controlling the thalamus with dynamic synapses. Neuron, 86, 768–782. https://doi.org/10.1016/j.neuron.2015.03.040</w:t>
      </w:r>
    </w:p>
    <w:p w14:paraId="77E32301" w14:textId="77777777" w:rsidR="001F608A" w:rsidRDefault="00000000" w:rsidP="00017828">
      <w:pPr>
        <w:pStyle w:val="BodyText"/>
        <w:spacing w:after="160" w:line="252" w:lineRule="auto"/>
        <w:jc w:val="both"/>
      </w:pPr>
      <w:r>
        <w:rPr>
          <w:sz w:val="21"/>
        </w:rPr>
        <w:t>[10] Schmitt, L. I., Wimmer, R. D., Nakajima, M., Happ, M., Mofakham, S., and Halassa, M. M. (2017). Thalamic amplification of cortical connectivity sustains attentional control. Nature, 545, 219–223. https://doi.org/10.1038/nature22073</w:t>
      </w:r>
    </w:p>
    <w:p w14:paraId="5FC2CB2D" w14:textId="77777777" w:rsidR="001F608A" w:rsidRDefault="00000000" w:rsidP="00017828">
      <w:pPr>
        <w:pStyle w:val="BodyText"/>
        <w:spacing w:after="160" w:line="252" w:lineRule="auto"/>
        <w:jc w:val="both"/>
      </w:pPr>
      <w:r>
        <w:rPr>
          <w:sz w:val="21"/>
        </w:rPr>
        <w:t>[11] Kress, G. J., Yamawaki, N., Wokosin, D. L., Wickersham, I. R., Shepherd, G. M. G., and Surmeier, D. J. (2013). Convergent cortical innervation of striatal projection neurons. Nature Neuroscience, 16, 665–667. https://doi.org/10.1038/nn.3397</w:t>
      </w:r>
      <w:bookmarkEnd w:id="28"/>
    </w:p>
    <w:p w14:paraId="4EF9759B" w14:textId="77777777" w:rsidR="00ED1AF7" w:rsidRDefault="00000000" w:rsidP="00017828">
      <w:pPr>
        <w:pStyle w:val="BodyText"/>
        <w:spacing w:after="160" w:line="252" w:lineRule="auto"/>
        <w:jc w:val="both"/>
      </w:pPr>
      <w:r>
        <w:rPr>
          <w:sz w:val="21"/>
        </w:rPr>
        <w:t>[12] Rusu, A. A., Rabinowitz, N. C., Desjardins, G., Soyer, H., Kirkpatrick, J., Kavukcuoglu, K., Pascanu, R., and Hadsell, R. (2016). Progressive Neural Networks. arXiv:1606.04671. https://arxiv.org/abs/1606.04671</w:t>
      </w:r>
    </w:p>
    <w:p w14:paraId="5321A99A" w14:textId="77777777" w:rsidR="00ED1AF7" w:rsidRDefault="00000000" w:rsidP="00017828">
      <w:pPr>
        <w:pStyle w:val="BodyText"/>
        <w:spacing w:after="160" w:line="252" w:lineRule="auto"/>
        <w:jc w:val="both"/>
      </w:pPr>
      <w:r>
        <w:rPr>
          <w:sz w:val="21"/>
        </w:rPr>
        <w:t>[13] Houlsby, N., Giurgiu, A., Jastrzebski, S., Morrone, B., de Laroussilhe, Q., Gesmundo, A., Attariyan, M., and Gelly, S. (2019). Parameter-Efficient Transfer Learning for NLP. Proceedings of the 36th International Conference on Machine Learning, PMLR 97, 2790–2799.</w:t>
      </w:r>
    </w:p>
    <w:p w14:paraId="4D74612C" w14:textId="77777777" w:rsidR="00ED1AF7" w:rsidRDefault="00000000" w:rsidP="00017828">
      <w:pPr>
        <w:pStyle w:val="BodyText"/>
        <w:spacing w:after="160" w:line="252" w:lineRule="auto"/>
        <w:jc w:val="both"/>
      </w:pPr>
      <w:r>
        <w:rPr>
          <w:sz w:val="21"/>
        </w:rPr>
        <w:t>[14] Li, Z., and Hoiem, D. (2018). Learning without Forgetting. IEEE Transactions on Pattern Analysis and Machine Intelligence, 40(12), 2935–2947. https://doi.org/10.1109/TPAMI.2017.2773081</w:t>
      </w:r>
    </w:p>
    <w:p w14:paraId="04C0A1DD" w14:textId="77777777" w:rsidR="00ED1AF7" w:rsidRDefault="00000000" w:rsidP="00017828">
      <w:pPr>
        <w:pStyle w:val="BodyText"/>
        <w:spacing w:after="160" w:line="252" w:lineRule="auto"/>
        <w:jc w:val="both"/>
      </w:pPr>
      <w:r>
        <w:rPr>
          <w:sz w:val="21"/>
        </w:rPr>
        <w:t>[15] Kirkpatrick, J., et al. (2017). Overcoming catastrophic forgetting in neural networks. Proceedings of the National Academy of Sciences, 114(18), 3521–3526. https://doi.org/10.1073/pnas.1611835114</w:t>
      </w:r>
    </w:p>
    <w:p w14:paraId="6D0E5CB2" w14:textId="77777777" w:rsidR="00ED1AF7" w:rsidRDefault="00000000" w:rsidP="00017828">
      <w:pPr>
        <w:pStyle w:val="BodyText"/>
        <w:spacing w:after="160" w:line="252" w:lineRule="auto"/>
        <w:jc w:val="both"/>
      </w:pPr>
      <w:r>
        <w:rPr>
          <w:sz w:val="21"/>
        </w:rPr>
        <w:t>[16] Lopez-Paz, D., and Ranzato, M. (2017). Gradient Episodic Memory for Continual Learning. Advances in Neural Information Processing Systems 30, 6467–6476.</w:t>
      </w:r>
    </w:p>
    <w:p w14:paraId="5B070875" w14:textId="77777777" w:rsidR="00ED1AF7" w:rsidRDefault="00000000" w:rsidP="00017828">
      <w:pPr>
        <w:pStyle w:val="BodyText"/>
        <w:spacing w:after="160" w:line="252" w:lineRule="auto"/>
        <w:jc w:val="both"/>
      </w:pPr>
      <w:r>
        <w:rPr>
          <w:sz w:val="21"/>
        </w:rPr>
        <w:t>[17] Lewis, P., et al. (2020). Retrieval-Augmented Generation for Knowledge-Intensive NLP Tasks. Advances in Neural Information Processing Systems 33, 9459–9474.</w:t>
      </w:r>
    </w:p>
    <w:p w14:paraId="37DC4AA5" w14:textId="77777777" w:rsidR="00ED1AF7" w:rsidRDefault="00000000" w:rsidP="00017828">
      <w:pPr>
        <w:pStyle w:val="BodyText"/>
        <w:spacing w:after="160" w:line="252" w:lineRule="auto"/>
        <w:jc w:val="both"/>
      </w:pPr>
      <w:r>
        <w:rPr>
          <w:sz w:val="21"/>
        </w:rPr>
        <w:t>[18] Milner, R. (1989). Communication and Concurrency. Prentice Hall.</w:t>
      </w:r>
    </w:p>
    <w:p w14:paraId="19286320" w14:textId="77777777" w:rsidR="00ED1AF7" w:rsidRDefault="00000000" w:rsidP="00017828">
      <w:pPr>
        <w:pStyle w:val="BodyText"/>
        <w:spacing w:after="160" w:line="252" w:lineRule="auto"/>
        <w:jc w:val="both"/>
      </w:pPr>
      <w:r>
        <w:rPr>
          <w:sz w:val="21"/>
        </w:rPr>
        <w:t>[19] Cover, T. M., and Thomas, J. A. (2006). Elements of Information Theory, 2nd edition. Wiley.</w:t>
      </w:r>
    </w:p>
    <w:p w14:paraId="3D6F8B88" w14:textId="77777777" w:rsidR="00ED1AF7" w:rsidRDefault="00000000" w:rsidP="00017828">
      <w:pPr>
        <w:pStyle w:val="BodyText"/>
        <w:spacing w:after="160" w:line="252" w:lineRule="auto"/>
        <w:jc w:val="both"/>
      </w:pPr>
      <w:r>
        <w:rPr>
          <w:sz w:val="21"/>
        </w:rPr>
        <w:t>[20] Nerode, A. (1958). Linear automaton transformations. Proceedings of the American Mathematical Society, 9(4), 541–544.</w:t>
      </w:r>
    </w:p>
    <w:p w14:paraId="7B48B020" w14:textId="77777777" w:rsidR="00ED1AF7" w:rsidRDefault="00000000" w:rsidP="00017828">
      <w:pPr>
        <w:pStyle w:val="BodyText"/>
        <w:spacing w:after="160" w:line="252" w:lineRule="auto"/>
        <w:jc w:val="both"/>
      </w:pPr>
      <w:r>
        <w:rPr>
          <w:sz w:val="21"/>
        </w:rPr>
        <w:t>[21] Sherman, S. M., and Guillery, R. W. (1998). On the actions that one nerve cell can have on another: distinguishing “drivers” from “modulators”. Proceedings of the National Academy of Sciences, 95(12), 7121–7126. https://doi.org/10.1073/pnas.95.12.7121</w:t>
      </w:r>
    </w:p>
    <w:p w14:paraId="2E99C605" w14:textId="77777777" w:rsidR="00ED1AF7" w:rsidRDefault="00000000" w:rsidP="00017828">
      <w:pPr>
        <w:pStyle w:val="BodyText"/>
        <w:spacing w:after="160" w:line="252" w:lineRule="auto"/>
        <w:jc w:val="both"/>
      </w:pPr>
      <w:r>
        <w:rPr>
          <w:sz w:val="21"/>
        </w:rPr>
        <w:t>[22] Rikhye, R. V., Gilra, A., and Halassa, M. M. (2018). Thalamic regulation of switching between cortical representations enables cognitive flexibility. Nature Neuroscience, 21(12), 1753–1763. https://doi.org/10.1038/s41593-018-0269-z</w:t>
      </w:r>
    </w:p>
    <w:p w14:paraId="5C4E742C" w14:textId="77777777" w:rsidR="00ED1AF7" w:rsidRDefault="00000000" w:rsidP="00017828">
      <w:pPr>
        <w:pStyle w:val="BodyText"/>
        <w:spacing w:after="160" w:line="252" w:lineRule="auto"/>
        <w:jc w:val="both"/>
      </w:pPr>
      <w:r>
        <w:rPr>
          <w:sz w:val="21"/>
        </w:rPr>
        <w:t>[23] Dunn, J. C., and Kirsner, K. (1988). Discovering functionally independent mental processes: the principle of reversed association. Psychological Review, 95(1), 91–101. https://doi.org/10.1037/0033-295X.95.1.91</w:t>
      </w:r>
    </w:p>
    <w:p w14:paraId="48CBAB54" w14:textId="77777777" w:rsidR="00ED1AF7" w:rsidRDefault="00000000" w:rsidP="00017828">
      <w:pPr>
        <w:pStyle w:val="BodyText"/>
        <w:spacing w:after="160" w:line="252" w:lineRule="auto"/>
        <w:jc w:val="both"/>
      </w:pPr>
      <w:r>
        <w:rPr>
          <w:sz w:val="21"/>
        </w:rPr>
        <w:lastRenderedPageBreak/>
        <w:t xml:space="preserve">[24] Wagenmakers, E.-J., Krypotos, A.-M., Criss, A. H., and Iverson, G. (2012). On the interpretation of removable interactions: a survey of the field 33 years after Loftus. Memory &amp; Cognition, 40(2), 145–160. </w:t>
      </w:r>
      <w:hyperlink r:id="rId8" w:history="1">
        <w:r w:rsidR="00492239" w:rsidRPr="007F1E8F">
          <w:rPr>
            <w:rStyle w:val="Hyperlink"/>
          </w:rPr>
          <w:t>https://doi.org/10.3758/s13421-011-0158-0</w:t>
        </w:r>
      </w:hyperlink>
    </w:p>
    <w:p w14:paraId="48788C35" w14:textId="77777777" w:rsidR="00E250B8" w:rsidRDefault="00000000" w:rsidP="00017828">
      <w:pPr>
        <w:pStyle w:val="FirstParagraph"/>
        <w:jc w:val="both"/>
      </w:pPr>
      <w:r>
        <w:rPr>
          <w:sz w:val="21"/>
        </w:rPr>
        <w:t>[25] Hoeffding, W. (1963). Probability inequalities for sums of bounded random variables. Journal of the American Statistical Association, 58(301), 13–30. https://doi.org/10.1080/01621459.1963.10500830</w:t>
      </w:r>
    </w:p>
    <w:p w14:paraId="53A7AD29" w14:textId="77777777" w:rsidR="00E250B8" w:rsidRDefault="00000000" w:rsidP="00017828">
      <w:pPr>
        <w:pStyle w:val="BodyText"/>
        <w:jc w:val="both"/>
      </w:pPr>
      <w:r>
        <w:rPr>
          <w:sz w:val="21"/>
        </w:rPr>
        <w:t>[26] Angelopoulos, A. N., Bates, S., Candès, E. J., Jordan, M. I., and Lei, L. (2022). Learn then Test: Calibrating Predictive Algorithms to Achieve Risk Control. arXiv:2110.01052v5. https://arxiv.org/abs/2110.01052v5</w:t>
      </w:r>
    </w:p>
    <w:p w14:paraId="62AAEAEA" w14:textId="77777777" w:rsidR="00E250B8" w:rsidRDefault="00000000" w:rsidP="00017828">
      <w:pPr>
        <w:pStyle w:val="BodyText"/>
        <w:jc w:val="both"/>
      </w:pPr>
      <w:r>
        <w:rPr>
          <w:sz w:val="21"/>
        </w:rPr>
        <w:t>[27] Laroche, R., Trichelair, P., and Tachet des Combes, R. (2019). Safe Policy Improvement with Baseline Bootstrapping. Proceedings of the 36th International Conference on Machine Learning, PMLR 97, 3652–3661. https://proceedings.mlr.press/v97/laroche19a.html</w:t>
      </w:r>
    </w:p>
    <w:p w14:paraId="5202F7DC" w14:textId="77777777" w:rsidR="00E250B8" w:rsidRDefault="00000000" w:rsidP="00017828">
      <w:pPr>
        <w:pStyle w:val="BodyText"/>
        <w:jc w:val="both"/>
      </w:pPr>
      <w:r>
        <w:rPr>
          <w:sz w:val="21"/>
        </w:rPr>
        <w:t>[28] Zhang, X., Mukherjee, A., Halassa, M. M., and Chen, Z. S. (2025). Mediodorsal thalamus regulates task uncertainty to enable cognitive flexibility. Nature Communications, 16, 2640. https://doi.org/10.1038/s41467-025-58011-1</w:t>
      </w:r>
    </w:p>
    <w:p w14:paraId="56EB9F7E" w14:textId="77777777" w:rsidR="00E250B8" w:rsidRDefault="00000000" w:rsidP="00017828">
      <w:pPr>
        <w:pStyle w:val="BodyText"/>
        <w:jc w:val="both"/>
      </w:pPr>
      <w:r>
        <w:rPr>
          <w:sz w:val="21"/>
        </w:rPr>
        <w:t>[29] Wang, B. A., et al. (2025). Thalamic regulation of reinforcement learning strategies across prefrontal-striatal networks. Nature Communications, 16, 9095. https://doi.org/10.1038/s41467-025-63995-x</w:t>
      </w:r>
    </w:p>
    <w:p w14:paraId="2852862F" w14:textId="77777777" w:rsidR="00E250B8" w:rsidRDefault="00000000" w:rsidP="00017828">
      <w:pPr>
        <w:pStyle w:val="BodyText"/>
        <w:jc w:val="both"/>
      </w:pPr>
      <w:r>
        <w:rPr>
          <w:sz w:val="21"/>
        </w:rPr>
        <w:t>[30] Le, Z., Huang, C., Zhang, W., Liu, D., Ren, J., and Yao, H. (2026). Control of associative learning by the mediodorsal thalamus-orbitofrontal cortex circuit. Nature Communications, 17, 9175. https://doi.org/10.1038/s41467-026-76118-x</w:t>
      </w:r>
    </w:p>
    <w:p w14:paraId="00F271A6" w14:textId="77777777" w:rsidR="00E250B8" w:rsidRDefault="00000000" w:rsidP="00017828">
      <w:pPr>
        <w:pStyle w:val="BodyText"/>
        <w:jc w:val="both"/>
      </w:pPr>
      <w:r>
        <w:rPr>
          <w:sz w:val="21"/>
        </w:rPr>
        <w:t>[31] Ghosh, D. P. (2026). Adaptive Memory Refinement for Attentionlet. ResearchGate preprint. https://doi.org/10.13140/RG.2.2.26945.11369</w:t>
      </w:r>
    </w:p>
    <w:p w14:paraId="6FFEA619" w14:textId="70AC6858" w:rsidR="00E250B8" w:rsidRDefault="00000000" w:rsidP="00017828">
      <w:pPr>
        <w:pStyle w:val="BodyText"/>
        <w:jc w:val="both"/>
        <w:rPr>
          <w:sz w:val="21"/>
        </w:rPr>
      </w:pPr>
      <w:r>
        <w:rPr>
          <w:sz w:val="21"/>
        </w:rPr>
        <w:t xml:space="preserve">[32] Ghosh, D. P. (2026). KV Counter Memory for Attentionlet: Narrow keys and bounded attention state. ResearchGate preprint. </w:t>
      </w:r>
      <w:hyperlink r:id="rId9" w:history="1">
        <w:r w:rsidR="00ED13FF" w:rsidRPr="00AB78DD">
          <w:rPr>
            <w:rStyle w:val="Hyperlink"/>
            <w:sz w:val="21"/>
          </w:rPr>
          <w:t>https://doi.org/10.13140/RG.2.2.23622.43842</w:t>
        </w:r>
      </w:hyperlink>
    </w:p>
    <w:p w14:paraId="3C3AF3A5" w14:textId="3DB5B86A" w:rsidR="00ED13FF" w:rsidRDefault="00ED13FF" w:rsidP="00017828">
      <w:pPr>
        <w:pStyle w:val="BodyText"/>
        <w:jc w:val="both"/>
      </w:pPr>
      <w:r>
        <w:rPr>
          <w:sz w:val="21"/>
        </w:rPr>
        <w:t>[3</w:t>
      </w:r>
      <w:r>
        <w:rPr>
          <w:sz w:val="21"/>
        </w:rPr>
        <w:t>3</w:t>
      </w:r>
      <w:r>
        <w:rPr>
          <w:sz w:val="21"/>
        </w:rPr>
        <w:t xml:space="preserve">] Ghosh, D. P. (2026). </w:t>
      </w:r>
      <w:r w:rsidRPr="00ED13FF">
        <w:rPr>
          <w:sz w:val="21"/>
        </w:rPr>
        <w:t>Same Flower: Seeded Visitors with KV Counter Memory</w:t>
      </w:r>
      <w:r>
        <w:rPr>
          <w:sz w:val="21"/>
        </w:rPr>
        <w:t xml:space="preserve">. ResearchGate preprint. </w:t>
      </w:r>
      <w:r w:rsidRPr="00ED13FF">
        <w:rPr>
          <w:sz w:val="21"/>
        </w:rPr>
        <w:t>https://doi.org/10.13140/RG.2.2.13128.48649</w:t>
      </w:r>
    </w:p>
    <w:p w14:paraId="17370126" w14:textId="3767DA4D" w:rsidR="00EB2823" w:rsidRDefault="00EB2823" w:rsidP="00017828">
      <w:pPr>
        <w:pStyle w:val="BodyText"/>
        <w:spacing w:after="160" w:line="252" w:lineRule="auto"/>
        <w:jc w:val="both"/>
        <w:rPr>
          <w:sz w:val="21"/>
        </w:rPr>
      </w:pPr>
      <w:hyperlink r:id="rId10" w:history="1">
        <w:r w:rsidRPr="00AB78DD">
          <w:rPr>
            <w:rStyle w:val="Hyperlink"/>
            <w:sz w:val="21"/>
          </w:rPr>
          <w:t>https://github.com/debiprasadghosh/ResearchOverFlow/tree/main/October2026/NeocortexCVVC</w:t>
        </w:r>
      </w:hyperlink>
    </w:p>
    <w:p w14:paraId="798E7E5A" w14:textId="77777777" w:rsidR="00EB2823" w:rsidRDefault="00EB2823">
      <w:pPr>
        <w:spacing w:after="200" w:line="240" w:lineRule="auto"/>
        <w:rPr>
          <w:sz w:val="21"/>
        </w:rPr>
      </w:pPr>
      <w:r>
        <w:rPr>
          <w:sz w:val="21"/>
        </w:rPr>
        <w:br w:type="page"/>
      </w:r>
    </w:p>
    <w:p w14:paraId="3433DBC2" w14:textId="77777777" w:rsidR="00E250B8" w:rsidRDefault="00000000" w:rsidP="00017828">
      <w:pPr>
        <w:pStyle w:val="Heading1"/>
        <w:jc w:val="both"/>
      </w:pPr>
      <w:bookmarkStart w:id="29" w:name="X5588a173bce24e0e8c34fc585f3450cb3d030d4"/>
      <w:r>
        <w:lastRenderedPageBreak/>
        <w:t>Appendix A Reproducibility of the finite tree checks</w:t>
      </w:r>
    </w:p>
    <w:p w14:paraId="448269DB" w14:textId="77777777" w:rsidR="00E250B8" w:rsidRDefault="00000000" w:rsidP="00017828">
      <w:pPr>
        <w:pStyle w:val="FirstParagraph"/>
        <w:jc w:val="both"/>
      </w:pPr>
      <w:r>
        <w:t xml:space="preserve">All calculations used float64 with NumPy 2.3.5. A binary tree of depth </w:t>
      </w:r>
      <m:oMath>
        <m:r>
          <w:rPr>
            <w:rFonts w:ascii="Cambria Math" w:hAnsi="Cambria Math"/>
          </w:rPr>
          <m:t>T</m:t>
        </m:r>
        <m:r>
          <m:rPr>
            <m:sty m:val="p"/>
          </m:rPr>
          <w:rPr>
            <w:rFonts w:ascii="Cambria Math" w:hAnsi="Cambria Math"/>
          </w:rPr>
          <m:t>=</m:t>
        </m:r>
        <m:r>
          <w:rPr>
            <w:rFonts w:ascii="Cambria Math" w:hAnsi="Cambria Math"/>
          </w:rPr>
          <m:t>8</m:t>
        </m:r>
      </m:oMath>
      <w:r>
        <w:t xml:space="preserve"> is indexed in heap order: root 0, zero-child </w:t>
      </w:r>
      <m:oMath>
        <m:r>
          <w:rPr>
            <w:rFonts w:ascii="Cambria Math" w:hAnsi="Cambria Math"/>
          </w:rPr>
          <m:t>2i</m:t>
        </m:r>
        <m:r>
          <m:rPr>
            <m:sty m:val="p"/>
          </m:rPr>
          <w:rPr>
            <w:rFonts w:ascii="Cambria Math" w:hAnsi="Cambria Math"/>
          </w:rPr>
          <m:t>+</m:t>
        </m:r>
        <m:r>
          <w:rPr>
            <w:rFonts w:ascii="Cambria Math" w:hAnsi="Cambria Math"/>
          </w:rPr>
          <m:t>1</m:t>
        </m:r>
      </m:oMath>
      <w:r>
        <w:t xml:space="preserve">, one-child </w:t>
      </w:r>
      <m:oMath>
        <m:r>
          <w:rPr>
            <w:rFonts w:ascii="Cambria Math" w:hAnsi="Cambria Math"/>
          </w:rPr>
          <m:t>2i</m:t>
        </m:r>
        <m:r>
          <m:rPr>
            <m:sty m:val="p"/>
          </m:rPr>
          <w:rPr>
            <w:rFonts w:ascii="Cambria Math" w:hAnsi="Cambria Math"/>
          </w:rPr>
          <m:t>+</m:t>
        </m:r>
        <m:r>
          <w:rPr>
            <w:rFonts w:ascii="Cambria Math" w:hAnsi="Cambria Math"/>
          </w:rPr>
          <m:t>2</m:t>
        </m:r>
      </m:oMath>
      <w:r>
        <w:t xml:space="preserve">. A stored probability is the chance of token one. PCG64 seed 20261016 generates the 100 verification trees. In each trial, draw arrays of 255 reference probabilities from Uniform(0.05,0.95), 255 mediated probabilities from the same distribution, then 255 gates from Uniform(0,0.7), in that order. Traverse breadth first, propagating reference and migrated masses independently. At depth </w:t>
      </w:r>
      <m:oMath>
        <m:r>
          <w:rPr>
            <w:rFonts w:ascii="Cambria Math" w:hAnsi="Cambria Math"/>
          </w:rPr>
          <m:t>t</m:t>
        </m:r>
      </m:oMath>
      <w:r>
        <w:t xml:space="preserve">, accumulate the reference-mass-weighted conditional TV and KL contributions; at depth 8, compute TV and KL directly from the 256 leaf probabilities. Compare with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w:t>
      </w:r>
    </w:p>
    <w:p w14:paraId="5A23E23B" w14:textId="77777777" w:rsidR="00E250B8" w:rsidRDefault="00000000" w:rsidP="00017828">
      <w:pPr>
        <w:pStyle w:val="BodyText"/>
        <w:jc w:val="both"/>
      </w:pPr>
      <w:r>
        <w:t xml:space="preserve">The calibration tree uses a new PCG64 generator with seed 20261017. Draw 255 reference probabilities from Uniform(0.1,0.9), then 255 independent Gaussian perturbations with mean zero and standard deviation 0.18. Set each mediated probability to the perturbed reference probability clipped to [0.02,0.98]. For cap </w:t>
      </w:r>
      <m:oMath>
        <m:r>
          <w:rPr>
            <w:rFonts w:ascii="Cambria Math" w:hAnsi="Cambria Math"/>
          </w:rPr>
          <m:t>c</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0.30</m:t>
        </m:r>
        <m:r>
          <m:rPr>
            <m:sty m:val="p"/>
          </m:rPr>
          <w:rPr>
            <w:rFonts w:ascii="Cambria Math" w:hAnsi="Cambria Math"/>
          </w:rPr>
          <m:t>}</m:t>
        </m:r>
      </m:oMath>
      <w:r>
        <w:t xml:space="preserve">, set the gate at each node to </w:t>
      </w:r>
      <m:oMath>
        <m:r>
          <w:rPr>
            <w:rFonts w:ascii="Cambria Math" w:hAnsi="Cambria Math"/>
          </w:rPr>
          <m:t>c</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8</m:t>
                </m:r>
                <m:d>
                  <m:dPr>
                    <m:ctrlPr>
                      <w:rPr>
                        <w:rFonts w:ascii="Cambria Math" w:hAnsi="Cambria Math"/>
                      </w:rPr>
                    </m:ctrlPr>
                  </m:dPr>
                  <m:e>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0.15</m:t>
                    </m:r>
                  </m:e>
                </m:d>
              </m:e>
            </m:d>
          </m:e>
        </m:d>
      </m:oMath>
      <w:r>
        <w:t>. Without resetting this generator, initialize 4,096 paths at the root. At each of eight depths, record the full two-token conditional discrepancies for every path and candidate, draw 4,096 independent uniforms, emit one when the draw is below the reference probability, and update the heap index. This produces independent reference trajectories while pairing every candidate on the same trajectories.</w:t>
      </w:r>
    </w:p>
    <w:p w14:paraId="2DAACBF3" w14:textId="77777777" w:rsidR="00E250B8" w:rsidRDefault="00000000" w:rsidP="00017828">
      <w:pPr>
        <w:pStyle w:val="BodyText"/>
        <w:jc w:val="both"/>
      </w:pPr>
      <w:r>
        <w:t xml:space="preserve">Take the sample means of the resulting trajectory sums. For each cap, use </w:t>
      </w:r>
      <m:oMath>
        <m:r>
          <w:rPr>
            <w:rFonts w:ascii="Cambria Math" w:hAnsi="Cambria Math"/>
          </w:rPr>
          <m:t>B</m:t>
        </m:r>
        <m:r>
          <m:rPr>
            <m:sty m:val="p"/>
          </m:rPr>
          <w:rPr>
            <w:rFonts w:ascii="Cambria Math" w:hAnsi="Cambria Math"/>
          </w:rPr>
          <m:t>=</m:t>
        </m:r>
        <m:r>
          <w:rPr>
            <w:rFonts w:ascii="Cambria Math" w:hAnsi="Cambria Math"/>
          </w:rPr>
          <m:t>8c</m:t>
        </m:r>
      </m:oMath>
      <w:r>
        <w:t xml:space="preserve"> and </w:t>
      </w:r>
      <m:oMath>
        <m:r>
          <w:rPr>
            <w:rFonts w:ascii="Cambria Math" w:hAnsi="Cambria Math"/>
          </w:rPr>
          <m:t>A</m:t>
        </m:r>
        <m:r>
          <m:rPr>
            <m:sty m:val="p"/>
          </m:rPr>
          <w:rPr>
            <w:rFonts w:ascii="Cambria Math" w:hAnsi="Cambria Math"/>
          </w:rPr>
          <m:t>=-</m:t>
        </m:r>
        <m:r>
          <w:rPr>
            <w:rFonts w:ascii="Cambria Math" w:hAnsi="Cambria Math"/>
          </w:rPr>
          <m:t>8</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e>
        </m:d>
      </m:oMath>
      <w:r>
        <w:t xml:space="preserve"> in (17), with </w:t>
      </w:r>
      <m:oMath>
        <m:r>
          <w:rPr>
            <w:rFonts w:ascii="Cambria Math" w:hAnsi="Cambria Math"/>
          </w:rPr>
          <m:t>M</m:t>
        </m:r>
        <m:r>
          <m:rPr>
            <m:sty m:val="p"/>
          </m:rPr>
          <w:rPr>
            <w:rFonts w:ascii="Cambria Math" w:hAnsi="Cambria Math"/>
          </w:rPr>
          <m:t>=</m:t>
        </m:r>
        <m:r>
          <w:rPr>
            <w:rFonts w:ascii="Cambria Math" w:hAnsi="Cambria Math"/>
          </w:rPr>
          <m:t>3</m:t>
        </m:r>
      </m:oMath>
      <w:r>
        <w:t xml:space="preserve"> and </w:t>
      </w:r>
      <m:oMath>
        <m:r>
          <w:rPr>
            <w:rFonts w:ascii="Cambria Math" w:hAnsi="Cambria Math"/>
          </w:rPr>
          <m:t>η</m:t>
        </m:r>
        <m:r>
          <m:rPr>
            <m:sty m:val="p"/>
          </m:rPr>
          <w:rPr>
            <w:rFonts w:ascii="Cambria Math" w:hAnsi="Cambria Math"/>
          </w:rPr>
          <m:t>=</m:t>
        </m:r>
        <m:r>
          <w:rPr>
            <w:rFonts w:ascii="Cambria Math" w:hAnsi="Cambria Math"/>
          </w:rPr>
          <m:t>0.05</m:t>
        </m:r>
      </m:oMath>
      <w:r>
        <w:t xml:space="preserve">. The population comparator in Table 3 is </w:t>
      </w:r>
      <m:oMath>
        <m:r>
          <m:rPr>
            <m:sty m:val="p"/>
          </m:rPr>
          <w:rPr>
            <w:rFonts w:ascii="Cambria Math" w:hAnsi="Cambria Math"/>
          </w:rPr>
          <m:t>min</m:t>
        </m:r>
        <m:d>
          <m:dPr>
            <m:ctrlPr>
              <w:rPr>
                <w:rFonts w:ascii="Cambria Math" w:hAnsi="Cambria Math"/>
              </w:rPr>
            </m:ctrlPr>
          </m:dPr>
          <m:e>
            <m:r>
              <w:rPr>
                <w:rFonts w:ascii="Cambria Math" w:hAnsi="Cambria Math"/>
              </w:rPr>
              <m:t>1</m:t>
            </m:r>
            <m:r>
              <m:rPr>
                <m:scr m:val="double-struck"/>
                <m:sty m:val="p"/>
              </m:rPr>
              <w:rPr>
                <w:rFonts w:ascii="Cambria Math" w:hAnsi="Cambria Math"/>
              </w:rPr>
              <m:t>,E</m:t>
            </m:r>
            <m:r>
              <w:rPr>
                <w:rFonts w:ascii="Cambria Math" w:hAnsi="Cambria Math"/>
              </w:rPr>
              <m:t>S</m:t>
            </m:r>
            <m:r>
              <m:rPr>
                <m:sty m:val="p"/>
              </m:rPr>
              <w:rPr>
                <w:rFonts w:ascii="Cambria Math" w:hAnsi="Cambria Math"/>
              </w:rPr>
              <m:t>,</m:t>
            </m:r>
            <m:rad>
              <m:radPr>
                <m:degHide m:val="1"/>
                <m:ctrlPr>
                  <w:rPr>
                    <w:rFonts w:ascii="Cambria Math" w:hAnsi="Cambria Math"/>
                  </w:rPr>
                </m:ctrlPr>
              </m:radPr>
              <m:deg/>
              <m:e>
                <m:r>
                  <m:rPr>
                    <m:scr m:val="double-struck"/>
                    <m:sty m:val="p"/>
                  </m:rPr>
                  <w:rPr>
                    <w:rFonts w:ascii="Cambria Math" w:hAnsi="Cambria Math"/>
                  </w:rPr>
                  <m:t>E</m:t>
                </m:r>
                <m:r>
                  <w:rPr>
                    <w:rFonts w:ascii="Cambria Math" w:hAnsi="Cambria Math"/>
                  </w:rPr>
                  <m:t>K</m:t>
                </m:r>
                <m:r>
                  <m:rPr>
                    <m:sty m:val="p"/>
                  </m:rPr>
                  <w:rPr>
                    <w:rFonts w:ascii="Cambria Math" w:hAnsi="Cambria Math"/>
                  </w:rPr>
                  <m:t>/</m:t>
                </m:r>
                <m:r>
                  <w:rPr>
                    <w:rFonts w:ascii="Cambria Math" w:hAnsi="Cambria Math"/>
                  </w:rPr>
                  <m:t>2</m:t>
                </m:r>
              </m:e>
            </m:rad>
          </m:e>
        </m:d>
      </m:oMath>
      <w:r>
        <w:t xml:space="preserve"> obtained by exact tree enumeration. No fitting, threshold tuning, or candidate selection precedes this reported evaluation. The illustrative cost calculation is independent of these trees and uses only the declared assigned costs in Section 4.1.</w:t>
      </w:r>
    </w:p>
    <w:p w14:paraId="0C5EECF1" w14:textId="77777777" w:rsidR="00E250B8" w:rsidRDefault="00000000" w:rsidP="00017828">
      <w:pPr>
        <w:pStyle w:val="BodyText"/>
        <w:jc w:val="both"/>
      </w:pPr>
      <w:r>
        <w:t>The procedure is summarized below. Prefix probabilities, not sampled token indicators, are used inside every local divergence.</w:t>
      </w:r>
    </w:p>
    <w:p w14:paraId="30B48DDA" w14:textId="77777777" w:rsidR="00E250B8" w:rsidRDefault="00000000" w:rsidP="00017828">
      <w:pPr>
        <w:pStyle w:val="BodyText"/>
        <w:ind w:left="259" w:hanging="259"/>
        <w:jc w:val="both"/>
      </w:pPr>
      <w:r>
        <w:t>1. Freeze the reference kernel, each mediated kernel, each gate, and the horizon.</w:t>
      </w:r>
    </w:p>
    <w:p w14:paraId="19B2B5CB" w14:textId="77777777" w:rsidR="00E250B8" w:rsidRDefault="00000000" w:rsidP="00017828">
      <w:pPr>
        <w:pStyle w:val="BodyText"/>
        <w:ind w:left="259" w:hanging="259"/>
        <w:jc w:val="both"/>
      </w:pPr>
      <w:r>
        <w:t>2. Enumerate the finite tree to obtain leaf distributions and population bounds.</w:t>
      </w:r>
    </w:p>
    <w:p w14:paraId="77F4FF2A" w14:textId="77777777" w:rsidR="00E250B8" w:rsidRDefault="00000000" w:rsidP="00017828">
      <w:pPr>
        <w:pStyle w:val="BodyText"/>
        <w:ind w:left="259" w:hanging="259"/>
        <w:jc w:val="both"/>
      </w:pPr>
      <w:r>
        <w:t>3. Draw independent reference trajectories with the declared generator.</w:t>
      </w:r>
    </w:p>
    <w:p w14:paraId="0CEDE6F9" w14:textId="77777777" w:rsidR="00E250B8" w:rsidRDefault="00000000" w:rsidP="00017828">
      <w:pPr>
        <w:pStyle w:val="BodyText"/>
        <w:ind w:left="259" w:hanging="259"/>
        <w:jc w:val="both"/>
      </w:pPr>
      <w:r>
        <w:t>4. Reconstruct every candidate on each common reference prefix.</w:t>
      </w:r>
    </w:p>
    <w:p w14:paraId="1DC2838D" w14:textId="77777777" w:rsidR="00E250B8" w:rsidRDefault="00000000" w:rsidP="00017828">
      <w:pPr>
        <w:pStyle w:val="BodyText"/>
        <w:ind w:left="259" w:hanging="259"/>
        <w:jc w:val="both"/>
      </w:pPr>
      <w:r>
        <w:t>5. Sum local TV contributions and conditional KL within each trajectory.</w:t>
      </w:r>
    </w:p>
    <w:p w14:paraId="4A3D6854" w14:textId="77777777" w:rsidR="00E250B8" w:rsidRDefault="00000000" w:rsidP="00017828">
      <w:pPr>
        <w:pStyle w:val="BodyText"/>
        <w:ind w:left="259" w:hanging="259"/>
        <w:jc w:val="both"/>
      </w:pPr>
      <w:r>
        <w:t>6. Average across trajectories and apply the simultaneous range corrections.</w:t>
      </w:r>
    </w:p>
    <w:p w14:paraId="30D82985" w14:textId="77777777" w:rsidR="00E250B8" w:rsidRDefault="00000000" w:rsidP="00017828">
      <w:pPr>
        <w:pStyle w:val="BodyText"/>
        <w:ind w:left="259" w:hanging="259"/>
        <w:jc w:val="both"/>
      </w:pPr>
      <w:r>
        <w:t>7. Select only among the predefined candidates and record rejected candidates too.</w:t>
      </w:r>
    </w:p>
    <w:p w14:paraId="6FBDA656" w14:textId="77777777" w:rsidR="00E250B8" w:rsidRDefault="00000000" w:rsidP="00017828">
      <w:pPr>
        <w:pStyle w:val="FirstParagraph"/>
        <w:jc w:val="both"/>
      </w:pPr>
      <w:r>
        <w:t>For a real model, replace finite enumeration by held-out task evaluation and measured resource use. The calibration algorithm remains applicable when complete conditional probabilities are accessible, but exact tree truth is then unavailable. Repeating this toy study with more seeds would test numerical robustness; it would not establish Transformer retention or a neurobiological mechanism.</w:t>
      </w:r>
      <w:bookmarkEnd w:id="29"/>
    </w:p>
    <w:sectPr w:rsidR="00E250B8">
      <w:headerReference w:type="default" r:id="rId11"/>
      <w:footerReference w:type="default" r:id="rId12"/>
      <w:pgSz w:w="12240" w:h="15840"/>
      <w:pgMar w:top="1080" w:right="1152" w:bottom="1080" w:left="115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6CBBE" w14:textId="77777777" w:rsidR="004D087B" w:rsidRDefault="004D087B">
      <w:pPr>
        <w:spacing w:after="0" w:line="240" w:lineRule="auto"/>
      </w:pPr>
      <w:r>
        <w:separator/>
      </w:r>
    </w:p>
  </w:endnote>
  <w:endnote w:type="continuationSeparator" w:id="0">
    <w:p w14:paraId="49C2B95B" w14:textId="77777777" w:rsidR="004D087B" w:rsidRDefault="004D0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F345" w14:textId="77777777" w:rsidR="001F608A" w:rsidRDefault="00000000">
    <w:pPr>
      <w:jc w:val="right"/>
    </w:pPr>
    <w:r>
      <w:fldChar w:fldCharType="begin"/>
    </w:r>
    <w:r>
      <w:instrText>PAGE</w:instrText>
    </w:r>
    <w:r>
      <w:fldChar w:fldCharType="separate"/>
    </w:r>
    <w:r w:rsidR="003F79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C9664" w14:textId="77777777" w:rsidR="004D087B" w:rsidRDefault="004D087B">
      <w:r>
        <w:separator/>
      </w:r>
    </w:p>
  </w:footnote>
  <w:footnote w:type="continuationSeparator" w:id="0">
    <w:p w14:paraId="295BF6D4" w14:textId="77777777" w:rsidR="004D087B" w:rsidRDefault="004D0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8A7B" w14:textId="77777777" w:rsidR="001F608A" w:rsidRDefault="00000000">
    <w:pPr>
      <w:spacing w:after="0"/>
    </w:pPr>
    <w:r>
      <w:rPr>
        <w:rFonts w:ascii="Arial" w:hAnsi="Arial"/>
        <w:sz w:val="16"/>
      </w:rPr>
      <w:t>Progressive Architectural Mediation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3A41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7219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608A"/>
    <w:rsid w:val="00017828"/>
    <w:rsid w:val="0007160C"/>
    <w:rsid w:val="001F608A"/>
    <w:rsid w:val="002F3231"/>
    <w:rsid w:val="003F7917"/>
    <w:rsid w:val="004129A5"/>
    <w:rsid w:val="00492239"/>
    <w:rsid w:val="004D087B"/>
    <w:rsid w:val="005B558F"/>
    <w:rsid w:val="005F0FA5"/>
    <w:rsid w:val="00867837"/>
    <w:rsid w:val="00882540"/>
    <w:rsid w:val="00A6156B"/>
    <w:rsid w:val="00BB3977"/>
    <w:rsid w:val="00CA00A0"/>
    <w:rsid w:val="00E250B8"/>
    <w:rsid w:val="00E463BE"/>
    <w:rsid w:val="00EB2823"/>
    <w:rsid w:val="00ED13FF"/>
    <w:rsid w:val="00ED1AF7"/>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1285"/>
  <w15:docId w15:val="{04A94C38-8954-43D3-BA8E-50532F81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280" w:after="140"/>
      <w:outlineLvl w:val="0"/>
    </w:pPr>
    <w:rPr>
      <w:rFonts w:ascii="Arial" w:hAnsi="Arial" w:cstheme="majorBidi"/>
      <w:b/>
      <w:bCs/>
      <w:sz w:val="28"/>
      <w:szCs w:val="32"/>
    </w:rPr>
  </w:style>
  <w:style w:type="paragraph" w:styleId="Heading2">
    <w:name w:val="heading 2"/>
    <w:basedOn w:val="Normal"/>
    <w:next w:val="BodyText"/>
    <w:uiPriority w:val="9"/>
    <w:unhideWhenUsed/>
    <w:qFormat/>
    <w:pPr>
      <w:keepNext/>
      <w:keepLines/>
      <w:spacing w:before="280" w:after="140"/>
      <w:outlineLvl w:val="1"/>
    </w:pPr>
    <w:rPr>
      <w:rFonts w:ascii="Arial" w:hAnsi="Arial" w:cstheme="majorBidi"/>
      <w:b/>
      <w:bCs/>
      <w:sz w:val="24"/>
      <w:szCs w:val="28"/>
    </w:rPr>
  </w:style>
  <w:style w:type="paragraph" w:styleId="Heading3">
    <w:name w:val="heading 3"/>
    <w:basedOn w:val="Normal"/>
    <w:next w:val="BodyText"/>
    <w:uiPriority w:val="9"/>
    <w:unhideWhenUsed/>
    <w:qFormat/>
    <w:pPr>
      <w:keepNext/>
      <w:keepLines/>
      <w:spacing w:before="200" w:after="0"/>
      <w:outlineLvl w:val="2"/>
    </w:pPr>
    <w:rPr>
      <w:rFonts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cstheme="majorBidi"/>
      <w:iCs/>
      <w:sz w:val="24"/>
    </w:rPr>
  </w:style>
  <w:style w:type="paragraph" w:styleId="Heading6">
    <w:name w:val="heading 6"/>
    <w:basedOn w:val="Normal"/>
    <w:next w:val="BodyText"/>
    <w:uiPriority w:val="9"/>
    <w:unhideWhenUsed/>
    <w:qFormat/>
    <w:pPr>
      <w:keepNext/>
      <w:keepLines/>
      <w:spacing w:before="200" w:after="0"/>
      <w:outlineLvl w:val="5"/>
    </w:pPr>
    <w:rPr>
      <w:rFonts w:cstheme="majorBidi"/>
      <w:sz w:val="24"/>
    </w:rPr>
  </w:style>
  <w:style w:type="paragraph" w:styleId="Heading7">
    <w:name w:val="heading 7"/>
    <w:basedOn w:val="Normal"/>
    <w:next w:val="BodyText"/>
    <w:uiPriority w:val="9"/>
    <w:unhideWhenUsed/>
    <w:qFormat/>
    <w:pPr>
      <w:keepNext/>
      <w:keepLines/>
      <w:spacing w:before="200" w:after="0"/>
      <w:outlineLvl w:val="6"/>
    </w:pPr>
    <w:rPr>
      <w:rFonts w:cstheme="majorBidi"/>
      <w:sz w:val="24"/>
    </w:rPr>
  </w:style>
  <w:style w:type="paragraph" w:styleId="Heading8">
    <w:name w:val="heading 8"/>
    <w:basedOn w:val="Normal"/>
    <w:next w:val="BodyText"/>
    <w:uiPriority w:val="9"/>
    <w:unhideWhenUsed/>
    <w:qFormat/>
    <w:pPr>
      <w:keepNext/>
      <w:keepLines/>
      <w:spacing w:before="200" w:after="0"/>
      <w:outlineLvl w:val="7"/>
    </w:pPr>
    <w:rPr>
      <w:rFonts w:cstheme="majorBidi"/>
      <w:sz w:val="24"/>
    </w:rPr>
  </w:style>
  <w:style w:type="paragraph" w:styleId="Heading9">
    <w:name w:val="heading 9"/>
    <w:basedOn w:val="Normal"/>
    <w:next w:val="BodyText"/>
    <w:uiPriority w:val="9"/>
    <w:unhideWhenUsed/>
    <w:qFormat/>
    <w:pPr>
      <w:keepNext/>
      <w:keepLines/>
      <w:spacing w:before="200" w:after="0"/>
      <w:outlineLvl w:val="8"/>
    </w:pPr>
    <w:rPr>
      <w:rFonts w:cstheme="majorBid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Normal"/>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40" w:line="252" w:lineRule="auto"/>
      <w:jc w:val="center"/>
    </w:pPr>
    <w:rPr>
      <w:rFonts w:ascii="Arial" w:hAnsi="Arial" w:cstheme="majorBidi"/>
      <w:b/>
      <w:bCs/>
      <w:sz w:val="42"/>
      <w:szCs w:val="36"/>
    </w:rPr>
  </w:style>
  <w:style w:type="paragraph" w:styleId="Subtitle">
    <w:name w:val="Subtitle"/>
    <w:basedOn w:val="Title"/>
    <w:next w:val="BodyText"/>
    <w:qFormat/>
    <w:rPr>
      <w:sz w:val="24"/>
      <w:szCs w:val="30"/>
    </w:rPr>
  </w:style>
  <w:style w:type="paragraph" w:customStyle="1" w:styleId="Author">
    <w:name w:val="Author"/>
    <w:next w:val="BodyText"/>
    <w:qFormat/>
    <w:pPr>
      <w:keepNext/>
      <w:keepLines/>
      <w:jc w:val="center"/>
    </w:pPr>
    <w:rPr>
      <w:rFonts w:ascii="Times New Roman" w:hAnsi="Times New Roman"/>
      <w:color w:val="000000"/>
    </w:rPr>
  </w:style>
  <w:style w:type="paragraph" w:styleId="Date">
    <w:name w:val="Date"/>
    <w:next w:val="BodyText"/>
    <w:qFormat/>
    <w:pPr>
      <w:keepNext/>
      <w:keepLines/>
      <w:jc w:val="center"/>
    </w:pPr>
    <w:rPr>
      <w:rFonts w:ascii="Times New Roman" w:hAnsi="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olor w:val="000000"/>
    </w:rPr>
  </w:style>
  <w:style w:type="character" w:customStyle="1" w:styleId="VerbatimChar">
    <w:name w:val="Verbatim Char"/>
    <w:basedOn w:val="CaptionChar"/>
    <w:link w:val="SourceCode"/>
    <w:rPr>
      <w:rFonts w:ascii="Times New Roman" w:hAnsi="Times New Roman"/>
      <w:color w:val="000000"/>
      <w:sz w:val="22"/>
    </w:rPr>
  </w:style>
  <w:style w:type="character" w:customStyle="1" w:styleId="SectionNumber">
    <w:name w:val="Section Number"/>
    <w:basedOn w:val="CaptionChar"/>
    <w:rPr>
      <w:rFonts w:ascii="Times New Roman" w:hAnsi="Times New Roman"/>
      <w:color w:val="000000"/>
    </w:rPr>
  </w:style>
  <w:style w:type="character" w:styleId="FootnoteReference">
    <w:name w:val="footnote reference"/>
    <w:basedOn w:val="CaptionChar"/>
    <w:rPr>
      <w:rFonts w:ascii="Times New Roman" w:hAnsi="Times New Roman"/>
      <w:color w:val="000000"/>
      <w:vertAlign w:val="superscript"/>
    </w:rPr>
  </w:style>
  <w:style w:type="character" w:styleId="Hyperlink">
    <w:name w:val="Hyperlink"/>
    <w:basedOn w:val="CaptionChar"/>
    <w:rPr>
      <w:rFonts w:ascii="Times New Roman" w:hAnsi="Times New Roman"/>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 w:type="character" w:styleId="UnresolvedMention">
    <w:name w:val="Unresolved Mention"/>
    <w:basedOn w:val="DefaultParagraphFont"/>
    <w:uiPriority w:val="99"/>
    <w:semiHidden/>
    <w:unhideWhenUsed/>
    <w:rsid w:val="00492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758/s13421-011-0158-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debiprasadghosh/ResearchOverFlow/tree/main/October2026/NeocortexCVVC" TargetMode="External"/><Relationship Id="rId4" Type="http://schemas.openxmlformats.org/officeDocument/2006/relationships/webSettings" Target="webSettings.xml"/><Relationship Id="rId9" Type="http://schemas.openxmlformats.org/officeDocument/2006/relationships/hyperlink" Target="https://doi.org/10.13140/RG.2.2.23622.4384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22</Pages>
  <Words>11703</Words>
  <Characters>66712</Characters>
  <Application>Microsoft Office Word</Application>
  <DocSecurity>0</DocSecurity>
  <Lines>555</Lines>
  <Paragraphs>156</Paragraphs>
  <ScaleCrop>false</ScaleCrop>
  <Company/>
  <LinksUpToDate>false</LinksUpToDate>
  <CharactersWithSpaces>78259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Architectural Mediation</dc:title>
  <dc:subject>MVVM refactoring CVVC migration and neocortical organization</dc:subject>
  <dc:creator>Debi Prasad Ghosh</dc:creator>
  <cp:keywords>MVVM; CVVC; neocortex; corticothalamic; mediation; capability retention</cp:keywords>
  <dc:description>Revision 3; 16 October 2026</dc:description>
  <cp:lastModifiedBy>Debiprasad Ghosh</cp:lastModifiedBy>
  <cp:revision>11</cp:revision>
  <cp:lastPrinted>2026-10-16T06:23:00Z</cp:lastPrinted>
  <dcterms:created xsi:type="dcterms:W3CDTF">2026-10-10T12:05:00Z</dcterms:created>
  <dcterms:modified xsi:type="dcterms:W3CDTF">2026-10-16T06:32:00Z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Conceptual research manuscript • 10 October 2026</vt:lpwstr>
  </property>
  <property fmtid="{D5CDD505-2E9C-101B-9397-08002B2CF9AE}" pid="3" name="subtitle">
    <vt:lpwstr>Comparing MVVM Refactoring CVVC Migration and Neocortical Organization</vt:lpwstr>
  </property>
</Properties>
</file>