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589EA" w14:textId="77777777" w:rsidR="000000DC" w:rsidRPr="00351DF2" w:rsidRDefault="00000000" w:rsidP="00351DF2">
      <w:pPr>
        <w:pStyle w:val="Title"/>
        <w:widowControl/>
        <w:jc w:val="center"/>
        <w:rPr>
          <w:sz w:val="160"/>
          <w:szCs w:val="180"/>
        </w:rPr>
      </w:pPr>
      <w:r w:rsidRPr="00351DF2">
        <w:rPr>
          <w:rFonts w:ascii="DejaVu Serif" w:eastAsia="DejaVu Serif" w:hAnsi="DejaVu Serif" w:cs="DejaVu Serif"/>
          <w:color w:val="000000"/>
          <w:sz w:val="46"/>
          <w:szCs w:val="64"/>
        </w:rPr>
        <w:t>Sheaf Based Programming Paradigm</w:t>
      </w:r>
    </w:p>
    <w:p w14:paraId="13A898FF" w14:textId="77777777" w:rsidR="000000DC" w:rsidRPr="00351DF2" w:rsidRDefault="00000000" w:rsidP="00351DF2">
      <w:pPr>
        <w:pStyle w:val="Subtitle"/>
        <w:widowControl/>
        <w:jc w:val="center"/>
        <w:rPr>
          <w:color w:val="00B0F0"/>
        </w:rPr>
      </w:pPr>
      <w:r w:rsidRPr="00351DF2">
        <w:rPr>
          <w:rFonts w:ascii="DejaVu Serif" w:eastAsia="DejaVu Serif" w:hAnsi="DejaVu Serif" w:cs="DejaVu Serif"/>
          <w:color w:val="000000"/>
          <w:sz w:val="24"/>
        </w:rPr>
        <w:t>Mathematical foundations of contextual computation and memory consolidation</w:t>
      </w:r>
    </w:p>
    <w:p w14:paraId="460230F3" w14:textId="77777777" w:rsidR="000000DC" w:rsidRDefault="00000000" w:rsidP="00351DF2">
      <w:pPr>
        <w:widowControl/>
        <w:jc w:val="center"/>
      </w:pPr>
      <w:r>
        <w:rPr>
          <w:rFonts w:ascii="DejaVu Serif" w:hAnsi="DejaVu Serif" w:eastAsia="DejaVu Serif" w:cs="DejaVu Serif"/>
          <w:color w:val="000000"/>
          <w:sz w:val="20"/>
        </w:rPr>
        <w:t>Debi Prasad Ghosh</w:t>
        <w:br/>
        <w:t>Founder and Principal Engineer, Debias Parametric Guru</w:t>
        <w:br/>
        <w:t>Kolkata, India · debiprasadghosh@gmail.com</w:t>
        <w:br/>
        <w:t>21 October 2026 · Version 7 · Calibration, group-valued transport and compiled runtime</w:t>
      </w:r>
    </w:p>
    <w:p w14:paraId="5D1CAA99" w14:textId="77777777" w:rsidR="000000DC" w:rsidRDefault="00000000" w:rsidP="00351DF2">
      <w:pPr>
        <w:pStyle w:val="Heading1"/>
        <w:widowControl/>
        <w:jc w:val="both"/>
      </w:pPr>
      <w:r>
        <w:rPr>
          <w:rFonts w:ascii="DejaVu Serif" w:eastAsia="DejaVu Serif" w:hAnsi="DejaVu Serif" w:cs="DejaVu Serif"/>
          <w:b/>
          <w:color w:val="000000"/>
          <w:sz w:val="26"/>
        </w:rPr>
        <w:t>Abstract</w:t>
      </w:r>
    </w:p>
    <w:p w14:paraId="2FC9A4FF" w14:textId="77777777" w:rsidR="000000DC" w:rsidRDefault="00000000" w:rsidP="00351DF2">
      <w:pPr>
        <w:widowControl/>
        <w:jc w:val="both"/>
      </w:pPr>
      <w:r>
        <w:rPr>
          <w:rFonts w:ascii="DejaVu Serif" w:hAnsi="DejaVu Serif" w:eastAsia="DejaVu Serif" w:cs="DejaVu Serif"/>
          <w:color w:val="000000"/>
          <w:sz w:val="20"/>
        </w:rPr>
        <w:t>We propose a sheaf based programming paradigm organised around a neocortex–thalamus–hippocampus architecture. Contextual population states and their transformations replace the memory cell and function call as the main units of organisation, while functions remain mathematical maps. The mathematical core distinguishes overlap disagreement, transition nonclosure and closed obstruction classes, and supplies gluing, repair, locality and extension contracts. The neural interpretation starts from the evolutionary diversification of pallial cell types and circuits, rather than a literal doubling of three ancestral layers. A recurrent cortical module proposes representations and transformations, a thalamic module routes signals and regulates coupling, and a hippocampal module binds, retains and replays episodes. Six neocortical layers guide distinct interfaces without being identified with six serial computational stages. Primary studies constrain the mapping, including recent comparative cell atlases and interregional sleep recordings. We distinguish observed circuitry, functional interpretations and engineering assignments. Place field and replay simulations are rerun and reinterpreted as mathematical surrogates. Exact software certification is kept distinct from neuronal coincidence, and additional brain systems are mapped to optional features with explicit sheaf constructions and failure conditions.</w:t>
      </w:r>
      <w:r>
        <w:rPr>
          <w:rFonts w:ascii="DejaVu Serif" w:hAnsi="DejaVu Serif" w:eastAsia="DejaVu Serif" w:cs="DejaVu Serif"/>
          <w:b w:val="0"/>
          <w:i w:val="0"/>
          <w:color w:val="000000"/>
          <w:sz w:val="20"/>
        </w:rPr>
        <w:t xml:space="preserve"> Version 7 adds four results. The verifier is calibrated exactly: closure and obstruction become independent χ² tests whose power equals the repair cost. Transport is extended to groups, with holonomy certificates, a verified counterexample showing that homology bases do not certify nonabelian triviality, and certified synchronisation of planar rigid motions. Restriction maps estimated from population recordings get gauge-invariant tests, which also expose the attenuation bias that makes naive estimates report spurious holonomy. Finally, the C# reference runtime is compiled and cross-checked against the Python harness.</w:t>
      </w:r>
    </w:p>
    <w:p w14:paraId="65CB9650" w14:textId="77777777" w:rsidR="000000DC" w:rsidRDefault="00000000" w:rsidP="00351DF2">
      <w:pPr>
        <w:pStyle w:val="Heading1"/>
        <w:widowControl/>
        <w:jc w:val="both"/>
      </w:pPr>
      <w:r>
        <w:rPr>
          <w:rFonts w:ascii="DejaVu Serif" w:eastAsia="DejaVu Serif" w:hAnsi="DejaVu Serif" w:cs="DejaVu Serif"/>
          <w:b/>
          <w:color w:val="000000"/>
          <w:sz w:val="26"/>
        </w:rPr>
        <w:t>1 Scope and mathematical regimes</w:t>
      </w:r>
    </w:p>
    <w:p w14:paraId="4E52666F" w14:textId="77777777" w:rsidR="000000DC" w:rsidRDefault="00000000" w:rsidP="00351DF2">
      <w:pPr>
        <w:widowControl/>
        <w:jc w:val="both"/>
      </w:pPr>
      <w:r>
        <w:rPr>
          <w:rFonts w:ascii="DejaVu Serif" w:hAnsi="DejaVu Serif" w:eastAsia="DejaVu Serif" w:cs="DejaVu Serif"/>
          <w:color w:val="000000"/>
          <w:sz w:val="20"/>
        </w:rPr>
        <w:t>The original proposal treats a section as a primitive for context dependent state. We retain that thesis while making its obligations explicit. A section does not eliminate functions: restriction maps, transformations and evaluators remain functions. The proposed change is to make context, compatibility and evidence of extension part of a program’s interface. A one point space recovers ordinary sets and functions; it does not establish a new computational universality theorem.</w:t>
      </w:r>
    </w:p>
    <w:p w14:paraId="4A309554" w14:textId="77777777" w:rsidR="000000DC" w:rsidRDefault="00000000" w:rsidP="00351DF2">
      <w:pPr>
        <w:widowControl/>
        <w:jc w:val="both"/>
      </w:pPr>
      <w:r>
        <w:rPr>
          <w:rFonts w:ascii="DejaVu Serif" w:hAnsi="DejaVu Serif" w:eastAsia="DejaVu Serif" w:cs="DejaVu Serif"/>
          <w:color w:val="000000"/>
          <w:sz w:val="20"/>
        </w:rPr>
        <w:t>Three regimes must be distinguished. In the general semantic regime, F is a sheaf of sets on a topological space X, or on a specified site. In the abelian regime, F takes values in abelian groups, permitting Čech and derived cohomology. In the executable regime, a finite regular cell complex K carries finite dimensional vector spaces and linear incidence maps. Sparse linear algebra implements this last regime, not every feature of arbitrary sites, internal logic or stacks.</w:t>
      </w:r>
    </w:p>
    <w:p w14:paraId="44DD8BA9" w14:textId="77777777" w:rsidR="000000DC" w:rsidRDefault="00000000" w:rsidP="00351DF2">
      <w:pPr>
        <w:widowControl/>
        <w:jc w:val="both"/>
      </w:pPr>
      <w:r>
        <w:rPr>
          <w:rFonts w:ascii="DejaVu Serif" w:hAnsi="DejaVu Serif" w:eastAsia="DejaVu Serif" w:cs="DejaVu Serif"/>
          <w:color w:val="000000"/>
          <w:sz w:val="20"/>
        </w:rPr>
        <w:t>Unless stated otherwise, finite real cochain spaces have chosen Euclidean inner products. A dagger denotes the Moore–Penrose pseudoinverse. Over a finite field, rank and exact solvability replace norms and orthogonality. Hᵖ(X,F), fixed cover Čech cohomology, and cellular Hᵖ(K,F) are distinct objects; comparisons require stated hypotheses. The foundational sources are [1–8].</w:t>
      </w:r>
    </w:p>
    <w:p w14:paraId="0243AB90" w14:textId="77777777" w:rsidR="000000DC" w:rsidRDefault="00000000" w:rsidP="00351DF2">
      <w:pPr>
        <w:pStyle w:val="Heading1"/>
        <w:widowControl/>
        <w:jc w:val="both"/>
      </w:pPr>
      <w:r>
        <w:rPr>
          <w:rFonts w:ascii="DejaVu Serif" w:eastAsia="DejaVu Serif" w:hAnsi="DejaVu Serif" w:cs="DejaVu Serif"/>
          <w:b/>
          <w:color w:val="000000"/>
          <w:sz w:val="26"/>
        </w:rPr>
        <w:t>2 Sections and certified gluing</w:t>
      </w:r>
    </w:p>
    <w:p w14:paraId="79196CA1" w14:textId="77777777" w:rsidR="000000DC" w:rsidRDefault="00000000" w:rsidP="00351DF2">
      <w:pPr>
        <w:widowControl/>
        <w:jc w:val="both"/>
      </w:pPr>
      <w:r>
        <w:rPr>
          <w:rFonts w:ascii="DejaVu Serif" w:hAnsi="DejaVu Serif" w:eastAsia="DejaVu Serif" w:cs="DejaVu Serif"/>
          <w:color w:val="000000"/>
          <w:sz w:val="20"/>
        </w:rPr>
        <w:t>Let O(X) be the poset of open subsets. A presheaf is a contravariant functor F from O(X) to sets. For V contained in U, write ρᵁᵥ for restriction, with identity restrictions and ρᵛʷρᵁᵥ = ρᵁʷ. For a cover U = ⋃ᵢUᵢ, define Match(F,U) to be the families whose restrictions to every pairwise overlap are equal.</w:t>
      </w:r>
    </w:p>
    <w:p w14:paraId="5F695AF8" w14:textId="77777777" w:rsidR="000000DC" w:rsidRDefault="00000000" w:rsidP="00351DF2">
      <w:pPr>
        <w:keepNext/>
        <w:widowControl/>
        <w:jc w:val="both"/>
      </w:pPr>
      <w:r>
        <w:rPr>
          <w:rFonts w:ascii="DejaVu Serif" w:hAnsi="DejaVu Serif" w:eastAsia="DejaVu Serif" w:cs="DejaVu Serif"/>
          <w:b/>
          <w:color w:val="000000"/>
          <w:sz w:val="20"/>
        </w:rPr>
        <w:lastRenderedPageBreak/>
        <w:t xml:space="preserve">Theorem 2.1  Exact gluing contract. </w:t>
      </w:r>
      <w:r>
        <w:rPr>
          <w:rFonts w:ascii="DejaVu Serif" w:hAnsi="DejaVu Serif" w:eastAsia="DejaVu Serif" w:cs="DejaVu Serif"/>
          <w:color w:val="000000"/>
          <w:sz w:val="20"/>
        </w:rPr>
        <w:t>F is a sheaf if and only if the map F(U) → Match(F,U), sending a section to its restrictions, is bijective for every declared open cover.</w:t>
      </w:r>
    </w:p>
    <w:p w14:paraId="67D3BE06"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sheaf existence axiom gives surjectivity and the separation axiom gives injectivity. Conversely, bijectivity supplies existence and uniqueness for every compatible family. Thus the two formulations are equivalent. □</w:t>
      </w:r>
    </w:p>
    <w:p w14:paraId="412DD587" w14:textId="77777777" w:rsidR="000000DC" w:rsidRDefault="00000000" w:rsidP="00351DF2">
      <w:pPr>
        <w:widowControl/>
        <w:jc w:val="both"/>
      </w:pPr>
      <w:r>
        <w:rPr>
          <w:rFonts w:ascii="DejaVu Serif" w:hAnsi="DejaVu Serif" w:eastAsia="DejaVu Serif" w:cs="DejaVu Serif"/>
          <w:color w:val="000000"/>
          <w:sz w:val="20"/>
        </w:rPr>
        <w:t>A certified glue operation accepts a matching family and produces its unique amalgamation. An incompatible family may yield a concrete overlap witness, but does not automatically yield an H¹ class. An implementation must either construct the amalgamation, use a representation in which the matching family itself represents it, or provide a proved reconstruction algorithm. The abstract sheaf axiom supplies existence, not a complexity bound.</w:t>
      </w:r>
    </w:p>
    <w:p w14:paraId="166584B8" w14:textId="77777777" w:rsidR="000000DC" w:rsidRDefault="00000000" w:rsidP="00351DF2">
      <w:pPr>
        <w:keepNext/>
        <w:widowControl/>
        <w:jc w:val="both"/>
      </w:pPr>
      <w:r>
        <w:rPr>
          <w:rFonts w:ascii="DejaVu Serif" w:hAnsi="DejaVu Serif" w:eastAsia="DejaVu Serif" w:cs="DejaVu Serif"/>
          <w:b/>
          <w:color w:val="000000"/>
          <w:sz w:val="20"/>
        </w:rPr>
        <w:t xml:space="preserve">Proposition 2.2  Naturality preserves consolidation. </w:t>
      </w:r>
      <w:r>
        <w:rPr>
          <w:rFonts w:ascii="DejaVu Serif" w:hAnsi="DejaVu Serif" w:eastAsia="DejaVu Serif" w:cs="DejaVu Serif"/>
          <w:color w:val="000000"/>
          <w:sz w:val="20"/>
        </w:rPr>
        <w:t>If φ:F → G is a natural transformation of sheaves, applying φ before gluing equals applying φ after gluing.</w:t>
      </w:r>
    </w:p>
    <w:p w14:paraId="4FA1572B"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Let s glue the family sᵢ. Naturality gives ρφ(s)=φ(ρs)=φ(sᵢ) on each Uᵢ. Uniqueness of gluing in G identifies φ(s) with the amalgamation of the transformed family. □</w:t>
      </w:r>
    </w:p>
    <w:p w14:paraId="7B99DBAB" w14:textId="77777777" w:rsidR="000000DC" w:rsidRDefault="00000000" w:rsidP="00351DF2">
      <w:pPr>
        <w:widowControl/>
        <w:jc w:val="both"/>
      </w:pPr>
      <w:r>
        <w:rPr>
          <w:rFonts w:ascii="DejaVu Serif" w:hAnsi="DejaVu Serif" w:eastAsia="DejaVu Serif" w:cs="DejaVu Serif"/>
          <w:color w:val="000000"/>
          <w:sz w:val="20"/>
        </w:rPr>
        <w:t>A finite linear compiler checks this law on incidence generators: for every face relation σ ≤ τ, require φτFστ = Gστφσ. Equality on generators implies equality along all composable face relations. For nonlinear transformations, finite matrix checks no longer suffice.</w:t>
      </w:r>
    </w:p>
    <w:p w14:paraId="588D2129" w14:textId="77777777" w:rsidR="000000DC" w:rsidRDefault="00000000" w:rsidP="00351DF2">
      <w:pPr>
        <w:keepNext/>
        <w:widowControl/>
        <w:jc w:val="both"/>
      </w:pPr>
      <w:r>
        <w:rPr>
          <w:rFonts w:ascii="DejaVu Serif" w:hAnsi="DejaVu Serif" w:eastAsia="DejaVu Serif" w:cs="DejaVu Serif"/>
          <w:b/>
          <w:color w:val="000000"/>
          <w:sz w:val="20"/>
        </w:rPr>
        <w:t xml:space="preserve">Proposition 2.3  Sheafification preserves local inequality of germs. </w:t>
      </w:r>
      <w:r>
        <w:rPr>
          <w:rFonts w:ascii="DejaVu Serif" w:hAnsi="DejaVu Serif" w:eastAsia="DejaVu Serif" w:cs="DejaVu Serif"/>
          <w:color w:val="000000"/>
          <w:sz w:val="20"/>
        </w:rPr>
        <w:t>For a presheaf P on a topological space, the unit P → aP induces stalk isomorphisms. In particular, fragments with different germs at an overlap point remain different there after sheafification.</w:t>
      </w:r>
    </w:p>
    <w:p w14:paraId="393E0D6B"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Construct aP as locally represented sections of the étalé space of germs of P. A germ of such a section is represented by a germ of P, proving surjectivity on stalks. Two representatives coincide in the new stalk precisely when their original germs agree, proving injectivity. □</w:t>
      </w:r>
    </w:p>
    <w:p w14:paraId="1C958E73" w14:textId="77777777" w:rsidR="000000DC" w:rsidRDefault="00000000" w:rsidP="00351DF2">
      <w:pPr>
        <w:widowControl/>
        <w:jc w:val="both"/>
      </w:pPr>
      <w:r>
        <w:rPr>
          <w:rFonts w:ascii="DejaVu Serif" w:hAnsi="DejaVu Serif" w:eastAsia="DejaVu Serif" w:cs="DejaVu Serif"/>
          <w:color w:val="000000"/>
          <w:sz w:val="20"/>
        </w:rPr>
        <w:t>Sheafification is consequently a universal completion, not a numerical conflict repair. Sections that differ globally but are locally equal can be identified. On a general site, write aP for the associated sheaf; in the standard plus construction aP = P⁺⁺, while P⁺ is already sufficient when P is separated [7]. A pointwise stalk account need not be available on an arbitrary site.</w:t>
      </w:r>
    </w:p>
    <w:p w14:paraId="30869DAE" w14:textId="77777777" w:rsidR="000000DC" w:rsidRDefault="00000000" w:rsidP="00351DF2">
      <w:pPr>
        <w:pStyle w:val="Heading1"/>
        <w:widowControl/>
        <w:jc w:val="both"/>
      </w:pPr>
      <w:r>
        <w:rPr>
          <w:rFonts w:ascii="DejaVu Serif" w:eastAsia="DejaVu Serif" w:hAnsi="DejaVu Serif" w:cs="DejaVu Serif"/>
          <w:b/>
          <w:color w:val="000000"/>
          <w:sz w:val="26"/>
        </w:rPr>
        <w:t>3 The consistency ledger and three different failures</w:t>
      </w:r>
    </w:p>
    <w:p w14:paraId="375BF620" w14:textId="77777777" w:rsidR="000000DC" w:rsidRDefault="00000000" w:rsidP="00351DF2">
      <w:pPr>
        <w:widowControl/>
        <w:jc w:val="both"/>
      </w:pPr>
      <w:r>
        <w:rPr>
          <w:rFonts w:ascii="DejaVu Serif" w:hAnsi="DejaVu Serif" w:eastAsia="DejaVu Serif" w:cs="DejaVu Serif"/>
          <w:color w:val="000000"/>
          <w:sz w:val="20"/>
        </w:rPr>
        <w:t>For a finite open cover and an abelian sheaf, define Cᵖ as the product of F(Uᵢ₀ ∩ ⋯ ∩ Uᵢₚ) over strictly increasing index tuples. Empty intersections contribute zero. All terms of a coboundary are restricted to the common intersection before addition.</w:t>
      </w:r>
    </w:p>
    <w:p w14:paraId="5DFE0243" w14:textId="77777777" w:rsidR="000000DC" w:rsidRDefault="00000000" w:rsidP="00351DF2">
      <w:pPr>
        <w:widowControl/>
        <w:spacing w:before="60" w:after="140"/>
        <w:jc w:val="both"/>
      </w:pPr>
      <w:r>
        <w:rPr>
          <w:rFonts w:ascii="DejaVu Serif" w:hAnsi="DejaVu Serif" w:eastAsia="DejaVu Serif" w:cs="DejaVu Serif"/>
          <w:color w:val="000000"/>
          <w:sz w:val="20"/>
        </w:rPr>
        <w:t>(dᵖc)ᵢ₀…ᵢₚ₊₁ = Σₐ (−1)ᵃ cᵢ₀…îₐ…ᵢₚ₊₁ | Uᵢ₀…ᵢₚ₊₁</w:t>
      </w:r>
    </w:p>
    <w:p w14:paraId="74A9BFF8" w14:textId="77777777" w:rsidR="000000DC" w:rsidRDefault="00000000" w:rsidP="00351DF2">
      <w:pPr>
        <w:keepNext/>
        <w:widowControl/>
        <w:jc w:val="both"/>
      </w:pPr>
      <w:r>
        <w:rPr>
          <w:rFonts w:ascii="DejaVu Serif" w:hAnsi="DejaVu Serif" w:eastAsia="DejaVu Serif" w:cs="DejaVu Serif"/>
          <w:b/>
          <w:color w:val="000000"/>
          <w:sz w:val="20"/>
        </w:rPr>
        <w:t xml:space="preserve">Lemma 3.1  The consistency operator is a differential. </w:t>
      </w:r>
      <w:r>
        <w:rPr>
          <w:rFonts w:ascii="DejaVu Serif" w:hAnsi="DejaVu Serif" w:eastAsia="DejaVu Serif" w:cs="DejaVu Serif"/>
          <w:color w:val="000000"/>
          <w:sz w:val="20"/>
        </w:rPr>
        <w:t>dᵖ⁺¹dᵖ = 0.</w:t>
      </w:r>
    </w:p>
    <w:p w14:paraId="2F36820F"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For each term obtained by deleting two indices, there are exactly two deletion orders. Functoriality makes their restrictions equal, and their signs are opposite. They cancel pairwise, including in characteristic two where their sum is zero. □</w:t>
      </w:r>
    </w:p>
    <w:p w14:paraId="592841C1" w14:textId="77777777" w:rsidR="000000DC" w:rsidRDefault="00000000" w:rsidP="00351DF2">
      <w:pPr>
        <w:widowControl/>
        <w:spacing w:before="60" w:after="140"/>
        <w:jc w:val="both"/>
      </w:pPr>
      <w:r>
        <w:rPr>
          <w:rFonts w:ascii="DejaVu Serif" w:hAnsi="DejaVu Serif" w:eastAsia="DejaVu Serif" w:cs="DejaVu Serif"/>
          <w:color w:val="000000"/>
          <w:sz w:val="20"/>
        </w:rPr>
        <w:t>H⁰ = ker d⁰,     H¹ = ker d¹ / im d⁰</w:t>
      </w:r>
    </w:p>
    <w:p w14:paraId="786F6DD0" w14:textId="77777777" w:rsidR="000000DC" w:rsidRDefault="00000000" w:rsidP="00351DF2">
      <w:pPr>
        <w:widowControl/>
        <w:jc w:val="both"/>
      </w:pPr>
      <w:r>
        <w:rPr>
          <w:rFonts w:ascii="DejaVu Serif" w:hAnsi="DejaVu Serif" w:eastAsia="DejaVu Serif" w:cs="DejaVu Serif"/>
          <w:color w:val="000000"/>
          <w:sz w:val="20"/>
        </w:rPr>
        <w:t>For a sheaf on a cover of X, the first equality identifies H⁰ with F(X). A local assignment s has a disagreement r=d⁰s. Independent transition measurements form a different input g∈C¹. They may or may not equal d⁰s for some s.</w:t>
      </w:r>
    </w:p>
    <w:p w14:paraId="65D4C98F" w14:textId="77777777" w:rsidR="000000DC" w:rsidRDefault="00000000" w:rsidP="00351DF2">
      <w:pPr>
        <w:keepNext/>
        <w:widowControl/>
        <w:jc w:val="both"/>
      </w:pPr>
      <w:r>
        <w:rPr>
          <w:rFonts w:ascii="DejaVu Serif" w:hAnsi="DejaVu Serif" w:eastAsia="DejaVu Serif" w:cs="DejaVu Serif"/>
          <w:b/>
          <w:color w:val="000000"/>
          <w:sz w:val="20"/>
        </w:rPr>
        <w:lastRenderedPageBreak/>
        <w:t xml:space="preserve">Proposition 3.2  A disagreement is never a nonzero cohomology class. </w:t>
      </w:r>
      <w:r>
        <w:rPr>
          <w:rFonts w:ascii="DejaVu Serif" w:hAnsi="DejaVu Serif" w:eastAsia="DejaVu Serif" w:cs="DejaVu Serif"/>
          <w:color w:val="000000"/>
          <w:sz w:val="20"/>
        </w:rPr>
        <w:t>For every s∈C⁰, r=d⁰s is closed and its class in H¹ is zero. For arbitrary g∈C¹, a cohomology class [g] exists only if d¹g=0; when it exists, [g]=0 exactly when g=d⁰s for some s.</w:t>
      </w:r>
    </w:p>
    <w:p w14:paraId="2F455CAD"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Closedness follows from Lemma 3.1. The image of d⁰ is the subspace quotiented out in H¹. The remaining assertions are the definition of the quotient ker d¹ / im d⁰. □</w:t>
      </w:r>
    </w:p>
    <w:p w14:paraId="130117A4" w14:textId="77777777" w:rsidR="000000DC" w:rsidRDefault="00000000" w:rsidP="00351DF2">
      <w:pPr>
        <w:widowControl/>
        <w:jc w:val="both"/>
      </w:pPr>
      <w:r>
        <w:rPr>
          <w:rFonts w:ascii="DejaVu Serif" w:hAnsi="DejaVu Serif" w:eastAsia="DejaVu Serif" w:cs="DejaVu Serif"/>
          <w:color w:val="000000"/>
          <w:sz w:val="20"/>
        </w:rPr>
        <w:t>The runtime therefore has three distinct diagnoses. A local state failure is d⁰s≠0. A transition closure failure is d¹g≠0. A topological obstruction is d¹g=0 but g outside im d⁰. Calling all three “nonzero H¹” loses information and can yield a false diagnosis.</w:t>
      </w:r>
    </w:p>
    <w:p w14:paraId="2BF4AA4C" w14:textId="77777777" w:rsidR="000000DC" w:rsidRDefault="00000000" w:rsidP="00351DF2">
      <w:pPr>
        <w:pStyle w:val="Heading2"/>
        <w:widowControl/>
        <w:jc w:val="both"/>
      </w:pPr>
      <w:r>
        <w:rPr>
          <w:rFonts w:ascii="DejaVu Serif" w:eastAsia="DejaVu Serif" w:hAnsi="DejaVu Serif" w:cs="DejaVu Serif"/>
          <w:b/>
          <w:color w:val="000000"/>
          <w:sz w:val="22"/>
        </w:rPr>
        <w:t>3 1 Torsors and the meaning of trivialisation</w:t>
      </w:r>
    </w:p>
    <w:p w14:paraId="6435F688" w14:textId="77777777" w:rsidR="000000DC" w:rsidRDefault="00000000" w:rsidP="00351DF2">
      <w:pPr>
        <w:widowControl/>
        <w:jc w:val="both"/>
      </w:pPr>
      <w:r>
        <w:rPr>
          <w:rFonts w:ascii="DejaVu Serif" w:hAnsi="DejaVu Serif" w:eastAsia="DejaVu Serif" w:cs="DejaVu Serif"/>
          <w:color w:val="000000"/>
          <w:sz w:val="20"/>
        </w:rPr>
        <w:t>A closed transition family can be interpreted as changes of origin in local affine data. A torsor is locally nonempty and admits a free transitive action of the coefficient sheaf, but has no preferred zero. Its global section, when one exists, selects a coherent origin. For abelian coefficients, isomorphism classes of torsors are classified by derived H¹ [8]. A fixed cover describes only those torsors trivial on its members.</w:t>
      </w:r>
    </w:p>
    <w:p w14:paraId="053F9FD8" w14:textId="77777777" w:rsidR="000000DC" w:rsidRDefault="00000000" w:rsidP="00351DF2">
      <w:pPr>
        <w:widowControl/>
        <w:jc w:val="both"/>
      </w:pPr>
      <w:r>
        <w:rPr>
          <w:rFonts w:ascii="DejaVu Serif" w:hAnsi="DejaVu Serif" w:eastAsia="DejaVu Serif" w:cs="DejaVu Serif"/>
          <w:color w:val="000000"/>
          <w:sz w:val="20"/>
        </w:rPr>
        <w:t>The equation g=d⁰s therefore trivialises offsets by local choices of origin. It does not say that the sᵢ themselves agree on overlaps. After the prescribed transition identifications, the corrected data glue. This is the precise replacement for the misleading phrase “agreeing sections that fail to glue”.</w:t>
      </w:r>
    </w:p>
    <w:p w14:paraId="74E3CC2D" w14:textId="77777777" w:rsidR="000000DC" w:rsidRDefault="00000000" w:rsidP="00351DF2">
      <w:pPr>
        <w:pStyle w:val="Heading1"/>
        <w:widowControl/>
        <w:jc w:val="both"/>
      </w:pPr>
      <w:r>
        <w:rPr>
          <w:rFonts w:ascii="DejaVu Serif" w:eastAsia="DejaVu Serif" w:hAnsi="DejaVu Serif" w:cs="DejaVu Serif"/>
          <w:b/>
          <w:color w:val="000000"/>
          <w:sz w:val="26"/>
        </w:rPr>
        <w:t>4 Cycle certificates and changes to the context model</w:t>
      </w:r>
    </w:p>
    <w:p w14:paraId="621CC8B7" w14:textId="77777777" w:rsidR="000000DC" w:rsidRDefault="00000000" w:rsidP="00351DF2">
      <w:pPr>
        <w:widowControl/>
        <w:jc w:val="both"/>
      </w:pPr>
      <w:r>
        <w:rPr>
          <w:rFonts w:ascii="DejaVu Serif" w:hAnsi="DejaVu Serif" w:eastAsia="DejaVu Serif" w:cs="DejaVu Serif"/>
          <w:color w:val="000000"/>
          <w:sz w:val="20"/>
        </w:rPr>
        <w:t>Take a graph with n vertices, m oriented edges and c connected components. With scalar stalks and identity incidence maps, d⁰ is its incidence matrix D and there are no 2 cells. Thus every edge measurement is closed. This is a valid cellular model; identifying it with a particular open cover additionally requires control of coefficients on intersections.</w:t>
      </w:r>
    </w:p>
    <w:p w14:paraId="054D03C1" w14:textId="77777777" w:rsidR="000000DC" w:rsidRDefault="00000000" w:rsidP="00351DF2">
      <w:pPr>
        <w:keepNext/>
        <w:widowControl/>
        <w:jc w:val="both"/>
      </w:pPr>
      <w:r>
        <w:rPr>
          <w:rFonts w:ascii="DejaVu Serif" w:hAnsi="DejaVu Serif" w:eastAsia="DejaVu Serif" w:cs="DejaVu Serif"/>
          <w:b/>
          <w:color w:val="000000"/>
          <w:sz w:val="20"/>
        </w:rPr>
        <w:t xml:space="preserve">Theorem 4.1  Graph obstruction certificate. </w:t>
      </w:r>
      <w:r>
        <w:rPr>
          <w:rFonts w:ascii="DejaVu Serif" w:hAnsi="DejaVu Serif" w:eastAsia="DejaVu Serif" w:cs="DejaVu Serif"/>
          <w:color w:val="000000"/>
          <w:sz w:val="20"/>
        </w:rPr>
        <w:t>The constant graph sheaf has dim H⁰=c and dim H¹=m−n+c. A transition vector g is exact if and only if its signed sum around every cycle is zero.</w:t>
      </w:r>
    </w:p>
    <w:p w14:paraId="7695AC78"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A vector in ker D is constant on each connected component, so rank D=n−c. Since C²=0, dim H¹=m−rank D. Exact differences telescope around cycles. Conversely choose one root in each component, define vertex potentials by integrating g along a spanning forest, and use zero cycle sums to verify every nonforest edge. Then Ds=g. □</w:t>
      </w:r>
    </w:p>
    <w:p w14:paraId="670681FC" w14:textId="77777777" w:rsidR="000000DC" w:rsidRDefault="00000000" w:rsidP="00351DF2">
      <w:pPr>
        <w:widowControl/>
        <w:jc w:val="both"/>
      </w:pPr>
      <w:r>
        <w:rPr>
          <w:rFonts w:ascii="DejaVu Serif" w:hAnsi="DejaVu Serif" w:eastAsia="DejaVu Serif" w:cs="DejaVu Serif"/>
          <w:color w:val="000000"/>
          <w:sz w:val="20"/>
        </w:rPr>
        <w:t>Only m−n+c fundamental cycle checks are needed after choosing a spanning forest. Potentials are unique up to one additive constant per component. A tree always fits arbitrary edge measurements; this means lack of redundancy, not proof that its observations are true.</w:t>
      </w:r>
    </w:p>
    <w:p w14:paraId="7FB58D44" w14:textId="77777777" w:rsidR="000000DC" w:rsidRDefault="00000000" w:rsidP="00351DF2">
      <w:pPr>
        <w:widowControl/>
        <w:spacing w:before="60" w:after="140"/>
        <w:jc w:val="both"/>
      </w:pPr>
      <w:r>
        <w:rPr>
          <w:rFonts w:ascii="DejaVu Serif" w:hAnsi="DejaVu Serif" w:eastAsia="DejaVu Serif" w:cs="DejaVu Serif"/>
          <w:color w:val="000000"/>
          <w:sz w:val="20"/>
        </w:rPr>
        <w:t>Triangle order (12, 23, 13):   z=(1,1,−1)ᵀ,   κ=zᵀg=g₁₂+g₂₃−g₁₃</w:t>
      </w:r>
    </w:p>
    <w:p w14:paraId="72F9590B" w14:textId="77777777" w:rsidR="000000DC" w:rsidRDefault="00000000" w:rsidP="00351DF2">
      <w:pPr>
        <w:widowControl/>
        <w:jc w:val="both"/>
      </w:pPr>
      <w:r>
        <w:rPr>
          <w:rFonts w:ascii="DejaVu Serif" w:hAnsi="DejaVu Serif" w:eastAsia="DejaVu Serif" w:cs="DejaVu Serif"/>
          <w:color w:val="000000"/>
          <w:sz w:val="20"/>
        </w:rPr>
        <w:t>For g=(2,3,4), κ=1, hence no exact timeline exists. With unit weights the smallest squared edge correction is c=(−1/3,−1/3,+1/3), yielding g+c=(5/3,8/3,13/3). Rooting the first vertex at zero gives the fitted timeline (0,5/3,13/3). This is a mathematical example, not experimental memory data.</w:t>
      </w:r>
    </w:p>
    <w:p w14:paraId="62D9F833" w14:textId="77777777" w:rsidR="000000DC" w:rsidRDefault="00000000" w:rsidP="00351DF2">
      <w:pPr>
        <w:keepNext/>
        <w:widowControl/>
        <w:jc w:val="both"/>
      </w:pPr>
      <w:r>
        <w:rPr>
          <w:rFonts w:ascii="DejaVu Serif" w:hAnsi="DejaVu Serif" w:eastAsia="DejaVu Serif" w:cs="DejaVu Serif"/>
          <w:b/>
          <w:color w:val="000000"/>
          <w:sz w:val="20"/>
        </w:rPr>
        <w:t xml:space="preserve">Proposition 4.2  Adding a face exposes rather than repairs a contradiction. </w:t>
      </w:r>
      <w:r>
        <w:rPr>
          <w:rFonts w:ascii="DejaVu Serif" w:hAnsi="DejaVu Serif" w:eastAsia="DejaVu Serif" w:cs="DejaVu Serif"/>
          <w:color w:val="000000"/>
          <w:sz w:val="20"/>
        </w:rPr>
        <w:t>Attach a triangular 2 cell with scalar stalk and identity maps to the triangle graph. Then H¹=0, but the original transition g is closed on the new complex if and only if κ=0.</w:t>
      </w:r>
    </w:p>
    <w:p w14:paraId="5F13AA72"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new d¹ is the row zᵀ. Its kernel has dimension two and equals im D by Theorem 4.1. Thus the cohomology vanishes, while a vector with κ≠0 lies outside the new kernel. □</w:t>
      </w:r>
    </w:p>
    <w:p w14:paraId="107EC32A" w14:textId="77777777" w:rsidR="000000DC" w:rsidRDefault="00000000" w:rsidP="00351DF2">
      <w:pPr>
        <w:widowControl/>
        <w:jc w:val="both"/>
      </w:pPr>
      <w:r>
        <w:rPr>
          <w:rFonts w:ascii="DejaVu Serif" w:hAnsi="DejaVu Serif" w:eastAsia="DejaVu Serif" w:cs="DejaVu Serif"/>
          <w:color w:val="000000"/>
          <w:sz w:val="20"/>
        </w:rPr>
        <w:lastRenderedPageBreak/>
        <w:t>Adding a fourth episode does not automatically attach that face, and changing the cover is not the same as attaching a cell. Neither operation necessarily localises an error to one edge. A nonzero κ becomes a closure violation in this explicit model; an additional repair rule is needed to select an altered edge.</w:t>
      </w:r>
    </w:p>
    <w:p w14:paraId="6A11DD60" w14:textId="77777777" w:rsidR="000000DC" w:rsidRDefault="00000000" w:rsidP="00351DF2">
      <w:pPr>
        <w:pStyle w:val="Heading1"/>
        <w:widowControl/>
        <w:jc w:val="both"/>
      </w:pPr>
      <w:r>
        <w:rPr>
          <w:rFonts w:ascii="DejaVu Serif" w:eastAsia="DejaVu Serif" w:hAnsi="DejaVu Serif" w:cs="DejaVu Serif"/>
          <w:b/>
          <w:color w:val="000000"/>
          <w:sz w:val="26"/>
        </w:rPr>
        <w:t>5 Refinement and cohomological scope</w:t>
      </w:r>
    </w:p>
    <w:p w14:paraId="4A6691C7" w14:textId="77777777" w:rsidR="000000DC" w:rsidRDefault="00000000" w:rsidP="00351DF2">
      <w:pPr>
        <w:keepNext/>
        <w:widowControl/>
        <w:jc w:val="both"/>
      </w:pPr>
      <w:r>
        <w:rPr>
          <w:rFonts w:ascii="DejaVu Serif" w:hAnsi="DejaVu Serif" w:eastAsia="DejaVu Serif" w:cs="DejaVu Serif"/>
          <w:b/>
          <w:color w:val="000000"/>
          <w:sz w:val="20"/>
        </w:rPr>
        <w:t xml:space="preserve">Proposition 5.1  Certified refinement preserves detected degree one classes. </w:t>
      </w:r>
      <w:r>
        <w:rPr>
          <w:rFonts w:ascii="DejaVu Serif" w:hAnsi="DejaVu Serif" w:eastAsia="DejaVu Serif" w:cs="DejaVu Serif"/>
          <w:color w:val="000000"/>
          <w:sz w:val="20"/>
        </w:rPr>
        <w:t>For an abelian sheaf on a topological space, a refinement of open covers induces a map on fixed cover Čech H¹ that commutes with the canonical maps to derived H¹. These fixed cover maps to derived H¹ are injective, so refinement cannot kill a nonzero class already detected on the original cover.</w:t>
      </w:r>
    </w:p>
    <w:p w14:paraId="5BF35A54"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Interpret a fixed cover class as a torsor trivialised on each member. Refinement restricts those trivialisations but leaves the underlying torsor unchanged. If the refined class vanishes, that torsor has a global section and is trivial; its original class was therefore zero. This also proves the asserted compatibility [8]. □</w:t>
      </w:r>
    </w:p>
    <w:p w14:paraId="21DD3CF5" w14:textId="77777777" w:rsidR="000000DC" w:rsidRDefault="00000000" w:rsidP="00351DF2">
      <w:pPr>
        <w:widowControl/>
        <w:jc w:val="both"/>
      </w:pPr>
      <w:r>
        <w:rPr>
          <w:rFonts w:ascii="DejaVu Serif" w:hAnsi="DejaVu Serif" w:eastAsia="DejaVu Serif" w:cs="DejaVu Serif"/>
          <w:color w:val="000000"/>
          <w:sz w:val="20"/>
        </w:rPr>
        <w:t>A coarse cover can miss torsors that are not trivial on its members. Higher Čech degrees require additional care; the degree one injectivity statement must not be asserted indiscriminately in every degree. Changing the coefficient sheaf or context space can change the problem itself, even when the drawing of the nerve looks like a refinement.</w:t>
      </w:r>
    </w:p>
    <w:p w14:paraId="3F7840D2" w14:textId="77777777" w:rsidR="000000DC" w:rsidRDefault="00000000" w:rsidP="00351DF2">
      <w:pPr>
        <w:widowControl/>
        <w:jc w:val="both"/>
      </w:pPr>
      <w:r>
        <w:rPr>
          <w:rFonts w:ascii="DejaVu Serif" w:hAnsi="DejaVu Serif" w:eastAsia="DejaVu Serif" w:cs="DejaVu Serif"/>
          <w:color w:val="000000"/>
          <w:sz w:val="20"/>
        </w:rPr>
        <w:t>A standard sufficient comparison condition is an F acyclic cover: every nonempty finite intersection has vanishing Hᵠ with coefficients in F for q&gt;0. Then fixed cover Čech cohomology computes derived cohomology [7]. Contractibility of intersections is sufficient for constant real coefficients under the usual good cover setting, but does not establish acyclicity for every possible sheaf.</w:t>
      </w:r>
    </w:p>
    <w:p w14:paraId="035B8C83" w14:textId="77777777" w:rsidR="000000DC" w:rsidRDefault="00000000" w:rsidP="00351DF2">
      <w:pPr>
        <w:pStyle w:val="Heading1"/>
        <w:widowControl/>
        <w:jc w:val="both"/>
      </w:pPr>
      <w:r>
        <w:rPr>
          <w:rFonts w:ascii="DejaVu Serif" w:eastAsia="DejaVu Serif" w:hAnsi="DejaVu Serif" w:cs="DejaVu Serif"/>
          <w:b/>
          <w:color w:val="000000"/>
          <w:sz w:val="26"/>
        </w:rPr>
        <w:t>6 Lifting and modular composition</w:t>
      </w:r>
    </w:p>
    <w:p w14:paraId="6A2A375B" w14:textId="77777777" w:rsidR="000000DC" w:rsidRDefault="00000000" w:rsidP="00351DF2">
      <w:pPr>
        <w:widowControl/>
        <w:jc w:val="both"/>
      </w:pPr>
      <w:r>
        <w:rPr>
          <w:rFonts w:ascii="DejaVu Serif" w:hAnsi="DejaVu Serif" w:eastAsia="DejaVu Serif" w:cs="DejaVu Serif"/>
          <w:color w:val="000000"/>
          <w:sz w:val="20"/>
        </w:rPr>
        <w:t>Consider a short exact sequence of abelian sheaves 0→A→B→C→0. Surjectivity here is local and need not mean B(U)→C(U) is surjective for each U. Given c∈C(X), choose a cover admitting lifts bᵢ∈B(Uᵢ). Their differences lie in A and form a closed 1 cochain.</w:t>
      </w:r>
    </w:p>
    <w:p w14:paraId="709A9FFB" w14:textId="77777777" w:rsidR="000000DC" w:rsidRDefault="00000000" w:rsidP="00351DF2">
      <w:pPr>
        <w:keepNext/>
        <w:widowControl/>
        <w:jc w:val="both"/>
      </w:pPr>
      <w:r>
        <w:rPr>
          <w:rFonts w:ascii="DejaVu Serif" w:hAnsi="DejaVu Serif" w:eastAsia="DejaVu Serif" w:cs="DejaVu Serif"/>
          <w:b/>
          <w:color w:val="000000"/>
          <w:sz w:val="20"/>
        </w:rPr>
        <w:t xml:space="preserve">Theorem 6.1  Exact lifting gate. </w:t>
      </w:r>
      <w:r>
        <w:rPr>
          <w:rFonts w:ascii="DejaVu Serif" w:hAnsi="DejaVu Serif" w:eastAsia="DejaVu Serif" w:cs="DejaVu Serif"/>
          <w:color w:val="000000"/>
          <w:sz w:val="20"/>
        </w:rPr>
        <w:t>The class ∂c∈H¹(X,A) determined by the local lifts is independent of all choices. A global lift b∈B(X) exists if and only if ∂c=0. When nonempty, the set of global lifts is a torsor under A(X).</w:t>
      </w:r>
    </w:p>
    <w:p w14:paraId="76F85F09"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Changing lifts adds an A valued 0 cochain, hence changes their differences by a coboundary. Refinement preserves the torsor class. If the class is zero, refine if necessary and subtract suitable local A sections so that the adjusted lifts agree; they glue to b. A global lift conversely makes the differences zero. Any two global lifts differ by a unique global section of A, proving the torsor assertion. □</w:t>
      </w:r>
    </w:p>
    <w:p w14:paraId="3162CA0A" w14:textId="77777777" w:rsidR="000000DC" w:rsidRDefault="00000000" w:rsidP="00351DF2">
      <w:pPr>
        <w:widowControl/>
        <w:jc w:val="both"/>
      </w:pPr>
      <w:r>
        <w:rPr>
          <w:rFonts w:ascii="DejaVu Serif" w:hAnsi="DejaVu Serif" w:eastAsia="DejaVu Serif" w:cs="DejaVu Serif"/>
          <w:color w:val="000000"/>
          <w:sz w:val="20"/>
        </w:rPr>
        <w:t>For a fixed cover implementation, the local lifts must actually exist on that cover. One must refine or return a local lift failure if they do not. This prevents a local surjectivity theorem from being misused as a sectionwise matrix surjectivity assumption.</w:t>
      </w:r>
    </w:p>
    <w:p w14:paraId="35EDBF85" w14:textId="77777777" w:rsidR="000000DC" w:rsidRDefault="00000000" w:rsidP="00351DF2">
      <w:pPr>
        <w:keepNext/>
        <w:widowControl/>
        <w:jc w:val="both"/>
      </w:pPr>
      <w:r>
        <w:rPr>
          <w:rFonts w:ascii="DejaVu Serif" w:hAnsi="DejaVu Serif" w:eastAsia="DejaVu Serif" w:cs="DejaVu Serif"/>
          <w:b/>
          <w:color w:val="000000"/>
          <w:sz w:val="20"/>
        </w:rPr>
        <w:t xml:space="preserve">Proposition 6.2  Interface obstruction space. </w:t>
      </w:r>
      <w:r>
        <w:rPr>
          <w:rFonts w:ascii="DejaVu Serif" w:hAnsi="DejaVu Serif" w:eastAsia="DejaVu Serif" w:cs="DejaVu Serif"/>
          <w:color w:val="000000"/>
          <w:sz w:val="20"/>
        </w:rPr>
        <w:t>For an open decomposition X=U∪V and a fixed abelian sheaf, let β:H⁰(U)⊕H⁰(V)→H⁰(U∩V) send (u,v) to v|−u|. Then coker β is naturally isomorphic to the kernel of H¹(X)→H¹(U)⊕H¹(V).</w:t>
      </w:r>
    </w:p>
    <w:p w14:paraId="7CD91BA4"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Mayer–Vietoris exact sequence has consecutive terms H⁰(U)⊕H⁰(V), H⁰(U∩V), H¹(X), H¹(U)⊕H¹(V). Exactness identifies the quotient of H⁰(U∩V) by im β with the image of its connecting map, which is the stated kernel. This sequence follows by taking a flabby resolution and the difference of restrictions to the overlap. □</w:t>
      </w:r>
    </w:p>
    <w:p w14:paraId="300669FA" w14:textId="77777777" w:rsidR="000000DC" w:rsidRDefault="00000000" w:rsidP="00351DF2">
      <w:pPr>
        <w:widowControl/>
        <w:jc w:val="both"/>
      </w:pPr>
      <w:r>
        <w:rPr>
          <w:rFonts w:ascii="DejaVu Serif" w:hAnsi="DejaVu Serif" w:eastAsia="DejaVu Serif" w:cs="DejaVu Serif"/>
          <w:color w:val="000000"/>
          <w:sz w:val="20"/>
        </w:rPr>
        <w:lastRenderedPageBreak/>
        <w:t>Surjective β therefore eliminates interface generated H¹ classes, not preexisting obstructions inside U or V. It also does not imply that an arbitrary prescribed pair (u,v) matches. Exact cohomology dimensions alone do not determine how modified data propagate: restriction maps, representatives and boundary responses matter.</w:t>
      </w:r>
    </w:p>
    <w:p w14:paraId="011C57FE" w14:textId="77777777" w:rsidR="000000DC" w:rsidRDefault="00000000" w:rsidP="00351DF2">
      <w:pPr>
        <w:pStyle w:val="Heading2"/>
        <w:widowControl/>
        <w:jc w:val="both"/>
      </w:pPr>
      <w:r>
        <w:rPr>
          <w:rFonts w:ascii="DejaVu Serif" w:eastAsia="DejaVu Serif" w:hAnsi="DejaVu Serif" w:cs="DejaVu Serif"/>
          <w:b/>
          <w:color w:val="000000"/>
          <w:sz w:val="22"/>
        </w:rPr>
        <w:t>6 1 Higher intersections</w:t>
      </w:r>
    </w:p>
    <w:p w14:paraId="37685948" w14:textId="77777777" w:rsidR="000000DC" w:rsidRDefault="00000000" w:rsidP="00351DF2">
      <w:pPr>
        <w:widowControl/>
        <w:jc w:val="both"/>
      </w:pPr>
      <w:r>
        <w:rPr>
          <w:rFonts w:ascii="DejaVu Serif" w:hAnsi="DejaVu Serif" w:eastAsia="DejaVu Serif" w:cs="DejaVu Serif"/>
          <w:color w:val="000000"/>
          <w:sz w:val="20"/>
        </w:rPr>
        <w:t>For an open cover, a standard double complex has E₁ᵖᑫ = ∏ Hᑫ(Uᵢ₀…ᵢₚ,F), with the alternating restriction differential horizontally. Its E₂ page is Čech Hᵖ of the presheaf V↦Hᑫ(V,F), and it converges to Hᵖ⁺ᑫ(X,F). The word presheaf matters: this assignment is generally not its sheafification. If intersections are acyclic the positive q rows vanish, so the comparison follows [7].</w:t>
      </w:r>
    </w:p>
    <w:p w14:paraId="3935E6DD" w14:textId="77777777" w:rsidR="000000DC" w:rsidRDefault="00000000" w:rsidP="00351DF2">
      <w:pPr>
        <w:widowControl/>
        <w:jc w:val="both"/>
      </w:pPr>
      <w:r>
        <w:rPr>
          <w:rFonts w:ascii="DejaVu Serif" w:hAnsi="DejaVu Serif" w:eastAsia="DejaVu Serif" w:cs="DejaVu Serif"/>
          <w:color w:val="000000"/>
          <w:sz w:val="20"/>
        </w:rPr>
        <w:t>For a continuous map f:X→Y, write f_* for direct image. The Leray spectral sequence has E₂ᵖᑫ=Hᵖ(Y,Rᑫf_*F), converging to Hᵖ⁺ᑫ(X,F). Higher direct images record higher cohomology along the mapping; they are not a universal scalar measure of information loss. Spectral sequences organise filtered computations, rather than furnishing a generic classifier of cognitive errors.</w:t>
      </w:r>
    </w:p>
    <w:p w14:paraId="63E68B11" w14:textId="77777777" w:rsidR="000000DC" w:rsidRDefault="00000000" w:rsidP="00351DF2">
      <w:pPr>
        <w:pStyle w:val="Heading1"/>
        <w:widowControl/>
        <w:jc w:val="both"/>
      </w:pPr>
      <w:r>
        <w:rPr>
          <w:rFonts w:ascii="DejaVu Serif" w:eastAsia="DejaVu Serif" w:hAnsi="DejaVu Serif" w:cs="DejaVu Serif"/>
          <w:b/>
          <w:color w:val="000000"/>
          <w:sz w:val="26"/>
        </w:rPr>
        <w:t>7 Weighted repair and exact quantitative certificates</w:t>
      </w:r>
    </w:p>
    <w:p w14:paraId="1E7202C4" w14:textId="77777777" w:rsidR="000000DC" w:rsidRDefault="00000000" w:rsidP="00351DF2">
      <w:pPr>
        <w:widowControl/>
        <w:jc w:val="both"/>
      </w:pPr>
      <w:r>
        <w:rPr>
          <w:rFonts w:ascii="DejaVu Serif" w:hAnsi="DejaVu Serif" w:eastAsia="DejaVu Serif" w:cs="DejaVu Serif"/>
          <w:color w:val="000000"/>
          <w:sz w:val="20"/>
        </w:rPr>
        <w:t>Now fix a finite real complex C⁰ →ᴰ C¹ →ᴱ C² with ED=0 and positive definite edge weight matrix W. The measurement model is g=Ds+noise. Define ||v||²_W=vᵀWv. Repairing edge measurements means choosing c with g+c∈im D; repairing a stored state s instead means moving it into ker D. These are different optimisation problems.</w:t>
      </w:r>
    </w:p>
    <w:p w14:paraId="16E0C8C9" w14:textId="77777777" w:rsidR="000000DC" w:rsidRDefault="00000000" w:rsidP="00351DF2">
      <w:pPr>
        <w:keepNext/>
        <w:widowControl/>
        <w:jc w:val="both"/>
      </w:pPr>
      <w:r>
        <w:rPr>
          <w:rFonts w:ascii="DejaVu Serif" w:hAnsi="DejaVu Serif" w:eastAsia="DejaVu Serif" w:cs="DejaVu Serif"/>
          <w:b/>
          <w:color w:val="000000"/>
          <w:sz w:val="20"/>
        </w:rPr>
        <w:t xml:space="preserve">Theorem 7.1  Unique optimal quadratic transition repair. </w:t>
      </w:r>
      <w:r>
        <w:rPr>
          <w:rFonts w:ascii="DejaVu Serif" w:hAnsi="DejaVu Serif" w:eastAsia="DejaVu Serif" w:cs="DejaVu Serif"/>
          <w:color w:val="000000"/>
          <w:sz w:val="20"/>
        </w:rPr>
        <w:t>The minimum of ||c||²_W subject to g+c∈im D is attained at the unique correction c*=Pg−g, where P=D(DᵀWD)†DᵀW is the W orthogonal projector onto im D. A potential estimate is ŝ=(DᵀWD)†DᵀWg, with all other minimisers differing by ker D.</w:t>
      </w:r>
    </w:p>
    <w:p w14:paraId="4883879C"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Minimise ||Ds−g||²_W. Differentiation gives DᵀWDs=DᵀWg. Let A=W¹ᐟ²D. Then W¹ᐟ²PW⁻¹ᐟ²=A(AᵀA)†Aᵀ is the Euclidean orthogonal projector onto im A. Hence P is the asserted weighted projector, P²=P and PᵀW=WP. The fitted edge vector is unique; the normal equations determine s modulo ker D. Orthogonal projection gives the unique closest exact edge vector and its correction. □</w:t>
      </w:r>
    </w:p>
    <w:p w14:paraId="78F6352C" w14:textId="77777777" w:rsidR="000000DC" w:rsidRDefault="00000000" w:rsidP="00351DF2">
      <w:pPr>
        <w:keepNext/>
        <w:widowControl/>
        <w:jc w:val="both"/>
      </w:pPr>
      <w:r>
        <w:rPr>
          <w:rFonts w:ascii="DejaVu Serif" w:hAnsi="DejaVu Serif" w:eastAsia="DejaVu Serif" w:cs="DejaVu Serif"/>
          <w:b/>
          <w:color w:val="000000"/>
          <w:sz w:val="20"/>
        </w:rPr>
        <w:t xml:space="preserve">Corollary 7.2  Closed measurements retain their obstruction in the residual. </w:t>
      </w:r>
      <w:r>
        <w:rPr>
          <w:rFonts w:ascii="DejaVu Serif" w:hAnsi="DejaVu Serif" w:eastAsia="DejaVu Serif" w:cs="DejaVu Serif"/>
          <w:color w:val="000000"/>
          <w:sz w:val="20"/>
        </w:rPr>
        <w:t>If Eg=0, the residual r=g−Pg is closed, W orthogonal to im D, and represents [g]. Its weighted norm is the minimum norm among all representatives of that class.</w:t>
      </w:r>
    </w:p>
    <w:p w14:paraId="1862E075"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Both g and Pg are closed, so Er=0. Orthogonality follows from the projection. Subtracting Pg, a coboundary, leaves the class unchanged. Every other representative is r+Du; its squared norm is ||r||²_W+||Du||²_W, proving minimality. □</w:t>
      </w:r>
    </w:p>
    <w:p w14:paraId="2449AB91" w14:textId="77777777" w:rsidR="000000DC" w:rsidRDefault="00000000" w:rsidP="00351DF2">
      <w:pPr>
        <w:keepNext/>
        <w:widowControl/>
        <w:jc w:val="both"/>
      </w:pPr>
      <w:r>
        <w:rPr>
          <w:rFonts w:ascii="DejaVu Serif" w:hAnsi="DejaVu Serif" w:eastAsia="DejaVu Serif" w:cs="DejaVu Serif"/>
          <w:b/>
          <w:color w:val="000000"/>
          <w:sz w:val="20"/>
        </w:rPr>
        <w:t xml:space="preserve">Proposition 7.3  Closed form repair of one cycle. </w:t>
      </w:r>
      <w:r>
        <w:rPr>
          <w:rFonts w:ascii="DejaVu Serif" w:hAnsi="DejaVu Serif" w:eastAsia="DejaVu Serif" w:cs="DejaVu Serif"/>
          <w:color w:val="000000"/>
          <w:sz w:val="20"/>
        </w:rPr>
        <w:t>For a scalar cycle with signed cycle vector z and positive diagonal W, write κ=zᵀg. The minimum correction is c*=−κW⁻¹z/(zᵀW⁻¹z), and its squared cost is κ²/(zᵀW⁻¹z).</w:t>
      </w:r>
    </w:p>
    <w:p w14:paraId="3947A2F5"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Exactness on a single cycle is equivalent to zᵀ(g+c)=0. A Lagrange multiplier for this constraint gives Wc proportional to z. Enforcing zᵀc=−κ yields the formula. Substitution gives the cost, and strict convexity proves uniqueness. □</w:t>
      </w:r>
    </w:p>
    <w:p w14:paraId="0C435D36" w14:textId="77777777" w:rsidR="000000DC" w:rsidRDefault="00000000" w:rsidP="00351DF2">
      <w:pPr>
        <w:widowControl/>
        <w:jc w:val="both"/>
      </w:pPr>
      <w:r>
        <w:rPr>
          <w:rFonts w:ascii="DejaVu Serif" w:hAnsi="DejaVu Serif" w:eastAsia="DejaVu Serif" w:cs="DejaVu Serif"/>
          <w:color w:val="000000"/>
          <w:sz w:val="20"/>
        </w:rPr>
        <w:lastRenderedPageBreak/>
        <w:t>Expensive edges have larger weights and receive smaller changes. The error is spread across the cycle in quadratic repair. A sparse repair objective may instead select one cheapest edge. Thus the concentration of memory distortions depends on the chosen cost, not on H¹ alone.</w:t>
      </w:r>
    </w:p>
    <w:p w14:paraId="0F5B89AE" w14:textId="77777777" w:rsidR="000000DC" w:rsidRDefault="00000000" w:rsidP="00351DF2">
      <w:pPr>
        <w:keepNext/>
        <w:widowControl/>
        <w:jc w:val="both"/>
      </w:pPr>
      <w:r>
        <w:rPr>
          <w:rFonts w:ascii="DejaVu Serif" w:hAnsi="DejaVu Serif" w:eastAsia="DejaVu Serif" w:cs="DejaVu Serif"/>
          <w:b/>
          <w:color w:val="000000"/>
          <w:sz w:val="20"/>
        </w:rPr>
        <w:t xml:space="preserve">Proposition 7.4  Stability for fixed geometry. </w:t>
      </w:r>
      <w:r>
        <w:rPr>
          <w:rFonts w:ascii="DejaVu Serif" w:hAnsi="DejaVu Serif" w:eastAsia="DejaVu Serif" w:cs="DejaVu Serif"/>
          <w:color w:val="000000"/>
          <w:sz w:val="20"/>
        </w:rPr>
        <w:t>With D and W fixed, fitted transitions and residuals are nonexpansive in the weighted norm: ||P(g−h)||_W≤||g−h||_W and ||(I−P)(g−h)||_W≤||g−h||_W.</w:t>
      </w:r>
    </w:p>
    <w:p w14:paraId="45BDA05E"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weighted orthogonal decomposition v=Pv+(I−P)v gives the Pythagorean identity. Each squared component norm is bounded by ||v||²_W. □</w:t>
      </w:r>
    </w:p>
    <w:p w14:paraId="16BE0CEB" w14:textId="77777777" w:rsidR="000000DC" w:rsidRDefault="00000000" w:rsidP="00351DF2">
      <w:pPr>
        <w:widowControl/>
        <w:jc w:val="both"/>
      </w:pPr>
      <w:r>
        <w:rPr>
          <w:rFonts w:ascii="DejaVu Serif" w:hAnsi="DejaVu Serif" w:eastAsia="DejaVu Serif" w:cs="DejaVu Serif"/>
          <w:color w:val="000000"/>
          <w:sz w:val="20"/>
        </w:rPr>
        <w:t>This statement does not guarantee stability under changes in incidence maps or topology. Near a rank change the potential pseudoinverse can be poorly conditioned, even though the fitted transition projection remains a contraction for each fixed model.</w:t>
      </w:r>
    </w:p>
    <w:p w14:paraId="140253E3" w14:textId="77777777" w:rsidR="000000DC" w:rsidRDefault="00000000" w:rsidP="00351DF2">
      <w:pPr>
        <w:pStyle w:val="Heading1"/>
        <w:widowControl/>
        <w:jc w:val="both"/>
      </w:pPr>
      <w:r>
        <w:rPr>
          <w:rFonts w:ascii="DejaVu Serif" w:eastAsia="DejaVu Serif" w:hAnsi="DejaVu Serif" w:cs="DejaVu Serif"/>
          <w:b/>
          <w:color w:val="000000"/>
          <w:sz w:val="26"/>
        </w:rPr>
        <w:t>8 Hodge decomposition and diffusion</w:t>
      </w:r>
    </w:p>
    <w:p w14:paraId="3858EE01" w14:textId="77777777" w:rsidR="000000DC" w:rsidRDefault="00000000" w:rsidP="00351DF2">
      <w:pPr>
        <w:keepNext/>
        <w:widowControl/>
        <w:jc w:val="both"/>
      </w:pPr>
      <w:r>
        <w:rPr>
          <w:rFonts w:ascii="DejaVu Serif" w:hAnsi="DejaVu Serif" w:eastAsia="DejaVu Serif" w:cs="DejaVu Serif"/>
          <w:b/>
          <w:color w:val="000000"/>
          <w:sz w:val="20"/>
        </w:rPr>
        <w:t xml:space="preserve">Theorem 8.1  Three component diagnosis. </w:t>
      </w:r>
      <w:r>
        <w:rPr>
          <w:rFonts w:ascii="DejaVu Serif" w:hAnsi="DejaVu Serif" w:eastAsia="DejaVu Serif" w:cs="DejaVu Serif"/>
          <w:color w:val="000000"/>
          <w:sz w:val="20"/>
        </w:rPr>
        <w:t>In finite Euclidean cochain spaces, C¹ is the orthogonal direct sum im D ⊕ Hharm¹ ⊕ im Eᵀ, where Hharm¹=ker E∩ker Dᵀ is canonically isomorphic to H¹. The full degree one Laplacian is L₁=DDᵀ+EᵀE.</w:t>
      </w:r>
    </w:p>
    <w:p w14:paraId="46AF5B3A"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ED=0 implies im D is orthogonal to im Eᵀ. The orthogonal complement of their sum is ker Dᵀ∩ker E. The identity vᵀL₁v=||Dᵀv||²+||Ev||² shows ker L₁=Hharm¹. Every closed vector has zero im Eᵀ component and therefore a unique harmonic representative modulo im D, giving the cohomology isomorphism. □</w:t>
      </w:r>
    </w:p>
    <w:p w14:paraId="504BA91E" w14:textId="77777777" w:rsidR="000000DC" w:rsidRDefault="00000000" w:rsidP="00351DF2">
      <w:pPr>
        <w:widowControl/>
        <w:jc w:val="both"/>
      </w:pPr>
      <w:r>
        <w:rPr>
          <w:rFonts w:ascii="DejaVu Serif" w:hAnsi="DejaVu Serif" w:eastAsia="DejaVu Serif" w:cs="DejaVu Serif"/>
          <w:color w:val="000000"/>
          <w:sz w:val="20"/>
        </w:rPr>
        <w:t>The exact component is explainable by potentials. The harmonic component is the closed obstruction. The coexact component encodes failure of closure. Theorem 7.1 removes both the harmonic and coexact components when measurements are not closed; describing that whole correction as “removing H¹” is inaccurate. Weighted Hodge theory is obtained by using adjoints for the selected inner products [6].</w:t>
      </w:r>
    </w:p>
    <w:p w14:paraId="01A3D711" w14:textId="77777777" w:rsidR="000000DC" w:rsidRDefault="00000000" w:rsidP="00351DF2">
      <w:pPr>
        <w:keepNext/>
        <w:widowControl/>
        <w:jc w:val="both"/>
      </w:pPr>
      <w:r>
        <w:rPr>
          <w:rFonts w:ascii="DejaVu Serif" w:hAnsi="DejaVu Serif" w:eastAsia="DejaVu Serif" w:cs="DejaVu Serif"/>
          <w:b/>
          <w:color w:val="000000"/>
          <w:sz w:val="20"/>
        </w:rPr>
        <w:t xml:space="preserve">Theorem 8.2  State diffusion converges to coherent state projection. </w:t>
      </w:r>
      <w:r>
        <w:rPr>
          <w:rFonts w:ascii="DejaVu Serif" w:hAnsi="DejaVu Serif" w:eastAsia="DejaVu Serif" w:cs="DejaVu Serif"/>
          <w:color w:val="000000"/>
          <w:sz w:val="20"/>
        </w:rPr>
        <w:t>Let L₀=DᵀD. The flow x′=−L₀x has limit Π₀x(0), the orthogonal projection onto ker D. If L₀ has a positive eigenvalue and λ₊ is its smallest, then ||x(t)−Π₀x(0)||≤exp(−λ₊t)||x(0)−Π₀x(0)||.</w:t>
      </w:r>
    </w:p>
    <w:p w14:paraId="057E61A0"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Choose an orthonormal eigenbasis of the real symmetric positive semidefinite matrix L₀. Zero eigenmodes are unchanged; every positive mode decays by exp(−λt). Squaring and summing the positive components proves both convergence and the bound. □</w:t>
      </w:r>
    </w:p>
    <w:p w14:paraId="5C73DE50" w14:textId="77777777" w:rsidR="000000DC" w:rsidRDefault="00000000" w:rsidP="00351DF2">
      <w:pPr>
        <w:widowControl/>
        <w:jc w:val="both"/>
      </w:pPr>
      <w:r>
        <w:rPr>
          <w:rFonts w:ascii="DejaVu Serif" w:hAnsi="DejaVu Serif" w:eastAsia="DejaVu Serif" w:cs="DejaVu Serif"/>
          <w:color w:val="000000"/>
          <w:sz w:val="20"/>
        </w:rPr>
        <w:t>The discrete update xₖ₊₁=(I−ηL₀)xₖ converges to the same projection if 0&lt;η&lt;2/λmax, with contraction factor max over positive eigenvalues of |1−ηλ|. If D=0 the state is already coherent and no spectral step restriction is needed. For a general cellular sheaf ker D is the space of global sections, not necessarily the span of a constant vector.</w:t>
      </w:r>
    </w:p>
    <w:p w14:paraId="64248852" w14:textId="77777777" w:rsidR="000000DC" w:rsidRDefault="00000000" w:rsidP="00351DF2">
      <w:pPr>
        <w:widowControl/>
        <w:jc w:val="both"/>
      </w:pPr>
      <w:r>
        <w:rPr>
          <w:rFonts w:ascii="DejaVu Serif" w:hAnsi="DejaVu Serif" w:eastAsia="DejaVu Serif" w:cs="DejaVu Serif"/>
          <w:color w:val="000000"/>
          <w:sz w:val="20"/>
        </w:rPr>
        <w:t>State diffusion preserves no arbitrary observed transition g. To fit g, use the forced flow x′=−DᵀW(Dx−g), or solve the normal equations. Its stationary fitted transitions are Pg. Neither procedure makes inconsistent measurements true; it computes a correction according to the declared metric.</w:t>
      </w:r>
    </w:p>
    <w:p w14:paraId="688EA9E6" w14:textId="77777777" w:rsidR="000000DC" w:rsidRDefault="00000000" w:rsidP="00351DF2">
      <w:pPr>
        <w:pStyle w:val="Heading1"/>
        <w:widowControl/>
        <w:jc w:val="both"/>
      </w:pPr>
      <w:r>
        <w:rPr>
          <w:rFonts w:ascii="DejaVu Serif" w:eastAsia="DejaVu Serif" w:hAnsi="DejaVu Serif" w:cs="DejaVu Serif"/>
          <w:b/>
          <w:color w:val="000000"/>
          <w:sz w:val="26"/>
        </w:rPr>
        <w:t>9 Restricted repair and incremental computation</w:t>
      </w:r>
    </w:p>
    <w:p w14:paraId="4418BCEA" w14:textId="77777777" w:rsidR="000000DC" w:rsidRDefault="00000000" w:rsidP="00351DF2">
      <w:pPr>
        <w:widowControl/>
        <w:jc w:val="both"/>
      </w:pPr>
      <w:r>
        <w:rPr>
          <w:rFonts w:ascii="DejaVu Serif" w:hAnsi="DejaVu Serif" w:eastAsia="DejaVu Serif" w:cs="DejaVu Serif"/>
          <w:color w:val="000000"/>
          <w:sz w:val="20"/>
        </w:rPr>
        <w:t>Let A be a subcomplex of K and let a be a coherent degree zero assignment on A. A relative cochain vanishes on A, giving C•(K,A;F)=ker(C•(K;F)→C•(A;F)). In the finite cellular model the restriction of cochains is coordinate projection, so the resulting sequence of cochain complexes is degreewise exact.</w:t>
      </w:r>
    </w:p>
    <w:p w14:paraId="0414271E" w14:textId="77777777" w:rsidR="000000DC" w:rsidRDefault="00000000" w:rsidP="00351DF2">
      <w:pPr>
        <w:keepNext/>
        <w:widowControl/>
        <w:jc w:val="both"/>
      </w:pPr>
      <w:r>
        <w:rPr>
          <w:rFonts w:ascii="DejaVu Serif" w:hAnsi="DejaVu Serif" w:eastAsia="DejaVu Serif" w:cs="DejaVu Serif"/>
          <w:b/>
          <w:color w:val="000000"/>
          <w:sz w:val="20"/>
        </w:rPr>
        <w:lastRenderedPageBreak/>
        <w:t xml:space="preserve">Theorem 9.1  Immutable memory extension criterion. </w:t>
      </w:r>
      <w:r>
        <w:rPr>
          <w:rFonts w:ascii="DejaVu Serif" w:hAnsi="DejaVu Serif" w:eastAsia="DejaVu Serif" w:cs="DejaVu Serif"/>
          <w:color w:val="000000"/>
          <w:sz w:val="20"/>
        </w:rPr>
        <w:t>A coherent assignment a on A extends to a coherent assignment on K if and only if its connecting class ∂a∈H¹(K,A;F) vanishes. If extensions exist, their differences form H⁰(K,A;F).</w:t>
      </w:r>
    </w:p>
    <w:p w14:paraId="142D4FAA"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Extend a arbitrarily to a degree zero cochain ã on K. Since a is coherent on A, Dã vanishes there, hence defines a relative closed cochain. A different extension changes Dã by a relative coboundary. If this class is zero, Dã=Du for a relative degree zero cochain u, so ã−u is the required extension. The converse follows from choosing an already coherent extension. Differences between coherent extensions are exactly coherent relative degree zero cochains. □</w:t>
      </w:r>
    </w:p>
    <w:p w14:paraId="2955F537" w14:textId="77777777" w:rsidR="000000DC" w:rsidRDefault="00000000" w:rsidP="00351DF2">
      <w:pPr>
        <w:widowControl/>
        <w:jc w:val="both"/>
      </w:pPr>
      <w:r>
        <w:rPr>
          <w:rFonts w:ascii="DejaVu Serif" w:hAnsi="DejaVu Serif" w:eastAsia="DejaVu Serif" w:cs="DejaVu Serif"/>
          <w:color w:val="000000"/>
          <w:sz w:val="20"/>
        </w:rPr>
        <w:t>This supplies a precise rule for retaining certified old memory: freezing a subcomplex introduces a relative obstruction, even if unrestricted fitting would be possible. Repair may require either modifying the new data or explicitly relaxing the frozen boundary.</w:t>
      </w:r>
    </w:p>
    <w:p w14:paraId="61AD0B41" w14:textId="77777777" w:rsidR="000000DC" w:rsidRDefault="00000000" w:rsidP="00351DF2">
      <w:pPr>
        <w:keepNext/>
        <w:widowControl/>
        <w:jc w:val="both"/>
      </w:pPr>
      <w:r>
        <w:rPr>
          <w:rFonts w:ascii="DejaVu Serif" w:hAnsi="DejaVu Serif" w:eastAsia="DejaVu Serif" w:cs="DejaVu Serif"/>
          <w:color w:val="000000"/>
          <w:sz w:val="20"/>
        </w:rPr>
        <w:t>Proposition 9.2  Exact reduction to a cached boundary. For a symmetric matrix L and quadratic energy Q(x)=xᵀLx/2−bᵀx, partition variables into interior I and boundary B. If LII is positive definite, minimising over I gives xI=LII⁻¹(bI−LIBxB) and reduced boundary Hessian S=LBB−LBILII⁻¹LIB, with reduced load bB−LBILII⁻¹bI.</w:t>
      </w:r>
    </w:p>
    <w:p w14:paraId="4695B95E"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Differentiate Q with respect to xI and solve the invertible interior block equation. Substitute this expression into Q and collect quadratic and linear boundary terms. Symmetry gives the stated S and reduced load; the remaining term is independent of xB. □</w:t>
      </w:r>
    </w:p>
    <w:p w14:paraId="78F5358B" w14:textId="77777777" w:rsidR="000000DC" w:rsidRDefault="00000000" w:rsidP="00351DF2">
      <w:pPr>
        <w:widowControl/>
        <w:jc w:val="both"/>
      </w:pPr>
      <w:r>
        <w:rPr>
          <w:rFonts w:ascii="DejaVu Serif" w:hAnsi="DejaVu Serif" w:eastAsia="DejaVu Serif" w:cs="DejaVu Serif"/>
          <w:color w:val="000000"/>
          <w:sz w:val="20"/>
        </w:rPr>
        <w:t>The interior elimination can be cached while its matrices and loads remain fixed. New modules can change the boundary solution and consequently every eliminated interior value. A gauge or a pseudoinverse compatibility treatment is necessary when LII is singular. Reusing H⁰ or H¹ dimensions alone is insufficient: the boundary response and load are the information needed for exact quadratic recomposition.</w:t>
      </w:r>
    </w:p>
    <w:p w14:paraId="72141300" w14:textId="77777777" w:rsidR="000000DC" w:rsidRDefault="00000000" w:rsidP="00351DF2">
      <w:pPr>
        <w:pStyle w:val="Heading1"/>
        <w:widowControl/>
        <w:jc w:val="both"/>
      </w:pPr>
      <w:r>
        <w:rPr>
          <w:rFonts w:ascii="DejaVu Serif" w:eastAsia="DejaVu Serif" w:hAnsi="DejaVu Serif" w:cs="DejaVu Serif"/>
          <w:b/>
          <w:color w:val="000000"/>
          <w:sz w:val="26"/>
        </w:rPr>
        <w:t>10 Repair complexity and computational limits</w:t>
      </w:r>
    </w:p>
    <w:p w14:paraId="0729CA6F" w14:textId="77777777" w:rsidR="000000DC" w:rsidRDefault="00000000" w:rsidP="00351DF2">
      <w:pPr>
        <w:keepNext/>
        <w:widowControl/>
        <w:jc w:val="both"/>
      </w:pPr>
      <w:r>
        <w:rPr>
          <w:rFonts w:ascii="DejaVu Serif" w:hAnsi="DejaVu Serif" w:eastAsia="DejaVu Serif" w:cs="DejaVu Serif"/>
          <w:b/>
          <w:color w:val="000000"/>
          <w:sz w:val="20"/>
        </w:rPr>
        <w:t xml:space="preserve">Proposition 10.1  Minimum edit repair is hard even for constant graph sheaves. </w:t>
      </w:r>
      <w:r>
        <w:rPr>
          <w:rFonts w:ascii="DejaVu Serif" w:hAnsi="DejaVu Serif" w:eastAsia="DejaVu Serif" w:cs="DejaVu Serif"/>
          <w:color w:val="000000"/>
          <w:sz w:val="20"/>
        </w:rPr>
        <w:t>Over F₂, minimising the number of changed edges required to make g exact is NP hard on general graphs.</w:t>
      </w:r>
    </w:p>
    <w:p w14:paraId="6947B94C"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Use the constant graph sheaf and set gₑ=1 on every edge. For a vertex assignment s, (Ds)ₑ=1 exactly when its endpoints have different binary labels. Thus ||g−Ds||₀ equals m minus the size of the cut defined by s. An algorithm computing minimum edit repair would compute a maximum cut. The decision problem is in NP because s and its mismatch count can be checked in polynomial time; hence its decision form is NP complete by the standard MAX CUT reduction [9]. □</w:t>
      </w:r>
    </w:p>
    <w:p w14:paraId="7F9C828E" w14:textId="77777777" w:rsidR="000000DC" w:rsidRDefault="00000000" w:rsidP="00351DF2">
      <w:pPr>
        <w:widowControl/>
        <w:jc w:val="both"/>
      </w:pPr>
      <w:r>
        <w:rPr>
          <w:rFonts w:ascii="DejaVu Serif" w:hAnsi="DejaVu Serif" w:eastAsia="DejaVu Serif" w:cs="DejaVu Serif"/>
          <w:color w:val="000000"/>
          <w:sz w:val="20"/>
        </w:rPr>
        <w:t>This hardness result concerns exact sparse repair on unrestricted graphs. Forests, individual cycles and other restricted families can be easier. Real quadratic repair is a polynomial size linear algebra problem, although precision, conditioning and matrix sparsity determine practical cost. A bound on dim H¹ is not a bound on correction magnitude: on one real cycle dim H¹=1 while |κ|, and therefore its minimum quadratic cost, can grow without bound.</w:t>
      </w:r>
    </w:p>
    <w:p w14:paraId="32497BA5" w14:textId="77777777" w:rsidR="000000DC" w:rsidRDefault="00000000" w:rsidP="00351DF2">
      <w:pPr>
        <w:widowControl/>
        <w:jc w:val="both"/>
      </w:pPr>
      <w:r>
        <w:rPr>
          <w:rFonts w:ascii="DejaVu Serif" w:hAnsi="DejaVu Serif" w:eastAsia="DejaVu Serif" w:cs="DejaVu Serif"/>
          <w:color w:val="000000"/>
          <w:sz w:val="20"/>
        </w:rPr>
        <w:t>A finite cellular runtime also does not automatically compute stalks on arbitrary continuous spaces, run all spectral sequences, decide arbitrary propositions in a topos, or glue objects with higher isomorphisms. These features require additional representations and algorithms. The topos of sheaves of sets on a topological space has intuitionistic internal logic; its subterminal objects correspond to opens, while general propositions are represented by the subobject classifier, not by a single global Boolean field.</w:t>
      </w:r>
    </w:p>
    <w:p w14:paraId="48193EBC" w14:textId="77777777" w:rsidR="000000DC" w:rsidRDefault="00000000" w:rsidP="00351DF2">
      <w:pPr>
        <w:pStyle w:val="Heading1"/>
        <w:widowControl/>
        <w:jc w:val="both"/>
      </w:pPr>
      <w:r>
        <w:rPr>
          <w:rFonts w:ascii="DejaVu Serif" w:eastAsia="DejaVu Serif" w:hAnsi="DejaVu Serif" w:cs="DejaVu Serif"/>
          <w:b/>
          <w:color w:val="000000"/>
          <w:sz w:val="26"/>
        </w:rPr>
        <w:t>11 Twenty language features with explicit contracts</w:t>
      </w:r>
    </w:p>
    <w:p w14:paraId="0B888B51" w14:textId="77777777" w:rsidR="000000DC" w:rsidRDefault="00000000" w:rsidP="00351DF2">
      <w:pPr>
        <w:widowControl/>
        <w:jc w:val="both"/>
      </w:pPr>
      <w:r>
        <w:rPr>
          <w:rFonts w:ascii="DejaVu Serif" w:hAnsi="DejaVu Serif" w:eastAsia="DejaVu Serif" w:cs="DejaVu Serif"/>
          <w:b/>
          <w:color w:val="000000"/>
          <w:sz w:val="20"/>
        </w:rPr>
        <w:t xml:space="preserve">1. Restriction. </w:t>
      </w:r>
      <w:r>
        <w:rPr>
          <w:rFonts w:ascii="DejaVu Serif" w:hAnsi="DejaVu Serif" w:eastAsia="DejaVu Serif" w:cs="DejaVu Serif"/>
          <w:color w:val="000000"/>
          <w:sz w:val="20"/>
        </w:rPr>
        <w:t>Store the context and enforce identity and composition laws. Finite incidence maps make this check algebraic.</w:t>
      </w:r>
    </w:p>
    <w:p w14:paraId="10554DD0" w14:textId="77777777" w:rsidR="000000DC" w:rsidRDefault="00000000" w:rsidP="00351DF2">
      <w:pPr>
        <w:widowControl/>
        <w:jc w:val="both"/>
      </w:pPr>
      <w:r>
        <w:rPr>
          <w:rFonts w:ascii="DejaVu Serif" w:hAnsi="DejaVu Serif" w:eastAsia="DejaVu Serif" w:cs="DejaVu Serif"/>
          <w:b/>
          <w:color w:val="000000"/>
          <w:sz w:val="20"/>
        </w:rPr>
        <w:t xml:space="preserve">2. Gluing. </w:t>
      </w:r>
      <w:r>
        <w:rPr>
          <w:rFonts w:ascii="DejaVu Serif" w:hAnsi="DejaVu Serif" w:eastAsia="DejaVu Serif" w:cs="DejaVu Serif"/>
          <w:color w:val="000000"/>
          <w:sz w:val="20"/>
        </w:rPr>
        <w:t>Accept a matching family; return its unique amalgamation with a restriction certificate, or an overlap witness.</w:t>
      </w:r>
    </w:p>
    <w:p w14:paraId="3396DE8F" w14:textId="77777777" w:rsidR="000000DC" w:rsidRDefault="00000000" w:rsidP="00351DF2">
      <w:pPr>
        <w:widowControl/>
        <w:jc w:val="both"/>
      </w:pPr>
      <w:r>
        <w:rPr>
          <w:rFonts w:ascii="DejaVu Serif" w:hAnsi="DejaVu Serif" w:eastAsia="DejaVu Serif" w:cs="DejaVu Serif"/>
          <w:b/>
          <w:color w:val="000000"/>
          <w:sz w:val="20"/>
        </w:rPr>
        <w:t xml:space="preserve">3. Local equality. </w:t>
      </w:r>
      <w:r>
        <w:rPr>
          <w:rFonts w:ascii="DejaVu Serif" w:hAnsi="DejaVu Serif" w:eastAsia="DejaVu Serif" w:cs="DejaVu Serif"/>
          <w:color w:val="000000"/>
          <w:sz w:val="20"/>
        </w:rPr>
        <w:t>Use equality on a genuine cover to certify global equality by separation.</w:t>
      </w:r>
    </w:p>
    <w:p w14:paraId="3DE4DE0E" w14:textId="77777777" w:rsidR="000000DC" w:rsidRDefault="00000000" w:rsidP="00351DF2">
      <w:pPr>
        <w:widowControl/>
        <w:jc w:val="both"/>
      </w:pPr>
      <w:r>
        <w:rPr>
          <w:rFonts w:ascii="DejaVu Serif" w:hAnsi="DejaVu Serif" w:eastAsia="DejaVu Serif" w:cs="DejaVu Serif"/>
          <w:b/>
          <w:color w:val="000000"/>
          <w:sz w:val="20"/>
        </w:rPr>
        <w:t xml:space="preserve">4. Germs and stalks. </w:t>
      </w:r>
      <w:r>
        <w:rPr>
          <w:rFonts w:ascii="DejaVu Serif" w:hAnsi="DejaVu Serif" w:eastAsia="DejaVu Serif" w:cs="DejaVu Serif"/>
          <w:color w:val="000000"/>
          <w:sz w:val="20"/>
        </w:rPr>
        <w:t>Use colimits of neighbourhood data when the space and representation support them; do not replace a stalk by a cell label without explanation.</w:t>
      </w:r>
    </w:p>
    <w:p w14:paraId="10278B37" w14:textId="77777777" w:rsidR="000000DC" w:rsidRDefault="00000000" w:rsidP="00351DF2">
      <w:pPr>
        <w:widowControl/>
        <w:jc w:val="both"/>
      </w:pPr>
      <w:r>
        <w:rPr>
          <w:rFonts w:ascii="DejaVu Serif" w:hAnsi="DejaVu Serif" w:eastAsia="DejaVu Serif" w:cs="DejaVu Serif"/>
          <w:b/>
          <w:color w:val="000000"/>
          <w:sz w:val="20"/>
        </w:rPr>
        <w:t xml:space="preserve">5. Declared covers. </w:t>
      </w:r>
      <w:r>
        <w:rPr>
          <w:rFonts w:ascii="DejaVu Serif" w:hAnsi="DejaVu Serif" w:eastAsia="DejaVu Serif" w:cs="DejaVu Serif"/>
          <w:color w:val="000000"/>
          <w:sz w:val="20"/>
        </w:rPr>
        <w:t>Specify a topology or coverage satisfying the site axioms. An arbitrary list of cue groups need not define a site.</w:t>
      </w:r>
    </w:p>
    <w:p w14:paraId="5814856F" w14:textId="77777777" w:rsidR="000000DC" w:rsidRDefault="00000000" w:rsidP="00351DF2">
      <w:pPr>
        <w:widowControl/>
        <w:jc w:val="both"/>
      </w:pPr>
      <w:r>
        <w:rPr>
          <w:rFonts w:ascii="DejaVu Serif" w:hAnsi="DejaVu Serif" w:eastAsia="DejaVu Serif" w:cs="DejaVu Serif"/>
          <w:b/>
          <w:color w:val="000000"/>
          <w:sz w:val="20"/>
        </w:rPr>
        <w:t xml:space="preserve">6. Contextual computation. </w:t>
      </w:r>
      <w:r>
        <w:rPr>
          <w:rFonts w:ascii="DejaVu Serif" w:hAnsi="DejaVu Serif" w:eastAsia="DejaVu Serif" w:cs="DejaVu Serif"/>
          <w:color w:val="000000"/>
          <w:sz w:val="20"/>
        </w:rPr>
        <w:t>Keep functions as morphisms while making sections the type of context indexed state.</w:t>
      </w:r>
    </w:p>
    <w:p w14:paraId="264FE5F7" w14:textId="77777777" w:rsidR="000000DC" w:rsidRDefault="00000000" w:rsidP="00351DF2">
      <w:pPr>
        <w:widowControl/>
        <w:jc w:val="both"/>
      </w:pPr>
      <w:r>
        <w:rPr>
          <w:rFonts w:ascii="DejaVu Serif" w:hAnsi="DejaVu Serif" w:eastAsia="DejaVu Serif" w:cs="DejaVu Serif"/>
          <w:b/>
          <w:color w:val="000000"/>
          <w:sz w:val="20"/>
        </w:rPr>
        <w:t xml:space="preserve">7. Natural transformations. </w:t>
      </w:r>
      <w:r>
        <w:rPr>
          <w:rFonts w:ascii="DejaVu Serif" w:hAnsi="DejaVu Serif" w:eastAsia="DejaVu Serif" w:cs="DejaVu Serif"/>
          <w:color w:val="000000"/>
          <w:sz w:val="20"/>
        </w:rPr>
        <w:t>Require commutation with restriction; Proposition 2.2 then supplies compositional gluing soundness.</w:t>
      </w:r>
    </w:p>
    <w:p w14:paraId="62360B1F" w14:textId="77777777" w:rsidR="000000DC" w:rsidRDefault="00000000" w:rsidP="00351DF2">
      <w:pPr>
        <w:widowControl/>
        <w:jc w:val="both"/>
      </w:pPr>
      <w:r>
        <w:rPr>
          <w:rFonts w:ascii="DejaVu Serif" w:hAnsi="DejaVu Serif" w:eastAsia="DejaVu Serif" w:cs="DejaVu Serif"/>
          <w:b/>
          <w:color w:val="000000"/>
          <w:sz w:val="20"/>
        </w:rPr>
        <w:t xml:space="preserve">8. Sheafification. </w:t>
      </w:r>
      <w:r>
        <w:rPr>
          <w:rFonts w:ascii="DejaVu Serif" w:hAnsi="DejaVu Serif" w:eastAsia="DejaVu Serif" w:cs="DejaVu Serif"/>
          <w:color w:val="000000"/>
          <w:sz w:val="20"/>
        </w:rPr>
        <w:t>Use aP as universal completion. Preserve locally distinct germs; invoke a separate repair policy for conflict.</w:t>
      </w:r>
    </w:p>
    <w:p w14:paraId="4E558EA9" w14:textId="77777777" w:rsidR="000000DC" w:rsidRDefault="00000000" w:rsidP="00351DF2">
      <w:pPr>
        <w:widowControl/>
        <w:jc w:val="both"/>
      </w:pPr>
      <w:r>
        <w:rPr>
          <w:rFonts w:ascii="DejaVu Serif" w:hAnsi="DejaVu Serif" w:eastAsia="DejaVu Serif" w:cs="DejaVu Serif"/>
          <w:b/>
          <w:color w:val="000000"/>
          <w:sz w:val="20"/>
        </w:rPr>
        <w:t xml:space="preserve">9. Consistency ledger. </w:t>
      </w:r>
      <w:r>
        <w:rPr>
          <w:rFonts w:ascii="DejaVu Serif" w:hAnsi="DejaVu Serif" w:eastAsia="DejaVu Serif" w:cs="DejaVu Serif"/>
          <w:color w:val="000000"/>
          <w:sz w:val="20"/>
        </w:rPr>
        <w:t>Store the actual matrices or restriction maps and distinguish d⁰s, d¹g and [g].</w:t>
      </w:r>
    </w:p>
    <w:p w14:paraId="434EC089" w14:textId="77777777" w:rsidR="000000DC" w:rsidRDefault="00000000" w:rsidP="00351DF2">
      <w:pPr>
        <w:widowControl/>
        <w:jc w:val="both"/>
      </w:pPr>
      <w:r>
        <w:rPr>
          <w:rFonts w:ascii="DejaVu Serif" w:hAnsi="DejaVu Serif" w:eastAsia="DejaVu Serif" w:cs="DejaVu Serif"/>
          <w:b/>
          <w:color w:val="000000"/>
          <w:sz w:val="20"/>
        </w:rPr>
        <w:t xml:space="preserve">10. Global sections. </w:t>
      </w:r>
      <w:r>
        <w:rPr>
          <w:rFonts w:ascii="DejaVu Serif" w:hAnsi="DejaVu Serif" w:eastAsia="DejaVu Serif" w:cs="DejaVu Serif"/>
          <w:color w:val="000000"/>
          <w:sz w:val="20"/>
        </w:rPr>
        <w:t>Compute ker d⁰ in the finite linear model. This is coherence relative to a model, not empirical truth.</w:t>
      </w:r>
    </w:p>
    <w:p w14:paraId="3F3D2B20" w14:textId="77777777" w:rsidR="000000DC" w:rsidRDefault="00000000" w:rsidP="00351DF2">
      <w:pPr>
        <w:widowControl/>
        <w:jc w:val="both"/>
      </w:pPr>
      <w:r>
        <w:rPr>
          <w:rFonts w:ascii="DejaVu Serif" w:hAnsi="DejaVu Serif" w:eastAsia="DejaVu Serif" w:cs="DejaVu Serif"/>
          <w:b/>
          <w:color w:val="000000"/>
          <w:sz w:val="20"/>
        </w:rPr>
        <w:t xml:space="preserve">11. Transition obstructions. </w:t>
      </w:r>
      <w:r>
        <w:rPr>
          <w:rFonts w:ascii="DejaVu Serif" w:hAnsi="DejaVu Serif" w:eastAsia="DejaVu Serif" w:cs="DejaVu Serif"/>
          <w:color w:val="000000"/>
          <w:sz w:val="20"/>
        </w:rPr>
        <w:t>Form H¹ only for closed transition data and report a representative or equivalent certificate.</w:t>
      </w:r>
    </w:p>
    <w:p w14:paraId="28AC3EEC" w14:textId="77777777" w:rsidR="000000DC" w:rsidRDefault="00000000" w:rsidP="00351DF2">
      <w:pPr>
        <w:widowControl/>
        <w:jc w:val="both"/>
      </w:pPr>
      <w:r>
        <w:rPr>
          <w:rFonts w:ascii="DejaVu Serif" w:hAnsi="DejaVu Serif" w:eastAsia="DejaVu Serif" w:cs="DejaVu Serif"/>
          <w:b/>
          <w:color w:val="000000"/>
          <w:sz w:val="20"/>
        </w:rPr>
        <w:t xml:space="preserve">12. Localised correction. </w:t>
      </w:r>
      <w:r>
        <w:rPr>
          <w:rFonts w:ascii="DejaVu Serif" w:hAnsi="DejaVu Serif" w:eastAsia="DejaVu Serif" w:cs="DejaVu Serif"/>
          <w:color w:val="000000"/>
          <w:sz w:val="20"/>
        </w:rPr>
        <w:t>Expose support and costs. Optimal sparse representatives and optimal quadratic representatives solve different problems.</w:t>
      </w:r>
    </w:p>
    <w:p w14:paraId="72F6A478" w14:textId="77777777" w:rsidR="000000DC" w:rsidRDefault="00000000" w:rsidP="00351DF2">
      <w:pPr>
        <w:widowControl/>
        <w:jc w:val="both"/>
      </w:pPr>
      <w:r>
        <w:rPr>
          <w:rFonts w:ascii="DejaVu Serif" w:hAnsi="DejaVu Serif" w:eastAsia="DejaVu Serif" w:cs="DejaVu Serif"/>
          <w:b/>
          <w:color w:val="000000"/>
          <w:sz w:val="20"/>
        </w:rPr>
        <w:t xml:space="preserve">13. Refinement gates. </w:t>
      </w:r>
      <w:r>
        <w:rPr>
          <w:rFonts w:ascii="DejaVu Serif" w:hAnsi="DejaVu Serif" w:eastAsia="DejaVu Serif" w:cs="DejaVu Serif"/>
          <w:color w:val="000000"/>
          <w:sz w:val="20"/>
        </w:rPr>
        <w:t>Use the connecting map of Theorem 6.1, after checking local lifts on the chosen cover.</w:t>
      </w:r>
    </w:p>
    <w:p w14:paraId="7B108D65" w14:textId="77777777" w:rsidR="000000DC" w:rsidRDefault="00000000" w:rsidP="00351DF2">
      <w:pPr>
        <w:widowControl/>
        <w:jc w:val="both"/>
      </w:pPr>
      <w:r>
        <w:rPr>
          <w:rFonts w:ascii="DejaVu Serif" w:hAnsi="DejaVu Serif" w:eastAsia="DejaVu Serif" w:cs="DejaVu Serif"/>
          <w:b/>
          <w:color w:val="000000"/>
          <w:sz w:val="20"/>
        </w:rPr>
        <w:t xml:space="preserve">14. Modular integration. </w:t>
      </w:r>
      <w:r>
        <w:rPr>
          <w:rFonts w:ascii="DejaVu Serif" w:hAnsi="DejaVu Serif" w:eastAsia="DejaVu Serif" w:cs="DejaVu Serif"/>
          <w:color w:val="000000"/>
          <w:sz w:val="20"/>
        </w:rPr>
        <w:t>Use Mayer–Vietoris with actual restriction maps; distinguish interface classes from inherited classes.</w:t>
      </w:r>
    </w:p>
    <w:p w14:paraId="450D5AFF" w14:textId="77777777" w:rsidR="000000DC" w:rsidRDefault="00000000" w:rsidP="00351DF2">
      <w:pPr>
        <w:widowControl/>
        <w:jc w:val="both"/>
      </w:pPr>
      <w:r>
        <w:rPr>
          <w:rFonts w:ascii="DejaVu Serif" w:hAnsi="DejaVu Serif" w:eastAsia="DejaVu Serif" w:cs="DejaVu Serif"/>
          <w:b/>
          <w:color w:val="000000"/>
          <w:sz w:val="20"/>
        </w:rPr>
        <w:t xml:space="preserve">15. Incremental checking. </w:t>
      </w:r>
      <w:r>
        <w:rPr>
          <w:rFonts w:ascii="DejaVu Serif" w:hAnsi="DejaVu Serif" w:eastAsia="DejaVu Serif" w:cs="DejaVu Serif"/>
          <w:color w:val="000000"/>
          <w:sz w:val="20"/>
        </w:rPr>
        <w:t>Cache maps and boundary responses under declared invariants; Proposition 9.2 supplies an exact quadratic case.</w:t>
      </w:r>
    </w:p>
    <w:p w14:paraId="2C68B37E" w14:textId="77777777" w:rsidR="000000DC" w:rsidRDefault="00000000" w:rsidP="00351DF2">
      <w:pPr>
        <w:widowControl/>
        <w:jc w:val="both"/>
      </w:pPr>
      <w:r>
        <w:rPr>
          <w:rFonts w:ascii="DejaVu Serif" w:hAnsi="DejaVu Serif" w:eastAsia="DejaVu Serif" w:cs="DejaVu Serif"/>
          <w:b/>
          <w:color w:val="000000"/>
          <w:sz w:val="20"/>
        </w:rPr>
        <w:t xml:space="preserve">16. Higher intersections. </w:t>
      </w:r>
      <w:r>
        <w:rPr>
          <w:rFonts w:ascii="DejaVu Serif" w:hAnsi="DejaVu Serif" w:eastAsia="DejaVu Serif" w:cs="DejaVu Serif"/>
          <w:color w:val="000000"/>
          <w:sz w:val="20"/>
        </w:rPr>
        <w:t>Use the double complex when intersections have higher cohomology; verify comparison before replacing a sheaf by its nerve.</w:t>
      </w:r>
    </w:p>
    <w:p w14:paraId="47BAADDB" w14:textId="77777777" w:rsidR="000000DC" w:rsidRDefault="00000000" w:rsidP="00351DF2">
      <w:pPr>
        <w:widowControl/>
        <w:jc w:val="both"/>
      </w:pPr>
      <w:r>
        <w:rPr>
          <w:rFonts w:ascii="DejaVu Serif" w:hAnsi="DejaVu Serif" w:eastAsia="DejaVu Serif" w:cs="DejaVu Serif"/>
          <w:b/>
          <w:color w:val="000000"/>
          <w:sz w:val="20"/>
        </w:rPr>
        <w:t xml:space="preserve">17. Contextual logic. </w:t>
      </w:r>
      <w:r>
        <w:rPr>
          <w:rFonts w:ascii="DejaVu Serif" w:hAnsi="DejaVu Serif" w:eastAsia="DejaVu Serif" w:cs="DejaVu Serif"/>
          <w:color w:val="000000"/>
          <w:sz w:val="20"/>
        </w:rPr>
        <w:t>Choose the sheaf topos explicitly. Finite Boolean matrices alone do not implement all its internal logic.</w:t>
      </w:r>
    </w:p>
    <w:p w14:paraId="5FAC9687" w14:textId="77777777" w:rsidR="000000DC" w:rsidRDefault="00000000" w:rsidP="00351DF2">
      <w:pPr>
        <w:widowControl/>
        <w:jc w:val="both"/>
      </w:pPr>
      <w:r>
        <w:rPr>
          <w:rFonts w:ascii="DejaVu Serif" w:hAnsi="DejaVu Serif" w:eastAsia="DejaVu Serif" w:cs="DejaVu Serif"/>
          <w:b/>
          <w:color w:val="000000"/>
          <w:sz w:val="20"/>
        </w:rPr>
        <w:t xml:space="preserve">18. Context transport. </w:t>
      </w:r>
      <w:r>
        <w:rPr>
          <w:rFonts w:ascii="DejaVu Serif" w:hAnsi="DejaVu Serif" w:eastAsia="DejaVu Serif" w:cs="DejaVu Serif"/>
          <w:color w:val="000000"/>
          <w:sz w:val="20"/>
        </w:rPr>
        <w:t>For continuous maps use inverse image f⁻¹ and direct image f_*; for ringed spaces use the appropriate module pullback f*. Arbitrary site maps require continuity conditions.</w:t>
      </w:r>
    </w:p>
    <w:p w14:paraId="7B17AF6D" w14:textId="77777777" w:rsidR="000000DC" w:rsidRDefault="00000000" w:rsidP="00351DF2">
      <w:pPr>
        <w:widowControl/>
        <w:jc w:val="both"/>
      </w:pPr>
      <w:r>
        <w:rPr>
          <w:rFonts w:ascii="DejaVu Serif" w:hAnsi="DejaVu Serif" w:eastAsia="DejaVu Serif" w:cs="DejaVu Serif"/>
          <w:b/>
          <w:color w:val="000000"/>
          <w:sz w:val="20"/>
        </w:rPr>
        <w:t xml:space="preserve">19. Higher descent. </w:t>
      </w:r>
      <w:r>
        <w:rPr>
          <w:rFonts w:ascii="DejaVu Serif" w:hAnsi="DejaVu Serif" w:eastAsia="DejaVu Serif" w:cs="DejaVu Serif"/>
          <w:color w:val="000000"/>
          <w:sz w:val="20"/>
        </w:rPr>
        <w:t>Use stacks when equality is replaced by isomorphism, with cocycle coherence and effectiveness of descent as extra requirements.</w:t>
      </w:r>
    </w:p>
    <w:p w14:paraId="56B1E880" w14:textId="77777777" w:rsidR="000000DC" w:rsidRDefault="00000000" w:rsidP="00351DF2">
      <w:pPr>
        <w:widowControl/>
        <w:jc w:val="both"/>
      </w:pPr>
      <w:r>
        <w:rPr>
          <w:rFonts w:ascii="DejaVu Serif" w:hAnsi="DejaVu Serif" w:eastAsia="DejaVu Serif" w:cs="DejaVu Serif"/>
          <w:b/>
          <w:color w:val="000000"/>
          <w:sz w:val="20"/>
        </w:rPr>
        <w:t xml:space="preserve">20. Executable cellular core. </w:t>
      </w:r>
      <w:r>
        <w:rPr>
          <w:rFonts w:ascii="DejaVu Serif" w:hAnsi="DejaVu Serif" w:eastAsia="DejaVu Serif" w:cs="DejaVu Serif"/>
          <w:color w:val="000000"/>
          <w:sz w:val="20"/>
        </w:rPr>
        <w:t>Support finite cochain operators, exact rank certificates, weighted projections, gauge fixing and numerical tolerances. This implements a restricted mathematical core.</w:t>
      </w:r>
    </w:p>
    <w:p w14:paraId="023152BE" w14:textId="77777777" w:rsidR="000000DC" w:rsidRDefault="00000000" w:rsidP="00351DF2">
      <w:pPr>
        <w:pStyle w:val="Heading1"/>
        <w:widowControl/>
        <w:jc w:val="both"/>
      </w:pPr>
      <w:r>
        <w:rPr>
          <w:rFonts w:ascii="DejaVu Serif" w:eastAsia="DejaVu Serif" w:hAnsi="DejaVu Serif" w:cs="DejaVu Serif"/>
          <w:b/>
          <w:color w:val="000000"/>
          <w:sz w:val="26"/>
        </w:rPr>
        <w:t>12 Consolidation hypotheses and a testable research programme</w:t>
      </w:r>
    </w:p>
    <w:p w14:paraId="393FE724" w14:textId="77777777" w:rsidR="000000DC" w:rsidRDefault="00000000" w:rsidP="00351DF2">
      <w:pPr>
        <w:widowControl/>
        <w:jc w:val="both"/>
      </w:pPr>
      <w:r>
        <w:rPr>
          <w:rFonts w:ascii="DejaVu Serif" w:hAnsi="DejaVu Serif" w:eastAsia="DejaVu Serif" w:cs="DejaVu Serif"/>
          <w:color w:val="000000"/>
          <w:sz w:val="20"/>
        </w:rPr>
        <w:t>The proposed pipeline has four explicit operations. First select and version a context model, including its coefficient data. Second normalise representations by sheafification when this is meaningful. Third diagnose local state mismatch, nonclosure and closed obstruction separately. Fourth apply a declared repair objective, recording edited data, cost and immutable boundaries. Changing the model is a separate action; otherwise the system could erase every apparent problem merely by deleting cycles.</w:t>
      </w:r>
    </w:p>
    <w:p w14:paraId="639318AF" w14:textId="77777777" w:rsidR="000000DC" w:rsidRDefault="00000000" w:rsidP="00351DF2">
      <w:pPr>
        <w:pStyle w:val="Heading2"/>
        <w:widowControl/>
        <w:jc w:val="both"/>
      </w:pPr>
      <w:r>
        <w:rPr>
          <w:rFonts w:ascii="DejaVu Serif" w:eastAsia="DejaVu Serif" w:hAnsi="DejaVu Serif" w:cs="DejaVu Serif"/>
          <w:b/>
          <w:color w:val="000000"/>
          <w:sz w:val="22"/>
        </w:rPr>
        <w:t>12 1 Operational cognitive hypotheses</w:t>
      </w:r>
    </w:p>
    <w:p w14:paraId="1D26E2CB" w14:textId="77777777" w:rsidR="000000DC" w:rsidRDefault="00000000" w:rsidP="00351DF2">
      <w:pPr>
        <w:widowControl/>
        <w:jc w:val="both"/>
      </w:pPr>
      <w:r>
        <w:rPr>
          <w:rFonts w:ascii="DejaVu Serif" w:hAnsi="DejaVu Serif" w:eastAsia="DejaVu Serif" w:cs="DejaVu Serif"/>
          <w:color w:val="000000"/>
          <w:sz w:val="20"/>
        </w:rPr>
        <w:t>Hypothesis 12.1 concerns cycle sensitive integration. With three measured offsets in edge order (12,23,13), compare balanced sets of conditions based on gA=(1,1,2) and gB=(1,−1,2). Their componentwise magnitudes are identical and their cyclic sums are 0 and −2. Counterbalance orientation, signs, order, cue salience and event labels. Obtain independent pair familiarity and detectability measures, then test whether cyclic closure predicts reconstruction error beyond a preregistered pairwise baseline. A zero class predicts zero algebraically necessary correction, not absence of forgetting or measurement noise.</w:t>
      </w:r>
    </w:p>
    <w:p w14:paraId="77D74AD4" w14:textId="77777777" w:rsidR="000000DC" w:rsidRDefault="00000000" w:rsidP="00351DF2">
      <w:pPr>
        <w:widowControl/>
        <w:jc w:val="both"/>
      </w:pPr>
      <w:r>
        <w:rPr>
          <w:rFonts w:ascii="DejaVu Serif" w:hAnsi="DejaVu Serif" w:eastAsia="DejaVu Serif" w:cs="DejaVu Serif"/>
          <w:color w:val="000000"/>
          <w:sz w:val="20"/>
        </w:rPr>
        <w:t>Hypothesis 12.2 concerns the repair objective. If behaviour approximates weighted quadratic repair on a single cycle, mean corrections should follow cₑ proportional to −κzₑ/wₑ, with weights independently estimated from reliability or salience. If behaviour approximates sparse edit repair, corrections should concentrate on a small set instead. The mathematics does not choose between these policies; their distinct residual patterns make them experimentally distinguishable.</w:t>
      </w:r>
    </w:p>
    <w:p w14:paraId="195E92FD" w14:textId="77777777" w:rsidR="000000DC" w:rsidRDefault="00000000" w:rsidP="00351DF2">
      <w:pPr>
        <w:widowControl/>
        <w:jc w:val="both"/>
      </w:pPr>
      <w:r>
        <w:rPr>
          <w:rFonts w:ascii="DejaVu Serif" w:hAnsi="DejaVu Serif" w:eastAsia="DejaVu Serif" w:cs="DejaVu Serif"/>
          <w:color w:val="000000"/>
          <w:sz w:val="20"/>
        </w:rPr>
        <w:t>Hypothesis 12.3 concerns additional common cues. A shared cue can be modelled as an extra closure constraint only if the experimental manipulation actually induces that relation. The predicted signature is a newly detectable closure violation for κ≠0, not guaranteed single edge localisation. Compare models with and without the added relation using held out behavioural data.</w:t>
      </w:r>
    </w:p>
    <w:p w14:paraId="5C39C402" w14:textId="77777777" w:rsidR="000000DC" w:rsidRDefault="00000000" w:rsidP="00351DF2">
      <w:pPr>
        <w:pStyle w:val="Heading2"/>
        <w:widowControl/>
        <w:jc w:val="both"/>
      </w:pPr>
      <w:r>
        <w:rPr>
          <w:rFonts w:ascii="DejaVu Serif" w:eastAsia="DejaVu Serif" w:hAnsi="DejaVu Serif" w:cs="DejaVu Serif"/>
          <w:b/>
          <w:color w:val="000000"/>
          <w:sz w:val="22"/>
        </w:rPr>
        <w:t>12 2 Conjectures and their failure conditions</w:t>
      </w:r>
    </w:p>
    <w:p w14:paraId="2F21613C" w14:textId="77777777" w:rsidR="000000DC" w:rsidRDefault="00000000" w:rsidP="00351DF2">
      <w:pPr>
        <w:widowControl/>
        <w:jc w:val="both"/>
      </w:pPr>
      <w:r>
        <w:rPr>
          <w:rFonts w:ascii="DejaVu Serif" w:hAnsi="DejaVu Serif" w:eastAsia="DejaVu Serif" w:cs="DejaVu Serif"/>
          <w:color w:val="000000"/>
          <w:sz w:val="20"/>
        </w:rPr>
        <w:t>The locality question posed in Conjecture 12.4 is resolved for a precise subclass in Theorem 16.2: positive definite operators with finite propagation and spectrum in a fixed interval away from zero admit local polynomial inverse approximations with an explicit geometric error. This does not establish locality for every gauge choice, pseudoinverse, learned restriction map or nonlinear repair. Those broader cases remain open.</w:t>
      </w:r>
    </w:p>
    <w:p w14:paraId="2E9C12D7" w14:textId="77777777" w:rsidR="000000DC" w:rsidRDefault="00000000" w:rsidP="00351DF2">
      <w:pPr>
        <w:widowControl/>
        <w:jc w:val="both"/>
      </w:pPr>
      <w:r>
        <w:rPr>
          <w:rFonts w:ascii="DejaVu Serif" w:hAnsi="DejaVu Serif" w:eastAsia="DejaVu Serif" w:cs="DejaVu Serif"/>
          <w:color w:val="000000"/>
          <w:sz w:val="20"/>
        </w:rPr>
        <w:t>Conjecture 12.5 is an empirical model selection claim: a context model learned with held out reconstruction and repair cost will predict integration failures better than a model selected only for pairwise fit. It fails if the benefit disappears after controlling for additional parameters, if equally predictive acyclic models exist, or if cycle manipulations have no reproducible effect. This conjecture is not used in any theorem above.</w:t>
      </w:r>
    </w:p>
    <w:p w14:paraId="348B85FE" w14:textId="77777777" w:rsidR="000000DC" w:rsidRDefault="00000000" w:rsidP="00351DF2">
      <w:pPr>
        <w:widowControl/>
        <w:jc w:val="both"/>
      </w:pPr>
      <w:r>
        <w:rPr>
          <w:rFonts w:ascii="DejaVu Serif" w:hAnsi="DejaVu Serif" w:eastAsia="DejaVu Serif" w:cs="DejaVu Serif"/>
          <w:color w:val="000000"/>
          <w:sz w:val="20"/>
        </w:rPr>
        <w:t>No theorem identifies neurons with cochain solvers. The reconsolidation literature motivates a question about changes following retrieval [10], but does not establish the proposed cohomological mechanism. The account remains falsifiable at the level of an explicit context model, repair policy and experimental outcome.</w:t>
      </w:r>
    </w:p>
    <w:p>
      <w:pPr>
        <w:pStyle w:val="Heading1"/>
        <w:widowControl/>
        <w:jc w:val="both"/>
      </w:pPr>
      <w:r>
        <w:rPr>
          <w:rFonts w:ascii="DejaVu Serif" w:hAnsi="DejaVu Serif" w:eastAsia="DejaVu Serif" w:cs="DejaVu Serif"/>
          <w:b/>
          <w:color w:val="000000"/>
          <w:sz w:val="26"/>
        </w:rPr>
        <w:t>13 Numerical verification</w:t>
      </w:r>
    </w:p>
    <w:p>
      <w:pPr>
        <w:widowControl/>
        <w:jc w:val="both"/>
      </w:pPr>
      <w:r>
        <w:rPr>
          <w:rFonts w:ascii="DejaVu Serif" w:hAnsi="DejaVu Serif" w:eastAsia="DejaVu Serif" w:cs="DejaVu Serif"/>
          <w:color w:val="000000"/>
          <w:sz w:val="20"/>
        </w:rPr>
        <w:t>The finite experiments in this section check selected instances of the preceding linear algebra results; they do not test the categorical gluing and sheafification statements or establish empirical memory mechanisms. The supplied companion was rerun with seed 20261021, NumPy 2.3.5 and NetworkX 3.7 using one BLAS thread. Random graphs are Erdős–Rényi graphs G(n,p). When triangles are included, the construction is the two dimensional skeleton of the clique complex, with no tetrahedra or higher cells. Small integer-valued differential products return exactly zero in these computations. Floating point singular value gaps diagnose numerical rank, but are not unconditional certificates of exact rank; Section 15 supplies the required distinction. Tables report the rerun results, so platform dependent residuals can differ from V3.</w:t>
      </w:r>
    </w:p>
    <w:p>
      <w:pPr>
        <w:pStyle w:val="Caption"/>
        <w:keepNext/>
        <w:widowControl/>
        <w:jc w:val="center"/>
      </w:pPr>
      <w:r>
        <w:rPr>
          <w:rFonts w:ascii="DejaVu Serif" w:hAnsi="DejaVu Serif" w:eastAsia="DejaVu Serif" w:cs="DejaVu Serif"/>
          <w:color w:val="000000"/>
          <w:sz w:val="20"/>
        </w:rPr>
        <w:t>Table 13.1  Summary of numerical verification. Worst result is taken over all instances.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024"/>
        <w:gridCol w:w="1368"/>
        <w:gridCol w:w="3528"/>
      </w:tblGrid>
      <w:tr>
        <w:trPr>
          <w:cantSplit/>
          <w:tblHeader/>
          <w:cantSplit/>
          <w:tblHeader/>
        </w:trPr>
        <w:tc>
          <w:tcPr>
            <w:tcW w:type="dxa" w:w="1800"/>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Result</w:t>
            </w:r>
          </w:p>
        </w:tc>
        <w:tc>
          <w:tcPr>
            <w:tcW w:type="dxa" w:w="3024"/>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Finite check</w:t>
            </w:r>
          </w:p>
        </w:tc>
        <w:tc>
          <w:tcPr>
            <w:tcW w:type="dxa" w:w="1368"/>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Instances</w:t>
            </w:r>
          </w:p>
        </w:tc>
        <w:tc>
          <w:tcPr>
            <w:tcW w:type="dxa" w:w="3528"/>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Rerun outcome</w:t>
            </w:r>
          </w:p>
        </w:tc>
      </w:tr>
      <w:tr>
        <w:trPr>
          <w:cantSplit/>
          <w:cantSplit/>
        </w:trPr>
        <w:tc>
          <w:tcPr>
            <w:tcW w:type="dxa" w:w="180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Lemma 3.1 and Theorem 4.1</w:t>
            </w:r>
          </w:p>
        </w:tc>
        <w:tc>
          <w:tcPr>
            <w:tcW w:type="dxa" w:w="302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Dimensions and differential</w:t>
            </w:r>
          </w:p>
        </w:tc>
        <w:tc>
          <w:tcPr>
            <w:tcW w:type="dxa" w:w="136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300 graphs</w:t>
            </w:r>
          </w:p>
        </w:tc>
        <w:tc>
          <w:tcPr>
            <w:tcW w:type="dxa" w:w="352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 mismatches</w:t>
            </w:r>
          </w:p>
        </w:tc>
      </w:tr>
      <w:tr>
        <w:trPr>
          <w:cantSplit/>
          <w:cantSplit/>
        </w:trPr>
        <w:tc>
          <w:tcPr>
            <w:tcW w:type="dxa" w:w="180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Section 4</w:t>
            </w:r>
          </w:p>
        </w:tc>
        <w:tc>
          <w:tcPr>
            <w:tcW w:type="dxa" w:w="3024"/>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Rational triangle</w:t>
            </w:r>
          </w:p>
        </w:tc>
        <w:tc>
          <w:tcPr>
            <w:tcW w:type="dxa" w:w="136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w:t>
            </w:r>
          </w:p>
        </w:tc>
        <w:tc>
          <w:tcPr>
            <w:tcW w:type="dxa" w:w="352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Exact cost 1/3</w:t>
            </w:r>
          </w:p>
        </w:tc>
      </w:tr>
      <w:tr>
        <w:trPr>
          <w:cantSplit/>
          <w:cantSplit/>
        </w:trPr>
        <w:tc>
          <w:tcPr>
            <w:tcW w:type="dxa" w:w="180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Theorem 7.1</w:t>
            </w:r>
          </w:p>
        </w:tc>
        <w:tc>
          <w:tcPr>
            <w:tcW w:type="dxa" w:w="302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Weighted cycle projection</w:t>
            </w:r>
          </w:p>
        </w:tc>
        <w:tc>
          <w:tcPr>
            <w:tcW w:type="dxa" w:w="136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1000</w:t>
            </w:r>
          </w:p>
        </w:tc>
        <w:tc>
          <w:tcPr>
            <w:tcW w:type="dxa" w:w="352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Gauge residual ≤2.40e−14</w:t>
            </w:r>
          </w:p>
        </w:tc>
      </w:tr>
      <w:tr>
        <w:trPr>
          <w:cantSplit/>
          <w:cantSplit/>
        </w:trPr>
        <w:tc>
          <w:tcPr>
            <w:tcW w:type="dxa" w:w="180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Theorem 8.1</w:t>
            </w:r>
          </w:p>
        </w:tc>
        <w:tc>
          <w:tcPr>
            <w:tcW w:type="dxa" w:w="3024"/>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Hodge reconstruction</w:t>
            </w:r>
          </w:p>
        </w:tc>
        <w:tc>
          <w:tcPr>
            <w:tcW w:type="dxa" w:w="136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150</w:t>
            </w:r>
          </w:p>
        </w:tc>
        <w:tc>
          <w:tcPr>
            <w:tcW w:type="dxa" w:w="352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Relative residual ≤3.72e−15</w:t>
            </w:r>
          </w:p>
        </w:tc>
      </w:tr>
      <w:tr>
        <w:trPr>
          <w:cantSplit/>
          <w:cantSplit/>
        </w:trPr>
        <w:tc>
          <w:tcPr>
            <w:tcW w:type="dxa" w:w="180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Theorem 8.2</w:t>
            </w:r>
          </w:p>
        </w:tc>
        <w:tc>
          <w:tcPr>
            <w:tcW w:type="dxa" w:w="302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Diffusion</w:t>
            </w:r>
          </w:p>
        </w:tc>
        <w:tc>
          <w:tcPr>
            <w:tcW w:type="dxa" w:w="136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Path with 40 vertices</w:t>
            </w:r>
          </w:p>
        </w:tc>
        <w:tc>
          <w:tcPr>
            <w:tcW w:type="dxa" w:w="352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 bound violations</w:t>
            </w:r>
          </w:p>
        </w:tc>
      </w:tr>
      <w:tr>
        <w:trPr>
          <w:cantSplit/>
          <w:cantSplit/>
        </w:trPr>
        <w:tc>
          <w:tcPr>
            <w:tcW w:type="dxa" w:w="180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Proposition 9.2</w:t>
            </w:r>
          </w:p>
        </w:tc>
        <w:tc>
          <w:tcPr>
            <w:tcW w:type="dxa" w:w="3024"/>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Schur reduction</w:t>
            </w:r>
          </w:p>
        </w:tc>
        <w:tc>
          <w:tcPr>
            <w:tcW w:type="dxa" w:w="136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3 sizes</w:t>
            </w:r>
          </w:p>
        </w:tc>
        <w:tc>
          <w:tcPr>
            <w:tcW w:type="dxa" w:w="352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Relative error ≤3.06e−15</w:t>
            </w:r>
          </w:p>
        </w:tc>
      </w:tr>
      <w:tr>
        <w:trPr>
          <w:cantSplit/>
          <w:cantSplit/>
        </w:trPr>
        <w:tc>
          <w:tcPr>
            <w:tcW w:type="dxa" w:w="180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Theorem 9.1</w:t>
            </w:r>
          </w:p>
        </w:tc>
        <w:tc>
          <w:tcPr>
            <w:tcW w:type="dxa" w:w="302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Frozen extension</w:t>
            </w:r>
          </w:p>
        </w:tc>
        <w:tc>
          <w:tcPr>
            <w:tcW w:type="dxa" w:w="136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397</w:t>
            </w:r>
          </w:p>
        </w:tc>
        <w:tc>
          <w:tcPr>
            <w:tcW w:type="dxa" w:w="352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397 agree</w:t>
            </w:r>
          </w:p>
        </w:tc>
      </w:tr>
      <w:tr>
        <w:trPr>
          <w:cantSplit/>
          <w:cantSplit/>
        </w:trPr>
        <w:tc>
          <w:tcPr>
            <w:tcW w:type="dxa" w:w="180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Proposition 6.2</w:t>
            </w:r>
          </w:p>
        </w:tc>
        <w:tc>
          <w:tcPr>
            <w:tcW w:type="dxa" w:w="3024"/>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Interface identity</w:t>
            </w:r>
          </w:p>
        </w:tc>
        <w:tc>
          <w:tcPr>
            <w:tcW w:type="dxa" w:w="136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298</w:t>
            </w:r>
          </w:p>
        </w:tc>
        <w:tc>
          <w:tcPr>
            <w:tcW w:type="dxa" w:w="352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298 agree with rank gap rule</w:t>
            </w:r>
          </w:p>
        </w:tc>
      </w:tr>
      <w:tr>
        <w:trPr>
          <w:cantSplit/>
          <w:cantSplit/>
        </w:trPr>
        <w:tc>
          <w:tcPr>
            <w:tcW w:type="dxa" w:w="180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Proposition 10.1</w:t>
            </w:r>
          </w:p>
        </w:tc>
        <w:tc>
          <w:tcPr>
            <w:tcW w:type="dxa" w:w="302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Binary edit and maximum cut</w:t>
            </w:r>
          </w:p>
        </w:tc>
        <w:tc>
          <w:tcPr>
            <w:tcW w:type="dxa" w:w="136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200</w:t>
            </w:r>
          </w:p>
        </w:tc>
        <w:tc>
          <w:tcPr>
            <w:tcW w:type="dxa" w:w="352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200 agree</w:t>
            </w:r>
          </w:p>
        </w:tc>
      </w:tr>
    </w:tbl>
    <w:p>
      <w:pPr>
        <w:widowControl/>
        <w:spacing w:after="40"/>
        <w:jc w:val="both"/>
      </w:pPr>
      <w:r>
        <w:rPr>
          <w:rFonts w:ascii="DejaVu Serif" w:hAnsi="DejaVu Serif" w:eastAsia="DejaVu Serif" w:cs="DejaVu Serif"/>
          <w:color w:val="000000"/>
          <w:sz w:val="20"/>
        </w:rPr>
      </w:r>
    </w:p>
    <w:p>
      <w:pPr>
        <w:pStyle w:val="Heading2"/>
        <w:widowControl/>
        <w:jc w:val="both"/>
      </w:pPr>
      <w:r>
        <w:rPr>
          <w:rFonts w:ascii="DejaVu Serif" w:hAnsi="DejaVu Serif" w:eastAsia="DejaVu Serif" w:cs="DejaVu Serif"/>
          <w:b/>
          <w:color w:val="000000"/>
          <w:sz w:val="22"/>
        </w:rPr>
        <w:t>13 1 Ranks dimensions and the differential</w:t>
      </w:r>
    </w:p>
    <w:p>
      <w:pPr>
        <w:keepNext/>
        <w:widowControl/>
        <w:jc w:val="both"/>
      </w:pPr>
      <w:r>
        <w:rPr>
          <w:rFonts w:ascii="DejaVu Serif" w:hAnsi="DejaVu Serif" w:eastAsia="DejaVu Serif" w:cs="DejaVu Serif"/>
          <w:color w:val="000000"/>
          <w:sz w:val="20"/>
        </w:rPr>
        <w:t>Theorem 4.1 predicts dim H⁰=c and dim H¹=m−n+c independently of the coefficient field for the constant graph sheaf, because the incidence matrix is totally unimodular. The harness computes rank d⁰ by singular value decomposition over ℝ and by Gaussian elimination over 𝔽₂, mirroring the C# routine of Appendix A, and compares both with the component count from a breadth-first search. On the two dimensional clique skeletons it also forms d¹, checks that the small integer valued product d¹d⁰ is exactly zero in the computation, and checks the Euler–Poincaré identity, which checks bookkeeping of the dimensions but is not an independent validation of the computed rank of d¹.</w:t>
      </w:r>
    </w:p>
    <w:p>
      <w:pPr>
        <w:pStyle w:val="Caption"/>
        <w:keepNext/>
        <w:widowControl/>
        <w:jc w:val="center"/>
      </w:pPr>
      <w:r>
        <w:rPr>
          <w:rFonts w:ascii="DejaVu Serif" w:hAnsi="DejaVu Serif" w:eastAsia="DejaVu Serif" w:cs="DejaVu Serif"/>
          <w:color w:val="000000"/>
          <w:sz w:val="20"/>
        </w:rPr>
        <w:t>Table 13.2  Cohomology dimensions on random graphs and their two dimensional clique skeletons.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792"/>
        <w:gridCol w:w="1728"/>
        <w:gridCol w:w="2016"/>
        <w:gridCol w:w="2088"/>
        <w:gridCol w:w="2448"/>
      </w:tblGrid>
      <w:tr>
        <w:trPr>
          <w:cantSplit/>
          <w:tblHeader/>
          <w:cantSplit/>
          <w:tblHeader/>
        </w:trPr>
        <w:tc>
          <w:tcPr>
            <w:tcW w:type="dxa" w:w="648"/>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n</w:t>
            </w:r>
          </w:p>
        </w:tc>
        <w:tc>
          <w:tcPr>
            <w:tcW w:type="dxa" w:w="792"/>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p</w:t>
            </w:r>
          </w:p>
        </w:tc>
        <w:tc>
          <w:tcPr>
            <w:tcW w:type="dxa" w:w="1728"/>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Mean edges</w:t>
            </w:r>
          </w:p>
        </w:tc>
        <w:tc>
          <w:tcPr>
            <w:tcW w:type="dxa" w:w="2016"/>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Mean components</w:t>
            </w:r>
          </w:p>
        </w:tc>
        <w:tc>
          <w:tcPr>
            <w:tcW w:type="dxa" w:w="2088"/>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Mean graph H¹</w:t>
            </w:r>
          </w:p>
        </w:tc>
        <w:tc>
          <w:tcPr>
            <w:tcW w:type="dxa" w:w="2448"/>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Mismatches</w:t>
            </w:r>
          </w:p>
        </w:tc>
      </w:tr>
      <w:tr>
        <w:trPr>
          <w:cantSplit/>
          <w:cantSplit/>
        </w:trPr>
        <w:tc>
          <w:tcPr>
            <w:tcW w:type="dxa" w:w="64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w:t>
            </w:r>
          </w:p>
        </w:tc>
        <w:tc>
          <w:tcPr>
            <w:tcW w:type="dxa" w:w="79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0.3</w:t>
            </w:r>
          </w:p>
        </w:tc>
        <w:tc>
          <w:tcPr>
            <w:tcW w:type="dxa" w:w="172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13.36</w:t>
            </w:r>
          </w:p>
        </w:tc>
        <w:tc>
          <w:tcPr>
            <w:tcW w:type="dxa" w:w="201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1.57</w:t>
            </w:r>
          </w:p>
        </w:tc>
        <w:tc>
          <w:tcPr>
            <w:tcW w:type="dxa" w:w="208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4.93</w:t>
            </w:r>
          </w:p>
        </w:tc>
        <w:tc>
          <w:tcPr>
            <w:tcW w:type="dxa" w:w="244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w:t>
            </w:r>
          </w:p>
        </w:tc>
      </w:tr>
      <w:tr>
        <w:trPr>
          <w:cantSplit/>
          <w:cantSplit/>
        </w:trPr>
        <w:tc>
          <w:tcPr>
            <w:tcW w:type="dxa" w:w="64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50</w:t>
            </w:r>
          </w:p>
        </w:tc>
        <w:tc>
          <w:tcPr>
            <w:tcW w:type="dxa" w:w="792"/>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0.08</w:t>
            </w:r>
          </w:p>
        </w:tc>
        <w:tc>
          <w:tcPr>
            <w:tcW w:type="dxa" w:w="172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99.09</w:t>
            </w:r>
          </w:p>
        </w:tc>
        <w:tc>
          <w:tcPr>
            <w:tcW w:type="dxa" w:w="201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1.75</w:t>
            </w:r>
          </w:p>
        </w:tc>
        <w:tc>
          <w:tcPr>
            <w:tcW w:type="dxa" w:w="208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50.84</w:t>
            </w:r>
          </w:p>
        </w:tc>
        <w:tc>
          <w:tcPr>
            <w:tcW w:type="dxa" w:w="244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w:t>
            </w:r>
          </w:p>
        </w:tc>
      </w:tr>
      <w:tr>
        <w:trPr>
          <w:cantSplit/>
          <w:cantSplit/>
        </w:trPr>
        <w:tc>
          <w:tcPr>
            <w:tcW w:type="dxa" w:w="64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200</w:t>
            </w:r>
          </w:p>
        </w:tc>
        <w:tc>
          <w:tcPr>
            <w:tcW w:type="dxa" w:w="79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0.02</w:t>
            </w:r>
          </w:p>
        </w:tc>
        <w:tc>
          <w:tcPr>
            <w:tcW w:type="dxa" w:w="172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397.80</w:t>
            </w:r>
          </w:p>
        </w:tc>
        <w:tc>
          <w:tcPr>
            <w:tcW w:type="dxa" w:w="201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4.77</w:t>
            </w:r>
          </w:p>
        </w:tc>
        <w:tc>
          <w:tcPr>
            <w:tcW w:type="dxa" w:w="208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202.57</w:t>
            </w:r>
          </w:p>
        </w:tc>
        <w:tc>
          <w:tcPr>
            <w:tcW w:type="dxa" w:w="244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w:t>
            </w:r>
          </w:p>
        </w:tc>
      </w:tr>
    </w:tbl>
    <w:p>
      <w:pPr>
        <w:widowControl/>
        <w:spacing w:after="40"/>
        <w:jc w:val="both"/>
      </w:pPr>
      <w:r>
        <w:rPr>
          <w:rFonts w:ascii="DejaVu Serif" w:hAnsi="DejaVu Serif" w:eastAsia="DejaVu Serif" w:cs="DejaVu Serif"/>
          <w:color w:val="000000"/>
          <w:sz w:val="20"/>
        </w:rPr>
      </w:r>
    </w:p>
    <w:p>
      <w:pPr>
        <w:widowControl/>
        <w:jc w:val="both"/>
      </w:pPr>
      <w:r>
        <w:rPr>
          <w:rFonts w:ascii="DejaVu Serif" w:hAnsi="DejaVu Serif" w:eastAsia="DejaVu Serif" w:cs="DejaVu Serif"/>
          <w:color w:val="000000"/>
          <w:sz w:val="20"/>
        </w:rPr>
        <w:t>Agreement between ℝ and 𝔽₂ is a property of this sheaf, not a general fact. For non-unimodular incidence maps the two ranks can differ, and a runtime must record the coefficient field with every certificate.</w:t>
      </w:r>
    </w:p>
    <w:p>
      <w:pPr>
        <w:pStyle w:val="Heading2"/>
        <w:widowControl/>
        <w:jc w:val="both"/>
      </w:pPr>
      <w:r>
        <w:rPr>
          <w:rFonts w:ascii="DejaVu Serif" w:hAnsi="DejaVu Serif" w:eastAsia="DejaVu Serif" w:cs="DejaVu Serif"/>
          <w:b/>
          <w:color w:val="000000"/>
          <w:sz w:val="22"/>
        </w:rPr>
        <w:t>13 2 Exact arithmetic for the triangle example</w:t>
      </w:r>
    </w:p>
    <w:p>
      <w:pPr>
        <w:widowControl/>
        <w:jc w:val="both"/>
      </w:pPr>
      <w:r>
        <w:rPr>
          <w:rFonts w:ascii="DejaVu Serif" w:hAnsi="DejaVu Serif" w:eastAsia="DejaVu Serif" w:cs="DejaVu Serif"/>
          <w:color w:val="000000"/>
          <w:sz w:val="20"/>
        </w:rPr>
        <w:t>The worked example of Section 4 is recomputed in rational arithmetic, so no rounding is involved. With g=(2,3,4) in edge order (12,23,13):</w:t>
      </w:r>
    </w:p>
    <w:p>
      <w:pPr>
        <w:widowControl/>
        <w:spacing w:before="60" w:after="140"/>
        <w:jc w:val="center"/>
      </w:pPr>
      <w:r>
        <w:rPr>
          <w:rFonts w:ascii="DejaVu Serif" w:hAnsi="DejaVu Serif" w:eastAsia="DejaVu Serif" w:cs="DejaVu Serif"/>
          <w:color w:val="000000"/>
          <w:sz w:val="20"/>
        </w:rPr>
        <w:t>κ = 1,   c* = (-1/3, -1/3, 1/3),   g+c* = (5/3, 8/3, 13/3),   ‖c*‖² = 1/3,   timeline = (0, 5/3, 13/3)</w:t>
      </w:r>
    </w:p>
    <w:p>
      <w:pPr>
        <w:widowControl/>
        <w:jc w:val="both"/>
      </w:pPr>
      <w:r>
        <w:rPr>
          <w:rFonts w:ascii="DejaVu Serif" w:hAnsi="DejaVu Serif" w:eastAsia="DejaVu Serif" w:cs="DejaVu Serif"/>
          <w:color w:val="000000"/>
          <w:sz w:val="20"/>
        </w:rPr>
        <w:t>The repaired transitions have cyclic sum 0, and the timeline reproduces every repaired edge, confirming the figures in Section 4. Attaching the triangular face gives d¹d⁰=0 exactly, dim H¹=0 and d¹g=1=κ. This is Proposition 4.2 in numbers: the face removes the cohomology class and turns the same data into a closure violation of the same magnitude.</w:t>
      </w:r>
    </w:p>
    <w:p>
      <w:pPr>
        <w:pStyle w:val="Heading2"/>
        <w:widowControl/>
        <w:jc w:val="both"/>
      </w:pPr>
      <w:r>
        <w:rPr>
          <w:rFonts w:ascii="DejaVu Serif" w:hAnsi="DejaVu Serif" w:eastAsia="DejaVu Serif" w:cs="DejaVu Serif"/>
          <w:b/>
          <w:color w:val="000000"/>
          <w:sz w:val="22"/>
        </w:rPr>
        <w:t>13 3 Weighted repair precision and the gauge mode</w:t>
      </w:r>
    </w:p>
    <w:p>
      <w:pPr>
        <w:keepNext/>
        <w:widowControl/>
        <w:jc w:val="both"/>
      </w:pPr>
      <w:r>
        <w:rPr>
          <w:rFonts w:ascii="DejaVu Serif" w:hAnsi="DejaVu Serif" w:eastAsia="DejaVu Serif" w:cs="DejaVu Serif"/>
          <w:color w:val="000000"/>
          <w:sz w:val="20"/>
        </w:rPr>
        <w:t>Theorem 7.1 was tested on cycles of length k with edge weights drawn uniformly from [0.2, 5] and Gaussian measurements, 200 instances per k. Three constructions of the projector P were compared: the formula of Theorem 7.1 with NumPy's default pseudoinverse threshold, the same formula with an explicit relative threshold of 10⁻¹⁰, and a gauge-fixed solve that sets s₀=0 and inverts the resulting positive definite matrix.</w:t>
      </w:r>
    </w:p>
    <w:p>
      <w:pPr>
        <w:pStyle w:val="Caption"/>
        <w:keepNext/>
        <w:widowControl/>
        <w:jc w:val="center"/>
      </w:pPr>
      <w:r>
        <w:rPr>
          <w:rFonts w:ascii="DejaVu Serif" w:hAnsi="DejaVu Serif" w:eastAsia="DejaVu Serif" w:cs="DejaVu Serif"/>
          <w:color w:val="000000"/>
          <w:sz w:val="20"/>
        </w:rPr>
        <w:t>Table 13.3  Worst-case residuals of the weighted repair projector over 200 instances per cycle length.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440"/>
        <w:gridCol w:w="1872"/>
        <w:gridCol w:w="1728"/>
        <w:gridCol w:w="1800"/>
        <w:gridCol w:w="2016"/>
      </w:tblGrid>
      <w:tr>
        <w:trPr>
          <w:cantSplit/>
          <w:tblHeader/>
          <w:cantSplit/>
          <w:tblHeader/>
        </w:trPr>
        <w:tc>
          <w:tcPr>
            <w:tcW w:type="dxa" w:w="864"/>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Cycle size</w:t>
            </w:r>
          </w:p>
        </w:tc>
        <w:tc>
          <w:tcPr>
            <w:tcW w:type="dxa" w:w="1440"/>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Null ratio max</w:t>
            </w:r>
          </w:p>
        </w:tc>
        <w:tc>
          <w:tcPr>
            <w:tcW w:type="dxa" w:w="1872"/>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Default idempotence</w:t>
            </w:r>
          </w:p>
        </w:tc>
        <w:tc>
          <w:tcPr>
            <w:tcW w:type="dxa" w:w="1728"/>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Cutoff 10⁻¹⁰</w:t>
            </w:r>
          </w:p>
        </w:tc>
        <w:tc>
          <w:tcPr>
            <w:tcW w:type="dxa" w:w="1800"/>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Gauge idempotence</w:t>
            </w:r>
          </w:p>
        </w:tc>
        <w:tc>
          <w:tcPr>
            <w:tcW w:type="dxa" w:w="2016"/>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Correction error</w:t>
            </w:r>
          </w:p>
        </w:tc>
      </w:tr>
      <w:tr>
        <w:trPr>
          <w:cantSplit/>
          <w:cantSplit/>
        </w:trPr>
        <w:tc>
          <w:tcPr>
            <w:tcW w:type="dxa" w:w="86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w:t>
            </w:r>
          </w:p>
        </w:tc>
        <w:tc>
          <w:tcPr>
            <w:tcW w:type="dxa" w:w="144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1.50e-16</w:t>
            </w:r>
          </w:p>
        </w:tc>
        <w:tc>
          <w:tcPr>
            <w:tcW w:type="dxa" w:w="187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1.22e-15</w:t>
            </w:r>
          </w:p>
        </w:tc>
        <w:tc>
          <w:tcPr>
            <w:tcW w:type="dxa" w:w="172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1.22e-15</w:t>
            </w:r>
          </w:p>
        </w:tc>
        <w:tc>
          <w:tcPr>
            <w:tcW w:type="dxa" w:w="180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3.33e-16</w:t>
            </w:r>
          </w:p>
        </w:tc>
        <w:tc>
          <w:tcPr>
            <w:tcW w:type="dxa" w:w="201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6.66e-16</w:t>
            </w:r>
          </w:p>
        </w:tc>
      </w:tr>
      <w:tr>
        <w:trPr>
          <w:cantSplit/>
          <w:cantSplit/>
        </w:trPr>
        <w:tc>
          <w:tcPr>
            <w:tcW w:type="dxa" w:w="864"/>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5</w:t>
            </w:r>
          </w:p>
        </w:tc>
        <w:tc>
          <w:tcPr>
            <w:tcW w:type="dxa" w:w="144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1.59e-16</w:t>
            </w:r>
          </w:p>
        </w:tc>
        <w:tc>
          <w:tcPr>
            <w:tcW w:type="dxa" w:w="1872"/>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7.42e-15</w:t>
            </w:r>
          </w:p>
        </w:tc>
        <w:tc>
          <w:tcPr>
            <w:tcW w:type="dxa" w:w="172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3.16e-15</w:t>
            </w:r>
          </w:p>
        </w:tc>
        <w:tc>
          <w:tcPr>
            <w:tcW w:type="dxa" w:w="180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1.33e-15</w:t>
            </w:r>
          </w:p>
        </w:tc>
        <w:tc>
          <w:tcPr>
            <w:tcW w:type="dxa" w:w="201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2.66e-15</w:t>
            </w:r>
          </w:p>
        </w:tc>
      </w:tr>
      <w:tr>
        <w:trPr>
          <w:cantSplit/>
          <w:cantSplit/>
        </w:trPr>
        <w:tc>
          <w:tcPr>
            <w:tcW w:type="dxa" w:w="86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w:t>
            </w:r>
          </w:p>
        </w:tc>
        <w:tc>
          <w:tcPr>
            <w:tcW w:type="dxa" w:w="144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1.29e-16</w:t>
            </w:r>
          </w:p>
        </w:tc>
        <w:tc>
          <w:tcPr>
            <w:tcW w:type="dxa" w:w="187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7.77e-15</w:t>
            </w:r>
          </w:p>
        </w:tc>
        <w:tc>
          <w:tcPr>
            <w:tcW w:type="dxa" w:w="172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8.16e-15</w:t>
            </w:r>
          </w:p>
        </w:tc>
        <w:tc>
          <w:tcPr>
            <w:tcW w:type="dxa" w:w="180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1.78e-15</w:t>
            </w:r>
          </w:p>
        </w:tc>
        <w:tc>
          <w:tcPr>
            <w:tcW w:type="dxa" w:w="201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6.55e-15</w:t>
            </w:r>
          </w:p>
        </w:tc>
      </w:tr>
      <w:tr>
        <w:trPr>
          <w:cantSplit/>
          <w:cantSplit/>
        </w:trPr>
        <w:tc>
          <w:tcPr>
            <w:tcW w:type="dxa" w:w="864"/>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50</w:t>
            </w:r>
          </w:p>
        </w:tc>
        <w:tc>
          <w:tcPr>
            <w:tcW w:type="dxa" w:w="144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4.23e-16</w:t>
            </w:r>
          </w:p>
        </w:tc>
        <w:tc>
          <w:tcPr>
            <w:tcW w:type="dxa" w:w="1872"/>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3.97e-14</w:t>
            </w:r>
          </w:p>
        </w:tc>
        <w:tc>
          <w:tcPr>
            <w:tcW w:type="dxa" w:w="172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6.10e-14</w:t>
            </w:r>
          </w:p>
        </w:tc>
        <w:tc>
          <w:tcPr>
            <w:tcW w:type="dxa" w:w="180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8.99e-15</w:t>
            </w:r>
          </w:p>
        </w:tc>
        <w:tc>
          <w:tcPr>
            <w:tcW w:type="dxa" w:w="201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4.20e-14</w:t>
            </w:r>
          </w:p>
        </w:tc>
      </w:tr>
      <w:tr>
        <w:trPr>
          <w:cantSplit/>
          <w:cantSplit/>
        </w:trPr>
        <w:tc>
          <w:tcPr>
            <w:tcW w:type="dxa" w:w="86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200</w:t>
            </w:r>
          </w:p>
        </w:tc>
        <w:tc>
          <w:tcPr>
            <w:tcW w:type="dxa" w:w="144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4.31e-16</w:t>
            </w:r>
          </w:p>
        </w:tc>
        <w:tc>
          <w:tcPr>
            <w:tcW w:type="dxa" w:w="187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1.30e-13</w:t>
            </w:r>
          </w:p>
        </w:tc>
        <w:tc>
          <w:tcPr>
            <w:tcW w:type="dxa" w:w="172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3.04e-13</w:t>
            </w:r>
          </w:p>
        </w:tc>
        <w:tc>
          <w:tcPr>
            <w:tcW w:type="dxa" w:w="180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2.39e-14</w:t>
            </w:r>
          </w:p>
        </w:tc>
        <w:tc>
          <w:tcPr>
            <w:tcW w:type="dxa" w:w="201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3.14e-13</w:t>
            </w:r>
          </w:p>
        </w:tc>
      </w:tr>
    </w:tbl>
    <w:p>
      <w:pPr>
        <w:widowControl/>
        <w:spacing w:after="40"/>
        <w:jc w:val="both"/>
      </w:pPr>
      <w:r>
        <w:rPr>
          <w:rFonts w:ascii="DejaVu Serif" w:hAnsi="DejaVu Serif" w:eastAsia="DejaVu Serif" w:cs="DejaVu Serif"/>
          <w:color w:val="000000"/>
          <w:sz w:val="20"/>
        </w:rPr>
      </w:r>
    </w:p>
    <w:p>
      <w:pPr>
        <w:widowControl/>
        <w:jc w:val="both"/>
      </w:pPr>
      <w:r>
        <w:rPr>
          <w:rFonts w:ascii="DejaVu Serif" w:hAnsi="DejaVu Serif" w:eastAsia="DejaVu Serif" w:cs="DejaVu Serif"/>
          <w:color w:val="000000"/>
          <w:sz w:val="20"/>
        </w:rPr>
        <w:t>Finding. The V3 report observed an idempotence error of 5.7×10⁻⁴ for a default pseudoinverse at k=50. The present rerun does not reproduce that loss: its largest default idempotence residual is 1.30×10⁻¹³, compared with 2.39×10⁻¹⁴ after gauge fixing, and no computed null singular value crosses 10⁻¹⁵ of the maximum. This difference is evidence of a platform dependent numerical hazard, not a contradiction of the exact projector theorem. The gauge fixed correction agrees with the one cycle formula to 3.14×10⁻¹³; the Pythagorean and cost checks have worst relative residuals 1.15×10⁻¹⁵ and 1.80×10⁻¹⁵. Theoretical normal equation formulas do not mandate that computational route: QR or SVD of the weighted incidence operator avoids squaring its condition number [13].</w:t>
      </w:r>
    </w:p>
    <w:p>
      <w:pPr>
        <w:widowControl/>
        <w:jc w:val="both"/>
      </w:pPr>
      <w:r>
        <w:rPr>
          <w:rFonts w:ascii="DejaVu Serif" w:hAnsi="DejaVu Serif" w:eastAsia="DejaVu Serif" w:cs="DejaVu Serif"/>
          <w:color w:val="000000"/>
          <w:sz w:val="20"/>
        </w:rPr>
        <w:t>Runtime rule. Remove the known gauge or use a rank aware factorisation, record tolerances and backward residuals, and keep structural rank information separate from empirical singular value gaps. One fixed scalar potential per component is a valid gauge for the constant scalar graph sheaf; general cellular sheaves can have different kernel structure. Section 15 explains how numerical and exact rank statements differ.</w:t>
      </w:r>
    </w:p>
    <w:p>
      <w:pPr>
        <w:pStyle w:val="Heading2"/>
        <w:widowControl/>
        <w:jc w:val="both"/>
      </w:pPr>
      <w:r>
        <w:rPr>
          <w:rFonts w:ascii="DejaVu Serif" w:hAnsi="DejaVu Serif" w:eastAsia="DejaVu Serif" w:cs="DejaVu Serif"/>
          <w:b/>
          <w:color w:val="000000"/>
          <w:sz w:val="22"/>
        </w:rPr>
        <w:t>13 4 Hodge decomposition</w:t>
      </w:r>
    </w:p>
    <w:p>
      <w:pPr>
        <w:widowControl/>
        <w:jc w:val="both"/>
      </w:pPr>
      <w:r>
        <w:rPr>
          <w:rFonts w:ascii="DejaVu Serif" w:hAnsi="DejaVu Serif" w:eastAsia="DejaVu Serif" w:cs="DejaVu Serif"/>
          <w:color w:val="000000"/>
          <w:sz w:val="20"/>
        </w:rPr>
        <w:t>For random v ∈ C¹ the exact, coexact and harmonic components were computed independently: least squares onto im D, least squares onto im Eᵀ, and projection onto ker L₁. Theorem 8.1 predicts that they reconstruct v, are mutually orthogonal, and that dim ker L₁ = dim H¹ computed from ranks.</w:t>
      </w:r>
    </w:p>
    <w:p>
      <w:pPr>
        <w:pStyle w:val="Caption"/>
        <w:keepNext/>
        <w:widowControl/>
        <w:jc w:val="center"/>
      </w:pPr>
      <w:r>
        <w:rPr>
          <w:rFonts w:ascii="DejaVu Serif" w:hAnsi="DejaVu Serif" w:eastAsia="DejaVu Serif" w:cs="DejaVu Serif"/>
          <w:color w:val="000000"/>
          <w:sz w:val="20"/>
        </w:rPr>
        <w:t>Table 13.4  Hodge decomposition residuals; inner products are normalised by ‖v‖².</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864"/>
        <w:gridCol w:w="1224"/>
        <w:gridCol w:w="2160"/>
        <w:gridCol w:w="2592"/>
        <w:gridCol w:w="2232"/>
      </w:tblGrid>
      <w:tr>
        <w:trPr>
          <w:cantSplit/>
          <w:tblHeader/>
          <w:cantSplit/>
          <w:tblHeader/>
        </w:trPr>
        <w:tc>
          <w:tcPr>
            <w:tcW w:type="dxa" w:w="648"/>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n</w:t>
            </w:r>
          </w:p>
        </w:tc>
        <w:tc>
          <w:tcPr>
            <w:tcW w:type="dxa" w:w="864"/>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p</w:t>
            </w:r>
          </w:p>
        </w:tc>
        <w:tc>
          <w:tcPr>
            <w:tcW w:type="dxa" w:w="1224"/>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Mean H¹</w:t>
            </w:r>
          </w:p>
        </w:tc>
        <w:tc>
          <w:tcPr>
            <w:tcW w:type="dxa" w:w="2160"/>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Reconstruction</w:t>
            </w:r>
          </w:p>
        </w:tc>
        <w:tc>
          <w:tcPr>
            <w:tcW w:type="dxa" w:w="2592"/>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Largest cross inner product</w:t>
            </w:r>
          </w:p>
        </w:tc>
        <w:tc>
          <w:tcPr>
            <w:tcW w:type="dxa" w:w="2232"/>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Dimension errors</w:t>
            </w:r>
          </w:p>
        </w:tc>
      </w:tr>
      <w:tr>
        <w:trPr>
          <w:cantSplit/>
          <w:cantSplit/>
        </w:trPr>
        <w:tc>
          <w:tcPr>
            <w:tcW w:type="dxa" w:w="64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12</w:t>
            </w:r>
          </w:p>
        </w:tc>
        <w:tc>
          <w:tcPr>
            <w:tcW w:type="dxa" w:w="86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0.35</w:t>
            </w:r>
          </w:p>
        </w:tc>
        <w:tc>
          <w:tcPr>
            <w:tcW w:type="dxa" w:w="122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3.52</w:t>
            </w:r>
          </w:p>
        </w:tc>
        <w:tc>
          <w:tcPr>
            <w:tcW w:type="dxa" w:w="216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3.71e-15</w:t>
            </w:r>
          </w:p>
        </w:tc>
        <w:tc>
          <w:tcPr>
            <w:tcW w:type="dxa" w:w="259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1.89e-16</w:t>
            </w:r>
          </w:p>
        </w:tc>
        <w:tc>
          <w:tcPr>
            <w:tcW w:type="dxa" w:w="223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w:t>
            </w:r>
          </w:p>
        </w:tc>
      </w:tr>
      <w:tr>
        <w:trPr>
          <w:cantSplit/>
          <w:cantSplit/>
        </w:trPr>
        <w:tc>
          <w:tcPr>
            <w:tcW w:type="dxa" w:w="64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30</w:t>
            </w:r>
          </w:p>
        </w:tc>
        <w:tc>
          <w:tcPr>
            <w:tcW w:type="dxa" w:w="864"/>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0.15</w:t>
            </w:r>
          </w:p>
        </w:tc>
        <w:tc>
          <w:tcPr>
            <w:tcW w:type="dxa" w:w="1224"/>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23.12</w:t>
            </w:r>
          </w:p>
        </w:tc>
        <w:tc>
          <w:tcPr>
            <w:tcW w:type="dxa" w:w="216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3.53e-15</w:t>
            </w:r>
          </w:p>
        </w:tc>
        <w:tc>
          <w:tcPr>
            <w:tcW w:type="dxa" w:w="2592"/>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9.05e-17</w:t>
            </w:r>
          </w:p>
        </w:tc>
        <w:tc>
          <w:tcPr>
            <w:tcW w:type="dxa" w:w="2232"/>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w:t>
            </w:r>
          </w:p>
        </w:tc>
      </w:tr>
      <w:tr>
        <w:trPr>
          <w:cantSplit/>
          <w:cantSplit/>
        </w:trPr>
        <w:tc>
          <w:tcPr>
            <w:tcW w:type="dxa" w:w="64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60</w:t>
            </w:r>
          </w:p>
        </w:tc>
        <w:tc>
          <w:tcPr>
            <w:tcW w:type="dxa" w:w="86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0.08</w:t>
            </w:r>
          </w:p>
        </w:tc>
        <w:tc>
          <w:tcPr>
            <w:tcW w:type="dxa" w:w="122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67.72</w:t>
            </w:r>
          </w:p>
        </w:tc>
        <w:tc>
          <w:tcPr>
            <w:tcW w:type="dxa" w:w="216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2.47e-15</w:t>
            </w:r>
          </w:p>
        </w:tc>
        <w:tc>
          <w:tcPr>
            <w:tcW w:type="dxa" w:w="259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9.39e-17</w:t>
            </w:r>
          </w:p>
        </w:tc>
        <w:tc>
          <w:tcPr>
            <w:tcW w:type="dxa" w:w="223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w:t>
            </w:r>
          </w:p>
        </w:tc>
      </w:tr>
    </w:tbl>
    <w:p>
      <w:pPr>
        <w:widowControl/>
        <w:spacing w:after="40"/>
        <w:jc w:val="both"/>
      </w:pPr>
      <w:r>
        <w:rPr>
          <w:rFonts w:ascii="DejaVu Serif" w:hAnsi="DejaVu Serif" w:eastAsia="DejaVu Serif" w:cs="DejaVu Serif"/>
          <w:color w:val="000000"/>
          <w:sz w:val="20"/>
        </w:rPr>
      </w:r>
    </w:p>
    <w:p>
      <w:pPr>
        <w:pStyle w:val="Heading2"/>
        <w:widowControl/>
        <w:jc w:val="both"/>
      </w:pPr>
      <w:r>
        <w:rPr>
          <w:rFonts w:ascii="DejaVu Serif" w:hAnsi="DejaVu Serif" w:eastAsia="DejaVu Serif" w:cs="DejaVu Serif"/>
          <w:b/>
          <w:color w:val="000000"/>
          <w:sz w:val="22"/>
        </w:rPr>
        <w:t>13 5 Diffusion</w:t>
      </w:r>
    </w:p>
    <w:p>
      <w:pPr>
        <w:widowControl/>
        <w:jc w:val="both"/>
      </w:pPr>
      <w:r>
        <w:rPr>
          <w:rFonts w:ascii="DejaVu Serif" w:hAnsi="DejaVu Serif" w:eastAsia="DejaVu Serif" w:cs="DejaVu Serif"/>
          <w:color w:val="000000"/>
          <w:sz w:val="20"/>
        </w:rPr>
        <w:t>On the path graph with n=40, the analytic spectral gap is 2−2cos(π/n)=0.006165332534. The rerun gives the same value to the displayed precision and a fitted late time decay rate 0.006165667, with no bound violations at the 81 sampled times. The exponent is optimal because an eigenvector for the smallest positive eigenvalue attains it exactly. A generic initial condition has that asymptotic exponent but need not attain the unit prefactor of the norm bound.</w:t>
      </w:r>
    </w:p>
    <w:p>
      <w:pPr>
        <w:keepNext/>
        <w:widowControl/>
        <w:jc w:val="center"/>
      </w:pPr>
      <w:r>
        <w:rPr>
          <w:rFonts w:ascii="DejaVu Serif" w:hAnsi="DejaVu Serif" w:eastAsia="DejaVu Serif" w:cs="DejaVu Serif"/>
          <w:color w:val="000000"/>
          <w:sz w:val="20"/>
        </w:rPr>
        <w:drawing>
          <wp:inline xmlns:a="http://schemas.openxmlformats.org/drawingml/2006/main" xmlns:pic="http://schemas.openxmlformats.org/drawingml/2006/picture">
            <wp:extent cx="5486400" cy="3008671"/>
            <wp:docPr id="1" name="Picture 1"/>
            <wp:cNvGraphicFramePr>
              <a:graphicFrameLocks noChangeAspect="1"/>
            </wp:cNvGraphicFramePr>
            <a:graphic>
              <a:graphicData uri="http://schemas.openxmlformats.org/drawingml/2006/picture">
                <pic:pic>
                  <pic:nvPicPr>
                    <pic:cNvPr id="0" name="fig_diffusion.png"/>
                    <pic:cNvPicPr/>
                  </pic:nvPicPr>
                  <pic:blipFill>
                    <a:blip r:embed="rId11"/>
                    <a:stretch>
                      <a:fillRect/>
                    </a:stretch>
                  </pic:blipFill>
                  <pic:spPr>
                    <a:xfrm>
                      <a:off x="0" y="0"/>
                      <a:ext cx="5486400" cy="3008671"/>
                    </a:xfrm>
                    <a:prstGeom prst="rect"/>
                  </pic:spPr>
                </pic:pic>
              </a:graphicData>
            </a:graphic>
          </wp:inline>
        </w:drawing>
      </w:r>
    </w:p>
    <w:p>
      <w:pPr>
        <w:pStyle w:val="Caption"/>
        <w:widowControl/>
        <w:jc w:val="center"/>
      </w:pPr>
      <w:r>
        <w:rPr>
          <w:rFonts w:ascii="DejaVu Serif" w:hAnsi="DejaVu Serif" w:eastAsia="DejaVu Serif" w:cs="DejaVu Serif"/>
          <w:color w:val="000000"/>
          <w:sz w:val="20"/>
        </w:rPr>
        <w:t>Figure 13.1  Distance to the coherent state under x′ = −L₀x, against the bound of Theorem 8.2.</w:t>
      </w:r>
    </w:p>
    <w:p>
      <w:pPr>
        <w:pStyle w:val="Caption"/>
        <w:keepNext/>
        <w:widowControl/>
        <w:jc w:val="center"/>
      </w:pPr>
      <w:r>
        <w:rPr>
          <w:rFonts w:ascii="DejaVu Serif" w:hAnsi="DejaVu Serif" w:eastAsia="DejaVu Serif" w:cs="DejaVu Serif"/>
          <w:color w:val="000000"/>
          <w:sz w:val="20"/>
        </w:rPr>
        <w:t>Table 13.5  Explicit Euler diffusion: the step-size threshold 2/λmax is sharp.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592"/>
        <w:gridCol w:w="2592"/>
        <w:gridCol w:w="2520"/>
      </w:tblGrid>
      <w:tr>
        <w:trPr>
          <w:cantSplit/>
          <w:tblHeader/>
          <w:cantSplit/>
          <w:tblHeader/>
        </w:trPr>
        <w:tc>
          <w:tcPr>
            <w:tcW w:type="dxa" w:w="2016"/>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Step fraction</w:t>
            </w:r>
          </w:p>
        </w:tc>
        <w:tc>
          <w:tcPr>
            <w:tcW w:type="dxa" w:w="2592"/>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Predicted factor</w:t>
            </w:r>
          </w:p>
        </w:tc>
        <w:tc>
          <w:tcPr>
            <w:tcW w:type="dxa" w:w="2592"/>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Measured factor</w:t>
            </w:r>
          </w:p>
        </w:tc>
        <w:tc>
          <w:tcPr>
            <w:tcW w:type="dxa" w:w="2520"/>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Converged</w:t>
            </w:r>
          </w:p>
        </w:tc>
      </w:tr>
      <w:tr>
        <w:trPr>
          <w:cantSplit/>
          <w:cantSplit/>
        </w:trPr>
        <w:tc>
          <w:tcPr>
            <w:tcW w:type="dxa" w:w="201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0.25</w:t>
            </w:r>
          </w:p>
        </w:tc>
        <w:tc>
          <w:tcPr>
            <w:tcW w:type="dxa" w:w="259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0.999228</w:t>
            </w:r>
          </w:p>
        </w:tc>
        <w:tc>
          <w:tcPr>
            <w:tcW w:type="dxa" w:w="259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0.998348</w:t>
            </w:r>
          </w:p>
        </w:tc>
        <w:tc>
          <w:tcPr>
            <w:tcW w:type="dxa" w:w="252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yes</w:t>
            </w:r>
          </w:p>
        </w:tc>
      </w:tr>
      <w:tr>
        <w:trPr>
          <w:cantSplit/>
          <w:cantSplit/>
        </w:trPr>
        <w:tc>
          <w:tcPr>
            <w:tcW w:type="dxa" w:w="201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0.5</w:t>
            </w:r>
          </w:p>
        </w:tc>
        <w:tc>
          <w:tcPr>
            <w:tcW w:type="dxa" w:w="2592"/>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0.998456</w:t>
            </w:r>
          </w:p>
        </w:tc>
        <w:tc>
          <w:tcPr>
            <w:tcW w:type="dxa" w:w="2592"/>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0.997577</w:t>
            </w:r>
          </w:p>
        </w:tc>
        <w:tc>
          <w:tcPr>
            <w:tcW w:type="dxa" w:w="252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yes</w:t>
            </w:r>
          </w:p>
        </w:tc>
      </w:tr>
      <w:tr>
        <w:trPr>
          <w:cantSplit/>
          <w:cantSplit/>
        </w:trPr>
        <w:tc>
          <w:tcPr>
            <w:tcW w:type="dxa" w:w="201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0.9</w:t>
            </w:r>
          </w:p>
        </w:tc>
        <w:tc>
          <w:tcPr>
            <w:tcW w:type="dxa" w:w="259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0.997221</w:t>
            </w:r>
          </w:p>
        </w:tc>
        <w:tc>
          <w:tcPr>
            <w:tcW w:type="dxa" w:w="259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0.996343</w:t>
            </w:r>
          </w:p>
        </w:tc>
        <w:tc>
          <w:tcPr>
            <w:tcW w:type="dxa" w:w="252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yes</w:t>
            </w:r>
          </w:p>
        </w:tc>
      </w:tr>
      <w:tr>
        <w:trPr>
          <w:cantSplit/>
          <w:cantSplit/>
        </w:trPr>
        <w:tc>
          <w:tcPr>
            <w:tcW w:type="dxa" w:w="201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0.99</w:t>
            </w:r>
          </w:p>
        </w:tc>
        <w:tc>
          <w:tcPr>
            <w:tcW w:type="dxa" w:w="2592"/>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0.996943</w:t>
            </w:r>
          </w:p>
        </w:tc>
        <w:tc>
          <w:tcPr>
            <w:tcW w:type="dxa" w:w="2592"/>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0.996066</w:t>
            </w:r>
          </w:p>
        </w:tc>
        <w:tc>
          <w:tcPr>
            <w:tcW w:type="dxa" w:w="252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yes</w:t>
            </w:r>
          </w:p>
        </w:tc>
      </w:tr>
      <w:tr>
        <w:trPr>
          <w:cantSplit/>
          <w:cantSplit/>
        </w:trPr>
        <w:tc>
          <w:tcPr>
            <w:tcW w:type="dxa" w:w="201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1.01</w:t>
            </w:r>
          </w:p>
        </w:tc>
        <w:tc>
          <w:tcPr>
            <w:tcW w:type="dxa" w:w="259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1.020000</w:t>
            </w:r>
          </w:p>
        </w:tc>
        <w:tc>
          <w:tcPr>
            <w:tcW w:type="dxa" w:w="259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1.019052</w:t>
            </w:r>
          </w:p>
        </w:tc>
        <w:tc>
          <w:tcPr>
            <w:tcW w:type="dxa" w:w="252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no</w:t>
            </w:r>
          </w:p>
        </w:tc>
      </w:tr>
    </w:tbl>
    <w:p>
      <w:pPr>
        <w:widowControl/>
        <w:spacing w:after="40"/>
        <w:jc w:val="both"/>
      </w:pPr>
      <w:r>
        <w:rPr>
          <w:rFonts w:ascii="DejaVu Serif" w:hAnsi="DejaVu Serif" w:eastAsia="DejaVu Serif" w:cs="DejaVu Serif"/>
          <w:color w:val="000000"/>
          <w:sz w:val="20"/>
        </w:rPr>
      </w:r>
    </w:p>
    <w:p>
      <w:pPr>
        <w:widowControl/>
        <w:jc w:val="both"/>
      </w:pPr>
      <w:r>
        <w:rPr>
          <w:rFonts w:ascii="DejaVu Serif" w:hAnsi="DejaVu Serif" w:eastAsia="DejaVu Serif" w:cs="DejaVu Serif"/>
          <w:color w:val="000000"/>
          <w:sz w:val="20"/>
        </w:rPr>
        <w:t>The measured geometric contraction is slightly better than the predicted worst case, because the predicted factor is attained only by the slowest mode and the random initial state has a small component in it. Just above η=2/λmax the iteration diverges at the predicted factor, confirming that the step restriction stated after Theorem 8.2 is sharp rather than conservative.</w:t>
      </w:r>
    </w:p>
    <w:p>
      <w:pPr>
        <w:pStyle w:val="Heading2"/>
        <w:widowControl/>
        <w:jc w:val="both"/>
      </w:pPr>
      <w:r>
        <w:rPr>
          <w:rFonts w:ascii="DejaVu Serif" w:hAnsi="DejaVu Serif" w:eastAsia="DejaVu Serif" w:cs="DejaVu Serif"/>
          <w:b/>
          <w:color w:val="000000"/>
          <w:sz w:val="22"/>
        </w:rPr>
        <w:t>13 6 Boundary reduction relative extension and interface classes</w:t>
      </w:r>
    </w:p>
    <w:p>
      <w:pPr>
        <w:pStyle w:val="Caption"/>
        <w:keepNext/>
        <w:widowControl/>
        <w:jc w:val="center"/>
      </w:pPr>
      <w:r>
        <w:rPr>
          <w:rFonts w:ascii="DejaVu Serif" w:hAnsi="DejaVu Serif" w:eastAsia="DejaVu Serif" w:cs="DejaVu Serif"/>
          <w:color w:val="000000"/>
          <w:sz w:val="20"/>
        </w:rPr>
        <w:t>Table 13.6  Proposition 9.2: solution via cached interior elimination against a direct solve of L = L₀ + 0.01 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304"/>
        <w:gridCol w:w="2880"/>
        <w:gridCol w:w="2808"/>
      </w:tblGrid>
      <w:tr>
        <w:trPr>
          <w:cantSplit/>
          <w:tblHeader/>
          <w:cantSplit/>
          <w:tblHeader/>
        </w:trPr>
        <w:tc>
          <w:tcPr>
            <w:tcW w:type="dxa" w:w="1728"/>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Vertices</w:t>
            </w:r>
          </w:p>
        </w:tc>
        <w:tc>
          <w:tcPr>
            <w:tcW w:type="dxa" w:w="2304"/>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Boundary size</w:t>
            </w:r>
          </w:p>
        </w:tc>
        <w:tc>
          <w:tcPr>
            <w:tcW w:type="dxa" w:w="2880"/>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Condition number</w:t>
            </w:r>
          </w:p>
        </w:tc>
        <w:tc>
          <w:tcPr>
            <w:tcW w:type="dxa" w:w="2808"/>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Relative error</w:t>
            </w:r>
          </w:p>
        </w:tc>
      </w:tr>
      <w:tr>
        <w:trPr>
          <w:cantSplit/>
          <w:cantSplit/>
        </w:trPr>
        <w:tc>
          <w:tcPr>
            <w:tcW w:type="dxa" w:w="172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50</w:t>
            </w:r>
          </w:p>
        </w:tc>
        <w:tc>
          <w:tcPr>
            <w:tcW w:type="dxa" w:w="230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5</w:t>
            </w:r>
          </w:p>
        </w:tc>
        <w:tc>
          <w:tcPr>
            <w:tcW w:type="dxa" w:w="288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738</w:t>
            </w:r>
          </w:p>
        </w:tc>
        <w:tc>
          <w:tcPr>
            <w:tcW w:type="dxa" w:w="280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5.61e-16</w:t>
            </w:r>
          </w:p>
        </w:tc>
      </w:tr>
      <w:tr>
        <w:trPr>
          <w:cantSplit/>
          <w:cantSplit/>
        </w:trPr>
        <w:tc>
          <w:tcPr>
            <w:tcW w:type="dxa" w:w="172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200</w:t>
            </w:r>
          </w:p>
        </w:tc>
        <w:tc>
          <w:tcPr>
            <w:tcW w:type="dxa" w:w="2304"/>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10</w:t>
            </w:r>
          </w:p>
        </w:tc>
        <w:tc>
          <w:tcPr>
            <w:tcW w:type="dxa" w:w="288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745</w:t>
            </w:r>
          </w:p>
        </w:tc>
        <w:tc>
          <w:tcPr>
            <w:tcW w:type="dxa" w:w="2808"/>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2.97e-15</w:t>
            </w:r>
          </w:p>
        </w:tc>
      </w:tr>
      <w:tr>
        <w:trPr>
          <w:cantSplit/>
          <w:cantSplit/>
        </w:trPr>
        <w:tc>
          <w:tcPr>
            <w:tcW w:type="dxa" w:w="172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800</w:t>
            </w:r>
          </w:p>
        </w:tc>
        <w:tc>
          <w:tcPr>
            <w:tcW w:type="dxa" w:w="2304"/>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20</w:t>
            </w:r>
          </w:p>
        </w:tc>
        <w:tc>
          <w:tcPr>
            <w:tcW w:type="dxa" w:w="288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749</w:t>
            </w:r>
          </w:p>
        </w:tc>
        <w:tc>
          <w:tcPr>
            <w:tcW w:type="dxa" w:w="2808"/>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3.05e-15</w:t>
            </w:r>
          </w:p>
        </w:tc>
      </w:tr>
    </w:tbl>
    <w:p>
      <w:pPr>
        <w:widowControl/>
        <w:spacing w:after="40"/>
        <w:jc w:val="both"/>
      </w:pPr>
      <w:r>
        <w:rPr>
          <w:rFonts w:ascii="DejaVu Serif" w:hAnsi="DejaVu Serif" w:eastAsia="DejaVu Serif" w:cs="DejaVu Serif"/>
          <w:color w:val="000000"/>
          <w:sz w:val="20"/>
        </w:rPr>
      </w:r>
    </w:p>
    <w:p>
      <w:pPr>
        <w:keepNext/>
        <w:widowControl/>
        <w:jc w:val="both"/>
      </w:pPr>
      <w:r>
        <w:rPr>
          <w:rFonts w:ascii="DejaVu Serif" w:hAnsi="DejaVu Serif" w:eastAsia="DejaVu Serif" w:cs="DejaVu Serif"/>
          <w:b/>
          <w:i w:val="0"/>
          <w:color w:val="000000"/>
          <w:sz w:val="20"/>
        </w:rPr>
        <w:t xml:space="preserve">Theorem 9.1. </w:t>
      </w:r>
      <w:r>
        <w:rPr>
          <w:rFonts w:ascii="DejaVu Serif" w:hAnsi="DejaVu Serif" w:eastAsia="DejaVu Serif" w:cs="DejaVu Serif"/>
          <w:color w:val="000000"/>
          <w:sz w:val="20"/>
        </w:rPr>
        <w:t>In 397 random connected graphs a coherent assignment was frozen on a random vertex subset A, taking one value per connected component of the induced subgraph on A. The criterion that the relative class vanishes, tested as solvability of d⁰ restricted to the free vertices, was compared with the independent fact that global sections of a connected constant sheaf are constant. The two agreed in 397/397 cases, and 156 assignments were blocked, all of them because A's induced subgraph was disconnected with distinct frozen values. This is the relative obstruction of Section 9 in its simplest form: freezing old memory can forbid an extension that unconstrained fitting would allow.</w:t>
      </w:r>
    </w:p>
    <w:p>
      <w:pPr>
        <w:keepNext/>
        <w:widowControl/>
        <w:jc w:val="both"/>
      </w:pPr>
      <w:r>
        <w:rPr>
          <w:rFonts w:ascii="DejaVu Serif" w:hAnsi="DejaVu Serif" w:eastAsia="DejaVu Serif" w:cs="DejaVu Serif"/>
          <w:color w:val="000000"/>
          <w:sz w:val="20"/>
        </w:rPr>
        <w:t>Proposition 6.2. In 298 cellular subcomplex decompositions, the rank gap rule with threshold 10⁻⁹ yields agreement in all cases between the interface cokernel, the restriction kernel on H¹ and the component count formula. There are 241 nonzero interface spaces. The default floating point rank rule agrees in 294 of 298 cases in this rerun. Retained singular values of β are at least 0.308 and discarded ones at most 2.35×10⁻¹⁵, relative to the maximum. This is a strong numerical separation; exact component counts provide the independent structural check in this constant graph model. The cellular short exact sequence of restriction complexes justifies using the interface identity for subcomplexes here, rather than assuming they are open sets in an unrelated topology.</w:t>
      </w:r>
    </w:p>
    <w:p>
      <w:pPr>
        <w:pStyle w:val="Heading2"/>
        <w:widowControl/>
        <w:jc w:val="both"/>
      </w:pPr>
      <w:r>
        <w:rPr>
          <w:rFonts w:ascii="DejaVu Serif" w:hAnsi="DejaVu Serif" w:eastAsia="DejaVu Serif" w:cs="DejaVu Serif"/>
          <w:b/>
          <w:color w:val="000000"/>
          <w:sz w:val="22"/>
        </w:rPr>
        <w:t>13 7 Sparse versus quadratic repair</w:t>
      </w:r>
    </w:p>
    <w:p>
      <w:pPr>
        <w:keepNext/>
        <w:widowControl/>
        <w:jc w:val="both"/>
      </w:pPr>
      <w:r>
        <w:rPr>
          <w:rFonts w:ascii="DejaVu Serif" w:hAnsi="DejaVu Serif" w:eastAsia="DejaVu Serif" w:cs="DejaVu Serif"/>
          <w:color w:val="000000"/>
          <w:sz w:val="20"/>
        </w:rPr>
        <w:t>Proposition 10.1 was checked by brute force on 200 random graphs with n ≤ 9: the minimum 𝔽₂ edit count for gₑ ≡ 1 equals m minus the maximum cut in every case. To contrast the two repair objectives of Section 7, an exact transition vector on a 8-cycle was corrupted on a single edge, giving κ=2. The unit-weight quadratic repair changes all 8 edges by at most 0.25 each (ℓ² cost 0.7071). The sparse repair changes the corrupted edge alone (ℓ² cost 2.0) and restores exactness to 3.3×10⁻¹⁶. The quadratic objective spreads an error that originated on one edge across the whole cycle, as Proposition 7.3 predicts. Reliable one edge only repair would contradict this equal weight quadratic model. Unequal unknown weights require the separation analysis in Section 17.</w:t>
      </w:r>
    </w:p>
    <w:p>
      <w:pPr>
        <w:pStyle w:val="Heading2"/>
        <w:widowControl/>
        <w:jc w:val="both"/>
      </w:pPr>
      <w:r>
        <w:rPr>
          <w:rFonts w:ascii="DejaVu Serif" w:hAnsi="DejaVu Serif" w:eastAsia="DejaVu Serif" w:cs="DejaVu Serif"/>
          <w:b/>
          <w:color w:val="000000"/>
          <w:sz w:val="22"/>
        </w:rPr>
        <w:t>13 8 Locality evidence for Conjecture 12.4</w:t>
      </w:r>
    </w:p>
    <w:p>
      <w:pPr>
        <w:widowControl/>
        <w:jc w:val="both"/>
      </w:pPr>
      <w:r>
        <w:rPr>
          <w:rFonts w:ascii="DejaVu Serif" w:hAnsi="DejaVu Serif" w:eastAsia="DejaVu Serif" w:cs="DejaVu Serif"/>
          <w:color w:val="000000"/>
          <w:sz w:val="20"/>
        </w:rPr>
        <w:t>Conjecture 12.4 asks whether local perturbations have local effects when there is a spectral gap. As evidence, not proof, the response x = (L₀+μI)⁻¹eᵥ to a unit load at the centre of a 31×31 grid was computed for four gaps μ. Decay rates were fitted on graph distances 2 to 13. The continuum Green's function of −Δ+μ decays as exp(−√μ r), suggesting a decay length ξ ≈ μ⁻¹ᐟ².</w:t>
      </w:r>
    </w:p>
    <w:p>
      <w:pPr>
        <w:pStyle w:val="Caption"/>
        <w:keepNext/>
        <w:widowControl/>
        <w:jc w:val="center"/>
      </w:pPr>
      <w:r>
        <w:rPr>
          <w:rFonts w:ascii="DejaVu Serif" w:hAnsi="DejaVu Serif" w:eastAsia="DejaVu Serif" w:cs="DejaVu Serif"/>
          <w:color w:val="000000"/>
          <w:sz w:val="20"/>
        </w:rPr>
        <w:t>Table 13.7  Decay of the response to a local load as the spectral gap closes.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512"/>
        <w:gridCol w:w="1512"/>
        <w:gridCol w:w="1440"/>
        <w:gridCol w:w="4176"/>
      </w:tblGrid>
      <w:tr>
        <w:trPr>
          <w:cantSplit/>
          <w:tblHeader/>
          <w:cantSplit/>
          <w:tblHeader/>
        </w:trPr>
        <w:tc>
          <w:tcPr>
            <w:tcW w:type="dxa" w:w="1080"/>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Mass μ</w:t>
            </w:r>
          </w:p>
        </w:tc>
        <w:tc>
          <w:tcPr>
            <w:tcW w:type="dxa" w:w="1512"/>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Fitted rate</w:t>
            </w:r>
          </w:p>
        </w:tc>
        <w:tc>
          <w:tcPr>
            <w:tcW w:type="dxa" w:w="1512"/>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Length ξ</w:t>
            </w:r>
          </w:p>
        </w:tc>
        <w:tc>
          <w:tcPr>
            <w:tcW w:type="dxa" w:w="1440"/>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ξ√μ</w:t>
            </w:r>
          </w:p>
        </w:tc>
        <w:tc>
          <w:tcPr>
            <w:tcW w:type="dxa" w:w="4176"/>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Interpretation</w:t>
            </w:r>
          </w:p>
        </w:tc>
      </w:tr>
      <w:tr>
        <w:trPr>
          <w:cantSplit/>
          <w:cantSplit/>
        </w:trPr>
        <w:tc>
          <w:tcPr>
            <w:tcW w:type="dxa" w:w="108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w:t>
            </w:r>
          </w:p>
        </w:tc>
        <w:tc>
          <w:tcPr>
            <w:tcW w:type="dxa" w:w="151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0.7619</w:t>
            </w:r>
          </w:p>
        </w:tc>
        <w:tc>
          <w:tcPr>
            <w:tcW w:type="dxa" w:w="151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1.31</w:t>
            </w:r>
          </w:p>
        </w:tc>
        <w:tc>
          <w:tcPr>
            <w:tcW w:type="dxa" w:w="144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1.31</w:t>
            </w:r>
          </w:p>
        </w:tc>
        <w:tc>
          <w:tcPr>
            <w:tcW w:type="dxa" w:w="417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Finite grid fit</w:t>
            </w:r>
          </w:p>
        </w:tc>
      </w:tr>
      <w:tr>
        <w:trPr>
          <w:cantSplit/>
          <w:cantSplit/>
        </w:trPr>
        <w:tc>
          <w:tcPr>
            <w:tcW w:type="dxa" w:w="108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0.1</w:t>
            </w:r>
          </w:p>
        </w:tc>
        <w:tc>
          <w:tcPr>
            <w:tcW w:type="dxa" w:w="1512"/>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0.2884</w:t>
            </w:r>
          </w:p>
        </w:tc>
        <w:tc>
          <w:tcPr>
            <w:tcW w:type="dxa" w:w="1512"/>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3.47</w:t>
            </w:r>
          </w:p>
        </w:tc>
        <w:tc>
          <w:tcPr>
            <w:tcW w:type="dxa" w:w="144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1.10</w:t>
            </w:r>
          </w:p>
        </w:tc>
        <w:tc>
          <w:tcPr>
            <w:tcW w:type="dxa" w:w="417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Finite grid fit</w:t>
            </w:r>
          </w:p>
        </w:tc>
      </w:tr>
      <w:tr>
        <w:trPr>
          <w:cantSplit/>
          <w:cantSplit/>
        </w:trPr>
        <w:tc>
          <w:tcPr>
            <w:tcW w:type="dxa" w:w="108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0.01</w:t>
            </w:r>
          </w:p>
        </w:tc>
        <w:tc>
          <w:tcPr>
            <w:tcW w:type="dxa" w:w="151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0.1054</w:t>
            </w:r>
          </w:p>
        </w:tc>
        <w:tc>
          <w:tcPr>
            <w:tcW w:type="dxa" w:w="1512"/>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9.49</w:t>
            </w:r>
          </w:p>
        </w:tc>
        <w:tc>
          <w:tcPr>
            <w:tcW w:type="dxa" w:w="144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0.95</w:t>
            </w:r>
          </w:p>
        </w:tc>
        <w:tc>
          <w:tcPr>
            <w:tcW w:type="dxa" w:w="417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Finite grid fit</w:t>
            </w:r>
          </w:p>
        </w:tc>
      </w:tr>
      <w:tr>
        <w:trPr>
          <w:cantSplit/>
          <w:cantSplit/>
        </w:trPr>
        <w:tc>
          <w:tcPr>
            <w:tcW w:type="dxa" w:w="108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0.001</w:t>
            </w:r>
          </w:p>
        </w:tc>
        <w:tc>
          <w:tcPr>
            <w:tcW w:type="dxa" w:w="1512"/>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0.0193</w:t>
            </w:r>
          </w:p>
        </w:tc>
        <w:tc>
          <w:tcPr>
            <w:tcW w:type="dxa" w:w="1512"/>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51.86</w:t>
            </w:r>
          </w:p>
        </w:tc>
        <w:tc>
          <w:tcPr>
            <w:tcW w:type="dxa" w:w="144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1.64</w:t>
            </w:r>
          </w:p>
        </w:tc>
        <w:tc>
          <w:tcPr>
            <w:tcW w:type="dxa" w:w="417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Beyond grid</w:t>
            </w:r>
          </w:p>
        </w:tc>
      </w:tr>
    </w:tbl>
    <w:p>
      <w:pPr>
        <w:widowControl/>
        <w:spacing w:after="40"/>
        <w:jc w:val="both"/>
      </w:pPr>
      <w:r>
        <w:rPr>
          <w:rFonts w:ascii="DejaVu Serif" w:hAnsi="DejaVu Serif" w:eastAsia="DejaVu Serif" w:cs="DejaVu Serif"/>
          <w:color w:val="000000"/>
          <w:sz w:val="20"/>
        </w:rPr>
      </w:r>
    </w:p>
    <w:p>
      <w:pPr>
        <w:keepNext/>
        <w:widowControl/>
        <w:jc w:val="center"/>
      </w:pPr>
      <w:r>
        <w:rPr>
          <w:rFonts w:ascii="DejaVu Serif" w:hAnsi="DejaVu Serif" w:eastAsia="DejaVu Serif" w:cs="DejaVu Serif"/>
          <w:color w:val="000000"/>
          <w:sz w:val="20"/>
        </w:rPr>
        <w:drawing>
          <wp:inline xmlns:a="http://schemas.openxmlformats.org/drawingml/2006/main" xmlns:pic="http://schemas.openxmlformats.org/drawingml/2006/picture">
            <wp:extent cx="5486400" cy="3008671"/>
            <wp:docPr id="2" name="Picture 2"/>
            <wp:cNvGraphicFramePr>
              <a:graphicFrameLocks noChangeAspect="1"/>
            </wp:cNvGraphicFramePr>
            <a:graphic>
              <a:graphicData uri="http://schemas.openxmlformats.org/drawingml/2006/picture">
                <pic:pic>
                  <pic:nvPicPr>
                    <pic:cNvPr id="0" name="fig_locality.png"/>
                    <pic:cNvPicPr/>
                  </pic:nvPicPr>
                  <pic:blipFill>
                    <a:blip r:embed="rId12"/>
                    <a:stretch>
                      <a:fillRect/>
                    </a:stretch>
                  </pic:blipFill>
                  <pic:spPr>
                    <a:xfrm>
                      <a:off x="0" y="0"/>
                      <a:ext cx="5486400" cy="3008671"/>
                    </a:xfrm>
                    <a:prstGeom prst="rect"/>
                  </pic:spPr>
                </pic:pic>
              </a:graphicData>
            </a:graphic>
          </wp:inline>
        </w:drawing>
      </w:r>
    </w:p>
    <w:p>
      <w:pPr>
        <w:pStyle w:val="Caption"/>
        <w:widowControl/>
        <w:jc w:val="center"/>
      </w:pPr>
      <w:r>
        <w:rPr>
          <w:rFonts w:ascii="DejaVu Serif" w:hAnsi="DejaVu Serif" w:eastAsia="DejaVu Serif" w:cs="DejaVu Serif"/>
          <w:color w:val="000000"/>
          <w:sz w:val="20"/>
        </w:rPr>
        <w:t>Figure 13.2  Maximum response at each graph distance. Plateaus at small μ are finite-size effects: the decay length exceeds the grid.</w:t>
      </w:r>
    </w:p>
    <w:p>
      <w:pPr>
        <w:widowControl/>
        <w:jc w:val="both"/>
      </w:pPr>
      <w:r>
        <w:rPr>
          <w:rFonts w:ascii="DejaVu Serif" w:hAnsi="DejaVu Serif" w:eastAsia="DejaVu Serif" w:cs="DejaVu Serif"/>
          <w:color w:val="000000"/>
          <w:sz w:val="20"/>
        </w:rPr>
        <w:t>For μ between 0.01 and 1 the fitted quantity ξ√μ is between 0.95 and 1.31. These are finite grid profiles, not a proof of a uniform asymptotic law or an error bound for all truncated updates. The μ=0.001 fit exceeds the domain size and is unreliable as an infinite domain decay estimate. Theorem 16.2 below supplies an operator norm approximation bound from explicit finite propagation and spectral assumptions, independently of these fits.</w:t>
      </w:r>
    </w:p>
    <w:p>
      <w:pPr>
        <w:pStyle w:val="Heading2"/>
        <w:widowControl/>
        <w:jc w:val="both"/>
      </w:pPr>
      <w:r>
        <w:rPr>
          <w:rFonts w:ascii="DejaVu Serif" w:hAnsi="DejaVu Serif" w:eastAsia="DejaVu Serif" w:cs="DejaVu Serif"/>
          <w:b/>
          <w:color w:val="000000"/>
          <w:sz w:val="22"/>
        </w:rPr>
        <w:t>13 9 Design analysis for Hypothesis 12.2</w:t>
      </w:r>
    </w:p>
    <w:p>
      <w:pPr>
        <w:widowControl/>
        <w:jc w:val="both"/>
      </w:pPr>
      <w:r>
        <w:rPr>
          <w:rFonts w:ascii="DejaVu Serif" w:hAnsi="DejaVu Serif" w:eastAsia="DejaVu Serif" w:cs="DejaVu Serif"/>
          <w:color w:val="000000"/>
          <w:sz w:val="20"/>
        </w:rPr>
        <w:t>Before running Hypothesis 12.2 as an experiment, its statistical power was simulated. Each simulated participant repairs three-edge cycles with κ ∈ {±0.5, ±1} under either the quadratic policy of Proposition 7.3 or the sparse policy that corrects only the cheapest edge. Responses carry Gaussian noise σ. The analyst classifies each participant by likelihood ratio using estimated weights ŵ = w·exp(ε), ε ~ N(0, τ²). Recovery is the fraction of 1000 participants classified correctly; the standard error is at most 0.016.</w:t>
      </w:r>
    </w:p>
    <w:p>
      <w:pPr>
        <w:pStyle w:val="Caption"/>
        <w:keepNext/>
        <w:widowControl/>
        <w:jc w:val="center"/>
      </w:pPr>
      <w:r>
        <w:rPr>
          <w:rFonts w:ascii="DejaVu Serif" w:hAnsi="DejaVu Serif" w:eastAsia="DejaVu Serif" w:cs="DejaVu Serif"/>
          <w:color w:val="000000"/>
          <w:sz w:val="20"/>
        </w:rPr>
        <w:t>Table 13.8  Simulated recovery of the repair policy per participant (N repair trials each).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440"/>
        <w:gridCol w:w="1656"/>
        <w:gridCol w:w="1656"/>
        <w:gridCol w:w="1656"/>
        <w:gridCol w:w="1656"/>
      </w:tblGrid>
      <w:tr>
        <w:trPr>
          <w:cantSplit/>
          <w:tblHeader/>
          <w:cantSplit/>
          <w:tblHeader/>
        </w:trPr>
        <w:tc>
          <w:tcPr>
            <w:tcW w:type="dxa" w:w="1656"/>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Weight error</w:t>
            </w:r>
          </w:p>
        </w:tc>
        <w:tc>
          <w:tcPr>
            <w:tcW w:type="dxa" w:w="1440"/>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Noise</w:t>
            </w:r>
          </w:p>
        </w:tc>
        <w:tc>
          <w:tcPr>
            <w:tcW w:type="dxa" w:w="1656"/>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5 trials</w:t>
            </w:r>
          </w:p>
        </w:tc>
        <w:tc>
          <w:tcPr>
            <w:tcW w:type="dxa" w:w="1656"/>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10 trials</w:t>
            </w:r>
          </w:p>
        </w:tc>
        <w:tc>
          <w:tcPr>
            <w:tcW w:type="dxa" w:w="1656"/>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20 trials</w:t>
            </w:r>
          </w:p>
        </w:tc>
        <w:tc>
          <w:tcPr>
            <w:tcW w:type="dxa" w:w="1656"/>
            <w:vAlign w:val="center"/>
            <w:tcMar>
              <w:top w:w="70" w:type="dxa"/>
              <w:left w:w="70" w:type="dxa"/>
              <w:bottom w:w="70" w:type="dxa"/>
              <w:right w:w="70" w:type="dxa"/>
            </w:tcMar>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40 trials</w:t>
            </w:r>
          </w:p>
        </w:tc>
      </w:tr>
      <w:tr>
        <w:trPr>
          <w:cantSplit/>
          <w:cantSplit/>
        </w:trPr>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w:t>
            </w:r>
          </w:p>
        </w:tc>
        <w:tc>
          <w:tcPr>
            <w:tcW w:type="dxa" w:w="144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0.25</w:t>
            </w:r>
          </w:p>
        </w:tc>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0.977</w:t>
            </w:r>
          </w:p>
        </w:tc>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0.998</w:t>
            </w:r>
          </w:p>
        </w:tc>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1.000</w:t>
            </w:r>
          </w:p>
        </w:tc>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1.000</w:t>
            </w:r>
          </w:p>
        </w:tc>
      </w:tr>
      <w:tr>
        <w:trPr>
          <w:cantSplit/>
          <w:cantSplit/>
        </w:trPr>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w:t>
            </w:r>
          </w:p>
        </w:tc>
        <w:tc>
          <w:tcPr>
            <w:tcW w:type="dxa" w:w="144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0.5</w:t>
            </w:r>
          </w:p>
        </w:tc>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0.858</w:t>
            </w:r>
          </w:p>
        </w:tc>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0.944</w:t>
            </w:r>
          </w:p>
        </w:tc>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0.981</w:t>
            </w:r>
          </w:p>
        </w:tc>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0.998</w:t>
            </w:r>
          </w:p>
        </w:tc>
      </w:tr>
      <w:tr>
        <w:trPr>
          <w:cantSplit/>
          <w:cantSplit/>
        </w:trPr>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w:t>
            </w:r>
          </w:p>
        </w:tc>
        <w:tc>
          <w:tcPr>
            <w:tcW w:type="dxa" w:w="144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w:t>
            </w:r>
          </w:p>
        </w:tc>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0.716</w:t>
            </w:r>
          </w:p>
        </w:tc>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0.780</w:t>
            </w:r>
          </w:p>
        </w:tc>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0.879</w:t>
            </w:r>
          </w:p>
        </w:tc>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0.935</w:t>
            </w:r>
          </w:p>
        </w:tc>
      </w:tr>
      <w:tr>
        <w:trPr>
          <w:cantSplit/>
          <w:cantSplit/>
        </w:trPr>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0.5</w:t>
            </w:r>
          </w:p>
        </w:tc>
        <w:tc>
          <w:tcPr>
            <w:tcW w:type="dxa" w:w="144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0.25</w:t>
            </w:r>
          </w:p>
        </w:tc>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0.783</w:t>
            </w:r>
          </w:p>
        </w:tc>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0.831</w:t>
            </w:r>
          </w:p>
        </w:tc>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0.806</w:t>
            </w:r>
          </w:p>
        </w:tc>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0.811</w:t>
            </w:r>
          </w:p>
        </w:tc>
      </w:tr>
      <w:tr>
        <w:trPr>
          <w:cantSplit/>
          <w:cantSplit/>
        </w:trPr>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0.5</w:t>
            </w:r>
          </w:p>
        </w:tc>
        <w:tc>
          <w:tcPr>
            <w:tcW w:type="dxa" w:w="1440"/>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0.5</w:t>
            </w:r>
          </w:p>
        </w:tc>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0.715</w:t>
            </w:r>
          </w:p>
        </w:tc>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0.792</w:t>
            </w:r>
          </w:p>
        </w:tc>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0.813</w:t>
            </w:r>
          </w:p>
        </w:tc>
        <w:tc>
          <w:tcPr>
            <w:tcW w:type="dxa" w:w="1656"/>
            <w:vAlign w:val="center"/>
            <w:tcMar>
              <w:top w:w="70" w:type="dxa"/>
              <w:left w:w="70" w:type="dxa"/>
              <w:bottom w:w="70" w:type="dxa"/>
              <w:right w:w="70" w:type="dxa"/>
            </w:tcMar>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0.811</w:t>
            </w:r>
          </w:p>
        </w:tc>
      </w:tr>
      <w:tr>
        <w:trPr>
          <w:cantSplit/>
          <w:cantSplit/>
        </w:trPr>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0.5</w:t>
            </w:r>
          </w:p>
        </w:tc>
        <w:tc>
          <w:tcPr>
            <w:tcW w:type="dxa" w:w="1440"/>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w:t>
            </w:r>
          </w:p>
        </w:tc>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0.624</w:t>
            </w:r>
          </w:p>
        </w:tc>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0.669</w:t>
            </w:r>
          </w:p>
        </w:tc>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0.701</w:t>
            </w:r>
          </w:p>
        </w:tc>
        <w:tc>
          <w:tcPr>
            <w:tcW w:type="dxa" w:w="1656"/>
            <w:vAlign w:val="center"/>
            <w:tcMar>
              <w:top w:w="70" w:type="dxa"/>
              <w:left w:w="70" w:type="dxa"/>
              <w:bottom w:w="70" w:type="dxa"/>
              <w:right w:w="70" w:type="dxa"/>
            </w:tcMar>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0.770</w:t>
            </w:r>
          </w:p>
        </w:tc>
      </w:tr>
    </w:tbl>
    <w:p>
      <w:pPr>
        <w:widowControl/>
        <w:spacing w:after="40"/>
        <w:jc w:val="both"/>
      </w:pPr>
      <w:r>
        <w:rPr>
          <w:rFonts w:ascii="DejaVu Serif" w:hAnsi="DejaVu Serif" w:eastAsia="DejaVu Serif" w:cs="DejaVu Serif"/>
          <w:color w:val="000000"/>
          <w:sz w:val="20"/>
        </w:rPr>
      </w:r>
    </w:p>
    <w:p>
      <w:pPr>
        <w:widowControl/>
        <w:jc w:val="both"/>
      </w:pPr>
      <w:r>
        <w:rPr>
          <w:rFonts w:ascii="DejaVu Serif" w:hAnsi="DejaVu Serif" w:eastAsia="DejaVu Serif" w:cs="DejaVu Serif"/>
          <w:color w:val="000000"/>
          <w:sz w:val="20"/>
        </w:rPr>
        <w:t>Finding. Known weights improve recovery with more trials in this specified classifier. With weight error τ=0.5 the plug in classifier reaches only about 0.81 recovery at the largest low noise conditions tested. That is a finite simulation result for this misspecified estimator, not an impossibility theorem for all inference procedures. Theorem 17.1 characterises the nuisance weight family and Theorem 17.2 quantifies separation under bounded weight ratios. Unknown weights may be measured independently or fitted jointly under explicit constraints. Thresholding the number of changed edges is not uniformly reliable when quadratic weights are arbitrarily unequal.</w:t>
      </w:r>
    </w:p>
    <w:p>
      <w:pPr>
        <w:pStyle w:val="Heading2"/>
        <w:widowControl/>
        <w:jc w:val="both"/>
      </w:pPr>
      <w:r>
        <w:rPr>
          <w:rFonts w:ascii="DejaVu Serif" w:hAnsi="DejaVu Serif" w:eastAsia="DejaVu Serif" w:cs="DejaVu Serif"/>
          <w:b/>
          <w:color w:val="000000"/>
          <w:sz w:val="22"/>
        </w:rPr>
        <w:t>13 10 Scope of the numerical evidence</w:t>
      </w:r>
    </w:p>
    <w:p>
      <w:pPr>
        <w:widowControl/>
        <w:jc w:val="both"/>
      </w:pPr>
      <w:r>
        <w:rPr>
          <w:rFonts w:ascii="DejaVu Serif" w:hAnsi="DejaVu Serif" w:eastAsia="DejaVu Serif" w:cs="DejaVu Serif"/>
          <w:color w:val="000000"/>
          <w:sz w:val="20"/>
        </w:rPr>
        <w:t>These computations check finite instances of selected proved results and diagnose numerical implementation choices. They neither verify every theorem in the paper nor certify arbitrary exact ranks from floating point gaps. Sections 13 8 and 13 9 report locality profiles and a specified policy classifier, rather than proofs of locality or of nonidentifiability. Sections 14–18 provide the additional mathematical results needed to formulate those questions precisely.</w:t>
      </w:r>
    </w:p>
    <w:p>
      <w:pPr>
        <w:pStyle w:val="Heading1"/>
        <w:widowControl/>
      </w:pPr>
      <w:r>
        <w:rPr>
          <w:rFonts w:ascii="DejaVu Serif" w:hAnsi="DejaVu Serif" w:eastAsia="DejaVu Serif" w:cs="DejaVu Serif"/>
          <w:b/>
          <w:color w:val="000000"/>
          <w:sz w:val="26"/>
        </w:rPr>
        <w:t>14 Transformations and the limits of canonical repair</w:t>
      </w:r>
    </w:p>
    <w:p>
      <w:pPr>
        <w:widowControl/>
      </w:pPr>
      <w:r>
        <w:rPr>
          <w:rFonts w:ascii="DejaVu Serif" w:hAnsi="DejaVu Serif" w:eastAsia="DejaVu Serif" w:cs="DejaVu Serif"/>
          <w:color w:val="000000"/>
          <w:sz w:val="20"/>
        </w:rPr>
        <w:t>A programming paradigm requires compositional laws, not only an invariant for each state. Fix two finite real complexes with degree zero differentials D and D′. A cochain transformation consists of linear maps T₀ and T₁ with T₁D=D′T₀, and, when degree two is present, a map T₂ with E′T₁=T₂E. Natural cellular sheaf morphisms induce such maps, but an arbitrary pair of matrices need not arise from a sheaf morphism.</w:t>
      </w:r>
    </w:p>
    <w:p>
      <w:pPr>
        <w:widowControl/>
      </w:pPr>
      <w:r>
        <w:rPr>
          <w:rFonts w:ascii="DejaVu Serif" w:hAnsi="DejaVu Serif" w:eastAsia="DejaVu Serif" w:cs="DejaVu Serif"/>
          <w:color w:val="000000"/>
          <w:sz w:val="20"/>
        </w:rPr>
        <w:t>For precision, a finite linear cellular sheaf assigns a vector space F(σ) to each cell σ of a finite regular cell complex and a map Fστ:F(σ)→F(τ) to each face relation σ≤τ. Identity and composition laws are required. With chosen cell orientations, Cᵖ is the direct sum of F(σ) over p dimensional cells and (dᵖx)τ is the sum of [τ:σ]Fστxσ over codimension one faces. Here [τ:σ] is the signed cellular incidence number. Functoriality and the cellular boundary identity give dᵖ⁺¹dᵖ=0 by the same cancellation as Lemma 3.1. This face poset convention is covariant; it should not be confused with contravariance on open sets. It supplies the actual executable structure behind the matrices D and E.</w:t>
      </w:r>
    </w:p>
    <w:p>
      <w:pPr>
        <w:keepNext/>
        <w:widowControl/>
      </w:pPr>
      <w:r>
        <w:rPr>
          <w:rFonts w:ascii="DejaVu Serif" w:hAnsi="DejaVu Serif" w:eastAsia="DejaVu Serif" w:cs="DejaVu Serif"/>
          <w:b/>
          <w:color w:val="000000"/>
          <w:sz w:val="20"/>
        </w:rPr>
        <w:t xml:space="preserve">Proposition 14.1  Obstructions transform functorially. </w:t>
      </w:r>
      <w:r>
        <w:rPr>
          <w:rFonts w:ascii="DejaVu Serif" w:hAnsi="DejaVu Serif" w:eastAsia="DejaVu Serif" w:cs="DejaVu Serif"/>
          <w:color w:val="000000"/>
          <w:sz w:val="20"/>
        </w:rPr>
        <w:t>A cochain transformation sends exact transitions to exact transitions and closed transitions to closed transitions, and induces a well defined linear map H¹(F)→H¹(G).</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If g=Ds then T₁g=D′T₀s. If Eg=0 then E′T₁g=T₂Eg=0. Changing a closed representative by Du changes its image by D′T₀u, so the induced quotient map is independent of the representative. □</w:t>
      </w:r>
    </w:p>
    <w:p>
      <w:pPr>
        <w:widowControl/>
      </w:pPr>
      <w:r>
        <w:rPr>
          <w:rFonts w:ascii="DejaVu Serif" w:hAnsi="DejaVu Serif" w:eastAsia="DejaVu Serif" w:cs="DejaVu Serif"/>
          <w:color w:val="000000"/>
          <w:sz w:val="20"/>
        </w:rPr>
        <w:t>This guarantees that a trivial class stays trivial. A nontrivial class may map to zero under a noninjective transformation, so a refactoring cannot claim to preserve all obstruction information merely from naturality. A cochain isomorphism does preserve it.</w:t>
      </w:r>
    </w:p>
    <w:p>
      <w:pPr>
        <w:keepNext/>
        <w:widowControl/>
      </w:pPr>
      <w:r>
        <w:rPr>
          <w:rFonts w:ascii="DejaVu Serif" w:hAnsi="DejaVu Serif" w:eastAsia="DejaVu Serif" w:cs="DejaVu Serif"/>
          <w:b/>
          <w:color w:val="000000"/>
          <w:sz w:val="20"/>
        </w:rPr>
        <w:t xml:space="preserve">Theorem 14.2  Exact criterion for repair to commute with transformation. </w:t>
      </w:r>
      <w:r>
        <w:rPr>
          <w:rFonts w:ascii="DejaVu Serif" w:hAnsi="DejaVu Serif" w:eastAsia="DejaVu Serif" w:cs="DejaVu Serif"/>
          <w:color w:val="000000"/>
          <w:sz w:val="20"/>
        </w:rPr>
        <w:t>Let P and P′ be the orthogonal projectors onto im D and im D′ for declared inner products, and assume T₁(im D) is contained in im D′. Then T₁P=P′T₁ if and only if T₁ sends the orthogonal complement of im D into the orthogonal complement of im D′.</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Write v=u+w with u∈im D and w perpendicular to im D. Then T₁Pv=T₁u, whereas P′T₁v=T₁u+P′T₁w. Equality for every v holds exactly when P′T₁w=0 for every such w, which is the stated condition. □</w:t>
      </w:r>
    </w:p>
    <w:p>
      <w:pPr>
        <w:widowControl/>
      </w:pPr>
      <w:r>
        <w:rPr>
          <w:rFonts w:ascii="DejaVu Serif" w:hAnsi="DejaVu Serif" w:eastAsia="DejaVu Serif" w:cs="DejaVu Serif"/>
          <w:color w:val="000000"/>
          <w:sz w:val="20"/>
        </w:rPr>
        <w:t>Counterexample 14.3. In Euclidean coordinates take D=D′=(1,0)ᵀ, T₀=1 and T₁=[[1,1],[0,1]]. Then T₁D=D′T₀, while P=P′=diag(1,0). For g=(0,1)ᵀ, T₁Pg=0 but P′T₁g=(1,0)ᵀ. Thus certified gluing is natural, whereas a least squares repair is generally metric dependent. This example can be realised on a single edge with endpoint stalks R and zero, edge stalk R² and endpoint restriction v↦(v,0). The edge shear fixes that restriction and defines a cellular sheaf morphism.</w:t>
      </w:r>
    </w:p>
    <w:p>
      <w:pPr>
        <w:keepNext/>
        <w:widowControl/>
      </w:pPr>
      <w:r>
        <w:rPr>
          <w:rFonts w:ascii="DejaVu Serif" w:hAnsi="DejaVu Serif" w:eastAsia="DejaVu Serif" w:cs="DejaVu Serif"/>
          <w:b/>
          <w:color w:val="000000"/>
          <w:sz w:val="20"/>
        </w:rPr>
        <w:t xml:space="preserve">Corollary 14.4  Isometric equivalence preserves repair. </w:t>
      </w:r>
      <w:r>
        <w:rPr>
          <w:rFonts w:ascii="DejaVu Serif" w:hAnsi="DejaVu Serif" w:eastAsia="DejaVu Serif" w:cs="DejaVu Serif"/>
          <w:color w:val="000000"/>
          <w:sz w:val="20"/>
        </w:rPr>
        <w:t>If a cochain isomorphism T₁ is also an isometry of the declared degree one inner products, then its orthogonal repair projectors commute with T₁.</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An isometry maps im D onto im D′ and its orthogonal complement onto the corresponding orthogonal complement. Apply Theorem 14.2. □</w:t>
      </w:r>
    </w:p>
    <w:p>
      <w:pPr>
        <w:widowControl/>
      </w:pPr>
      <w:r>
        <w:rPr>
          <w:rFonts w:ascii="DejaVu Serif" w:hAnsi="DejaVu Serif" w:eastAsia="DejaVu Serif" w:cs="DejaVu Serif"/>
          <w:color w:val="000000"/>
          <w:sz w:val="20"/>
        </w:rPr>
        <w:t>A runtime should therefore transport the metric along an invertible schema change, or explicitly record that a new metric defines a different repair policy. Restriction and naturality alone do not select a canonical notion of nearest consistent state.</w:t>
      </w:r>
    </w:p>
    <w:p>
      <w:pPr>
        <w:pStyle w:val="Heading1"/>
        <w:widowControl/>
      </w:pPr>
      <w:r>
        <w:rPr>
          <w:rFonts w:ascii="DejaVu Serif" w:hAnsi="DejaVu Serif" w:eastAsia="DejaVu Serif" w:cs="DejaVu Serif"/>
          <w:b/>
          <w:color w:val="000000"/>
          <w:sz w:val="26"/>
        </w:rPr>
        <w:t>15 Approximate coherence and trustworthy certificates</w:t>
      </w:r>
    </w:p>
    <w:p>
      <w:pPr>
        <w:keepNext/>
        <w:widowControl/>
      </w:pPr>
      <w:r>
        <w:rPr>
          <w:rFonts w:ascii="DejaVu Serif" w:hAnsi="DejaVu Serif" w:eastAsia="DejaVu Serif" w:cs="DejaVu Serif"/>
          <w:b/>
          <w:color w:val="000000"/>
          <w:sz w:val="20"/>
        </w:rPr>
        <w:t xml:space="preserve">Theorem 15.1  Sharp approximate coherence bound. </w:t>
      </w:r>
      <w:r>
        <w:rPr>
          <w:rFonts w:ascii="DejaVu Serif" w:hAnsi="DejaVu Serif" w:eastAsia="DejaVu Serif" w:cs="DejaVu Serif"/>
          <w:color w:val="000000"/>
          <w:sz w:val="20"/>
        </w:rPr>
        <w:t>Let D be a nonzero real matrix and σ₊ its smallest positive singular value. For every state s, its Euclidean distance to ker D satisfies dist(s,ker D)≤||Ds||/σ₊. The constant 1/σ₊ is optimal.</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In a singular value decomposition, write s as a kernel component plus Σaᵢvᵢ over positive singular modes. The squared distance is Σaᵢ², while ||Ds||²=Σσᵢ²aᵢ²≥σ₊²Σaᵢ². Equality is achieved by a unit right singular vector for σ₊. If D=0 every state is coherent and the distance is zero without defining σ₊. □</w:t>
      </w:r>
    </w:p>
    <w:p>
      <w:pPr>
        <w:widowControl/>
      </w:pPr>
      <w:r>
        <w:rPr>
          <w:rFonts w:ascii="DejaVu Serif" w:hAnsi="DejaVu Serif" w:eastAsia="DejaVu Serif" w:cs="DejaVu Serif"/>
          <w:color w:val="000000"/>
          <w:sz w:val="20"/>
        </w:rPr>
        <w:t>Small local disagreement therefore certifies proximity only when the positive singular spectrum is controlled. On long path graphs the gap closes, so tiny overlap errors can coexist with substantial global state drift. This bound concerns states; it does not convert a nonclosed transition into an H¹ class.</w:t>
      </w:r>
    </w:p>
    <w:p>
      <w:pPr>
        <w:keepNext/>
        <w:widowControl/>
      </w:pPr>
      <w:r>
        <w:rPr>
          <w:rFonts w:ascii="DejaVu Serif" w:hAnsi="DejaVu Serif" w:eastAsia="DejaVu Serif" w:cs="DejaVu Serif"/>
          <w:b/>
          <w:color w:val="000000"/>
          <w:sz w:val="20"/>
        </w:rPr>
        <w:t xml:space="preserve">Proposition 15.2  A dual witness for nonexact transition data. </w:t>
      </w:r>
      <w:r>
        <w:rPr>
          <w:rFonts w:ascii="DejaVu Serif" w:hAnsi="DejaVu Serif" w:eastAsia="DejaVu Serif" w:cs="DejaVu Serif"/>
          <w:color w:val="000000"/>
          <w:sz w:val="20"/>
        </w:rPr>
        <w:t>For positive definite W let P be the weighted exact transition projector and r=(I−P)g. If r≠0, h=r/||r||W satisfies DᵀWh=0, ||h||W=1 and hᵀWg=||r||W. Conversely any such unit h annihilating im D gives |hᵀWg|≤distW(g,im D).</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Weighted orthogonality gives DᵀWr=0 and rᵀWg=rᵀWr. Normalising proves the first assertions. For any exact vector Du, hᵀWg=hᵀW(g−Du); weighted Cauchy–Schwarz bounds this by ||g−Du||W. Minimise over u. □</w:t>
      </w:r>
    </w:p>
    <w:p>
      <w:pPr>
        <w:widowControl/>
      </w:pPr>
      <w:r>
        <w:rPr>
          <w:rFonts w:ascii="DejaVu Serif" w:hAnsi="DejaVu Serif" w:eastAsia="DejaVu Serif" w:cs="DejaVu Serif"/>
          <w:color w:val="000000"/>
          <w:sz w:val="20"/>
        </w:rPr>
        <w:t>The witness is a checkable linear functional rejecting exactness. It represents an H¹ obstruction only when Eg=0. With noisy arithmetic, record the witness norm and annihilation residual rather than replacing approximate equality by an exact assertion.</w:t>
      </w:r>
    </w:p>
    <w:p>
      <w:pPr>
        <w:keepNext/>
        <w:widowControl/>
      </w:pPr>
      <w:r>
        <w:rPr>
          <w:rFonts w:ascii="DejaVu Serif" w:hAnsi="DejaVu Serif" w:eastAsia="DejaVu Serif" w:cs="DejaVu Serif"/>
          <w:b/>
          <w:color w:val="000000"/>
          <w:sz w:val="20"/>
        </w:rPr>
        <w:t xml:space="preserve">Theorem 15.3  Repair with protected transitions. </w:t>
      </w:r>
      <w:r>
        <w:rPr>
          <w:rFonts w:ascii="DejaVu Serif" w:hAnsi="DejaVu Serif" w:eastAsia="DejaVu Serif" w:cs="DejaVu Serif"/>
          <w:color w:val="000000"/>
          <w:sz w:val="20"/>
        </w:rPr>
        <w:t>Let Q have rows forming a basis of ker Dᵀ in Euclidean coordinates. Allow correction only in an index set S. An exact repaired transition exists if and only if Qg belongs to im Q_S. Equivalently, every vector h with Dᵀh=0 and h_S=0 must satisfy hᵀg=0.</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A vector is in im D exactly when Q annihilates it. An allowed correction is exact precisely when Q_Sc_S=−Qg. This is solvable if and only if Qg lies in im Q_S. By the finite dimensional alternative theorem, failure is witnessed by y with Q_Sᵀy=0 but yᵀQg≠0. Set h=Qᵀy; then Dᵀh=0 and h_S=0. Conversely every such h lies in the row space of Q and supplies the same obstruction. □</w:t>
      </w:r>
    </w:p>
    <w:p>
      <w:pPr>
        <w:widowControl/>
      </w:pPr>
      <w:r>
        <w:rPr>
          <w:rFonts w:ascii="DejaVu Serif" w:hAnsi="DejaVu Serif" w:eastAsia="DejaVu Serif" w:cs="DejaVu Serif"/>
          <w:color w:val="000000"/>
          <w:sz w:val="20"/>
        </w:rPr>
        <w:t>For diagonal positive W, and when the criterion holds, the unique minimum weighted correction on S is the following. The formula is independent of which basis Q is used, since the constrained minimiser is unique. Empty S permits repair only if g is already exact.</w:t>
      </w:r>
    </w:p>
    <w:p>
      <w:pPr>
        <w:widowControl/>
        <w:spacing w:before="80" w:after="140"/>
      </w:pPr>
      <w:r>
        <w:rPr>
          <w:rFonts w:ascii="DejaVu Serif" w:hAnsi="DejaVu Serif" w:eastAsia="DejaVu Serif" w:cs="DejaVu Serif"/>
          <w:color w:val="000000"/>
          <w:sz w:val="20"/>
        </w:rPr>
        <w:t>c_S = −W_S⁻¹ Q_Sᵀ (Q_S W_S⁻¹ Q_Sᵀ)† Qg,     c outside S = 0</w:t>
      </w:r>
    </w:p>
    <w:p>
      <w:pPr>
        <w:widowControl/>
      </w:pPr>
      <w:r>
        <w:rPr>
          <w:rFonts w:ascii="DejaVu Serif" w:hAnsi="DejaVu Serif" w:eastAsia="DejaVu Serif" w:cs="DejaVu Serif"/>
          <w:color w:val="000000"/>
          <w:sz w:val="20"/>
        </w:rPr>
        <w:t>To derive it, put u=W_S¹ᐟ²c_S and minimise ||u|| subject to Q_SW_S⁻¹ᐟ²u=−Qg. The minimum norm solution is the transpose times the pseudoinverse of the Gram matrix. This protects edge measurements; Theorem 9.1 instead protects a state on a subcomplex. The two constraints should not be conflated.</w:t>
      </w:r>
    </w:p>
    <w:p>
      <w:pPr>
        <w:keepNext/>
        <w:widowControl/>
      </w:pPr>
      <w:r>
        <w:rPr>
          <w:rFonts w:ascii="DejaVu Serif" w:hAnsi="DejaVu Serif" w:eastAsia="DejaVu Serif" w:cs="DejaVu Serif"/>
          <w:b/>
          <w:color w:val="000000"/>
          <w:sz w:val="20"/>
        </w:rPr>
        <w:t xml:space="preserve">Proposition 15.4  From a normal residual to a solution bound. </w:t>
      </w:r>
      <w:r>
        <w:rPr>
          <w:rFonts w:ascii="DejaVu Serif" w:hAnsi="DejaVu Serif" w:eastAsia="DejaVu Serif" w:cs="DejaVu Serif"/>
          <w:color w:val="000000"/>
          <w:sz w:val="20"/>
        </w:rPr>
        <w:t>After fixing the gauge, let A have full column rank, let θ* minimise ||Aθ−y||², and let σmin&gt;0. For any candidate θ̂ with normal residual q=Aᵀ(Aθ̂−y), ||θ̂−θ*||≤||q||/σmin² and ||A(θ̂−θ*)||≤||q||/σmin.</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normal equations imply q=AᵀA(θ̂−θ*). The first bound follows from the smallest eigenvalue σmin² of AᵀA. In a singular basis the second squared norm is Σqᵢ²/σᵢ²≤||q||²/σmin². □</w:t>
      </w:r>
    </w:p>
    <w:p>
      <w:pPr>
        <w:widowControl/>
      </w:pPr>
      <w:r>
        <w:rPr>
          <w:rFonts w:ascii="DejaVu Serif" w:hAnsi="DejaVu Serif" w:eastAsia="DejaVu Serif" w:cs="DejaVu Serif"/>
          <w:color w:val="000000"/>
          <w:sz w:val="20"/>
        </w:rPr>
        <w:t>Here A=W¹ᐟ²DZ, where columns of Z choose a complement to ker D. General sheaves require their actual kernel, not one scalar pin per connected component. If A has condition number κ₂, its normal matrix has condition number κ₂². QR or SVD works directly with A [13]; a small normal residual alone is weak evidence when σmin is tiny.</w:t>
      </w:r>
    </w:p>
    <w:p>
      <w:pPr>
        <w:keepNext/>
        <w:widowControl/>
      </w:pPr>
      <w:r>
        <w:rPr>
          <w:rFonts w:ascii="DejaVu Serif" w:hAnsi="DejaVu Serif" w:eastAsia="DejaVu Serif" w:cs="DejaVu Serif"/>
          <w:b/>
          <w:color w:val="000000"/>
          <w:sz w:val="20"/>
        </w:rPr>
        <w:t xml:space="preserve">Proposition 15.5  Numerical rank is not exact rank without extra information. </w:t>
      </w:r>
      <w:r>
        <w:rPr>
          <w:rFonts w:ascii="DejaVu Serif" w:hAnsi="DejaVu Serif" w:eastAsia="DejaVu Serif" w:cs="DejaVu Serif"/>
          <w:color w:val="000000"/>
          <w:sz w:val="20"/>
        </w:rPr>
        <w:t>Suppose a validated error bound gives ||M−M̂||₂≤ε and the computed singular values of M̂ are themselves enclosed accurately. If σr(M̂)−ε&gt;τ and σr₊₁(M̂)+ε&lt;τ, the numerical rank above threshold τ is r for every admissible M. If one also knows structurally that rank M≤r and σr(M̂)&gt;ε, then the exact rank is r.</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singular value perturbation inequality |σᵢ(M)−σᵢ(M̂)|≤ε places each singular value on the stated side of τ. The structural upper bound combined with a strictly positive lower bound for σr proves exact rank r. In contrast, diag(1,0) and diag(1,δ) have different exact ranks and are arbitrarily close as δ tends to zero. No floating point gap alone separates these possibilities. □</w:t>
      </w:r>
    </w:p>
    <w:p>
      <w:pPr>
        <w:widowControl/>
      </w:pPr>
      <w:r>
        <w:rPr>
          <w:rFonts w:ascii="DejaVu Serif" w:hAnsi="DejaVu Serif" w:eastAsia="DejaVu Serif" w:cs="DejaVu Serif"/>
          <w:color w:val="000000"/>
          <w:sz w:val="20"/>
        </w:rPr>
        <w:t>A gap such as that reported for β in Section 13 is valuable diagnostic evidence. A rigorous exact certificate additionally needs structural rank constraints, exact arithmetic or validated error enclosures. The supplied harness reports gaps and cross checks; it does not compute interval enclosures for every linear algebra operation.</w:t>
      </w:r>
    </w:p>
    <w:p>
      <w:pPr>
        <w:pStyle w:val="Heading1"/>
        <w:widowControl/>
      </w:pPr>
      <w:r>
        <w:rPr>
          <w:rFonts w:ascii="DejaVu Serif" w:hAnsi="DejaVu Serif" w:eastAsia="DejaVu Serif" w:cs="DejaVu Serif"/>
          <w:b/>
          <w:color w:val="000000"/>
          <w:sz w:val="26"/>
        </w:rPr>
        <w:t>16 A locality theorem for bounded spectral intervals</w:t>
      </w:r>
    </w:p>
    <w:p>
      <w:pPr>
        <w:widowControl/>
      </w:pPr>
      <w:r>
        <w:rPr>
          <w:rFonts w:ascii="DejaVu Serif" w:hAnsi="DejaVu Serif" w:eastAsia="DejaVu Serif" w:cs="DejaVu Serif"/>
          <w:color w:val="000000"/>
          <w:sz w:val="20"/>
        </w:rPr>
        <w:t>We now prove a precise form of the earlier locality question. Let A act on a finite orthogonal direct sum of vertex blocks. Its sparsity graph joins blocks u and v when Auv is nonzero off the diagonal. Graph distance always refers to this operator graph; higher dimensional cellular operators may induce a different graph from the original one skeleton. Assume A is symmetric positive definite with spectrum in [a,b], where 0&lt;a&lt;b.</w:t>
      </w:r>
    </w:p>
    <w:p>
      <w:pPr>
        <w:keepNext/>
        <w:widowControl/>
      </w:pPr>
      <w:r>
        <w:rPr>
          <w:rFonts w:ascii="DejaVu Serif" w:hAnsi="DejaVu Serif" w:eastAsia="DejaVu Serif" w:cs="DejaVu Serif"/>
          <w:b/>
          <w:color w:val="000000"/>
          <w:sz w:val="20"/>
        </w:rPr>
        <w:t xml:space="preserve">Lemma 16.1  Polynomial finite propagation. </w:t>
      </w:r>
      <w:r>
        <w:rPr>
          <w:rFonts w:ascii="DejaVu Serif" w:hAnsi="DejaVu Serif" w:eastAsia="DejaVu Serif" w:cs="DejaVu Serif"/>
          <w:color w:val="000000"/>
          <w:sz w:val="20"/>
        </w:rPr>
        <w:t>If p has degree at most r, the block p(A)uv is zero whenever graph distance d(u,v)&gt;r.</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Each block of Aʲ is a sum over sequences of j matrix factors. A nonzero off diagonal factor moves at most one edge and a diagonal factor stays in place. No sequence of length j can connect blocks farther than j apart. Sum this statement over the monomials of p. □</w:t>
      </w:r>
    </w:p>
    <w:p>
      <w:pPr>
        <w:keepNext/>
        <w:widowControl/>
      </w:pPr>
      <w:r>
        <w:rPr>
          <w:rFonts w:ascii="DejaVu Serif" w:hAnsi="DejaVu Serif" w:eastAsia="DejaVu Serif" w:cs="DejaVu Serif"/>
          <w:b/>
          <w:color w:val="000000"/>
          <w:sz w:val="20"/>
        </w:rPr>
        <w:t xml:space="preserve">Theorem 16.2  Local polynomial repair with an explicit error bound. </w:t>
      </w:r>
      <w:r>
        <w:rPr>
          <w:rFonts w:ascii="DejaVu Serif" w:hAnsi="DejaVu Serif" w:eastAsia="DejaVu Serif" w:cs="DejaVu Serif"/>
          <w:color w:val="000000"/>
          <w:sz w:val="20"/>
        </w:rPr>
        <w:t>Put χ=b/a and q=(√χ−1)/(√χ+1). For every integer r≥0 there is a polynomial pᵣ of degree at most r such that ||A⁻¹−pᵣ(A)||₂≤(2/a)q^(r+1). Consequently, for d(u,v)≥1, ||(A⁻¹)uv||₂≤(2/a)q^d(u,v).</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Let n=r+1, c=(a+b)/(b−a) and t(x)=(a+b−2x)/(b−a). Using the Chebyshev polynomial Tn, define Rn(x)=Tn(t(x))/Tn(c). Since Rn(0)=1, pᵣ(x)=(1−Rn(x))/x is a polynomial of degree at most r. On [a,b], |Tn(t(x))|≤1, while Tn(c)=(q^(−n)+q^n)/2, so |1/x−pᵣ(x)|≤2q^n/a. The spectral theorem gives the operator norm bound. For distance d use r=d−1; Lemma 16.1 makes the polynomial block zero, and the norm of any block of the error is bounded by the norm of the full error. □</w:t>
      </w:r>
    </w:p>
    <w:p>
      <w:pPr>
        <w:widowControl/>
      </w:pPr>
      <w:r>
        <w:rPr>
          <w:rFonts w:ascii="DejaVu Serif" w:hAnsi="DejaVu Serif" w:eastAsia="DejaVu Serif" w:cs="DejaVu Serif"/>
          <w:color w:val="000000"/>
          <w:sz w:val="20"/>
        </w:rPr>
        <w:t>If a=b then A=aI and the inverse is exactly local. Disconnected operator components also have exactly zero cross inverse blocks. The proof is a direct specialisation of classical polynomial approximation arguments for decay of matrix inverses [12]; it establishes an application contract rather than a new general decay principle.</w:t>
      </w:r>
    </w:p>
    <w:p>
      <w:pPr>
        <w:keepNext/>
        <w:widowControl/>
      </w:pPr>
      <w:r>
        <w:rPr>
          <w:rFonts w:ascii="DejaVu Serif" w:hAnsi="DejaVu Serif" w:eastAsia="DejaVu Serif" w:cs="DejaVu Serif"/>
          <w:b/>
          <w:color w:val="000000"/>
          <w:sz w:val="20"/>
        </w:rPr>
        <w:t xml:space="preserve">Corollary 16.3  Radius for a local load update. </w:t>
      </w:r>
      <w:r>
        <w:rPr>
          <w:rFonts w:ascii="DejaVu Serif" w:hAnsi="DejaVu Serif" w:eastAsia="DejaVu Serif" w:cs="DejaVu Serif"/>
          <w:color w:val="000000"/>
          <w:sz w:val="20"/>
        </w:rPr>
        <w:t>If a load perturbation f is supported on a vertex set S, xᵣ=pᵣ(A)f is supported in its radius r neighbourhood and ||A⁻¹f−xᵣ||≤(2/a)q^(r+1)||f||. A sufficient radius for error at most ε is any integer r≥0 with (r+1)log(1/q)≥log(2||f||/(aε)).</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Finite propagation proves the support claim and Theorem 16.2 multiplied by ||f|| gives the error. Rearranging that inequality yields the radius condition. For f=0 the zero update is exact. □</w:t>
      </w:r>
    </w:p>
    <w:p>
      <w:pPr>
        <w:widowControl/>
      </w:pPr>
      <w:r>
        <w:rPr>
          <w:rFonts w:ascii="DejaVu Serif" w:hAnsi="DejaVu Serif" w:eastAsia="DejaVu Serif" w:cs="DejaVu Serif"/>
          <w:color w:val="000000"/>
          <w:sz w:val="20"/>
        </w:rPr>
        <w:t>For A=L₀+μI with 0≤L₀≤BI, one may choose a=μ and b=B+μ. As μ tends to zero, q tends to one and log(1/q) is asymptotic to 2√(μ/B), giving a sufficient radius proportional to √(B/μ) times a logarithmic accuracy factor. This is a bound for polynomial updates, not a claim that naive deletion of all distant entries has the same norm error. Converting individual entry decay to a row or tail bound requires controlling the number of vertices at each distance.</w:t>
      </w:r>
    </w:p>
    <w:p>
      <w:pPr>
        <w:widowControl/>
      </w:pPr>
      <w:r>
        <w:rPr>
          <w:rFonts w:ascii="DejaVu Serif" w:hAnsi="DejaVu Serif" w:eastAsia="DejaVu Serif" w:cs="DejaVu Serif"/>
          <w:color w:val="000000"/>
          <w:sz w:val="20"/>
        </w:rPr>
        <w:t>The theorem applies to signed block sheaf Laplacians once the stated operator properties hold; positivity of individual entries is unnecessary. It does not automatically apply after a dense change of gauge, to a massless pseudoinverse or to a nonlinear repair map. Degree bounds alone do not bound B if stalk dimensions, restriction norms or weights grow. These are explicit limits of the resolution of Conjecture 12.4.</w:t>
      </w:r>
    </w:p>
    <w:p>
      <w:pPr>
        <w:pStyle w:val="Heading1"/>
        <w:widowControl/>
      </w:pPr>
      <w:r>
        <w:rPr>
          <w:rFonts w:ascii="DejaVu Serif" w:hAnsi="DejaVu Serif" w:eastAsia="DejaVu Serif" w:cs="DejaVu Serif"/>
          <w:b/>
          <w:color w:val="000000"/>
          <w:sz w:val="26"/>
        </w:rPr>
        <w:t>17 Repair policy identifiability with unknown weights</w:t>
      </w:r>
    </w:p>
    <w:p>
      <w:pPr>
        <w:widowControl/>
      </w:pPr>
      <w:r>
        <w:rPr>
          <w:rFonts w:ascii="DejaVu Serif" w:hAnsi="DejaVu Serif" w:eastAsia="DejaVu Serif" w:cs="DejaVu Serif"/>
          <w:color w:val="000000"/>
          <w:sz w:val="20"/>
        </w:rPr>
        <w:t>Consider one scalar cycle of k≥2 edges with signed entries zᵢ∈{−1,1}, nonzero cyclic sum κ and diagonal weights wᵢ&gt;0. A one edge repair on edge j is −κzⱼ on that edge and zero elsewhere. Sparse cost may select the cheapest edge, but a tie need not determine a unique choice. The quadratic repair formula yields the following normalised profile.</w:t>
      </w:r>
    </w:p>
    <w:p>
      <w:pPr>
        <w:widowControl/>
        <w:spacing w:before="80" w:after="140"/>
      </w:pPr>
      <w:r>
        <w:rPr>
          <w:rFonts w:ascii="DejaVu Serif" w:hAnsi="DejaVu Serif" w:eastAsia="DejaVu Serif" w:cs="DejaVu Serif"/>
          <w:color w:val="000000"/>
          <w:sz w:val="20"/>
        </w:rPr>
        <w:t>pᵢ = −zᵢcᵢ/κ = (1/wᵢ) / Σⱼ(1/wⱼ)</w:t>
      </w:r>
    </w:p>
    <w:p>
      <w:pPr>
        <w:keepNext/>
        <w:widowControl/>
      </w:pPr>
      <w:r>
        <w:rPr>
          <w:rFonts w:ascii="DejaVu Serif" w:hAnsi="DejaVu Serif" w:eastAsia="DejaVu Serif" w:cs="DejaVu Serif"/>
          <w:b/>
          <w:color w:val="000000"/>
          <w:sz w:val="20"/>
        </w:rPr>
        <w:t xml:space="preserve">Theorem 17.1  Quadratic repair fills the simplex interior. </w:t>
      </w:r>
      <w:r>
        <w:rPr>
          <w:rFonts w:ascii="DejaVu Serif" w:hAnsi="DejaVu Serif" w:eastAsia="DejaVu Serif" w:cs="DejaVu Serif"/>
          <w:color w:val="000000"/>
          <w:sz w:val="20"/>
        </w:rPr>
        <w:t>As the positive weights vary, the quadratic profiles p are exactly the interior of the probability simplex. Weights are determined only up to a common positive scale. One edge repairs are the vertices of that simplex, and can be approached arbitrarily closely by quadratic profiles.</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displayed formula gives pᵢ&gt;0 and Σpᵢ=1. Conversely any such p is realised by wᵢ=α/pᵢ for arbitrary α&gt;0. These are all solutions, because reciprocals of the weights must be proportional to p. Let wⱼ=1 and all other weights tend to infinity; then p tends to the jth vertex. □</w:t>
      </w:r>
    </w:p>
    <w:p>
      <w:pPr>
        <w:widowControl/>
      </w:pPr>
      <w:r>
        <w:rPr>
          <w:rFonts w:ascii="DejaVu Serif" w:hAnsi="DejaVu Serif" w:eastAsia="DejaVu Serif" w:cs="DejaVu Serif"/>
          <w:color w:val="000000"/>
          <w:sz w:val="20"/>
        </w:rPr>
        <w:t>Hence exact noiseless dense and one edge repairs are different for finite weights, but there is no positive uniform separation when weight ratios are unrestricted. Additional trials can overcome noise for a fixed separated pair; they cannot create a uniform margin over a family that approaches the sparse boundary. This is different from the finite plateau of the misspecified classifier in Section 13 9.</w:t>
      </w:r>
    </w:p>
    <w:p>
      <w:pPr>
        <w:keepNext/>
        <w:widowControl/>
      </w:pPr>
      <w:r>
        <w:rPr>
          <w:rFonts w:ascii="DejaVu Serif" w:hAnsi="DejaVu Serif" w:eastAsia="DejaVu Serif" w:cs="DejaVu Serif"/>
          <w:b/>
          <w:color w:val="000000"/>
          <w:sz w:val="20"/>
        </w:rPr>
        <w:t xml:space="preserve">Theorem 17.2  Sharp separation under bounded weight ratios. </w:t>
      </w:r>
      <w:r>
        <w:rPr>
          <w:rFonts w:ascii="DejaVu Serif" w:hAnsi="DejaVu Serif" w:eastAsia="DejaVu Serif" w:cs="DejaVu Serif"/>
          <w:color w:val="000000"/>
          <w:sz w:val="20"/>
        </w:rPr>
        <w:t>If max wᵢ / min wᵢ≤R with R≥1, then the Euclidean distance between any quadratic correction and any one edge correction is at least |κ|√(k(k−1))/(R+k−1). This lower bound is attained.</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For any j, pⱼ≤R/(R+k−1): the maximal reciprocal is at most R times each of the other reciprocals. Set s=1−pⱼ≥(k−1)/(R+k−1). Then ||p−eⱼ||²=s²+Σᵢ≠ⱼpᵢ²≥s²+s²/(k−1), by Cauchy–Schwarz. Multiplication by |κ| preserves distances up to that scale because diag(z) is an isometry. Equality holds for wⱼ=1 and all other weights R, so the bound is sharp. □</w:t>
      </w:r>
    </w:p>
    <w:p>
      <w:pPr>
        <w:widowControl/>
      </w:pPr>
      <w:r>
        <w:rPr>
          <w:rFonts w:ascii="DejaVu Serif" w:hAnsi="DejaVu Serif" w:eastAsia="DejaVu Serif" w:cs="DejaVu Serif"/>
          <w:color w:val="000000"/>
          <w:sz w:val="20"/>
        </w:rPr>
        <w:t>With bounded response error ε, the two policy families are distinguishable by separation whenever twice ε is smaller than the displayed margin. For k=3, |κ|=1, the guaranteed distance is √6/(R+2): approximately 0.8165 at R=1, 0.4899 at R=3 and 0.2041 at R=10. Estimating a plausible weight ratio can therefore support a test even when every weight is unknown.</w:t>
      </w:r>
    </w:p>
    <w:p>
      <w:pPr>
        <w:keepNext/>
        <w:widowControl/>
      </w:pPr>
      <w:r>
        <w:rPr>
          <w:rFonts w:ascii="DejaVu Serif" w:hAnsi="DejaVu Serif" w:eastAsia="DejaVu Serif" w:cs="DejaVu Serif"/>
          <w:b/>
          <w:color w:val="000000"/>
          <w:sz w:val="20"/>
        </w:rPr>
        <w:t xml:space="preserve">Proposition 17.3  Conditional Gaussian discrimination. </w:t>
      </w:r>
      <w:r>
        <w:rPr>
          <w:rFonts w:ascii="DejaVu Serif" w:hAnsi="DejaVu Serif" w:eastAsia="DejaVu Serif" w:cs="DejaVu Serif"/>
          <w:color w:val="000000"/>
          <w:sz w:val="20"/>
        </w:rPr>
        <w:t>For two fixed known response profiles with mean difference vectors Δₜ on independent trials and isotropic Gaussian noise variance σ², equal prior optimal classification error is Φ(−√Σₜ||Δₜ||²/(2σ)), where Φ is the standard normal distribution function.</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Stack the observations and project onto the line joining their stacked means. The log likelihood ratio is an affine function of that projection. Under either class, the distance of its mean from the equal prior decision boundary is half the mean separation, with standard deviation σ. Evaluating the Gaussian tail proves the expression. □</w:t>
      </w:r>
    </w:p>
    <w:p>
      <w:pPr>
        <w:widowControl/>
      </w:pPr>
      <w:r>
        <w:rPr>
          <w:rFonts w:ascii="DejaVu Serif" w:hAnsi="DejaVu Serif" w:eastAsia="DejaVu Serif" w:cs="DejaVu Serif"/>
          <w:color w:val="000000"/>
          <w:sz w:val="20"/>
        </w:rPr>
        <w:t>For repeated cycles whose profile difference is fixed and amplitude is κₜ, the squared separation is Σκₜ² times the profile distance squared. This conditional formula does not apply unchanged after plugging in uncertain weights. Joint fitting, independent weight measurements or bounded nuisance families must be specified in advance. Counting visibly altered edges requires a detection threshold and the margin guaranteed by bounded ratios.</w:t>
      </w:r>
    </w:p>
    <w:p>
      <w:pPr>
        <w:pStyle w:val="Heading1"/>
        <w:widowControl/>
      </w:pPr>
      <w:r>
        <w:rPr>
          <w:rFonts w:ascii="DejaVu Serif" w:hAnsi="DejaVu Serif" w:eastAsia="DejaVu Serif" w:cs="DejaVu Serif"/>
          <w:b/>
          <w:color w:val="000000"/>
          <w:sz w:val="26"/>
        </w:rPr>
        <w:t>18 Online recomposition and verification of the extensions</w:t>
      </w:r>
    </w:p>
    <w:p>
      <w:pPr>
        <w:keepNext/>
        <w:widowControl/>
      </w:pPr>
      <w:r>
        <w:rPr>
          <w:rFonts w:ascii="DejaVu Serif" w:hAnsi="DejaVu Serif" w:eastAsia="DejaVu Serif" w:cs="DejaVu Serif"/>
          <w:b/>
          <w:color w:val="000000"/>
          <w:sz w:val="20"/>
        </w:rPr>
        <w:t xml:space="preserve">Theorem 18.1  Exact low rank quadratic update. </w:t>
      </w:r>
      <w:r>
        <w:rPr>
          <w:rFonts w:ascii="DejaVu Serif" w:hAnsi="DejaVu Serif" w:eastAsia="DejaVu Serif" w:cs="DejaVu Serif"/>
          <w:color w:val="000000"/>
          <w:sz w:val="20"/>
        </w:rPr>
        <w:t>Let A be positive definite and x=A⁻¹b. Add measurements with energy (Uᵀx−y)ᵀC(Uᵀx−y)/2, where C is positive definite. Then the new minimiser is xnew=x+A⁻¹U(C⁻¹+UᵀA⁻¹U)⁻¹(y−Uᵀx).</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new normal equations are (A+UCUᵀ)xnew=b+UCy. Put V=A⁻¹U and H=C⁻¹+UᵀV. Substitute xnew=x+VH⁻¹(y−Uᵀx) into those equations. Since (A+UCUᵀ)V=UC H, the residual is zero. Positive definiteness gives uniqueness. □</w:t>
      </w:r>
    </w:p>
    <w:p>
      <w:pPr>
        <w:widowControl/>
      </w:pPr>
      <w:r>
        <w:rPr>
          <w:rFonts w:ascii="DejaVu Serif" w:hAnsi="DejaVu Serif" w:eastAsia="DejaVu Serif" w:cs="DejaVu Serif"/>
          <w:color w:val="000000"/>
          <w:sz w:val="20"/>
        </w:rPr>
        <w:t>Only a system whose dimension is the number of added measurements is inverted after applying the cached inverse to their columns. This is an exact algebraic update, not an assurance of constant computational cost: A⁻¹U can be expensive or dense. Theorem 16.2 gives a controlled local approximation when its hypotheses hold. Deletions use a different definiteness check and are not covered by the positive update statement.</w:t>
      </w:r>
    </w:p>
    <w:p>
      <w:pPr>
        <w:widowControl/>
      </w:pPr>
      <w:r>
        <w:rPr>
          <w:rFonts w:ascii="DejaVu Serif" w:hAnsi="DejaVu Serif" w:eastAsia="DejaVu Serif" w:cs="DejaVu Serif"/>
          <w:color w:val="000000"/>
          <w:sz w:val="20"/>
        </w:rPr>
        <w:t>The new results were checked independently with seeded NumPy calculations. The shear example has zero naturality residual and repair commutator norm exactly one. On a 41 vertex path, twelve polynomial inverse tests over μ∈{0.05,0.2,1} and radii {0,2,5,10} obey the locality bound. At μ=0.2 and radius 10 the inverse approximation error is 0.0760227 against bound 0.0760271; blocks outside the radius have magnitude below 8.2×10⁻¹⁵ across the tests. Nine combinations of k∈{3,5,8} and R∈{1,3,10} attain the policy separation formula to rounding accuracy. Thirty random instances satisfy the approximate coherence and normal residual bounds, and the online update agrees with a direct solve with worst relative residual 6.70×10⁻¹⁶.</w:t>
      </w:r>
    </w:p>
    <w:p>
      <w:pPr>
        <w:widowControl/>
      </w:pPr>
      <w:r>
        <w:rPr>
          <w:rFonts w:ascii="DejaVu Serif" w:hAnsi="DejaVu Serif" w:eastAsia="DejaVu Serif" w:cs="DejaVu Serif"/>
          <w:color w:val="000000"/>
          <w:sz w:val="20"/>
        </w:rPr>
        <w:t>These checks cover formulas and counterexamples, not every infinite family in a theorem. The unproved learning question is now narrower: can a context model and repair metric be learned while maintaining the relevant cochain identities, rank margins and held out reconstruction performance? A loss based only on eliminating H¹ is inadequate, because removing cycles or expanding the exact subspace can make every transition fit without improving observations. Data fit on held out constraints and preservation of declared immutable information must be tested independently of the cohomology score.</w:t>
      </w:r>
    </w:p>
    <w:p>
      <w:pPr>
        <w:pStyle w:val="Heading1"/>
        <w:widowControl/>
      </w:pPr>
      <w:r>
        <w:rPr>
          <w:rFonts w:ascii="DejaVu Serif" w:hAnsi="DejaVu Serif" w:eastAsia="DejaVu Serif" w:cs="DejaVu Serif"/>
          <w:b/>
          <w:color w:val="000000"/>
          <w:sz w:val="26"/>
        </w:rPr>
        <w:t>19 The trio as the organising backbone</w:t>
      </w:r>
    </w:p>
    <w:p>
      <w:pPr>
        <w:widowControl/>
      </w:pPr>
      <w:r>
        <w:rPr>
          <w:rFonts w:ascii="DejaVu Serif" w:hAnsi="DejaVu Serif" w:eastAsia="DejaVu Serif" w:cs="DejaVu Serif"/>
          <w:color w:val="000000"/>
          <w:sz w:val="20"/>
        </w:rPr>
        <w:t>The implementation proposal is a replacement of the organising primitive, not a claim that computers cease to use functions or memory. A conventional program is organised around addressed state and call signatures. Here the primitive is a context indexed state transition backed by an episode and checked for compatibility. The cortical module maintains structured representations and computes transformations; the thalamic module routes data and changes effective coupling; the hippocampal module rapidly binds episodes, retrieves partial contexts and supplies replay. Each computes and each has state. Calling cortex only a store, thalamus only control and hippocampus only an index would remove essential biological functions.</w:t>
      </w:r>
    </w:p>
    <w:p>
      <w:pPr>
        <w:widowControl/>
      </w:pPr>
      <w:r>
        <w:rPr>
          <w:rFonts w:ascii="DejaVu Serif" w:hAnsi="DejaVu Serif" w:eastAsia="DejaVu Serif" w:cs="DejaVu Serif"/>
          <w:color w:val="000000"/>
          <w:sz w:val="20"/>
        </w:rPr>
        <w:t>We distinguish three levels throughout. An observation is an anatomical or physiological result in a specified species, area, preparation and task. A functional account interprets those observations, such as complementary learning or indexing. An engineering assignment chooses a software operation inspired by that account. A proved identity such as ED=0 belongs to the software model. A measured dendritic plateau, a hippocampal mismatch response or an oscillatory phase relation does not by itself certify that identity. Evidence for a circuit does not automatically become evidence for its proposed sheaf operator.</w:t>
      </w:r>
    </w:p>
    <w:p>
      <w:pPr>
        <w:widowControl/>
      </w:pPr>
      <w:r>
        <w:rPr>
          <w:rFonts w:ascii="DejaVu Serif" w:hAnsi="DejaVu Serif" w:eastAsia="DejaVu Serif" w:cs="DejaVu Serif"/>
          <w:color w:val="000000"/>
          <w:sz w:val="20"/>
        </w:rPr>
        <w:t>The base space also has to be declared. A cortical sheet, a stimulus space, an episodic context space and a place field nerve are different mathematical objects. In this implementation the base is an explicitly versioned context complex. Anatomical connectivity motivates candidate maps onto it, rather than being silently identified with the complex. Fixed linear stalks describe a chosen operating model; neural responses may require nonlinear, probabilistic or changing representations.</w:t>
      </w:r>
    </w:p>
    <w:p>
      <w:pPr>
        <w:pStyle w:val="Heading1"/>
        <w:widowControl/>
      </w:pPr>
      <w:r>
        <w:rPr>
          <w:rFonts w:ascii="DejaVu Serif" w:hAnsi="DejaVu Serif" w:eastAsia="DejaVu Serif" w:cs="DejaVu Serif"/>
          <w:b/>
          <w:color w:val="000000"/>
          <w:sz w:val="26"/>
        </w:rPr>
        <w:t>20 Pallial evolution and the meaning of six layers</w:t>
      </w:r>
    </w:p>
    <w:p>
      <w:pPr>
        <w:pStyle w:val="Heading2"/>
        <w:widowControl/>
      </w:pPr>
      <w:r>
        <w:rPr>
          <w:rFonts w:ascii="DejaVu Serif" w:hAnsi="DejaVu Serif" w:eastAsia="DejaVu Serif" w:cs="DejaVu Serif"/>
          <w:b/>
          <w:color w:val="000000"/>
          <w:sz w:val="22"/>
        </w:rPr>
        <w:t>20 1 A common ancestry rather than a reptile to human ladder</w:t>
      </w:r>
    </w:p>
    <w:p>
      <w:pPr>
        <w:widowControl/>
      </w:pPr>
      <w:r>
        <w:rPr>
          <w:rFonts w:ascii="DejaVu Serif" w:hAnsi="DejaVu Serif" w:eastAsia="DejaVu Serif" w:cs="DejaVu Serif"/>
          <w:color w:val="000000"/>
          <w:sz w:val="20"/>
        </w:rPr>
        <w:t>The pallium is not a uniform three layer organ across vertebrates. Some nonavian reptilian cortical territories exhibit a three layer arrangement, and mammalian hippocampal and olfactory cortices have allocortical organisations. Mammals did not acquire neocortex by adding three layers to the cortex of a living reptile. Modern mammals and sauropsids have independently modified ancestral pallial circuits. Regional developmental origin, transcriptomic similarity, neuronal morphology and connectivity address different aspects of homology and need not produce a one to one layer correspondence [14,15,18,19].</w:t>
      </w:r>
    </w:p>
    <w:p>
      <w:pPr>
        <w:widowControl/>
      </w:pPr>
      <w:r>
        <w:rPr>
          <w:rFonts w:ascii="DejaVu Serif" w:hAnsi="DejaVu Serif" w:eastAsia="DejaVu Serif" w:cs="DejaVu Serif"/>
          <w:color w:val="000000"/>
          <w:sz w:val="20"/>
        </w:rPr>
        <w:t>Tosches and colleagues compared reptilian cell transcriptomes with mammalian data and found substantial conservation of inhibitory classes alongside divergent excitatory repertoires [15]. Primary avian studies in 2025 add developmental atlases and enhancer based comparisons [71,72]. They support a mixture of conservation, diversification and convergence, rather than a single formula mapping reptilian layer II to a specified set of mammalian layers. Molecular similarity can guide a circuit comparison; it does not prove shared execution of a sheaf operation.</w:t>
      </w:r>
    </w:p>
    <w:p>
      <w:pPr>
        <w:pStyle w:val="Heading2"/>
        <w:widowControl/>
      </w:pPr>
      <w:r>
        <w:rPr>
          <w:rFonts w:ascii="DejaVu Serif" w:hAnsi="DejaVu Serif" w:eastAsia="DejaVu Serif" w:cs="DejaVu Serif"/>
          <w:b/>
          <w:color w:val="000000"/>
          <w:sz w:val="22"/>
        </w:rPr>
        <w:t>20 2 What the three layer motif contributes</w:t>
      </w:r>
    </w:p>
    <w:p>
      <w:pPr>
        <w:widowControl/>
      </w:pPr>
      <w:r>
        <w:rPr>
          <w:rFonts w:ascii="DejaVu Serif" w:hAnsi="DejaVu Serif" w:eastAsia="DejaVu Serif" w:cs="DejaVu Serif"/>
          <w:color w:val="000000"/>
          <w:sz w:val="20"/>
        </w:rPr>
        <w:t>The useful ancestral motif is circuit organisation: an afferent and dendritic compartment, a concentrated principal cell population, recurrent interactions and inhibition. The three layer description should not be converted into an assertion that such circuits lack contextual comparison or sophisticated learning. Nor is the hippocampus an unchanged ancestral remnant. Its differentiated dentate, CA3, CA1 and subicular circuits coexist with specialised entorhinal interfaces. The hippocampal principal cell fields have allocortical organisation, but their named dendritic strata and the broader hippocampal formation cannot all be collapsed into three equivalent computing stages.</w:t>
      </w:r>
    </w:p>
    <w:p>
      <w:pPr>
        <w:pStyle w:val="Heading2"/>
        <w:widowControl/>
      </w:pPr>
      <w:r>
        <w:rPr>
          <w:rFonts w:ascii="DejaVu Serif" w:hAnsi="DejaVu Serif" w:eastAsia="DejaVu Serif" w:cs="DejaVu Serif"/>
          <w:b/>
          <w:color w:val="000000"/>
          <w:sz w:val="22"/>
        </w:rPr>
        <w:t>20 3 Six laminae provide differentiated recurrent channels</w:t>
      </w:r>
    </w:p>
    <w:p>
      <w:pPr>
        <w:widowControl/>
      </w:pPr>
      <w:r>
        <w:rPr>
          <w:rFonts w:ascii="DejaVu Serif" w:hAnsi="DejaVu Serif" w:eastAsia="DejaVu Serif" w:cs="DejaVu Serif"/>
          <w:color w:val="000000"/>
          <w:sz w:val="20"/>
        </w:rPr>
        <w:t>In mammalian neocortex, laminar position constrains connectivity but does not uniquely specify a computation or cell type. Layers include diverse excitatory projection classes and inhibitory populations, and their connections are recurrent. Layer I contains relatively few somata and many apical dendrites and afferent axons. Layers II and III contain extensive intracortical circuitry. Layer IV is a prominent input compartment in many sensory areas. Layers V and VI contain diverse output and feedback populations [23,24]. The proposed six interfaces below exploit these distinctions without treating the layers as six successive neural network layers.</w:t>
      </w:r>
    </w:p>
    <w:p>
      <w:pPr>
        <w:widowControl/>
      </w:pPr>
      <w:r>
        <w:rPr>
          <w:rFonts w:ascii="DejaVu Serif" w:hAnsi="DejaVu Serif" w:eastAsia="DejaVu Serif" w:cs="DejaVu Serif"/>
          <w:color w:val="000000"/>
          <w:sz w:val="20"/>
        </w:rPr>
        <w:t>Layer IV needs an area specific account. Agranular and dysgranular designations describe cytoarchitecture; they do not license a universal absence of all IV like circuitry in motor cortex. Yamawaki and colleagues demonstrated a thin population with IV like connectivity in mouse motor cortex [73]. An implementation therefore makes the input interface optional or distributed according to its model, rather than using a universal L4 rule.</w:t>
      </w:r>
    </w:p>
    <w:p>
      <w:pPr>
        <w:pStyle w:val="Heading2"/>
        <w:widowControl/>
      </w:pPr>
      <w:r>
        <w:rPr>
          <w:rFonts w:ascii="DejaVu Serif" w:hAnsi="DejaVu Serif" w:eastAsia="DejaVu Serif" w:cs="DejaVu Serif"/>
          <w:b/>
          <w:color w:val="000000"/>
          <w:sz w:val="22"/>
        </w:rPr>
        <w:t>20 4 The factorisation proposal</w:t>
      </w:r>
    </w:p>
    <w:p>
      <w:pPr>
        <w:widowControl/>
      </w:pPr>
      <w:r>
        <w:rPr>
          <w:rFonts w:ascii="DejaVu Serif" w:hAnsi="DejaVu Serif" w:eastAsia="DejaVu Serif" w:cs="DejaVu Serif"/>
          <w:color w:val="000000"/>
          <w:sz w:val="20"/>
        </w:rPr>
        <w:t>The engineering hypothesis is that differentiated laminar channels suggest separating context, input evaluation, recurrent association, interarea communication, output proposals and feedback control. This is a design decomposition, not evidence that six layers were evolutionarily required for those operations. Its implementation advantage can be tested by ablation: removing explicit context, comparison or routing interfaces should increase domain leakage or failed integration on held out tasks at matched capacity. A cross species claim would additionally need matched behavioural tasks and circuit measurements; layer count alone supplies neither necessity nor sufficiency.</w:t>
      </w:r>
    </w:p>
    <w:p>
      <w:pPr>
        <w:pStyle w:val="Heading1"/>
        <w:widowControl/>
      </w:pPr>
      <w:r>
        <w:rPr>
          <w:rFonts w:ascii="DejaVu Serif" w:hAnsi="DejaVu Serif" w:eastAsia="DejaVu Serif" w:cs="DejaVu Serif"/>
          <w:b/>
          <w:color w:val="000000"/>
          <w:sz w:val="26"/>
        </w:rPr>
        <w:t>21 A laminar interface map constrained by physiology</w:t>
      </w:r>
    </w:p>
    <w:p>
      <w:pPr>
        <w:keepNext/>
        <w:widowControl/>
      </w:pPr>
      <w:r>
        <w:rPr>
          <w:rFonts w:ascii="DejaVu Serif" w:hAnsi="DejaVu Serif" w:eastAsia="DejaVu Serif" w:cs="DejaVu Serif"/>
          <w:b/>
          <w:color w:val="000000"/>
          <w:sz w:val="20"/>
        </w:rPr>
        <w:t>Table 21.1 Laminar observations and proposed interfaces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600"/>
        <w:gridCol w:w="4680"/>
      </w:tblGrid>
      <w:tr>
        <w:trPr>
          <w:cantSplit/>
          <w:tblHeader/>
        </w:trPr>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Layer or</w:t>
              <w:br/>
              <w:t>cell class</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Biological constraint</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Proposed interface and limit</w:t>
            </w:r>
          </w:p>
        </w:tc>
      </w:tr>
      <w:tr>
        <w:trPr>
          <w:cantSplit/>
        </w:trPr>
        <w:tc>
          <w:tcPr>
            <w:tcW w:type="dxa" w:w="144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L1</w:t>
            </w:r>
          </w:p>
        </w:tc>
        <w:tc>
          <w:tcPr>
            <w:tcW w:type="dxa" w:w="360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Apical dendrites and heterogeneous feedback inputs; dendritic integration [25,26].</w:t>
            </w:r>
          </w:p>
        </w:tc>
        <w:tc>
          <w:tcPr>
            <w:tcW w:type="dxa" w:w="468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Context input and contextual modulation. A tuft signal is not a complete domain declaration.</w:t>
            </w:r>
          </w:p>
        </w:tc>
      </w:tr>
      <w:tr>
        <w:trPr>
          <w:cantSplit/>
        </w:trPr>
        <w:tc>
          <w:tcPr>
            <w:tcW w:type="dxa" w:w="144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L2</w:t>
            </w:r>
          </w:p>
        </w:tc>
        <w:tc>
          <w:tcPr>
            <w:tcW w:type="dxa" w:w="360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Local excitatory and inhibitory interactions, varying by area [23,24].</w:t>
            </w:r>
          </w:p>
        </w:tc>
        <w:tc>
          <w:tcPr>
            <w:tcW w:type="dxa" w:w="468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Association and candidate local state. No exclusive L2 memory operation is asserted.</w:t>
            </w:r>
          </w:p>
        </w:tc>
      </w:tr>
      <w:tr>
        <w:trPr>
          <w:cantSplit/>
        </w:trPr>
        <w:tc>
          <w:tcPr>
            <w:tcW w:type="dxa" w:w="144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L3</w:t>
            </w:r>
          </w:p>
        </w:tc>
        <w:tc>
          <w:tcPr>
            <w:tcW w:type="dxa" w:w="360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Interarea and local cortical projections, with area dependent laminar patterns [24,32].</w:t>
            </w:r>
          </w:p>
        </w:tc>
        <w:tc>
          <w:tcPr>
            <w:tcW w:type="dxa" w:w="468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Communication and overlap messages. Synaptic transmission is not automatically a restriction map.</w:t>
            </w:r>
          </w:p>
        </w:tc>
      </w:tr>
      <w:tr>
        <w:trPr>
          <w:cantSplit/>
        </w:trPr>
        <w:tc>
          <w:tcPr>
            <w:tcW w:type="dxa" w:w="144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L4</w:t>
            </w:r>
          </w:p>
        </w:tc>
        <w:tc>
          <w:tcPr>
            <w:tcW w:type="dxa" w:w="360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Strong thalamic input in many granular areas; IV like motor circuitry demonstrated in mice [73].</w:t>
            </w:r>
          </w:p>
        </w:tc>
        <w:tc>
          <w:tcPr>
            <w:tcW w:type="dxa" w:w="468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Input evaluation. Also permit direct cortical and alternative thalamic inputs.</w:t>
            </w:r>
          </w:p>
        </w:tc>
      </w:tr>
      <w:tr>
        <w:trPr>
          <w:cantSplit/>
        </w:trPr>
        <w:tc>
          <w:tcPr>
            <w:tcW w:type="dxa" w:w="144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L5</w:t>
            </w:r>
          </w:p>
        </w:tc>
        <w:tc>
          <w:tcPr>
            <w:tcW w:type="dxa" w:w="360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Distinct projection populations; some neurons integrate basal and distal inputs and burst [25].</w:t>
            </w:r>
          </w:p>
        </w:tc>
        <w:tc>
          <w:tcPr>
            <w:tcW w:type="dxa" w:w="468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Action or state proposal. Bursting is not a proof of exact gluing.</w:t>
            </w:r>
          </w:p>
        </w:tc>
      </w:tr>
      <w:tr>
        <w:trPr>
          <w:cantSplit/>
        </w:trPr>
        <w:tc>
          <w:tcPr>
            <w:tcW w:type="dxa" w:w="144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L6</w:t>
            </w:r>
          </w:p>
        </w:tc>
        <w:tc>
          <w:tcPr>
            <w:tcW w:type="dxa" w:w="360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Corticothalamic feedback and local circuitry; gain effects in mouse V1 [29] and context dependent thalamic effects [74].</w:t>
            </w:r>
          </w:p>
        </w:tc>
        <w:tc>
          <w:tcPr>
            <w:tcW w:type="dxa" w:w="468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Routing, gain and model control. Content and temporal effects are permitted.</w:t>
            </w:r>
          </w:p>
        </w:tc>
      </w:tr>
      <w:tr>
        <w:trPr>
          <w:cantSplit/>
        </w:trPr>
        <w:tc>
          <w:tcPr>
            <w:tcW w:type="dxa" w:w="144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Interneurons</w:t>
            </w:r>
          </w:p>
        </w:tc>
        <w:tc>
          <w:tcPr>
            <w:tcW w:type="dxa" w:w="360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Multiple inhibitory classes and compartment specific interactions [30].</w:t>
            </w:r>
          </w:p>
        </w:tc>
        <w:tc>
          <w:tcPr>
            <w:tcW w:type="dxa" w:w="468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Stability and gating mechanisms. Positive or negative weights alone do not imply a closure operator.</w:t>
            </w:r>
          </w:p>
        </w:tc>
      </w:tr>
    </w:tbl>
    <w:p>
      <w:pPr>
        <w:widowControl/>
      </w:pPr>
      <w:r>
        <w:rPr>
          <w:rFonts w:ascii="DejaVu Serif" w:hAnsi="DejaVu Serif" w:eastAsia="DejaVu Serif" w:cs="DejaVu Serif"/>
          <w:color w:val="000000"/>
          <w:sz w:val="20"/>
        </w:rPr>
        <w:t>Larkum, Zhu and Sakmann demonstrated coincidence dependent dendritic calcium electrogenesis in rat cortical pyramidal neurons [25]. This supports a cellular mechanism for integrating inputs from different compartments. It does not establish that a neuron tests equality of every overlap in an arbitrary cover. Studies of apical manipulation and perception further constrain contextual integration [27,28], but their effects also admit explanations in terms of excitability, input integration or detection. These alternatives must be tested before identifying an output event with a sheaf certificate.</w:t>
      </w:r>
    </w:p>
    <w:p>
      <w:pPr>
        <w:widowControl/>
      </w:pPr>
      <w:r>
        <w:rPr>
          <w:rFonts w:ascii="DejaVu Serif" w:hAnsi="DejaVu Serif" w:eastAsia="DejaVu Serif" w:cs="DejaVu Serif"/>
          <w:color w:val="000000"/>
          <w:sz w:val="20"/>
        </w:rPr>
        <w:t>A rigorous bridge requires an explicit encoding of neural population states into local sections and an estimated map for each claimed restriction. On held out data, the maps must predict the same overlap representation from both parent contexts, remain stable across the tested state range and improve on unconstrained recurrent baselines. If the population maps are nonlinear, the finite matrix identity is only a local linearisation. Neither a fitted linear restriction nor a neural burst establishes functoriality outside its validation domain.</w:t>
      </w:r>
    </w:p>
    <w:p>
      <w:pPr>
        <w:widowControl/>
      </w:pPr>
      <w:r>
        <w:rPr>
          <w:rFonts w:ascii="DejaVu Serif" w:hAnsi="DejaVu Serif" w:eastAsia="DejaVu Serif" w:cs="DejaVu Serif"/>
          <w:color w:val="000000"/>
          <w:sz w:val="20"/>
        </w:rPr>
        <w:t>Olsen and colleagues found gain modulation with preserved orientation tuning under their mouse visual cortex manipulations [29]. That observation supports a particular gain mechanism. Kirchgessner and colleagues found dynamic, context dependent effects of corticothalamic activation on first and higher order visual thalamus in awake mice [74]. Together these results argue for a flexible routing and coupling interface, not an invariant rule that L6 can change only a metric and never a representation.</w:t>
      </w:r>
    </w:p>
    <w:p>
      <w:pPr>
        <w:pStyle w:val="Heading1"/>
        <w:widowControl/>
      </w:pPr>
      <w:r>
        <w:rPr>
          <w:rFonts w:ascii="DejaVu Serif" w:hAnsi="DejaVu Serif" w:eastAsia="DejaVu Serif" w:cs="DejaVu Serif"/>
          <w:b/>
          <w:color w:val="000000"/>
          <w:sz w:val="26"/>
        </w:rPr>
        <w:t>22 The thalamus routes information and regulates its use</w:t>
      </w:r>
    </w:p>
    <w:p>
      <w:pPr>
        <w:widowControl/>
      </w:pPr>
      <w:r>
        <w:rPr>
          <w:rFonts w:ascii="DejaVu Serif" w:hAnsi="DejaVu Serif" w:eastAsia="DejaVu Serif" w:cs="DejaVu Serif"/>
          <w:color w:val="000000"/>
          <w:sz w:val="20"/>
        </w:rPr>
        <w:t>The first order and higher order distinction is useful circuit anatomy, not a separation between a data free controller and a passive relay. Driver and modulator describe synaptic effects in particular pathways [33,34]. Corticothalamic and reticular pathways can influence responsiveness, timing and effective communication. Higher order nuclei and their cortical partners differ in their drivers, targets and task roles. The interface must carry both payloads and control settings.</w:t>
      </w:r>
    </w:p>
    <w:p>
      <w:pPr>
        <w:widowControl/>
      </w:pPr>
      <w:r>
        <w:rPr>
          <w:rFonts w:ascii="DejaVu Serif" w:hAnsi="DejaVu Serif" w:eastAsia="DejaVu Serif" w:cs="DejaVu Serif"/>
          <w:color w:val="000000"/>
          <w:sz w:val="20"/>
        </w:rPr>
        <w:t>In a mouse attention task, Schmitt and colleagues found that mediodorsal thalamus supported prefrontal task representations through changes in functional connectivity [39]. Wimmer and colleagues causally implicated prefrontal interactions with reticular and sensory thalamic circuits in divided attention [79]. These support specific control mechanisms. They do not establish that every thalamic nucleus performs the same operation or that all cognitive signals pass through one global router.</w:t>
      </w:r>
    </w:p>
    <w:p>
      <w:pPr>
        <w:keepNext/>
        <w:widowControl/>
      </w:pPr>
      <w:r>
        <w:rPr>
          <w:rFonts w:ascii="DejaVu Serif" w:hAnsi="DejaVu Serif" w:eastAsia="DejaVu Serif" w:cs="DejaVu Serif"/>
          <w:b/>
          <w:color w:val="000000"/>
          <w:sz w:val="20"/>
        </w:rPr>
        <w:t>Table 22.1 Three distinct mathematical effects of a gate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816"/>
        <w:gridCol w:w="3960"/>
      </w:tblGrid>
      <w:tr>
        <w:trPr>
          <w:cantSplit/>
          <w:tblHeader/>
        </w:trPr>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Operation</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Formal effect</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Reporting obligation</w:t>
            </w:r>
          </w:p>
        </w:tc>
      </w:tr>
      <w:tr>
        <w:trPr>
          <w:cantSplit/>
        </w:trPr>
        <w:tc>
          <w:tcPr>
            <w:tcW w:type="dxa" w:w="194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Positive gain</w:t>
            </w:r>
          </w:p>
        </w:tc>
        <w:tc>
          <w:tcPr>
            <w:tcW w:type="dxa" w:w="38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Replace W by a positive definite metric on the same operator D.</w:t>
            </w:r>
          </w:p>
        </w:tc>
        <w:tc>
          <w:tcPr>
            <w:tcW w:type="dxa" w:w="396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Keep the domain fixed; update confidence and repair cost.</w:t>
            </w:r>
          </w:p>
        </w:tc>
      </w:tr>
      <w:tr>
        <w:trPr>
          <w:cantSplit/>
        </w:trPr>
        <w:tc>
          <w:tcPr>
            <w:tcW w:type="dxa" w:w="194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Missing observations</w:t>
            </w:r>
          </w:p>
        </w:tc>
        <w:tc>
          <w:tcPr>
            <w:tcW w:type="dxa" w:w="381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Mask rows or sampled contexts while retaining the declared full model.</w:t>
            </w:r>
          </w:p>
        </w:tc>
        <w:tc>
          <w:tcPr>
            <w:tcW w:type="dxa" w:w="396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Report incomplete evidence where constraints are unobserved.</w:t>
            </w:r>
          </w:p>
        </w:tc>
      </w:tr>
      <w:tr>
        <w:trPr>
          <w:cantSplit/>
        </w:trPr>
        <w:tc>
          <w:tcPr>
            <w:tcW w:type="dxa" w:w="194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Deliberate domain change</w:t>
            </w:r>
          </w:p>
        </w:tc>
        <w:tc>
          <w:tcPr>
            <w:tcW w:type="dxa" w:w="38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Restrict or change the base and coefficient model with explicit maps.</w:t>
            </w:r>
          </w:p>
        </w:tc>
        <w:tc>
          <w:tcPr>
            <w:tcW w:type="dxa" w:w="396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Version the domain and establish a new comparison or extension contract.</w:t>
            </w:r>
          </w:p>
        </w:tc>
      </w:tr>
    </w:tbl>
    <w:p>
      <w:pPr>
        <w:keepNext/>
        <w:widowControl/>
      </w:pPr>
      <w:r>
        <w:rPr>
          <w:rFonts w:ascii="DejaVu Serif" w:hAnsi="DejaVu Serif" w:eastAsia="DejaVu Serif" w:cs="DejaVu Serif"/>
          <w:b/>
          <w:color w:val="000000"/>
          <w:sz w:val="20"/>
        </w:rPr>
        <w:t xml:space="preserve">Proposition 22.1  Gain does not erase exact constraints. </w:t>
      </w:r>
      <w:r>
        <w:rPr>
          <w:rFonts w:ascii="DejaVu Serif" w:hAnsi="DejaVu Serif" w:eastAsia="DejaVu Serif" w:cs="DejaVu Serif"/>
          <w:color w:val="000000"/>
          <w:sz w:val="20"/>
        </w:rPr>
        <w:t>For positive definite G, ker(DᵀGD)=ker D. If some observation weights become zero, the kernel may enlarge.</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quadratic form is xᵀDᵀGDx=(Dx)ᵀG(Dx), which vanishes exactly when Dx=0. With semidefinite G, only G¹ᐟ²Dx=0 is required. Deleting one edge of a connected path removes an independent equality and increases the kernel dimension by one. □</w:t>
      </w:r>
    </w:p>
    <w:p>
      <w:pPr>
        <w:widowControl/>
      </w:pPr>
      <w:r>
        <w:rPr>
          <w:rFonts w:ascii="DejaVu Serif" w:hAnsi="DejaVu Serif" w:eastAsia="DejaVu Serif" w:cs="DejaVu Serif"/>
          <w:color w:val="000000"/>
          <w:sz w:val="20"/>
        </w:rPr>
        <w:t>A thalamic manipulation therefore need not change topology. Positive gain changes can alter repair trajectories with the exact section space unchanged. Hard deletion of observations can create uncertainty about the original domain; it is not automatically a new nerve theorem. The random cell deletion experiment in Section 26 is a surrogate for loss of observations, not a measurement of TRN operation or of attention induced cohomology in an animal.</w:t>
      </w:r>
    </w:p>
    <w:p>
      <w:pPr>
        <w:pStyle w:val="Heading1"/>
        <w:widowControl/>
      </w:pPr>
      <w:r>
        <w:rPr>
          <w:rFonts w:ascii="DejaVu Serif" w:hAnsi="DejaVu Serif" w:eastAsia="DejaVu Serif" w:cs="DejaVu Serif"/>
          <w:b/>
          <w:color w:val="000000"/>
          <w:sz w:val="26"/>
        </w:rPr>
        <w:t>23 Hippocampal episodes retrieval and consolidation</w:t>
      </w:r>
    </w:p>
    <w:p>
      <w:pPr>
        <w:widowControl/>
      </w:pPr>
      <w:r>
        <w:rPr>
          <w:rFonts w:ascii="DejaVu Serif" w:hAnsi="DejaVu Serif" w:eastAsia="DejaVu Serif" w:cs="DejaVu Serif"/>
          <w:color w:val="000000"/>
          <w:sz w:val="20"/>
        </w:rPr>
        <w:t>The hippocampal formation supplies differentiated rapid learning circuitry. Entorhinal inputs reach dentate gyrus and CA3, CA3 recurrent circuitry supports associative retrieval, and CA1 combines several inputs before distributing output through subicular and entorhinal routes. The trisynaptic pathway is important, but direct and recurrent pathways mean it is not the only route. Place, temporal, contextual and nonspatial representations cannot all be reduced to spatial charts [47,48,50,51].</w:t>
      </w:r>
    </w:p>
    <w:p>
      <w:pPr>
        <w:widowControl/>
      </w:pPr>
      <w:r>
        <w:rPr>
          <w:rFonts w:ascii="DejaVu Serif" w:hAnsi="DejaVu Serif" w:eastAsia="DejaVu Serif" w:cs="DejaVu Serif"/>
          <w:color w:val="000000"/>
          <w:sz w:val="20"/>
        </w:rPr>
        <w:t>Indexing theory [44] and complementary learning systems [45] motivate a rapid episode system interacting with slower distributed representations. They do not imply that hippocampal tissue contains no information about an episode. In mice, optogenetic reactivation of a learning tagged dentate population elicited contextual fear recall [76]. Tanaka and colleagues distinguished contextual engram neurons from the full CA1 place cell population [75]. These findings motivate storing local episode content and associations, not an index consisting only of empty pointers.</w:t>
      </w:r>
    </w:p>
    <w:p>
      <w:pPr>
        <w:keepNext/>
        <w:widowControl/>
      </w:pPr>
      <w:r>
        <w:rPr>
          <w:rFonts w:ascii="DejaVu Serif" w:hAnsi="DejaVu Serif" w:eastAsia="DejaVu Serif" w:cs="DejaVu Serif"/>
          <w:b/>
          <w:color w:val="000000"/>
          <w:sz w:val="20"/>
        </w:rPr>
        <w:t>Table 23.1 Hippocampal constraints on the proposed module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816"/>
        <w:gridCol w:w="4320"/>
      </w:tblGrid>
      <w:tr>
        <w:trPr>
          <w:cantSplit/>
          <w:tblHeader/>
        </w:trPr>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Subsystem</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Evidence or account</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Software responsibility and limit</w:t>
            </w:r>
          </w:p>
        </w:tc>
      </w:tr>
      <w:tr>
        <w:trPr>
          <w:cantSplit/>
        </w:trPr>
        <w:tc>
          <w:tcPr>
            <w:tcW w:type="dxa" w:w="158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Dentate gyrus</w:t>
            </w:r>
          </w:p>
        </w:tc>
        <w:tc>
          <w:tcPr>
            <w:tcW w:type="dxa" w:w="38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Pattern separation supported by rodent population recordings [47].</w:t>
            </w:r>
          </w:p>
        </w:tc>
        <w:tc>
          <w:tcPr>
            <w:tcW w:type="dxa" w:w="432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Separate similar episode keys and retain context. Not automatic topological refinement.</w:t>
            </w:r>
          </w:p>
        </w:tc>
      </w:tr>
      <w:tr>
        <w:trPr>
          <w:cantSplit/>
        </w:trPr>
        <w:tc>
          <w:tcPr>
            <w:tcW w:type="dxa" w:w="158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CA3</w:t>
            </w:r>
          </w:p>
        </w:tc>
        <w:tc>
          <w:tcPr>
            <w:tcW w:type="dxa" w:w="381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NMDA receptor perturbation supports associative recall from partial cues [48].</w:t>
            </w:r>
          </w:p>
        </w:tc>
        <w:tc>
          <w:tcPr>
            <w:tcW w:type="dxa" w:w="432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Retrieve candidate episodes. Completion can be wrong and needs validation.</w:t>
            </w:r>
          </w:p>
        </w:tc>
      </w:tr>
      <w:tr>
        <w:trPr>
          <w:cantSplit/>
        </w:trPr>
        <w:tc>
          <w:tcPr>
            <w:tcW w:type="dxa" w:w="158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CA1</w:t>
            </w:r>
          </w:p>
        </w:tc>
        <w:tc>
          <w:tcPr>
            <w:tcW w:type="dxa" w:w="38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Human high resolution fMRI supports match and mismatch responses [80].</w:t>
            </w:r>
          </w:p>
        </w:tc>
        <w:tc>
          <w:tcPr>
            <w:tcW w:type="dxa" w:w="432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Supply mismatch evidence. A local signal alone does not distinguish nonclosure from H¹.</w:t>
            </w:r>
          </w:p>
        </w:tc>
      </w:tr>
      <w:tr>
        <w:trPr>
          <w:cantSplit/>
        </w:trPr>
        <w:tc>
          <w:tcPr>
            <w:tcW w:type="dxa" w:w="158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Entorhinal interface</w:t>
            </w:r>
          </w:p>
        </w:tc>
        <w:tc>
          <w:tcPr>
            <w:tcW w:type="dxa" w:w="381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Spatially structured input and output interactions [51].</w:t>
            </w:r>
          </w:p>
        </w:tc>
        <w:tc>
          <w:tcPr>
            <w:tcW w:type="dxa" w:w="432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Encode context and coordinate changes. A grid code is not by itself a sheaf chart.</w:t>
            </w:r>
          </w:p>
        </w:tc>
      </w:tr>
      <w:tr>
        <w:trPr>
          <w:cantSplit/>
        </w:trPr>
        <w:tc>
          <w:tcPr>
            <w:tcW w:type="dxa" w:w="158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Episode traces</w:t>
            </w:r>
          </w:p>
        </w:tc>
        <w:tc>
          <w:tcPr>
            <w:tcW w:type="dxa" w:w="38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Causal engram and contextual recording evidence in mice [75,76].</w:t>
            </w:r>
          </w:p>
        </w:tc>
        <w:tc>
          <w:tcPr>
            <w:tcW w:type="dxa" w:w="432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Retain content, indices, transitions and provenance. Do not store only residual error.</w:t>
            </w:r>
          </w:p>
        </w:tc>
      </w:tr>
      <w:tr>
        <w:trPr>
          <w:cantSplit/>
        </w:trPr>
        <w:tc>
          <w:tcPr>
            <w:tcW w:type="dxa" w:w="158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Ripple associated activity</w:t>
            </w:r>
          </w:p>
        </w:tc>
        <w:tc>
          <w:tcPr>
            <w:tcW w:type="dxa" w:w="381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Selective ripple disruption impairs spatial memory in rats [54].</w:t>
            </w:r>
          </w:p>
        </w:tc>
        <w:tc>
          <w:tcPr>
            <w:tcW w:type="dxa" w:w="432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Prioritise replay candidates. Mathematical scheduling policy remains a design choice.</w:t>
            </w:r>
          </w:p>
        </w:tc>
      </w:tr>
    </w:tbl>
    <w:p>
      <w:pPr>
        <w:pStyle w:val="Heading2"/>
        <w:widowControl/>
      </w:pPr>
      <w:r>
        <w:rPr>
          <w:rFonts w:ascii="DejaVu Serif" w:hAnsi="DejaVu Serif" w:eastAsia="DejaVu Serif" w:cs="DejaVu Serif"/>
          <w:b/>
          <w:color w:val="000000"/>
          <w:sz w:val="22"/>
        </w:rPr>
        <w:t>23 1 A Hodge split is a compression model</w:t>
      </w:r>
    </w:p>
    <w:p>
      <w:pPr>
        <w:widowControl/>
      </w:pPr>
      <w:r>
        <w:rPr>
          <w:rFonts w:ascii="DejaVu Serif" w:hAnsi="DejaVu Serif" w:eastAsia="DejaVu Serif" w:cs="DejaVu Serif"/>
          <w:color w:val="000000"/>
          <w:sz w:val="20"/>
        </w:rPr>
        <w:t>For a fixed D and W, splitting g into Pg and r=(I−P)g is a legitimate coding operation. Calling Pg semantic gist and r episodic detail is a further hypothesis. Novel episode information may be exactly consistent with the current schema, while a nonzero residual can arise from measurement noise, a poor schema or missing variables. Evidence for rapid learning of schema consistent associations in rats [55] does not identify a neural Hodge projection.</w:t>
      </w:r>
    </w:p>
    <w:p>
      <w:pPr>
        <w:keepNext/>
        <w:widowControl/>
      </w:pPr>
      <w:r>
        <w:rPr>
          <w:rFonts w:ascii="DejaVu Serif" w:hAnsi="DejaVu Serif" w:eastAsia="DejaVu Serif" w:cs="DejaVu Serif"/>
          <w:b/>
          <w:color w:val="000000"/>
          <w:sz w:val="20"/>
        </w:rPr>
        <w:t xml:space="preserve">Proposition 23.1  Projection does not label memory systems. </w:t>
      </w:r>
      <w:r>
        <w:rPr>
          <w:rFonts w:ascii="DejaVu Serif" w:hAnsi="DejaVu Serif" w:eastAsia="DejaVu Serif" w:cs="DejaVu Serif"/>
          <w:color w:val="000000"/>
          <w:sz w:val="20"/>
        </w:rPr>
        <w:t>If ker P is nonzero, storing Pg alone loses information; storing both Pg and (I−P)g is lossless in the fixed cochain representation. Neither component mathematically determines whether an observation is episodic or semantic.</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For nonzero r∈ker P, g and g+r have the same projection. Conversely their sum Pg+(I−P)g equals g. An episode can be any vector in im D, including a previously unseen exact transition. A residual can be independent noise. Thus the linear decomposition contains no semantic or anatomical label. □</w:t>
      </w:r>
    </w:p>
    <w:p>
      <w:pPr>
        <w:pStyle w:val="Heading2"/>
        <w:widowControl/>
      </w:pPr>
      <w:r>
        <w:rPr>
          <w:rFonts w:ascii="DejaVu Serif" w:hAnsi="DejaVu Serif" w:eastAsia="DejaVu Serif" w:cs="DejaVu Serif"/>
          <w:b/>
          <w:color w:val="000000"/>
          <w:sz w:val="22"/>
        </w:rPr>
        <w:t>23 2 Sleep supports coordinated interaction</w:t>
      </w:r>
    </w:p>
    <w:p>
      <w:pPr>
        <w:widowControl/>
      </w:pPr>
      <w:r>
        <w:rPr>
          <w:rFonts w:ascii="DejaVu Serif" w:hAnsi="DejaVu Serif" w:eastAsia="DejaVu Serif" w:cs="DejaVu Serif"/>
          <w:color w:val="000000"/>
          <w:sz w:val="20"/>
        </w:rPr>
        <w:t>Recent primary studies strengthen the case for the trio as an interacting network. Basha and colleagues recorded prefrontal, reuniens and hippocampal activity in cats and used stimulation and modelling; their 2025 report describes sleep state dependent coupling [78]. The natural sleep recordings support coordinated dialogue, while correlation does not establish a gluing computation or a particular learning algorithm.</w:t>
      </w:r>
    </w:p>
    <w:p>
      <w:pPr>
        <w:widowControl/>
      </w:pPr>
      <w:r>
        <w:rPr>
          <w:rFonts w:ascii="DejaVu Serif" w:hAnsi="DejaVu Serif" w:eastAsia="DejaVu Serif" w:cs="DejaVu Serif"/>
          <w:color w:val="000000"/>
          <w:sz w:val="20"/>
        </w:rPr>
        <w:t>Dickey and colleagues recorded NREM activity in 13 people undergoing intracranial evaluation for epilepsy. They found relationships between thalamic spindles, Up states and distributed co-rippling [77]. These recordings support coordination in the sampled human clinical population, rather than a universal clock or a proof of information transfer direction on every event. Earlier rat perturbation work on ripple suppression [54] supports a causal contribution to spatial memory; Maingret and colleagues also used timed interventions to test hippocampo-cortical coupling [81]. Neither result specifies a matrix solver.</w:t>
      </w:r>
    </w:p>
    <w:p>
      <w:pPr>
        <w:widowControl/>
      </w:pPr>
      <w:r>
        <w:rPr>
          <w:rFonts w:ascii="DejaVu Serif" w:hAnsi="DejaVu Serif" w:eastAsia="DejaVu Serif" w:cs="DejaVu Serif"/>
          <w:color w:val="000000"/>
          <w:sz w:val="20"/>
        </w:rPr>
        <w:t>The implementation therefore schedules bidirectional replay and model updates according to declared objectives. It does not equate NREM with one mandatory algorithm, REM with another, or forgetting with deletion of graph cycles. Sleep related changes in the graph and weights remain distinguishable from changing the stored episode content.</w:t>
      </w:r>
    </w:p>
    <w:p>
      <w:pPr>
        <w:pStyle w:val="Heading1"/>
        <w:widowControl/>
      </w:pPr>
      <w:r>
        <w:rPr>
          <w:rFonts w:ascii="DejaVu Serif" w:hAnsi="DejaVu Serif" w:eastAsia="DejaVu Serif" w:cs="DejaVu Serif"/>
          <w:b/>
          <w:color w:val="000000"/>
          <w:sz w:val="26"/>
        </w:rPr>
        <w:t>24 An implementable trio runtime</w:t>
      </w:r>
    </w:p>
    <w:p>
      <w:pPr>
        <w:widowControl/>
      </w:pPr>
      <w:r>
        <w:rPr>
          <w:rFonts w:ascii="DejaVu Serif" w:hAnsi="DejaVu Serif" w:eastAsia="DejaVu Serif" w:cs="DejaVu Serif"/>
          <w:color w:val="000000"/>
          <w:sz w:val="20"/>
        </w:rPr>
        <w:t>The basic state is a versioned context model, cortical candidates, routed observations and an episode archive. Write M=(K,F,D,E,W,q,s,g,H,v), where K and F specify context and coefficient data, ED=0, W specifies a repair metric, q specifies task and routing state, s is a local assignment, g contains independently measured transitions, H stores episode records and v identifies all versions. This is an engineering state description, not a direct neural decoding formula. The same episode cannot silently be checked against a different cover or metric after an update.</w:t>
      </w:r>
    </w:p>
    <w:p>
      <w:pPr>
        <w:keepNext/>
        <w:widowControl/>
      </w:pPr>
      <w:r>
        <w:rPr>
          <w:rFonts w:ascii="DejaVu Serif" w:hAnsi="DejaVu Serif" w:eastAsia="DejaVu Serif" w:cs="DejaVu Serif"/>
          <w:b/>
          <w:color w:val="000000"/>
          <w:sz w:val="20"/>
        </w:rPr>
        <w:t>Table 24.1 What supersedes conventional program organisation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960"/>
        <w:gridCol w:w="3960"/>
      </w:tblGrid>
      <w:tr>
        <w:trPr>
          <w:cantSplit/>
          <w:tblHeader/>
        </w:trPr>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Conventional unit</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Trio based replacement</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Enforced contract</w:t>
            </w:r>
          </w:p>
        </w:tc>
      </w:tr>
      <w:tr>
        <w:trPr>
          <w:cantSplit/>
        </w:trPr>
        <w:tc>
          <w:tcPr>
            <w:tcW w:type="dxa" w:w="180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Addressed memory</w:t>
            </w:r>
          </w:p>
        </w:tc>
        <w:tc>
          <w:tcPr>
            <w:tcW w:type="dxa" w:w="396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Context indexed state plus episode archive.</w:t>
            </w:r>
          </w:p>
        </w:tc>
        <w:tc>
          <w:tcPr>
            <w:tcW w:type="dxa" w:w="396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Domain and provenance accompany every value.</w:t>
            </w:r>
          </w:p>
        </w:tc>
      </w:tr>
      <w:tr>
        <w:trPr>
          <w:cantSplit/>
        </w:trPr>
        <w:tc>
          <w:tcPr>
            <w:tcW w:type="dxa" w:w="180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Function call as primary unit</w:t>
            </w:r>
          </w:p>
        </w:tc>
        <w:tc>
          <w:tcPr>
            <w:tcW w:type="dxa" w:w="396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Routed transformation of context indexed states.</w:t>
            </w:r>
          </w:p>
        </w:tc>
        <w:tc>
          <w:tcPr>
            <w:tcW w:type="dxa" w:w="396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Transforms declare source, target and supported context maps.</w:t>
            </w:r>
          </w:p>
        </w:tc>
      </w:tr>
      <w:tr>
        <w:trPr>
          <w:cantSplit/>
        </w:trPr>
        <w:tc>
          <w:tcPr>
            <w:tcW w:type="dxa" w:w="180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Single shared context</w:t>
            </w:r>
          </w:p>
        </w:tc>
        <w:tc>
          <w:tcPr>
            <w:tcW w:type="dxa" w:w="396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Task and gain state proposed by a routing module.</w:t>
            </w:r>
          </w:p>
        </w:tc>
        <w:tc>
          <w:tcPr>
            <w:tcW w:type="dxa" w:w="396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Masking evidence is distinct from changing the domain.</w:t>
            </w:r>
          </w:p>
        </w:tc>
      </w:tr>
      <w:tr>
        <w:trPr>
          <w:cantSplit/>
        </w:trPr>
        <w:tc>
          <w:tcPr>
            <w:tcW w:type="dxa" w:w="180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Merge or assignment</w:t>
            </w:r>
          </w:p>
        </w:tc>
        <w:tc>
          <w:tcPr>
            <w:tcW w:type="dxa" w:w="396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Candidate integration followed by a verifier.</w:t>
            </w:r>
          </w:p>
        </w:tc>
        <w:tc>
          <w:tcPr>
            <w:tcW w:type="dxa" w:w="396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Exact gluing, approximate fit and incomplete evidence return different result types.</w:t>
            </w:r>
          </w:p>
        </w:tc>
      </w:tr>
      <w:tr>
        <w:trPr>
          <w:cantSplit/>
        </w:trPr>
        <w:tc>
          <w:tcPr>
            <w:tcW w:type="dxa" w:w="180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Background memory compaction</w:t>
            </w:r>
          </w:p>
        </w:tc>
        <w:tc>
          <w:tcPr>
            <w:tcW w:type="dxa" w:w="396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Episode selection, replay and optional schema update.</w:t>
            </w:r>
          </w:p>
        </w:tc>
        <w:tc>
          <w:tcPr>
            <w:tcW w:type="dxa" w:w="396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Archive retention and residual loss follow an explicit policy.</w:t>
            </w:r>
          </w:p>
        </w:tc>
      </w:tr>
      <w:tr>
        <w:trPr>
          <w:cantSplit/>
        </w:trPr>
        <w:tc>
          <w:tcPr>
            <w:tcW w:type="dxa" w:w="180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Implicit execution history</w:t>
            </w:r>
          </w:p>
        </w:tc>
        <w:tc>
          <w:tcPr>
            <w:tcW w:type="dxa" w:w="396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Versioned episode and transition records.</w:t>
            </w:r>
          </w:p>
        </w:tc>
        <w:tc>
          <w:tcPr>
            <w:tcW w:type="dxa" w:w="396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Retrieval and replay can be audited and rolled back.</w:t>
            </w:r>
          </w:p>
        </w:tc>
      </w:tr>
    </w:tbl>
    <w:p>
      <w:pPr>
        <w:widowControl/>
      </w:pPr>
      <w:r>
        <w:rPr>
          <w:rFonts w:ascii="DejaVu Serif" w:hAnsi="DejaVu Serif" w:eastAsia="DejaVu Serif" w:cs="DejaVu Serif"/>
          <w:color w:val="000000"/>
          <w:sz w:val="20"/>
        </w:rPr>
        <w:t>A recurrent execution cycle routes observations, retrieves relevant episodes, proposes local states and transformations, verifies the declared domain, tests overlap compatibility and transition closure, and then evaluates any repair proposal. Only the verified candidate is committed. Failure returns a typed result: overlap witness, transition nonclosure, closed obstruction, unsupported domain or insufficient evidence. Functions implement these operations, while the trio determines their organisation and persistent state. The sequence describes software responsibilities, not a claim about a fixed millisecond ordering of brain regions.</w:t>
      </w:r>
    </w:p>
    <w:p>
      <w:pPr>
        <w:widowControl/>
      </w:pPr>
      <w:r>
        <w:rPr>
          <w:rFonts w:ascii="DejaVu Serif" w:hAnsi="DejaVu Serif" w:eastAsia="DejaVu Serif" w:cs="DejaVu Serif"/>
          <w:color w:val="000000"/>
          <w:sz w:val="20"/>
        </w:rPr>
        <w:t>The cortical module learns reusable population representations and proposes state or action updates. The thalamic module handles signal routing, gain and effective coupling, with both content carrying and modulatory paths. The hippocampal module binds rapid episodes, retrieves from partial cues and proposes replay priorities. A deterministic verifier is an enforced contract within the runtime, not a newly claimed fourth brain structure. It checks the representation actually supplied to it; it cannot certify that the observations are true.</w:t>
      </w:r>
    </w:p>
    <w:p>
      <w:pPr>
        <w:keepNext/>
        <w:widowControl/>
      </w:pPr>
      <w:r>
        <w:rPr>
          <w:rFonts w:ascii="DejaVu Serif" w:hAnsi="DejaVu Serif" w:eastAsia="DejaVu Serif" w:cs="DejaVu Serif"/>
          <w:color w:val="000000"/>
          <w:sz w:val="20"/>
        </w:rPr>
        <w:drawing>
          <wp:inline xmlns:a="http://schemas.openxmlformats.org/drawingml/2006/main" xmlns:pic="http://schemas.openxmlformats.org/drawingml/2006/picture">
            <wp:extent cx="6126480" cy="4115380"/>
            <wp:docPr id="3" name="Picture 3"/>
            <wp:cNvGraphicFramePr>
              <a:graphicFrameLocks noChangeAspect="1"/>
            </wp:cNvGraphicFramePr>
            <a:graphic>
              <a:graphicData uri="http://schemas.openxmlformats.org/drawingml/2006/picture">
                <pic:pic>
                  <pic:nvPicPr>
                    <pic:cNvPr id="0" name="fig_trio_v6.png"/>
                    <pic:cNvPicPr/>
                  </pic:nvPicPr>
                  <pic:blipFill>
                    <a:blip r:embed="rId16"/>
                    <a:stretch>
                      <a:fillRect/>
                    </a:stretch>
                  </pic:blipFill>
                  <pic:spPr>
                    <a:xfrm>
                      <a:off x="0" y="0"/>
                      <a:ext cx="6126480" cy="4115380"/>
                    </a:xfrm>
                    <a:prstGeom prst="rect"/>
                  </pic:spPr>
                </pic:pic>
              </a:graphicData>
            </a:graphic>
          </wp:inline>
        </w:drawing>
      </w:r>
    </w:p>
    <w:p>
      <w:pPr>
        <w:widowControl/>
      </w:pPr>
      <w:r>
        <w:rPr>
          <w:rFonts w:ascii="DejaVu Serif" w:hAnsi="DejaVu Serif" w:eastAsia="DejaVu Serif" w:cs="DejaVu Serif"/>
          <w:i/>
          <w:color w:val="000000"/>
          <w:sz w:val="20"/>
        </w:rPr>
        <w:t>Figure 24.1 The recurrent trio and its six laminar interfaces. The layer labels guide an engineering decomposition; arrows indicate classes of interaction, not complete anatomical wiring. The bottom contract is a software verification requirement.</w:t>
      </w:r>
    </w:p>
    <w:p>
      <w:pPr>
        <w:widowControl/>
      </w:pPr>
      <w:r>
        <w:rPr>
          <w:rFonts w:ascii="DejaVu Serif" w:hAnsi="DejaVu Serif" w:eastAsia="DejaVu Serif" w:cs="DejaVu Serif"/>
          <w:color w:val="000000"/>
          <w:sz w:val="20"/>
        </w:rPr>
        <w:t>Direct cortical interactions remain available; the design does not force every cortical message through the thalamic module. Prefrontal circuitry belongs to the cortical module, rather than being listed as an additional brain organ. The hippocampal interface includes specialised entorhinal communication but does not assume that all entorhinal tissue has the three layer organisation of hippocampal principal cell fields.</w:t>
      </w:r>
    </w:p>
    <w:p>
      <w:pPr>
        <w:pStyle w:val="Heading2"/>
        <w:widowControl/>
      </w:pPr>
      <w:r>
        <w:rPr>
          <w:rFonts w:ascii="DejaVu Serif" w:hAnsi="DejaVu Serif" w:eastAsia="DejaVu Serif" w:cs="DejaVu Serif"/>
          <w:b/>
          <w:color w:val="000000"/>
          <w:sz w:val="22"/>
        </w:rPr>
        <w:t>24 1 Minimal implementation and ablation</w:t>
      </w:r>
    </w:p>
    <w:p>
      <w:pPr>
        <w:widowControl/>
      </w:pPr>
      <w:r>
        <w:rPr>
          <w:rFonts w:ascii="DejaVu Serif" w:hAnsi="DejaVu Serif" w:eastAsia="DejaVu Serif" w:cs="DejaVu Serif"/>
          <w:color w:val="000000"/>
          <w:sz w:val="20"/>
        </w:rPr>
        <w:t>A first implementation can retain fixed finite D and E, a learned encoder producing candidate s and g, a router producing positive gains plus an observation mask, and an append only episode archive. Exact rational or finite field checks support exact certificates; floating point results use the error and rank contracts of Section 15. A tolerance test produces an approximate compatibility certificate with a stated bound, not exact equality. Model changes require validation of ED=0, scope and retained information before activating a new version.</w:t>
      </w:r>
    </w:p>
    <w:p>
      <w:pPr>
        <w:widowControl/>
      </w:pPr>
      <w:r>
        <w:rPr>
          <w:rFonts w:ascii="DejaVu Serif" w:hAnsi="DejaVu Serif" w:eastAsia="DejaVu Serif" w:cs="DejaVu Serif"/>
          <w:color w:val="000000"/>
          <w:sz w:val="20"/>
        </w:rPr>
        <w:t>Compare this runtime with a shared parameter recurrent model using the same data, state dimension and compute budget. Remove each interface separately and measure held out reconstruction, scope errors, incorrect commits, retrieval interference, replay benefit and update cost. Improvement would support the implementation choice. It would not by itself establish that cortex, thalamus and hippocampus implement the same algorithms.</w:t>
      </w:r>
    </w:p>
    <w:p>
      <w:pPr>
        <w:pStyle w:val="Heading1"/>
        <w:widowControl/>
      </w:pPr>
      <w:r>
        <w:rPr>
          <w:rFonts w:ascii="DejaVu Serif" w:hAnsi="DejaVu Serif" w:eastAsia="DejaVu Serif" w:cs="DejaVu Serif"/>
          <w:b/>
          <w:color w:val="000000"/>
          <w:sz w:val="26"/>
        </w:rPr>
        <w:t>25 Additional brain systems as optional features</w:t>
      </w:r>
    </w:p>
    <w:p>
      <w:pPr>
        <w:widowControl/>
      </w:pPr>
      <w:r>
        <w:rPr>
          <w:rFonts w:ascii="DejaVu Serif" w:hAnsi="DejaVu Serif" w:eastAsia="DejaVu Serif" w:cs="DejaVu Serif"/>
          <w:color w:val="000000"/>
          <w:sz w:val="20"/>
        </w:rPr>
        <w:t>The trio is the minimal backbone chosen for this declarative and contextual memory design. Other structures are optional software extensions within that scope; this does not imply they are biologically dispensable. The table links proposed features to actual sheaf constructions. Existing sheaf work supports the mathematical machinery, not a demonstrated localisation of it to the named structure.</w:t>
      </w:r>
    </w:p>
    <w:p>
      <w:pPr>
        <w:keepNext/>
        <w:widowControl/>
      </w:pPr>
      <w:r>
        <w:rPr>
          <w:rFonts w:ascii="DejaVu Serif" w:hAnsi="DejaVu Serif" w:eastAsia="DejaVu Serif" w:cs="DejaVu Serif"/>
          <w:b/>
          <w:color w:val="000000"/>
          <w:sz w:val="20"/>
        </w:rPr>
        <w:t>Table 25.1 Feature extensions and the limits of their neural interpretation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808"/>
        <w:gridCol w:w="4608"/>
      </w:tblGrid>
      <w:tr>
        <w:trPr>
          <w:cantSplit/>
          <w:tblHeader/>
        </w:trPr>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Biological inspiration</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Proposed feature</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Sheaf construction and limit</w:t>
            </w:r>
          </w:p>
        </w:tc>
      </w:tr>
      <w:tr>
        <w:trPr>
          <w:cantSplit/>
        </w:trPr>
        <w:tc>
          <w:tcPr>
            <w:tcW w:type="dxa" w:w="230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Basal ganglia selection [60,61]</w:t>
            </w:r>
          </w:p>
        </w:tc>
        <w:tc>
          <w:tcPr>
            <w:tcW w:type="dxa" w:w="280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Choose actions or admissible update policies.</w:t>
            </w:r>
          </w:p>
        </w:tc>
        <w:tc>
          <w:tcPr>
            <w:tcW w:type="dxa" w:w="460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Optimisation over candidate global sections or costs; existence of a section does not select one.</w:t>
            </w:r>
          </w:p>
        </w:tc>
      </w:tr>
      <w:tr>
        <w:trPr>
          <w:cantSplit/>
        </w:trPr>
        <w:tc>
          <w:tcPr>
            <w:tcW w:type="dxa" w:w="230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Cerebellar adaptation [62]</w:t>
            </w:r>
          </w:p>
        </w:tc>
        <w:tc>
          <w:tcPr>
            <w:tcW w:type="dxa" w:w="280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Learn predictive maps from structured errors.</w:t>
            </w:r>
          </w:p>
        </w:tc>
        <w:tc>
          <w:tcPr>
            <w:tcW w:type="dxa" w:w="460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Learn restrictions or sheaf Laplacians [68,69]. Enforce composition; excitatory and inhibitory signs do not prove closure.</w:t>
            </w:r>
          </w:p>
        </w:tc>
      </w:tr>
      <w:tr>
        <w:trPr>
          <w:cantSplit/>
        </w:trPr>
        <w:tc>
          <w:tcPr>
            <w:tcW w:type="dxa" w:w="230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Amygdala modulation [63]</w:t>
            </w:r>
          </w:p>
        </w:tc>
        <w:tc>
          <w:tcPr>
            <w:tcW w:type="dxa" w:w="280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Learn salience dependent retention and risk costs.</w:t>
            </w:r>
          </w:p>
        </w:tc>
        <w:tc>
          <w:tcPr>
            <w:tcW w:type="dxa" w:w="460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Change W or protected sets. Arousal does not universally imply a larger edge weight.</w:t>
            </w:r>
          </w:p>
        </w:tc>
      </w:tr>
      <w:tr>
        <w:trPr>
          <w:cantSplit/>
        </w:trPr>
        <w:tc>
          <w:tcPr>
            <w:tcW w:type="dxa" w:w="230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Neuromodulation [64,65]</w:t>
            </w:r>
          </w:p>
        </w:tc>
        <w:tc>
          <w:tcPr>
            <w:tcW w:type="dxa" w:w="280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Adjust uncertainty, plasticity and policy objectives.</w:t>
            </w:r>
          </w:p>
        </w:tc>
        <w:tc>
          <w:tcPr>
            <w:tcW w:type="dxa" w:w="460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Separate metric updates from base or coefficient changes. No one transmitter equals one scalar.</w:t>
            </w:r>
          </w:p>
        </w:tc>
      </w:tr>
      <w:tr>
        <w:trPr>
          <w:cantSplit/>
        </w:trPr>
        <w:tc>
          <w:tcPr>
            <w:tcW w:type="dxa" w:w="230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Claustral interactions [66]</w:t>
            </w:r>
          </w:p>
        </w:tc>
        <w:tc>
          <w:tcPr>
            <w:tcW w:type="dxa" w:w="280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Candidate coordination of selected representations.</w:t>
            </w:r>
          </w:p>
        </w:tc>
        <w:tc>
          <w:tcPr>
            <w:tcW w:type="dxa" w:w="460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No dedicated sheaf operator is established; omit from the minimal prototype.</w:t>
            </w:r>
          </w:p>
        </w:tc>
      </w:tr>
      <w:tr>
        <w:trPr>
          <w:cantSplit/>
        </w:trPr>
        <w:tc>
          <w:tcPr>
            <w:tcW w:type="dxa" w:w="230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Multisensory pathways</w:t>
            </w:r>
          </w:p>
        </w:tc>
        <w:tc>
          <w:tcPr>
            <w:tcW w:type="dxa" w:w="280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Integrate heterogeneous observations.</w:t>
            </w:r>
          </w:p>
        </w:tc>
        <w:tc>
          <w:tcPr>
            <w:tcW w:type="dxa" w:w="460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Typed sensor sheaves and compatibility maps [67]. Gluing requires explicit common observables.</w:t>
            </w:r>
          </w:p>
        </w:tc>
      </w:tr>
    </w:tbl>
    <w:p>
      <w:pPr>
        <w:widowControl/>
      </w:pPr>
      <w:r>
        <w:rPr>
          <w:rFonts w:ascii="DejaVu Serif" w:hAnsi="DejaVu Serif" w:eastAsia="DejaVu Serif" w:cs="DejaVu Serif"/>
          <w:color w:val="000000"/>
          <w:sz w:val="20"/>
        </w:rPr>
        <w:t>A closure operator would additionally require an ordered state space and proofs of extensivity, monotonicity and idempotence. Neither cerebellar inhibition nor a one bit signed network provides these properties automatically. Similarly, reward driven routing is a policy proposal until its selected transformations pass the naturality and scope checks. This keeps future neural features compatible with the mathematical core rather than using anatomy to waive its requirements.</w:t>
      </w:r>
    </w:p>
    <w:p>
      <w:pPr>
        <w:pStyle w:val="Heading1"/>
        <w:widowControl/>
      </w:pPr>
      <w:r>
        <w:rPr>
          <w:rFonts w:ascii="DejaVu Serif" w:hAnsi="DejaVu Serif" w:eastAsia="DejaVu Serif" w:cs="DejaVu Serif"/>
          <w:b/>
          <w:color w:val="000000"/>
          <w:sz w:val="26"/>
        </w:rPr>
        <w:t>26 Audit and rerun of the neural surrogate simulations</w:t>
      </w:r>
    </w:p>
    <w:p>
      <w:pPr>
        <w:widowControl/>
      </w:pPr>
      <w:r>
        <w:rPr>
          <w:rFonts w:ascii="DejaVu Serif" w:hAnsi="DejaVu Serif" w:eastAsia="DejaVu Serif" w:cs="DejaVu Serif"/>
          <w:color w:val="000000"/>
          <w:sz w:val="20"/>
        </w:rPr>
        <w:t>The supplied trio_numerics.py was rerun with seed 20261021, NumPy 2.3.5 and one BLAS thread. Its fractions and qualitative replay behaviour reproduce. These are geometric and optimisation simulations, not simulations fitted to laminar spikes, thalamic relays or hippocampal neurons. Their purpose is to test representation and algorithm choices that a neural implementation would have to justify independently.</w:t>
      </w:r>
    </w:p>
    <w:p>
      <w:pPr>
        <w:pStyle w:val="Heading2"/>
        <w:widowControl/>
      </w:pPr>
      <w:r>
        <w:rPr>
          <w:rFonts w:ascii="DejaVu Serif" w:hAnsi="DejaVu Serif" w:eastAsia="DejaVu Serif" w:cs="DejaVu Serif"/>
          <w:b/>
          <w:color w:val="000000"/>
          <w:sz w:val="22"/>
        </w:rPr>
        <w:t>26 1 Sampled place field codes</w:t>
      </w:r>
    </w:p>
    <w:p>
      <w:pPr>
        <w:widowControl/>
      </w:pPr>
      <w:r>
        <w:rPr>
          <w:rFonts w:ascii="DejaVu Serif" w:hAnsi="DejaVu Serif" w:eastAsia="DejaVu Serif" w:cs="DejaVu Serif"/>
          <w:color w:val="000000"/>
          <w:sz w:val="20"/>
        </w:rPr>
        <w:t>Fields are discs centred in an annulus or disc. At each sampled grid position, active field indices form a codeword. All faces up to dimension two of those codewords generate a sampled coactivity complex. Its binary Betti numbers are exact for that complex. It is not automatically the exact nerve of the continuous fields or of neuronal co-firing. Missing samples can omit genuine intersections, and thresholding or temporal sampling would add further observation assumptions [57].</w:t>
      </w:r>
    </w:p>
    <w:p>
      <w:pPr>
        <w:keepNext/>
        <w:widowControl/>
      </w:pPr>
      <w:r>
        <w:rPr>
          <w:rFonts w:ascii="DejaVu Serif" w:hAnsi="DejaVu Serif" w:eastAsia="DejaVu Serif" w:cs="DejaVu Serif"/>
          <w:b/>
          <w:color w:val="000000"/>
          <w:sz w:val="20"/>
        </w:rPr>
        <w:t>Table 26.1 Recovery fractions for sampled geometric codes over 30 trials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080"/>
        <w:gridCol w:w="1440"/>
        <w:gridCol w:w="3168"/>
        <w:gridCol w:w="3168"/>
      </w:tblGrid>
      <w:tr>
        <w:trPr>
          <w:cantSplit/>
          <w:tblHeader/>
        </w:trPr>
        <w:tc>
          <w:tcPr>
            <w:tcW w:type="dxa" w:w="195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Cells</w:t>
            </w:r>
          </w:p>
        </w:tc>
        <w:tc>
          <w:tcPr>
            <w:tcW w:type="dxa" w:w="195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Radius</w:t>
            </w:r>
          </w:p>
        </w:tc>
        <w:tc>
          <w:tcPr>
            <w:tcW w:type="dxa" w:w="195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Area proxy</w:t>
            </w:r>
          </w:p>
        </w:tc>
        <w:tc>
          <w:tcPr>
            <w:tcW w:type="dxa" w:w="195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Annulus correct</w:t>
            </w:r>
          </w:p>
        </w:tc>
        <w:tc>
          <w:tcPr>
            <w:tcW w:type="dxa" w:w="195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Disc correct</w:t>
            </w:r>
          </w:p>
        </w:tc>
      </w:tr>
      <w:tr>
        <w:trPr>
          <w:cantSplit/>
        </w:trPr>
        <w:tc>
          <w:tcPr>
            <w:tcW w:type="dxa" w:w="86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30</w:t>
            </w:r>
          </w:p>
        </w:tc>
        <w:tc>
          <w:tcPr>
            <w:tcW w:type="dxa" w:w="108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0.06</w:t>
            </w:r>
          </w:p>
        </w:tc>
        <w:tc>
          <w:tcPr>
            <w:tcW w:type="dxa" w:w="144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0.5</w:t>
            </w:r>
          </w:p>
        </w:tc>
        <w:tc>
          <w:tcPr>
            <w:tcW w:type="dxa" w:w="316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w:t>
            </w:r>
          </w:p>
        </w:tc>
        <w:tc>
          <w:tcPr>
            <w:tcW w:type="dxa" w:w="316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w:t>
            </w:r>
          </w:p>
        </w:tc>
      </w:tr>
      <w:tr>
        <w:trPr>
          <w:cantSplit/>
        </w:trPr>
        <w:tc>
          <w:tcPr>
            <w:tcW w:type="dxa" w:w="86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30</w:t>
            </w:r>
          </w:p>
        </w:tc>
        <w:tc>
          <w:tcPr>
            <w:tcW w:type="dxa" w:w="108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0.1</w:t>
            </w:r>
          </w:p>
        </w:tc>
        <w:tc>
          <w:tcPr>
            <w:tcW w:type="dxa" w:w="144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1.4</w:t>
            </w:r>
          </w:p>
        </w:tc>
        <w:tc>
          <w:tcPr>
            <w:tcW w:type="dxa" w:w="316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w:t>
            </w:r>
          </w:p>
        </w:tc>
        <w:tc>
          <w:tcPr>
            <w:tcW w:type="dxa" w:w="316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w:t>
            </w:r>
          </w:p>
        </w:tc>
      </w:tr>
      <w:tr>
        <w:trPr>
          <w:cantSplit/>
        </w:trPr>
        <w:tc>
          <w:tcPr>
            <w:tcW w:type="dxa" w:w="86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30</w:t>
            </w:r>
          </w:p>
        </w:tc>
        <w:tc>
          <w:tcPr>
            <w:tcW w:type="dxa" w:w="108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0.15</w:t>
            </w:r>
          </w:p>
        </w:tc>
        <w:tc>
          <w:tcPr>
            <w:tcW w:type="dxa" w:w="144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3.2</w:t>
            </w:r>
          </w:p>
        </w:tc>
        <w:tc>
          <w:tcPr>
            <w:tcW w:type="dxa" w:w="316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50%</w:t>
            </w:r>
          </w:p>
        </w:tc>
        <w:tc>
          <w:tcPr>
            <w:tcW w:type="dxa" w:w="316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13%</w:t>
            </w:r>
          </w:p>
        </w:tc>
      </w:tr>
      <w:tr>
        <w:trPr>
          <w:cantSplit/>
        </w:trPr>
        <w:tc>
          <w:tcPr>
            <w:tcW w:type="dxa" w:w="86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60</w:t>
            </w:r>
          </w:p>
        </w:tc>
        <w:tc>
          <w:tcPr>
            <w:tcW w:type="dxa" w:w="108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0.06</w:t>
            </w:r>
          </w:p>
        </w:tc>
        <w:tc>
          <w:tcPr>
            <w:tcW w:type="dxa" w:w="144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1.0</w:t>
            </w:r>
          </w:p>
        </w:tc>
        <w:tc>
          <w:tcPr>
            <w:tcW w:type="dxa" w:w="316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w:t>
            </w:r>
          </w:p>
        </w:tc>
        <w:tc>
          <w:tcPr>
            <w:tcW w:type="dxa" w:w="316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w:t>
            </w:r>
          </w:p>
        </w:tc>
      </w:tr>
      <w:tr>
        <w:trPr>
          <w:cantSplit/>
        </w:trPr>
        <w:tc>
          <w:tcPr>
            <w:tcW w:type="dxa" w:w="86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60</w:t>
            </w:r>
          </w:p>
        </w:tc>
        <w:tc>
          <w:tcPr>
            <w:tcW w:type="dxa" w:w="108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0.1</w:t>
            </w:r>
          </w:p>
        </w:tc>
        <w:tc>
          <w:tcPr>
            <w:tcW w:type="dxa" w:w="144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2.9</w:t>
            </w:r>
          </w:p>
        </w:tc>
        <w:tc>
          <w:tcPr>
            <w:tcW w:type="dxa" w:w="316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20%</w:t>
            </w:r>
          </w:p>
        </w:tc>
        <w:tc>
          <w:tcPr>
            <w:tcW w:type="dxa" w:w="316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w:t>
            </w:r>
          </w:p>
        </w:tc>
      </w:tr>
      <w:tr>
        <w:trPr>
          <w:cantSplit/>
        </w:trPr>
        <w:tc>
          <w:tcPr>
            <w:tcW w:type="dxa" w:w="86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60</w:t>
            </w:r>
          </w:p>
        </w:tc>
        <w:tc>
          <w:tcPr>
            <w:tcW w:type="dxa" w:w="108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0.15</w:t>
            </w:r>
          </w:p>
        </w:tc>
        <w:tc>
          <w:tcPr>
            <w:tcW w:type="dxa" w:w="144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6.4</w:t>
            </w:r>
          </w:p>
        </w:tc>
        <w:tc>
          <w:tcPr>
            <w:tcW w:type="dxa" w:w="316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93%</w:t>
            </w:r>
          </w:p>
        </w:tc>
        <w:tc>
          <w:tcPr>
            <w:tcW w:type="dxa" w:w="316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33%</w:t>
            </w:r>
          </w:p>
        </w:tc>
      </w:tr>
      <w:tr>
        <w:trPr>
          <w:cantSplit/>
        </w:trPr>
        <w:tc>
          <w:tcPr>
            <w:tcW w:type="dxa" w:w="86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120</w:t>
            </w:r>
          </w:p>
        </w:tc>
        <w:tc>
          <w:tcPr>
            <w:tcW w:type="dxa" w:w="108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0.06</w:t>
            </w:r>
          </w:p>
        </w:tc>
        <w:tc>
          <w:tcPr>
            <w:tcW w:type="dxa" w:w="144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2.1</w:t>
            </w:r>
          </w:p>
        </w:tc>
        <w:tc>
          <w:tcPr>
            <w:tcW w:type="dxa" w:w="316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w:t>
            </w:r>
          </w:p>
        </w:tc>
        <w:tc>
          <w:tcPr>
            <w:tcW w:type="dxa" w:w="316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w:t>
            </w:r>
          </w:p>
        </w:tc>
      </w:tr>
      <w:tr>
        <w:trPr>
          <w:cantSplit/>
        </w:trPr>
        <w:tc>
          <w:tcPr>
            <w:tcW w:type="dxa" w:w="86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120</w:t>
            </w:r>
          </w:p>
        </w:tc>
        <w:tc>
          <w:tcPr>
            <w:tcW w:type="dxa" w:w="108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0.1</w:t>
            </w:r>
          </w:p>
        </w:tc>
        <w:tc>
          <w:tcPr>
            <w:tcW w:type="dxa" w:w="144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5.7</w:t>
            </w:r>
          </w:p>
        </w:tc>
        <w:tc>
          <w:tcPr>
            <w:tcW w:type="dxa" w:w="316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17%</w:t>
            </w:r>
          </w:p>
        </w:tc>
        <w:tc>
          <w:tcPr>
            <w:tcW w:type="dxa" w:w="316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w:t>
            </w:r>
          </w:p>
        </w:tc>
      </w:tr>
      <w:tr>
        <w:trPr>
          <w:cantSplit/>
        </w:trPr>
        <w:tc>
          <w:tcPr>
            <w:tcW w:type="dxa" w:w="86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120</w:t>
            </w:r>
          </w:p>
        </w:tc>
        <w:tc>
          <w:tcPr>
            <w:tcW w:type="dxa" w:w="108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0.15</w:t>
            </w:r>
          </w:p>
        </w:tc>
        <w:tc>
          <w:tcPr>
            <w:tcW w:type="dxa" w:w="144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12.9</w:t>
            </w:r>
          </w:p>
        </w:tc>
        <w:tc>
          <w:tcPr>
            <w:tcW w:type="dxa" w:w="316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100%</w:t>
            </w:r>
          </w:p>
        </w:tc>
        <w:tc>
          <w:tcPr>
            <w:tcW w:type="dxa" w:w="316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100%</w:t>
            </w:r>
          </w:p>
        </w:tc>
      </w:tr>
      <w:tr>
        <w:trPr>
          <w:cantSplit/>
        </w:trPr>
        <w:tc>
          <w:tcPr>
            <w:tcW w:type="dxa" w:w="86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40</w:t>
            </w:r>
          </w:p>
        </w:tc>
        <w:tc>
          <w:tcPr>
            <w:tcW w:type="dxa" w:w="108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0.25</w:t>
            </w:r>
          </w:p>
        </w:tc>
        <w:tc>
          <w:tcPr>
            <w:tcW w:type="dxa" w:w="144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11.9</w:t>
            </w:r>
          </w:p>
        </w:tc>
        <w:tc>
          <w:tcPr>
            <w:tcW w:type="dxa" w:w="316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100%</w:t>
            </w:r>
          </w:p>
        </w:tc>
        <w:tc>
          <w:tcPr>
            <w:tcW w:type="dxa" w:w="316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100%</w:t>
            </w:r>
          </w:p>
        </w:tc>
      </w:tr>
      <w:tr>
        <w:trPr>
          <w:cantSplit/>
        </w:trPr>
        <w:tc>
          <w:tcPr>
            <w:tcW w:type="dxa" w:w="86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40</w:t>
            </w:r>
          </w:p>
        </w:tc>
        <w:tc>
          <w:tcPr>
            <w:tcW w:type="dxa" w:w="108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0.35</w:t>
            </w:r>
          </w:p>
        </w:tc>
        <w:tc>
          <w:tcPr>
            <w:tcW w:type="dxa" w:w="144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23.3</w:t>
            </w:r>
          </w:p>
        </w:tc>
        <w:tc>
          <w:tcPr>
            <w:tcW w:type="dxa" w:w="316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13%</w:t>
            </w:r>
          </w:p>
        </w:tc>
        <w:tc>
          <w:tcPr>
            <w:tcW w:type="dxa" w:w="316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100%</w:t>
            </w:r>
          </w:p>
        </w:tc>
      </w:tr>
    </w:tbl>
    <w:p>
      <w:pPr>
        <w:widowControl/>
      </w:pPr>
      <w:r>
        <w:rPr>
          <w:rFonts w:ascii="DejaVu Serif" w:hAnsi="DejaVu Serif" w:eastAsia="DejaVu Serif" w:cs="DejaVu Serif"/>
          <w:color w:val="000000"/>
          <w:sz w:val="20"/>
        </w:rPr>
        <w:t>The area proxy is nπρ² divided by annulus area. It ignores clipping and boundaries and is not the measured mean number of active cells, especially for wide fields. Correct means the target pair (β₀,β₁) is recovered; matching two Betti numbers does not certify homotopy type or an acyclic cover. The implementation computes over F₂ only. An abstract sampled coactivity complex is not necessarily planar or torsion free, so equality with real coefficient Betti numbers is not claimed.</w:t>
      </w:r>
    </w:p>
    <w:p>
      <w:pPr>
        <w:widowControl/>
      </w:pPr>
      <w:r>
        <w:rPr>
          <w:rFonts w:ascii="DejaVu Serif" w:hAnsi="DejaVu Serif" w:eastAsia="DejaVu Serif" w:cs="DejaVu Serif"/>
          <w:color w:val="000000"/>
          <w:sz w:val="20"/>
        </w:rPr>
        <w:t>A good cover theorem applies to the union when every relevant finite intersection has the required acyclicity. It identifies the environment only if that union actually covers the environment. Restricting a disc to an annulus can destroy convexity, and intersections as well as individual patches require checking. The wide field failures in this simulation do not demonstrate that every single field becomes disconnected; finite sampling and failed intersection assumptions must be distinguished. Oversized fields recover the annulus target in only 13% of trials at the largest tested radius.</w:t>
      </w:r>
    </w:p>
    <w:p>
      <w:pPr>
        <w:keepNext/>
        <w:widowControl/>
      </w:pPr>
      <w:r>
        <w:rPr>
          <w:rFonts w:ascii="DejaVu Serif" w:hAnsi="DejaVu Serif" w:eastAsia="DejaVu Serif" w:cs="DejaVu Serif"/>
          <w:color w:val="000000"/>
          <w:sz w:val="20"/>
        </w:rPr>
        <w:drawing>
          <wp:inline xmlns:a="http://schemas.openxmlformats.org/drawingml/2006/main" xmlns:pic="http://schemas.openxmlformats.org/drawingml/2006/picture">
            <wp:extent cx="5943600" cy="2971800"/>
            <wp:docPr id="4" name="Picture 4"/>
            <wp:cNvGraphicFramePr>
              <a:graphicFrameLocks noChangeAspect="1"/>
            </wp:cNvGraphicFramePr>
            <a:graphic>
              <a:graphicData uri="http://schemas.openxmlformats.org/drawingml/2006/picture">
                <pic:pic>
                  <pic:nvPicPr>
                    <pic:cNvPr id="0" name="fig_nerve.png"/>
                    <pic:cNvPicPr/>
                  </pic:nvPicPr>
                  <pic:blipFill>
                    <a:blip r:embed="rId17"/>
                    <a:stretch>
                      <a:fillRect/>
                    </a:stretch>
                  </pic:blipFill>
                  <pic:spPr>
                    <a:xfrm>
                      <a:off x="0" y="0"/>
                      <a:ext cx="5943600" cy="2971800"/>
                    </a:xfrm>
                    <a:prstGeom prst="rect"/>
                  </pic:spPr>
                </pic:pic>
              </a:graphicData>
            </a:graphic>
          </wp:inline>
        </w:drawing>
      </w:r>
    </w:p>
    <w:p>
      <w:pPr>
        <w:widowControl/>
      </w:pPr>
      <w:r>
        <w:rPr>
          <w:rFonts w:ascii="DejaVu Serif" w:hAnsi="DejaVu Serif" w:eastAsia="DejaVu Serif" w:cs="DejaVu Serif"/>
          <w:i/>
          <w:color w:val="000000"/>
          <w:sz w:val="20"/>
        </w:rPr>
        <w:t>Figure 26.1 Sampled coactivity examples from the supplied script. These panels were selected to illustrate undercoverage and lost recovery, not to prove the geometry of every intersection or provide neural evidence.</w:t>
      </w:r>
    </w:p>
    <w:p>
      <w:pPr>
        <w:pStyle w:val="Heading2"/>
        <w:widowControl/>
      </w:pPr>
      <w:r>
        <w:rPr>
          <w:rFonts w:ascii="DejaVu Serif" w:hAnsi="DejaVu Serif" w:eastAsia="DejaVu Serif" w:cs="DejaVu Serif"/>
          <w:b/>
          <w:color w:val="000000"/>
          <w:sz w:val="22"/>
        </w:rPr>
        <w:t>26 2 Observation deletion and topology</w:t>
      </w:r>
    </w:p>
    <w:p>
      <w:pPr>
        <w:keepNext/>
        <w:widowControl/>
      </w:pPr>
      <w:r>
        <w:rPr>
          <w:rFonts w:ascii="DejaVu Serif" w:hAnsi="DejaVu Serif" w:eastAsia="DejaVu Serif" w:cs="DejaVu Serif"/>
          <w:b/>
          <w:color w:val="000000"/>
          <w:sz w:val="20"/>
        </w:rPr>
        <w:t>Table 26.2 Random observation deletion at radius 0.12 over 30 trials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656"/>
        <w:gridCol w:w="2016"/>
        <w:gridCol w:w="2016"/>
        <w:gridCol w:w="2016"/>
      </w:tblGrid>
      <w:tr>
        <w:trPr>
          <w:cantSplit/>
          <w:tblHeader/>
        </w:trPr>
        <w:tc>
          <w:tcPr>
            <w:tcW w:type="dxa" w:w="195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Retained probability</w:t>
            </w:r>
          </w:p>
        </w:tc>
        <w:tc>
          <w:tcPr>
            <w:tcW w:type="dxa" w:w="195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Expected cells</w:t>
            </w:r>
          </w:p>
        </w:tc>
        <w:tc>
          <w:tcPr>
            <w:tcW w:type="dxa" w:w="195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Correct pair</w:t>
            </w:r>
          </w:p>
        </w:tc>
        <w:tc>
          <w:tcPr>
            <w:tcW w:type="dxa" w:w="195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Mean β₁</w:t>
            </w:r>
          </w:p>
        </w:tc>
        <w:tc>
          <w:tcPr>
            <w:tcW w:type="dxa" w:w="195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Maximum β₁</w:t>
            </w:r>
          </w:p>
        </w:tc>
      </w:tr>
      <w:tr>
        <w:trPr>
          <w:cantSplit/>
        </w:trPr>
        <w:tc>
          <w:tcPr>
            <w:tcW w:type="dxa" w:w="20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w:t>
            </w:r>
          </w:p>
        </w:tc>
        <w:tc>
          <w:tcPr>
            <w:tcW w:type="dxa" w:w="165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120</w:t>
            </w:r>
          </w:p>
        </w:tc>
        <w:tc>
          <w:tcPr>
            <w:tcW w:type="dxa" w:w="20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97%</w:t>
            </w:r>
          </w:p>
        </w:tc>
        <w:tc>
          <w:tcPr>
            <w:tcW w:type="dxa" w:w="20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1.07</w:t>
            </w:r>
          </w:p>
        </w:tc>
        <w:tc>
          <w:tcPr>
            <w:tcW w:type="dxa" w:w="20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3</w:t>
            </w:r>
          </w:p>
        </w:tc>
      </w:tr>
      <w:tr>
        <w:trPr>
          <w:cantSplit/>
        </w:trPr>
        <w:tc>
          <w:tcPr>
            <w:tcW w:type="dxa" w:w="201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0.75</w:t>
            </w:r>
          </w:p>
        </w:tc>
        <w:tc>
          <w:tcPr>
            <w:tcW w:type="dxa" w:w="165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90</w:t>
            </w:r>
          </w:p>
        </w:tc>
        <w:tc>
          <w:tcPr>
            <w:tcW w:type="dxa" w:w="201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63%</w:t>
            </w:r>
          </w:p>
        </w:tc>
        <w:tc>
          <w:tcPr>
            <w:tcW w:type="dxa" w:w="201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1.60</w:t>
            </w:r>
          </w:p>
        </w:tc>
        <w:tc>
          <w:tcPr>
            <w:tcW w:type="dxa" w:w="201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4</w:t>
            </w:r>
          </w:p>
        </w:tc>
      </w:tr>
      <w:tr>
        <w:trPr>
          <w:cantSplit/>
        </w:trPr>
        <w:tc>
          <w:tcPr>
            <w:tcW w:type="dxa" w:w="20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0.5</w:t>
            </w:r>
          </w:p>
        </w:tc>
        <w:tc>
          <w:tcPr>
            <w:tcW w:type="dxa" w:w="165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60</w:t>
            </w:r>
          </w:p>
        </w:tc>
        <w:tc>
          <w:tcPr>
            <w:tcW w:type="dxa" w:w="20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23%</w:t>
            </w:r>
          </w:p>
        </w:tc>
        <w:tc>
          <w:tcPr>
            <w:tcW w:type="dxa" w:w="20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2.10</w:t>
            </w:r>
          </w:p>
        </w:tc>
        <w:tc>
          <w:tcPr>
            <w:tcW w:type="dxa" w:w="20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6</w:t>
            </w:r>
          </w:p>
        </w:tc>
      </w:tr>
      <w:tr>
        <w:trPr>
          <w:cantSplit/>
        </w:trPr>
        <w:tc>
          <w:tcPr>
            <w:tcW w:type="dxa" w:w="201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0.3</w:t>
            </w:r>
          </w:p>
        </w:tc>
        <w:tc>
          <w:tcPr>
            <w:tcW w:type="dxa" w:w="165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36</w:t>
            </w:r>
          </w:p>
        </w:tc>
        <w:tc>
          <w:tcPr>
            <w:tcW w:type="dxa" w:w="201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13%</w:t>
            </w:r>
          </w:p>
        </w:tc>
        <w:tc>
          <w:tcPr>
            <w:tcW w:type="dxa" w:w="201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1.37</w:t>
            </w:r>
          </w:p>
        </w:tc>
        <w:tc>
          <w:tcPr>
            <w:tcW w:type="dxa" w:w="201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5</w:t>
            </w:r>
          </w:p>
        </w:tc>
      </w:tr>
      <w:tr>
        <w:trPr>
          <w:cantSplit/>
        </w:trPr>
        <w:tc>
          <w:tcPr>
            <w:tcW w:type="dxa" w:w="20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0.15</w:t>
            </w:r>
          </w:p>
        </w:tc>
        <w:tc>
          <w:tcPr>
            <w:tcW w:type="dxa" w:w="165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18</w:t>
            </w:r>
          </w:p>
        </w:tc>
        <w:tc>
          <w:tcPr>
            <w:tcW w:type="dxa" w:w="20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w:t>
            </w:r>
          </w:p>
        </w:tc>
        <w:tc>
          <w:tcPr>
            <w:tcW w:type="dxa" w:w="20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0.33</w:t>
            </w:r>
          </w:p>
        </w:tc>
        <w:tc>
          <w:tcPr>
            <w:tcW w:type="dxa" w:w="201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2</w:t>
            </w:r>
          </w:p>
        </w:tc>
      </w:tr>
    </w:tbl>
    <w:p>
      <w:pPr>
        <w:widowControl/>
      </w:pPr>
      <w:r>
        <w:rPr>
          <w:rFonts w:ascii="DejaVu Serif" w:hAnsi="DejaVu Serif" w:eastAsia="DejaVu Serif" w:cs="DejaVu Serif"/>
          <w:color w:val="000000"/>
          <w:sz w:val="20"/>
        </w:rPr>
        <w:t>Each cell is independently retained with the stated probability, so the retained count has a binomial distribution; the displayed count is its expectation. Removing observations changes the sampled complex and often breaks recovery. That establishes a scope hazard for this representation. It does not show that neural attention deletes place fields, that thalamus changes the underlying environment, or that missing evidence is a genuine contradiction. The runtime labels the full domain incompletely observed unless a deliberate restriction has been declared.</w:t>
      </w:r>
    </w:p>
    <w:p>
      <w:pPr>
        <w:pStyle w:val="Heading2"/>
        <w:widowControl/>
      </w:pPr>
      <w:r>
        <w:rPr>
          <w:rFonts w:ascii="DejaVu Serif" w:hAnsi="DejaVu Serif" w:eastAsia="DejaVu Serif" w:cs="DejaVu Serif"/>
          <w:b/>
          <w:color w:val="000000"/>
          <w:sz w:val="22"/>
        </w:rPr>
        <w:t>26 3 Replay trajectories and the plasticity claim</w:t>
      </w:r>
    </w:p>
    <w:p>
      <w:pPr>
        <w:keepNext/>
        <w:widowControl/>
      </w:pPr>
      <w:r>
        <w:rPr>
          <w:rFonts w:ascii="DejaVu Serif" w:hAnsi="DejaVu Serif" w:eastAsia="DejaVu Serif" w:cs="DejaVu Serif"/>
          <w:b/>
          <w:color w:val="000000"/>
          <w:sz w:val="20"/>
        </w:rPr>
        <w:t>Table 26.3 Edge replay on a six cycle with attached trees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304"/>
        <w:gridCol w:w="3096"/>
        <w:gridCol w:w="3096"/>
      </w:tblGrid>
      <w:tr>
        <w:trPr>
          <w:cantSplit/>
          <w:tblHeader/>
        </w:trPr>
        <w:tc>
          <w:tcPr>
            <w:tcW w:type="dxa" w:w="244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Cyclic κ</w:t>
            </w:r>
          </w:p>
        </w:tc>
        <w:tc>
          <w:tcPr>
            <w:tcW w:type="dxa" w:w="244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Optimal residual norm</w:t>
            </w:r>
          </w:p>
        </w:tc>
        <w:tc>
          <w:tcPr>
            <w:tcW w:type="dxa" w:w="244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Constant step RMS distance</w:t>
            </w:r>
          </w:p>
        </w:tc>
        <w:tc>
          <w:tcPr>
            <w:tcW w:type="dxa" w:w="2448"/>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Annealed final distance</w:t>
            </w:r>
          </w:p>
        </w:tc>
      </w:tr>
      <w:tr>
        <w:trPr>
          <w:cantSplit/>
        </w:trPr>
        <w:tc>
          <w:tcPr>
            <w:tcW w:type="dxa" w:w="122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0.0</w:t>
            </w:r>
          </w:p>
        </w:tc>
        <w:tc>
          <w:tcPr>
            <w:tcW w:type="dxa" w:w="230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0.0000</w:t>
            </w:r>
          </w:p>
        </w:tc>
        <w:tc>
          <w:tcPr>
            <w:tcW w:type="dxa" w:w="309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0.0000</w:t>
            </w:r>
          </w:p>
        </w:tc>
        <w:tc>
          <w:tcPr>
            <w:tcW w:type="dxa" w:w="309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0.0001</w:t>
            </w:r>
          </w:p>
        </w:tc>
      </w:tr>
      <w:tr>
        <w:trPr>
          <w:cantSplit/>
        </w:trPr>
        <w:tc>
          <w:tcPr>
            <w:tcW w:type="dxa" w:w="122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0.5</w:t>
            </w:r>
          </w:p>
        </w:tc>
        <w:tc>
          <w:tcPr>
            <w:tcW w:type="dxa" w:w="230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0.2041</w:t>
            </w:r>
          </w:p>
        </w:tc>
        <w:tc>
          <w:tcPr>
            <w:tcW w:type="dxa" w:w="309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0.1252</w:t>
            </w:r>
          </w:p>
        </w:tc>
        <w:tc>
          <w:tcPr>
            <w:tcW w:type="dxa" w:w="309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0.0055</w:t>
            </w:r>
          </w:p>
        </w:tc>
      </w:tr>
      <w:tr>
        <w:trPr>
          <w:cantSplit/>
        </w:trPr>
        <w:tc>
          <w:tcPr>
            <w:tcW w:type="dxa" w:w="122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1.0</w:t>
            </w:r>
          </w:p>
        </w:tc>
        <w:tc>
          <w:tcPr>
            <w:tcW w:type="dxa" w:w="2304"/>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0.4082</w:t>
            </w:r>
          </w:p>
        </w:tc>
        <w:tc>
          <w:tcPr>
            <w:tcW w:type="dxa" w:w="309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0.2387</w:t>
            </w:r>
          </w:p>
        </w:tc>
        <w:tc>
          <w:tcPr>
            <w:tcW w:type="dxa" w:w="3096"/>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0.0085</w:t>
            </w:r>
          </w:p>
        </w:tc>
      </w:tr>
      <w:tr>
        <w:trPr>
          <w:cantSplit/>
        </w:trPr>
        <w:tc>
          <w:tcPr>
            <w:tcW w:type="dxa" w:w="122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2.0</w:t>
            </w:r>
          </w:p>
        </w:tc>
        <w:tc>
          <w:tcPr>
            <w:tcW w:type="dxa" w:w="2304"/>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0.8165</w:t>
            </w:r>
          </w:p>
        </w:tc>
        <w:tc>
          <w:tcPr>
            <w:tcW w:type="dxa" w:w="309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0.4799</w:t>
            </w:r>
          </w:p>
        </w:tc>
        <w:tc>
          <w:tcPr>
            <w:tcW w:type="dxa" w:w="3096"/>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0.0220</w:t>
            </w:r>
          </w:p>
        </w:tc>
      </w:tr>
    </w:tbl>
    <w:p>
      <w:pPr>
        <w:widowControl/>
      </w:pPr>
      <w:r>
        <w:rPr>
          <w:rFonts w:ascii="DejaVu Serif" w:hAnsi="DejaVu Serif" w:eastAsia="DejaVu Serif" w:cs="DejaVu Serif"/>
          <w:color w:val="000000"/>
          <w:sz w:val="20"/>
        </w:rPr>
        <w:t>The source script runs 60000 randomly selected edge updates. With nonzero κ and a fixed stochastic step, its distance to the quadratic optimum fluctuates. A diminishing step reduces those fluctuations over the reported run. The table is one seeded trajectory per condition, not a population confidence interval. It provides no estimate of biological plasticity or of variability between nights.</w:t>
      </w:r>
    </w:p>
    <w:p>
      <w:pPr>
        <w:keepNext/>
        <w:widowControl/>
      </w:pPr>
      <w:r>
        <w:rPr>
          <w:rFonts w:ascii="DejaVu Serif" w:hAnsi="DejaVu Serif" w:eastAsia="DejaVu Serif" w:cs="DejaVu Serif"/>
          <w:b/>
          <w:color w:val="000000"/>
          <w:sz w:val="20"/>
        </w:rPr>
        <w:t xml:space="preserve">Proposition 26.1  Inconsistent transitions do not require annealed learning. </w:t>
      </w:r>
      <w:r>
        <w:rPr>
          <w:rFonts w:ascii="DejaVu Serif" w:hAnsi="DejaVu Serif" w:eastAsia="DejaVu Serif" w:cs="DejaVu Serif"/>
          <w:color w:val="000000"/>
          <w:sz w:val="20"/>
        </w:rPr>
        <w:t>For fixed D and positive definite W, full gradient descent on ||Ds−g||²W/2 converges in fitted transitions to Pg with a constant step η satisfying 0&lt;η&lt;2/λmax(DᵀWD), even if g is not exact.</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Choose a least squares solution s*. The gradient error recursion is snext−s*=(I−ηDᵀWD)(s−s*). Positive eigenmodes contract and kernel modes do not affect fitted transitions. The spectral argument of Theorem 8.2 therefore yields Ds→Ds*=Pg. No consistency of g is used. □</w:t>
      </w:r>
    </w:p>
    <w:p>
      <w:pPr>
        <w:widowControl/>
      </w:pPr>
      <w:r>
        <w:rPr>
          <w:rFonts w:ascii="DejaVu Serif" w:hAnsi="DejaVu Serif" w:eastAsia="DejaVu Serif" w:cs="DejaVu Serif"/>
          <w:color w:val="000000"/>
          <w:sz w:val="20"/>
        </w:rPr>
        <w:t>A separate six cycle check with κ=1 and a constant full gradient step 0.2 reaches fitted transition error below 3.1×10⁻¹⁵. Other choices include variance reduction or extended row action methods. Annealing is one remedy for stochastic gradient noise, not a necessary consequence of nonzero H¹, and not an established requirement of biological replay. A biological schedule prediction needs a measured update model, sampling policy and noise distribution.</w:t>
      </w:r>
    </w:p>
    <w:p>
      <w:pPr>
        <w:keepNext/>
        <w:widowControl/>
      </w:pPr>
      <w:r>
        <w:rPr>
          <w:rFonts w:ascii="DejaVu Serif" w:hAnsi="DejaVu Serif" w:eastAsia="DejaVu Serif" w:cs="DejaVu Serif"/>
          <w:color w:val="000000"/>
          <w:sz w:val="20"/>
        </w:rPr>
        <w:drawing>
          <wp:inline xmlns:a="http://schemas.openxmlformats.org/drawingml/2006/main" xmlns:pic="http://schemas.openxmlformats.org/drawingml/2006/picture">
            <wp:extent cx="5852160" cy="3114859"/>
            <wp:docPr id="5" name="Picture 5"/>
            <wp:cNvGraphicFramePr>
              <a:graphicFrameLocks noChangeAspect="1"/>
            </wp:cNvGraphicFramePr>
            <a:graphic>
              <a:graphicData uri="http://schemas.openxmlformats.org/drawingml/2006/picture">
                <pic:pic>
                  <pic:nvPicPr>
                    <pic:cNvPr id="0" name="fig_replay.png"/>
                    <pic:cNvPicPr/>
                  </pic:nvPicPr>
                  <pic:blipFill>
                    <a:blip r:embed="rId18"/>
                    <a:stretch>
                      <a:fillRect/>
                    </a:stretch>
                  </pic:blipFill>
                  <pic:spPr>
                    <a:xfrm>
                      <a:off x="0" y="0"/>
                      <a:ext cx="5852160" cy="3114859"/>
                    </a:xfrm>
                    <a:prstGeom prst="rect"/>
                  </pic:spPr>
                </pic:pic>
              </a:graphicData>
            </a:graphic>
          </wp:inline>
        </w:drawing>
      </w:r>
    </w:p>
    <w:p>
      <w:pPr>
        <w:widowControl/>
      </w:pPr>
      <w:r>
        <w:rPr>
          <w:rFonts w:ascii="DejaVu Serif" w:hAnsi="DejaVu Serif" w:eastAsia="DejaVu Serif" w:cs="DejaVu Serif"/>
          <w:i/>
          <w:color w:val="000000"/>
          <w:sz w:val="20"/>
        </w:rPr>
        <w:t>Figure 26.2 Supplied stochastic replay trajectories. The vertical axis measures distance to a declared least squares optimum; it is neither a neural measurement nor a proof that constant step deterministic repair fails.</w:t>
      </w:r>
    </w:p>
    <w:p>
      <w:pPr>
        <w:pStyle w:val="Heading2"/>
        <w:widowControl/>
      </w:pPr>
      <w:r>
        <w:rPr>
          <w:rFonts w:ascii="DejaVu Serif" w:hAnsi="DejaVu Serif" w:eastAsia="DejaVu Serif" w:cs="DejaVu Serif"/>
          <w:b/>
          <w:color w:val="000000"/>
          <w:sz w:val="22"/>
        </w:rPr>
        <w:t>26 4 A physically meaningful impossible loop test</w:t>
      </w:r>
    </w:p>
    <w:p>
      <w:pPr>
        <w:widowControl/>
      </w:pPr>
      <w:r>
        <w:rPr>
          <w:rFonts w:ascii="DejaVu Serif" w:hAnsi="DejaVu Serif" w:eastAsia="DejaVu Serif" w:cs="DejaVu Serif"/>
          <w:color w:val="000000"/>
          <w:sz w:val="20"/>
        </w:rPr>
        <w:t>Four positive corridor lengths around an ordinary closed loop do not sum to zero, so their sum cannot be used as an inconsistency test. A valid Euclidean closure test uses signed displacements in a shared frame, or rigid transformations including heading. For translations, Σgₑ is a vector displacement around the loop. With changing frames the relevant object is composed transport or holonomy; it cannot be replaced by a sum of unsigned lengths.</w:t>
      </w:r>
    </w:p>
    <w:p>
      <w:pPr>
        <w:widowControl/>
      </w:pPr>
      <w:r>
        <w:rPr>
          <w:rFonts w:ascii="DejaVu Serif" w:hAnsi="DejaVu Serif" w:eastAsia="DejaVu Serif" w:cs="DejaVu Serif"/>
          <w:color w:val="000000"/>
          <w:sz w:val="20"/>
        </w:rPr>
        <w:t>To retain the scalar example, define gₑ as the projection of each signed displacement onto a fixed measured axis and set κ=Σgₑ=1 m. The segment lengths in the source script are labels, not those scalar measurements. For weights (4,1,4,1), the quadratic correction is (−0.1,−0.4,−0.1,−0.4) m, with weighted squared cost 0.4. A one edge correction of −1 m on B has cost 1, but B and D tie, so that policy is not unique. These are predictions of the declared objective, not evidence that a maze contains an H¹ class in the brain [59].</w:t>
      </w:r>
    </w:p>
    <w:p>
      <w:pPr>
        <w:pStyle w:val="Heading1"/>
        <w:widowControl/>
      </w:pPr>
      <w:r>
        <w:rPr>
          <w:rFonts w:ascii="DejaVu Serif" w:hAnsi="DejaVu Serif" w:eastAsia="DejaVu Serif" w:cs="DejaVu Serif"/>
          <w:b/>
          <w:color w:val="000000"/>
          <w:sz w:val="26"/>
        </w:rPr>
        <w:t>27 Experiments that can distinguish the proposed mechanisms</w:t>
      </w:r>
    </w:p>
    <w:p>
      <w:pPr>
        <w:widowControl/>
      </w:pPr>
      <w:r>
        <w:rPr>
          <w:rFonts w:ascii="DejaVu Serif" w:hAnsi="DejaVu Serif" w:eastAsia="DejaVu Serif" w:cs="DejaVu Serif"/>
          <w:color w:val="000000"/>
          <w:sz w:val="20"/>
        </w:rPr>
        <w:t>A neural test needs an independently specified representation, estimated restriction maps, held out trials and a competing model. Repeated subjects or animals and independent training and test sessions are needed; simulation trajectories are not biological replicates. Cycle manipulations must control local reliability, familiarity, reward and sensory surprise. It is impossible to vary a deterministic cycle sum while keeping every signed edge value unchanged; match selected local statistics and model the remaining differences explicitly.</w:t>
      </w:r>
    </w:p>
    <w:p>
      <w:pPr>
        <w:keepNext/>
        <w:widowControl/>
      </w:pPr>
      <w:r>
        <w:rPr>
          <w:rFonts w:ascii="DejaVu Serif" w:hAnsi="DejaVu Serif" w:eastAsia="DejaVu Serif" w:cs="DejaVu Serif"/>
          <w:b/>
          <w:color w:val="000000"/>
          <w:sz w:val="20"/>
        </w:rPr>
        <w:t>Table 27.1 Discriminating tests rather than anatomical identities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320"/>
        <w:gridCol w:w="3672"/>
      </w:tblGrid>
      <w:tr>
        <w:trPr>
          <w:cantSplit/>
          <w:tblHeader/>
        </w:trPr>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Claim</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Design and measurement</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Evidence that would count against it</w:t>
            </w:r>
          </w:p>
        </w:tc>
      </w:tr>
      <w:tr>
        <w:trPr>
          <w:cantSplit/>
        </w:trPr>
        <w:tc>
          <w:tcPr>
            <w:tcW w:type="dxa" w:w="172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Laminar factorisation</w:t>
            </w:r>
          </w:p>
        </w:tc>
        <w:tc>
          <w:tcPr>
            <w:tcW w:type="dxa" w:w="432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Compare typed interfaces with equally sized shared recurrent models; relate proposed signals to identified laminar populations.</w:t>
            </w:r>
          </w:p>
        </w:tc>
        <w:tc>
          <w:tcPr>
            <w:tcW w:type="dxa" w:w="3672"/>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No held out benefit or no distinguishable information in the proposed channels.</w:t>
            </w:r>
          </w:p>
        </w:tc>
      </w:tr>
      <w:tr>
        <w:trPr>
          <w:cantSplit/>
        </w:trPr>
        <w:tc>
          <w:tcPr>
            <w:tcW w:type="dxa" w:w="172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L5 integration proposal</w:t>
            </w:r>
          </w:p>
        </w:tc>
        <w:tc>
          <w:tcPr>
            <w:tcW w:type="dxa" w:w="432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Manipulate apical coupling while factorially varying contextual compatibility and input strength.</w:t>
            </w:r>
          </w:p>
        </w:tc>
        <w:tc>
          <w:tcPr>
            <w:tcW w:type="dxa" w:w="3672"/>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Effects follow only excitability or stimulus strength, with no compatibility interaction.</w:t>
            </w:r>
          </w:p>
        </w:tc>
      </w:tr>
      <w:tr>
        <w:trPr>
          <w:cantSplit/>
        </w:trPr>
        <w:tc>
          <w:tcPr>
            <w:tcW w:type="dxa" w:w="172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Thalamic routing proposal</w:t>
            </w:r>
          </w:p>
        </w:tc>
        <w:tc>
          <w:tcPr>
            <w:tcW w:type="dxa" w:w="432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Measure gain, population content, timing and effective connectivity under pathway specific perturbation.</w:t>
            </w:r>
          </w:p>
        </w:tc>
        <w:tc>
          <w:tcPr>
            <w:tcW w:type="dxa" w:w="3672"/>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The proposed routing variables fail to predict effects beyond a matched generic perturbation model.</w:t>
            </w:r>
          </w:p>
        </w:tc>
      </w:tr>
      <w:tr>
        <w:trPr>
          <w:cantSplit/>
        </w:trPr>
        <w:tc>
          <w:tcPr>
            <w:tcW w:type="dxa" w:w="172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Scope under attention</w:t>
            </w:r>
          </w:p>
        </w:tc>
        <w:tc>
          <w:tcPr>
            <w:tcW w:type="dxa" w:w="432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Compare neural and behavioural reports with measured observation completeness.</w:t>
            </w:r>
          </w:p>
        </w:tc>
        <w:tc>
          <w:tcPr>
            <w:tcW w:type="dxa" w:w="3672"/>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Apparent topology changes vanish after sampling controls, refuting a neural topology interpretation.</w:t>
            </w:r>
          </w:p>
        </w:tc>
      </w:tr>
      <w:tr>
        <w:trPr>
          <w:cantSplit/>
        </w:trPr>
        <w:tc>
          <w:tcPr>
            <w:tcW w:type="dxa" w:w="172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CA1 cycle sensitivity</w:t>
            </w:r>
          </w:p>
        </w:tc>
        <w:tc>
          <w:tcPr>
            <w:tcW w:type="dxa" w:w="432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Fit local surprise and episode novelty models before testing an additional cycle residual predictor.</w:t>
            </w:r>
          </w:p>
        </w:tc>
        <w:tc>
          <w:tcPr>
            <w:tcW w:type="dxa" w:w="3672"/>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No held out contribution of cyclic residual after the local alternatives are controlled.</w:t>
            </w:r>
          </w:p>
        </w:tc>
      </w:tr>
      <w:tr>
        <w:trPr>
          <w:cantSplit/>
        </w:trPr>
        <w:tc>
          <w:tcPr>
            <w:tcW w:type="dxa" w:w="172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Consolidation coding</w:t>
            </w:r>
          </w:p>
        </w:tc>
        <w:tc>
          <w:tcPr>
            <w:tcW w:type="dxa" w:w="432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Estimate schema fit before hippocampal perturbation; score detail and retrieval separately.</w:t>
            </w:r>
          </w:p>
        </w:tc>
        <w:tc>
          <w:tcPr>
            <w:tcW w:type="dxa" w:w="3672"/>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Residual has no specific predictive value beyond novelty, difficulty and detail.</w:t>
            </w:r>
          </w:p>
        </w:tc>
      </w:tr>
      <w:tr>
        <w:trPr>
          <w:cantSplit/>
        </w:trPr>
        <w:tc>
          <w:tcPr>
            <w:tcW w:type="dxa" w:w="172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Replay optimisation</w:t>
            </w:r>
          </w:p>
        </w:tc>
        <w:tc>
          <w:tcPr>
            <w:tcW w:type="dxa" w:w="432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Measure replay sampling and variability; compare annealing, fixed step and variance reduced models.</w:t>
            </w:r>
          </w:p>
        </w:tc>
        <w:tc>
          <w:tcPr>
            <w:tcW w:type="dxa" w:w="3672"/>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No support for the particular assumed local update law; this rejects that solver mapping.</w:t>
            </w:r>
          </w:p>
        </w:tc>
      </w:tr>
      <w:tr>
        <w:trPr>
          <w:cantSplit/>
        </w:trPr>
        <w:tc>
          <w:tcPr>
            <w:tcW w:type="dxa" w:w="172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Reliability weighted repair</w:t>
            </w:r>
          </w:p>
        </w:tc>
        <w:tc>
          <w:tcPr>
            <w:tcW w:type="dxa" w:w="432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Use signed displacement loops with independently manipulated reliability and ratio bounds from Section 17.</w:t>
            </w:r>
          </w:p>
        </w:tc>
        <w:tc>
          <w:tcPr>
            <w:tcW w:type="dxa" w:w="3672"/>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Neither the quadratic nor preregistered sparse family explains corrections on held out trials.</w:t>
            </w:r>
          </w:p>
        </w:tc>
      </w:tr>
    </w:tbl>
    <w:p>
      <w:pPr>
        <w:widowControl/>
      </w:pPr>
      <w:r>
        <w:rPr>
          <w:rFonts w:ascii="DejaVu Serif" w:hAnsi="DejaVu Serif" w:eastAsia="DejaVu Serif" w:cs="DejaVu Serif"/>
          <w:color w:val="000000"/>
          <w:sz w:val="20"/>
        </w:rPr>
        <w:t>A failure rejects the specified operator, encoding or circuit assignment. It does not erase established anatomy or the mathematics, and it need not reject every possible trio implementation. Conversely, observing oscillatory coordination or mismatch activity supports only the measured physiological relation until the representation and operator tests discriminate it from alternatives.</w:t>
      </w:r>
    </w:p>
    <w:p>
      <w:pPr>
        <w:pStyle w:val="Heading1"/>
        <w:widowControl/>
      </w:pPr>
      <w:r>
        <w:rPr>
          <w:rFonts w:ascii="DejaVu Serif" w:hAnsi="DejaVu Serif" w:eastAsia="DejaVu Serif" w:cs="DejaVu Serif"/>
          <w:b/>
          <w:i w:val="0"/>
          <w:color w:val="000000"/>
          <w:sz w:val="26"/>
        </w:rPr>
        <w:t>29 Calibrated verification under measurement noise</w:t>
      </w:r>
    </w:p>
    <w:p>
      <w:pPr>
        <w:widowControl/>
        <w:jc w:val="both"/>
      </w:pPr>
      <w:r>
        <w:rPr>
          <w:rFonts w:ascii="DejaVu Serif" w:hAnsi="DejaVu Serif" w:eastAsia="DejaVu Serif" w:cs="DejaVu Serif"/>
          <w:b w:val="0"/>
          <w:i w:val="0"/>
          <w:color w:val="000000"/>
          <w:sz w:val="20"/>
        </w:rPr>
        <w:t>Section 24 1 allows a tolerance test to produce an approximate compatibility certificate but leaves the tolerance free. When the repair metric is also the precision of the measurement noise, the tolerance can be calibrated exactly. The failures distinguished in Section 3 then become independent statistical tests with known null distributions, and the power to detect an obstruction is set by the repair cost of Section 7. The results are standard linear model theory [82] applied to the cochain complex. What they add to the paradigm is a declared error rate in place of an arbitrary threshold.</w:t>
      </w:r>
    </w:p>
    <w:p>
      <w:pPr>
        <w:widowControl/>
        <w:jc w:val="both"/>
      </w:pPr>
      <w:r>
        <w:rPr>
          <w:rFonts w:ascii="DejaVu Serif" w:hAnsi="DejaVu Serif" w:eastAsia="DejaVu Serif" w:cs="DejaVu Serif"/>
          <w:b w:val="0"/>
          <w:i w:val="0"/>
          <w:color w:val="000000"/>
          <w:sz w:val="20"/>
        </w:rPr>
        <w:t>Fix a finite real complex C⁰ →D C¹ →E C² with ED=0 and a positive definite W on C¹. Measured transitions are modelled as g=μ+ε with ε∼N(0,σ²W⁻¹), so W is the noise precision up to the scale σ². Let E♯=W⁻¹Eᵀ be the W-adjoint of E. The weighted form of Theorem 8.1 gives the W-orthogonal decomposition</w:t>
      </w:r>
    </w:p>
    <w:p>
      <w:pPr>
        <w:widowControl/>
        <w:spacing w:before="60" w:after="140"/>
        <w:jc w:val="both"/>
      </w:pPr>
      <w:r>
        <w:rPr>
          <w:rFonts w:ascii="DejaVu Serif" w:hAnsi="DejaVu Serif" w:eastAsia="DejaVu Serif" w:cs="DejaVu Serif"/>
          <w:b w:val="0"/>
          <w:i w:val="0"/>
          <w:color w:val="000000"/>
          <w:sz w:val="20"/>
        </w:rPr>
        <w:t>C¹ = im D ⊕ H_W ⊕ im E♯,   H_W = ker E ∩ ker(DᵀW),   P_D + P_H + P_C = I,</w:t>
      </w:r>
    </w:p>
    <w:p>
      <w:pPr>
        <w:widowControl/>
        <w:jc w:val="both"/>
      </w:pPr>
      <w:r>
        <w:rPr>
          <w:rFonts w:ascii="DejaVu Serif" w:hAnsi="DejaVu Serif" w:eastAsia="DejaVu Serif" w:cs="DejaVu Serif"/>
          <w:b w:val="0"/>
          <w:i w:val="0"/>
          <w:color w:val="000000"/>
          <w:sz w:val="20"/>
        </w:rPr>
        <w:t>where P_D, P_H and P_C are the W-orthogonal projectors onto the three summands. Write h=dim ker E−rank D for the dimension of H¹ in the fixed complex, and c=rank E.</w:t>
      </w:r>
    </w:p>
    <w:p>
      <w:pPr>
        <w:keepNext/>
        <w:widowControl/>
      </w:pPr>
      <w:r>
        <w:rPr>
          <w:rFonts w:ascii="DejaVu Serif" w:hAnsi="DejaVu Serif" w:eastAsia="DejaVu Serif" w:cs="DejaVu Serif"/>
          <w:b/>
          <w:i w:val="0"/>
          <w:color w:val="000000"/>
          <w:sz w:val="20"/>
        </w:rPr>
        <w:t xml:space="preserve">Theorem 29.1 Independent calibrated statistics. </w:t>
      </w:r>
      <w:r>
        <w:rPr>
          <w:rFonts w:ascii="DejaVu Serif" w:hAnsi="DejaVu Serif" w:eastAsia="DejaVu Serif" w:cs="DejaVu Serif"/>
          <w:b w:val="0"/>
          <w:i w:val="0"/>
          <w:color w:val="000000"/>
          <w:sz w:val="20"/>
        </w:rPr>
        <w:t>The statistics T_H=‖P_H g‖²_W/σ² and T_C=‖P_C g‖²_W/σ² are independent. T_H has the noncentral χ² distribution with h degrees of freedom and noncentrality λ_H=‖P_Hμ‖²_W/σ², and T_C the noncentral χ² distribution with c degrees of freedom and noncentrality λ_C=‖P_Cμ‖²_W/σ². If μ∈im D, both are central.</w:t>
      </w:r>
    </w:p>
    <w:p>
      <w:pPr>
        <w:widowControl/>
      </w:pPr>
      <w:r>
        <w:rPr>
          <w:rFonts w:ascii="DejaVu Serif" w:hAnsi="DejaVu Serif" w:eastAsia="DejaVu Serif" w:cs="DejaVu Serif"/>
          <w:b w:val="0"/>
          <w:i/>
          <w:color w:val="000000"/>
          <w:sz w:val="20"/>
        </w:rPr>
        <w:t xml:space="preserve">Proof. </w:t>
      </w:r>
      <w:r>
        <w:rPr>
          <w:rFonts w:ascii="DejaVu Serif" w:hAnsi="DejaVu Serif" w:eastAsia="DejaVu Serif" w:cs="DejaVu Serif"/>
          <w:b w:val="0"/>
          <w:i w:val="0"/>
          <w:color w:val="000000"/>
          <w:sz w:val="20"/>
        </w:rPr>
        <w:t>Put u=W¹ᐟ²g/σ, so that u∼N(W¹ᐟ²μ/σ, I). For each X∈{D,H,C}, Q_X=W¹ᐟ²P_XW⁻¹ᐟ² is idempotent and symmetric, because P_X is W-self-adjoint. The three ranges are orthogonal in the Euclidean metric, and ‖P_Xg‖²_W/σ²=‖Q_Xu‖². Orthogonal projections of a Gaussian vector with identity covariance are independent, and the squared norm of its projection onto a subspace of dimension r is noncentral χ² with r degrees of freedom and noncentrality equal to the squared norm of the projected mean [82]. The ranks of P_H and P_C are h and c. If μ∈im D, then P_Hμ=P_Cμ=0. □</w:t>
      </w:r>
    </w:p>
    <w:p>
      <w:pPr>
        <w:keepNext/>
        <w:widowControl/>
      </w:pPr>
      <w:r>
        <w:rPr>
          <w:rFonts w:ascii="DejaVu Serif" w:hAnsi="DejaVu Serif" w:eastAsia="DejaVu Serif" w:cs="DejaVu Serif"/>
          <w:b/>
          <w:i w:val="0"/>
          <w:color w:val="000000"/>
          <w:sz w:val="20"/>
        </w:rPr>
        <w:t xml:space="preserve">Corollary 29.2 An exact level for the three-way diagnosis. </w:t>
      </w:r>
      <w:r>
        <w:rPr>
          <w:rFonts w:ascii="DejaVu Serif" w:hAnsi="DejaVu Serif" w:eastAsia="DejaVu Serif" w:cs="DejaVu Serif"/>
          <w:b w:val="0"/>
          <w:i w:val="0"/>
          <w:color w:val="000000"/>
          <w:sz w:val="20"/>
        </w:rPr>
        <w:t>Report transition nonclosure when T_C exceeds the 1−α_C quantile of χ²_c, and a closed obstruction when T_H exceeds the 1−α_H quantile of χ²_h. Under μ∈im D the probability of any false report is exactly 1−(1−α_C)(1−α_H). For a state measured as ŝ=s+η with η∼N(0,σ_s²M⁻¹), the statistic ‖(I−Π₀)ŝ‖²_M/σ_s², where Π₀ is the M-orthogonal projector onto ker D, is central χ² with rank D degrees of freedom exactly when s∈ker D, and so tests local state failure.</w:t>
      </w:r>
    </w:p>
    <w:p>
      <w:pPr>
        <w:widowControl/>
      </w:pPr>
      <w:r>
        <w:rPr>
          <w:rFonts w:ascii="DejaVu Serif" w:hAnsi="DejaVu Serif" w:eastAsia="DejaVu Serif" w:cs="DejaVu Serif"/>
          <w:b w:val="0"/>
          <w:i/>
          <w:color w:val="000000"/>
          <w:sz w:val="20"/>
        </w:rPr>
        <w:t xml:space="preserve">Proof. </w:t>
      </w:r>
      <w:r>
        <w:rPr>
          <w:rFonts w:ascii="DejaVu Serif" w:hAnsi="DejaVu Serif" w:eastAsia="DejaVu Serif" w:cs="DejaVu Serif"/>
          <w:b w:val="0"/>
          <w:i w:val="0"/>
          <w:color w:val="000000"/>
          <w:sz w:val="20"/>
        </w:rPr>
        <w:t>Independence in Theorem 29.1 gives the joint level. The state statistic follows from the same argument applied to the M-orthogonal projector I−Π₀, whose rank is n−dim ker D=rank D. □</w:t>
      </w:r>
    </w:p>
    <w:p>
      <w:pPr>
        <w:widowControl/>
        <w:jc w:val="both"/>
      </w:pPr>
      <w:r>
        <w:rPr>
          <w:rFonts w:ascii="DejaVu Serif" w:hAnsi="DejaVu Serif" w:eastAsia="DejaVu Serif" w:cs="DejaVu Serif"/>
          <w:b w:val="0"/>
          <w:i w:val="0"/>
          <w:color w:val="000000"/>
          <w:sz w:val="20"/>
        </w:rPr>
        <w:t>The three tests are separate in the statistical as well as the algebraic sense, so an obstruction cannot be reported as nonclosure, or the reverse, except at the declared error rates. A graph has no 2-cells, so c=0, P_H=I−P_D and only the obstruction test applies.</w:t>
      </w:r>
    </w:p>
    <w:p>
      <w:pPr>
        <w:keepNext/>
        <w:widowControl/>
      </w:pPr>
      <w:r>
        <w:rPr>
          <w:rFonts w:ascii="DejaVu Serif" w:hAnsi="DejaVu Serif" w:eastAsia="DejaVu Serif" w:cs="DejaVu Serif"/>
          <w:b/>
          <w:i w:val="0"/>
          <w:color w:val="000000"/>
          <w:sz w:val="20"/>
        </w:rPr>
        <w:t xml:space="preserve">Proposition 29.3 Detection power is set by repair cost. </w:t>
      </w:r>
      <w:r>
        <w:rPr>
          <w:rFonts w:ascii="DejaVu Serif" w:hAnsi="DejaVu Serif" w:eastAsia="DejaVu Serif" w:cs="DejaVu Serif"/>
          <w:b w:val="0"/>
          <w:i w:val="0"/>
          <w:color w:val="000000"/>
          <w:sz w:val="20"/>
        </w:rPr>
        <w:t>The noncentrality satisfies σ²λ_H=‖P_Hμ‖²_W. On a graph this equals the minimal weighted correction cost of Theorem 7.1 applied to μ, and for a single scalar cycle it equals κ²/(zᵀW⁻¹z), the cost of Proposition 7.3. For one cycle tested at level α with power π, the smallest detectable class is |κ|=σ(λ*zᵀW⁻¹z)¹ᐟ², where λ* solves P(χ²₁(λ*)&gt;q)=π with q the 1−α quantile of χ²₁.</w:t>
      </w:r>
    </w:p>
    <w:p>
      <w:pPr>
        <w:widowControl/>
      </w:pPr>
      <w:r>
        <w:rPr>
          <w:rFonts w:ascii="DejaVu Serif" w:hAnsi="DejaVu Serif" w:eastAsia="DejaVu Serif" w:cs="DejaVu Serif"/>
          <w:b w:val="0"/>
          <w:i/>
          <w:color w:val="000000"/>
          <w:sz w:val="20"/>
        </w:rPr>
        <w:t xml:space="preserve">Proof. </w:t>
      </w:r>
      <w:r>
        <w:rPr>
          <w:rFonts w:ascii="DejaVu Serif" w:hAnsi="DejaVu Serif" w:eastAsia="DejaVu Serif" w:cs="DejaVu Serif"/>
          <w:b w:val="0"/>
          <w:i w:val="0"/>
          <w:color w:val="000000"/>
          <w:sz w:val="20"/>
        </w:rPr>
        <w:t>On a graph, ‖P_Hμ‖²_W=‖(I−P_D)μ‖²_W is the squared W-distance from μ to im D, which Theorem 7.1 identifies with the minimal correction cost; Proposition 7.3 evaluates it for one cycle. The last statement restates the noncentral χ² tail with one degree of freedom. □</w:t>
      </w:r>
    </w:p>
    <w:p>
      <w:pPr>
        <w:widowControl/>
        <w:jc w:val="both"/>
      </w:pPr>
      <w:r>
        <w:rPr>
          <w:rFonts w:ascii="DejaVu Serif" w:hAnsi="DejaVu Serif" w:eastAsia="DejaVu Serif" w:cs="DejaVu Serif"/>
          <w:b w:val="0"/>
          <w:i w:val="0"/>
          <w:color w:val="000000"/>
          <w:sz w:val="20"/>
        </w:rPr>
        <w:t>For α=0.05 and π=0.8, λ*=7.849. With unit weights zᵀW⁻¹z equals the cycle length k, so the smallest detectable class is 2.80σ√k: 4.85σ for a triangle and 19.4σ for a cycle of 48 edges (Table 29.3). A fixed inconsistency that closes only through a long chain of transitions needs proportionally more evidence. If a neural system implemented such a test, this would be a prediction about its behaviour; it is not a consequence for brains.</w:t>
      </w:r>
    </w:p>
    <w:p>
      <w:pPr>
        <w:keepNext/>
        <w:widowControl/>
      </w:pPr>
      <w:r>
        <w:rPr>
          <w:rFonts w:ascii="DejaVu Serif" w:hAnsi="DejaVu Serif" w:eastAsia="DejaVu Serif" w:cs="DejaVu Serif"/>
          <w:b/>
          <w:i w:val="0"/>
          <w:color w:val="000000"/>
          <w:sz w:val="20"/>
        </w:rPr>
        <w:t xml:space="preserve">Proposition 29.4 Cycle form on graphs. </w:t>
      </w:r>
      <w:r>
        <w:rPr>
          <w:rFonts w:ascii="DejaVu Serif" w:hAnsi="DejaVu Serif" w:eastAsia="DejaVu Serif" w:cs="DejaVu Serif"/>
          <w:b w:val="0"/>
          <w:i w:val="0"/>
          <w:color w:val="000000"/>
          <w:sz w:val="20"/>
        </w:rPr>
        <w:t>Let the rows of Z form a basis of ker Dᵀ, for example the m−n+c fundamental cycles of a spanning forest. Then ‖(I−P_D)g‖²_W=(Zg)ᵀ(ZW⁻¹Zᵀ)⁻¹(Zg), and the value is unchanged when Z is replaced by AZ with A invertible.</w:t>
      </w:r>
    </w:p>
    <w:p>
      <w:pPr>
        <w:widowControl/>
      </w:pPr>
      <w:r>
        <w:rPr>
          <w:rFonts w:ascii="DejaVu Serif" w:hAnsi="DejaVu Serif" w:eastAsia="DejaVu Serif" w:cs="DejaVu Serif"/>
          <w:b w:val="0"/>
          <w:i/>
          <w:color w:val="000000"/>
          <w:sz w:val="20"/>
        </w:rPr>
        <w:t xml:space="preserve">Proof. </w:t>
      </w:r>
      <w:r>
        <w:rPr>
          <w:rFonts w:ascii="DejaVu Serif" w:hAnsi="DejaVu Serif" w:eastAsia="DejaVu Serif" w:cs="DejaVu Serif"/>
          <w:b w:val="0"/>
          <w:i w:val="0"/>
          <w:color w:val="000000"/>
          <w:sz w:val="20"/>
        </w:rPr>
        <w:t>The vector (I−P_D)g is the W-smallest correction c with g−c∈im D. Since im D=ker Z, the constraint is Zc=Zg. Minimising cᵀWc subject to it gives c=W⁻¹Zᵀ(ZW⁻¹Zᵀ)⁻¹Zg and the stated value; ZW⁻¹Zᵀ is positive definite because Z has full row rank. Replacing Z by AZ multiplies the middle factor by A⁻ᵀ and A⁻¹ on either side, which cancels. □</w:t>
      </w:r>
    </w:p>
    <w:p>
      <w:pPr>
        <w:widowControl/>
        <w:jc w:val="both"/>
      </w:pPr>
      <w:r>
        <w:rPr>
          <w:rFonts w:ascii="DejaVu Serif" w:hAnsi="DejaVu Serif" w:eastAsia="DejaVu Serif" w:cs="DejaVu Serif"/>
          <w:b w:val="0"/>
          <w:i w:val="0"/>
          <w:color w:val="000000"/>
          <w:sz w:val="20"/>
        </w:rPr>
        <w:t>The statistic therefore needs only h cycle sums and one h×h positive definite solve, which suits incremental use. Each cycle also gives a marginal score zₖᵀg/(σ(zₖᵀW⁻¹zₖ)¹ᐟ²). These scores localise evidence but are correlated through shared edges; the joint statistic, not their maximum, carries the exact level.</w:t>
      </w:r>
    </w:p>
    <w:p>
      <w:pPr>
        <w:pStyle w:val="Heading2"/>
        <w:widowControl/>
      </w:pPr>
      <w:r>
        <w:rPr>
          <w:rFonts w:ascii="DejaVu Serif" w:hAnsi="DejaVu Serif" w:eastAsia="DejaVu Serif" w:cs="DejaVu Serif"/>
          <w:b/>
          <w:i w:val="0"/>
          <w:color w:val="000000"/>
          <w:sz w:val="22"/>
        </w:rPr>
        <w:t>29 1 Numerical calibration</w:t>
      </w:r>
    </w:p>
    <w:p>
      <w:pPr>
        <w:widowControl/>
        <w:jc w:val="both"/>
      </w:pPr>
      <w:r>
        <w:rPr>
          <w:rFonts w:ascii="DejaVu Serif" w:hAnsi="DejaVu Serif" w:eastAsia="DejaVu Serif" w:cs="DejaVu Serif"/>
          <w:b w:val="0"/>
          <w:i w:val="0"/>
          <w:color w:val="000000"/>
          <w:sz w:val="20"/>
        </w:rPr>
        <w:t>The companion script paradigm_numerics.py (seed 20261021) checks Theorem 29.1 on three random clique complexes, with weights drawn uniformly from [0.2, 5] and 40 000 noise draws each (Table 29.1). Empirical type I rates lie within sampling error of 0.05, joint rejections are close to α²=0.0025, the correlation between T_H and T_C is below 0.005 in magnitude, and Kolmogorov–Smirnov tests do not reject the χ² laws (smallest p=0.14).</w:t>
      </w:r>
    </w:p>
    <w:p>
      <w:pPr>
        <w:keepNext/>
        <w:widowControl/>
      </w:pPr>
      <w:r>
        <w:rPr>
          <w:rFonts w:ascii="DejaVu Serif" w:hAnsi="DejaVu Serif" w:eastAsia="DejaVu Serif" w:cs="DejaVu Serif"/>
          <w:b/>
          <w:i w:val="0"/>
          <w:color w:val="000000"/>
          <w:sz w:val="20"/>
        </w:rPr>
        <w:t>Table 29.1 Calibration and independence of the closure and obstruction statistics (α=0.05, 40 000 draws)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520"/>
        <w:gridCol w:w="520"/>
        <w:gridCol w:w="1000"/>
        <w:gridCol w:w="1000"/>
        <w:gridCol w:w="960"/>
        <w:gridCol w:w="1340"/>
        <w:gridCol w:w="1060"/>
        <w:gridCol w:w="1020"/>
      </w:tblGrid>
      <w:tr>
        <w:trPr>
          <w:cantSplit/>
          <w:tblHeader/>
        </w:trPr>
        <w:tc>
          <w:tcPr>
            <w:tcW w:type="dxa" w:w="13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Vertices, edges, triangles</w:t>
            </w:r>
          </w:p>
        </w:tc>
        <w:tc>
          <w:tcPr>
            <w:tcW w:type="dxa" w:w="52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h</w:t>
            </w:r>
          </w:p>
        </w:tc>
        <w:tc>
          <w:tcPr>
            <w:tcW w:type="dxa" w:w="52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c</w:t>
            </w:r>
          </w:p>
        </w:tc>
        <w:tc>
          <w:tcPr>
            <w:tcW w:type="dxa" w:w="10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Type I, T_H</w:t>
            </w:r>
          </w:p>
        </w:tc>
        <w:tc>
          <w:tcPr>
            <w:tcW w:type="dxa" w:w="10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Type I, T_C</w:t>
            </w:r>
          </w:p>
        </w:tc>
        <w:tc>
          <w:tcPr>
            <w:tcW w:type="dxa" w:w="96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Both reject</w:t>
            </w:r>
          </w:p>
        </w:tc>
        <w:tc>
          <w:tcPr>
            <w:tcW w:type="dxa" w:w="134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Either rejects (theory 0.0975)</w:t>
            </w:r>
          </w:p>
        </w:tc>
        <w:tc>
          <w:tcPr>
            <w:tcW w:type="dxa" w:w="106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corr(T_H, T_C)</w:t>
            </w:r>
          </w:p>
        </w:tc>
        <w:tc>
          <w:tcPr>
            <w:tcW w:type="dxa" w:w="102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KS p (T_H, T_C)</w:t>
            </w:r>
          </w:p>
        </w:tc>
      </w:tr>
      <w:tr>
        <w:trPr>
          <w:cantSplit/>
        </w:trPr>
        <w:tc>
          <w:tcPr>
            <w:tcW w:type="dxa" w:w="1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12, 23, 7</w:t>
            </w:r>
          </w:p>
        </w:tc>
        <w:tc>
          <w:tcPr>
            <w:tcW w:type="dxa" w:w="5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5</w:t>
            </w:r>
          </w:p>
        </w:tc>
        <w:tc>
          <w:tcPr>
            <w:tcW w:type="dxa" w:w="5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7</w:t>
            </w:r>
          </w:p>
        </w:tc>
        <w:tc>
          <w:tcPr>
            <w:tcW w:type="dxa" w:w="1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0.0513</w:t>
            </w:r>
          </w:p>
        </w:tc>
        <w:tc>
          <w:tcPr>
            <w:tcW w:type="dxa" w:w="1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0.0501</w:t>
            </w:r>
          </w:p>
        </w:tc>
        <w:tc>
          <w:tcPr>
            <w:tcW w:type="dxa" w:w="9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0.0019</w:t>
            </w:r>
          </w:p>
        </w:tc>
        <w:tc>
          <w:tcPr>
            <w:tcW w:type="dxa" w:w="13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0.0995</w:t>
            </w:r>
          </w:p>
        </w:tc>
        <w:tc>
          <w:tcPr>
            <w:tcW w:type="dxa" w:w="10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-0.0042</w:t>
            </w:r>
          </w:p>
        </w:tc>
        <w:tc>
          <w:tcPr>
            <w:tcW w:type="dxa" w:w="10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0.14, 0.66</w:t>
            </w:r>
          </w:p>
        </w:tc>
      </w:tr>
      <w:tr>
        <w:trPr>
          <w:cantSplit/>
        </w:trPr>
        <w:tc>
          <w:tcPr>
            <w:tcW w:type="dxa" w:w="1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20, 47, 17</w:t>
            </w:r>
          </w:p>
        </w:tc>
        <w:tc>
          <w:tcPr>
            <w:tcW w:type="dxa" w:w="5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12</w:t>
            </w:r>
          </w:p>
        </w:tc>
        <w:tc>
          <w:tcPr>
            <w:tcW w:type="dxa" w:w="5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16</w:t>
            </w:r>
          </w:p>
        </w:tc>
        <w:tc>
          <w:tcPr>
            <w:tcW w:type="dxa" w:w="1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0.0497</w:t>
            </w:r>
          </w:p>
        </w:tc>
        <w:tc>
          <w:tcPr>
            <w:tcW w:type="dxa" w:w="1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0.0511</w:t>
            </w:r>
          </w:p>
        </w:tc>
        <w:tc>
          <w:tcPr>
            <w:tcW w:type="dxa" w:w="9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0.0027</w:t>
            </w:r>
          </w:p>
        </w:tc>
        <w:tc>
          <w:tcPr>
            <w:tcW w:type="dxa" w:w="13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0.0981</w:t>
            </w:r>
          </w:p>
        </w:tc>
        <w:tc>
          <w:tcPr>
            <w:tcW w:type="dxa" w:w="10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-0.0018</w:t>
            </w:r>
          </w:p>
        </w:tc>
        <w:tc>
          <w:tcPr>
            <w:tcW w:type="dxa" w:w="10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0.25, 0.47</w:t>
            </w:r>
          </w:p>
        </w:tc>
      </w:tr>
      <w:tr>
        <w:trPr>
          <w:cantSplit/>
        </w:trPr>
        <w:tc>
          <w:tcPr>
            <w:tcW w:type="dxa" w:w="1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40, 106, 27</w:t>
            </w:r>
          </w:p>
        </w:tc>
        <w:tc>
          <w:tcPr>
            <w:tcW w:type="dxa" w:w="5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40</w:t>
            </w:r>
          </w:p>
        </w:tc>
        <w:tc>
          <w:tcPr>
            <w:tcW w:type="dxa" w:w="5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27</w:t>
            </w:r>
          </w:p>
        </w:tc>
        <w:tc>
          <w:tcPr>
            <w:tcW w:type="dxa" w:w="1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0.0508</w:t>
            </w:r>
          </w:p>
        </w:tc>
        <w:tc>
          <w:tcPr>
            <w:tcW w:type="dxa" w:w="1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0.0501</w:t>
            </w:r>
          </w:p>
        </w:tc>
        <w:tc>
          <w:tcPr>
            <w:tcW w:type="dxa" w:w="9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0.0027</w:t>
            </w:r>
          </w:p>
        </w:tc>
        <w:tc>
          <w:tcPr>
            <w:tcW w:type="dxa" w:w="13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0.0981</w:t>
            </w:r>
          </w:p>
        </w:tc>
        <w:tc>
          <w:tcPr>
            <w:tcW w:type="dxa" w:w="10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+0.0021</w:t>
            </w:r>
          </w:p>
        </w:tc>
        <w:tc>
          <w:tcPr>
            <w:tcW w:type="dxa" w:w="10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0.64, 0.90</w:t>
            </w:r>
          </w:p>
        </w:tc>
      </w:tr>
    </w:tbl>
    <w:p>
      <w:pPr>
        <w:widowControl/>
        <w:spacing w:after="40"/>
        <w:jc w:val="both"/>
      </w:pPr>
      <w:r>
        <w:rPr>
          <w:rFonts w:ascii="DejaVu Serif" w:hAnsi="DejaVu Serif" w:eastAsia="DejaVu Serif" w:cs="DejaVu Serif"/>
          <w:b w:val="0"/>
          <w:i w:val="0"/>
          <w:color w:val="000000"/>
          <w:sz w:val="20"/>
        </w:rPr>
      </w:r>
    </w:p>
    <w:p>
      <w:pPr>
        <w:widowControl/>
        <w:jc w:val="both"/>
      </w:pPr>
      <w:r>
        <w:rPr>
          <w:rFonts w:ascii="DejaVu Serif" w:hAnsi="DejaVu Serif" w:eastAsia="DejaVu Serif" w:cs="DejaVu Serif"/>
          <w:b w:val="0"/>
          <w:i w:val="0"/>
          <w:color w:val="000000"/>
          <w:sz w:val="20"/>
        </w:rPr>
        <w:t>On a weighted 6-cycle with weights (4, 1, 4, 1, 2, 0.5), so that zᵀW⁻¹z=5, Monte Carlo power matches the noncentral χ² prediction at every tested class (Table 29.2 and Figure 29.1): for example 0.145 against 0.145 at κ=2, and 0.438 against 0.432 at κ=4.</w:t>
      </w:r>
    </w:p>
    <w:p>
      <w:pPr>
        <w:keepNext/>
        <w:widowControl/>
      </w:pPr>
      <w:r>
        <w:rPr>
          <w:rFonts w:ascii="DejaVu Serif" w:hAnsi="DejaVu Serif" w:eastAsia="DejaVu Serif" w:cs="DejaVu Serif"/>
          <w:b/>
          <w:i w:val="0"/>
          <w:color w:val="000000"/>
          <w:sz w:val="20"/>
        </w:rPr>
        <w:t>Table 29.2 Power of the obstruction test on a weighted 6-cycle (α=0.05, 40 000 draws per class)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2600"/>
        <w:gridCol w:w="2600"/>
        <w:gridCol w:w="2820"/>
      </w:tblGrid>
      <w:tr>
        <w:trPr>
          <w:cantSplit/>
          <w:tblHeader/>
        </w:trPr>
        <w:tc>
          <w:tcPr>
            <w:tcW w:type="dxa" w:w="17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Class κ</w:t>
            </w:r>
          </w:p>
        </w:tc>
        <w:tc>
          <w:tcPr>
            <w:tcW w:type="dxa" w:w="26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Noncentrality κ²/zᵀW⁻¹z</w:t>
            </w:r>
          </w:p>
        </w:tc>
        <w:tc>
          <w:tcPr>
            <w:tcW w:type="dxa" w:w="26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Monte Carlo power</w:t>
            </w:r>
          </w:p>
        </w:tc>
        <w:tc>
          <w:tcPr>
            <w:tcW w:type="dxa" w:w="282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Noncentral χ² power</w:t>
            </w:r>
          </w:p>
        </w:tc>
      </w:tr>
      <w:tr>
        <w:trPr>
          <w:cantSplit/>
        </w:trPr>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0.00</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0.0512</w:t>
            </w:r>
          </w:p>
        </w:tc>
        <w:tc>
          <w:tcPr>
            <w:tcW w:type="dxa" w:w="28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0.0500</w:t>
            </w:r>
          </w:p>
        </w:tc>
      </w:tr>
      <w:tr>
        <w:trPr>
          <w:cantSplit/>
        </w:trPr>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0.5</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0.0568</w:t>
            </w:r>
          </w:p>
        </w:tc>
        <w:tc>
          <w:tcPr>
            <w:tcW w:type="dxa" w:w="28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0.0557</w:t>
            </w:r>
          </w:p>
        </w:tc>
      </w:tr>
      <w:tr>
        <w:trPr>
          <w:cantSplit/>
        </w:trPr>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0.20</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0.0710</w:t>
            </w:r>
          </w:p>
        </w:tc>
        <w:tc>
          <w:tcPr>
            <w:tcW w:type="dxa" w:w="28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0.0732</w:t>
            </w:r>
          </w:p>
        </w:tc>
      </w:tr>
      <w:tr>
        <w:trPr>
          <w:cantSplit/>
        </w:trPr>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1.5</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0.45</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0.1010</w:t>
            </w:r>
          </w:p>
        </w:tc>
        <w:tc>
          <w:tcPr>
            <w:tcW w:type="dxa" w:w="28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0.1029</w:t>
            </w:r>
          </w:p>
        </w:tc>
      </w:tr>
      <w:tr>
        <w:trPr>
          <w:cantSplit/>
        </w:trPr>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2.0</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0.80</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0.1446</w:t>
            </w:r>
          </w:p>
        </w:tc>
        <w:tc>
          <w:tcPr>
            <w:tcW w:type="dxa" w:w="28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0.1455</w:t>
            </w:r>
          </w:p>
        </w:tc>
      </w:tr>
      <w:tr>
        <w:trPr>
          <w:cantSplit/>
        </w:trPr>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3.0</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1.80</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0.2672</w:t>
            </w:r>
          </w:p>
        </w:tc>
        <w:tc>
          <w:tcPr>
            <w:tcW w:type="dxa" w:w="28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0.2687</w:t>
            </w:r>
          </w:p>
        </w:tc>
      </w:tr>
      <w:tr>
        <w:trPr>
          <w:cantSplit/>
        </w:trPr>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4.0</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3.20</w:t>
            </w:r>
          </w:p>
        </w:tc>
        <w:tc>
          <w:tcPr>
            <w:tcW w:type="dxa" w:w="2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0.4375</w:t>
            </w:r>
          </w:p>
        </w:tc>
        <w:tc>
          <w:tcPr>
            <w:tcW w:type="dxa" w:w="28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0.4322</w:t>
            </w:r>
          </w:p>
        </w:tc>
      </w:tr>
    </w:tbl>
    <w:p>
      <w:pPr>
        <w:widowControl/>
        <w:spacing w:after="40"/>
        <w:jc w:val="both"/>
      </w:pPr>
      <w:r>
        <w:rPr>
          <w:rFonts w:ascii="DejaVu Serif" w:hAnsi="DejaVu Serif" w:eastAsia="DejaVu Serif" w:cs="DejaVu Serif"/>
          <w:b w:val="0"/>
          <w:i w:val="0"/>
          <w:color w:val="000000"/>
          <w:sz w:val="20"/>
        </w:rPr>
      </w:r>
    </w:p>
    <w:p>
      <w:pPr>
        <w:keepNext/>
        <w:widowControl/>
        <w:jc w:val="center"/>
      </w:pPr>
      <w:r>
        <w:drawing>
          <wp:inline xmlns:a="http://schemas.openxmlformats.org/drawingml/2006/main" xmlns:pic="http://schemas.openxmlformats.org/drawingml/2006/picture">
            <wp:extent cx="5120640" cy="2731008"/>
            <wp:docPr id="6" name="Picture 6"/>
            <wp:cNvGraphicFramePr>
              <a:graphicFrameLocks noChangeAspect="1"/>
            </wp:cNvGraphicFramePr>
            <a:graphic>
              <a:graphicData uri="http://schemas.openxmlformats.org/drawingml/2006/picture">
                <pic:pic>
                  <pic:nvPicPr>
                    <pic:cNvPr id="0" name="fig_power.png"/>
                    <pic:cNvPicPr/>
                  </pic:nvPicPr>
                  <pic:blipFill>
                    <a:blip r:embed="rId19"/>
                    <a:stretch>
                      <a:fillRect/>
                    </a:stretch>
                  </pic:blipFill>
                  <pic:spPr>
                    <a:xfrm>
                      <a:off x="0" y="0"/>
                      <a:ext cx="5120640" cy="2731008"/>
                    </a:xfrm>
                    <a:prstGeom prst="rect"/>
                  </pic:spPr>
                </pic:pic>
              </a:graphicData>
            </a:graphic>
          </wp:inline>
        </w:drawing>
      </w:r>
    </w:p>
    <w:p>
      <w:pPr>
        <w:widowControl/>
      </w:pPr>
      <w:r>
        <w:rPr>
          <w:rFonts w:ascii="DejaVu Serif" w:hAnsi="DejaVu Serif" w:eastAsia="DejaVu Serif" w:cs="DejaVu Serif"/>
          <w:b w:val="0"/>
          <w:i/>
          <w:color w:val="000000"/>
          <w:sz w:val="20"/>
        </w:rPr>
        <w:t>Figure 29.1 Rejection rate of exactness against the cyclic class. The curve is the noncentral χ² prediction of Proposition 29.3; the points are Monte Carlo estimates.</w:t>
      </w:r>
    </w:p>
    <w:p>
      <w:pPr>
        <w:keepNext/>
        <w:widowControl/>
      </w:pPr>
      <w:r>
        <w:rPr>
          <w:rFonts w:ascii="DejaVu Serif" w:hAnsi="DejaVu Serif" w:eastAsia="DejaVu Serif" w:cs="DejaVu Serif"/>
          <w:b/>
          <w:i w:val="0"/>
          <w:color w:val="000000"/>
          <w:sz w:val="20"/>
        </w:rPr>
        <w:t>Table 29.3 Detectable class against loop length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720"/>
      </w:tblGrid>
      <w:tr>
        <w:trPr>
          <w:cantSplit/>
          <w:tblHeader/>
        </w:trPr>
        <w:tc>
          <w:tcPr>
            <w:tcW w:type="dxa" w:w="40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Cycle length k (unit weights)</w:t>
            </w:r>
          </w:p>
        </w:tc>
        <w:tc>
          <w:tcPr>
            <w:tcW w:type="dxa" w:w="572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Smallest |κ| detected with power 0.8 at α=0.05</w:t>
            </w:r>
          </w:p>
        </w:tc>
      </w:tr>
      <w:tr>
        <w:trPr>
          <w:cantSplit/>
        </w:trPr>
        <w:tc>
          <w:tcPr>
            <w:tcW w:type="dxa" w:w="4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3</w:t>
            </w:r>
          </w:p>
        </w:tc>
        <w:tc>
          <w:tcPr>
            <w:tcW w:type="dxa" w:w="57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4.85 σ</w:t>
            </w:r>
          </w:p>
        </w:tc>
      </w:tr>
      <w:tr>
        <w:trPr>
          <w:cantSplit/>
        </w:trPr>
        <w:tc>
          <w:tcPr>
            <w:tcW w:type="dxa" w:w="4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6</w:t>
            </w:r>
          </w:p>
        </w:tc>
        <w:tc>
          <w:tcPr>
            <w:tcW w:type="dxa" w:w="57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6.86 σ</w:t>
            </w:r>
          </w:p>
        </w:tc>
      </w:tr>
      <w:tr>
        <w:trPr>
          <w:cantSplit/>
        </w:trPr>
        <w:tc>
          <w:tcPr>
            <w:tcW w:type="dxa" w:w="4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12</w:t>
            </w:r>
          </w:p>
        </w:tc>
        <w:tc>
          <w:tcPr>
            <w:tcW w:type="dxa" w:w="57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9.70 σ</w:t>
            </w:r>
          </w:p>
        </w:tc>
      </w:tr>
      <w:tr>
        <w:trPr>
          <w:cantSplit/>
        </w:trPr>
        <w:tc>
          <w:tcPr>
            <w:tcW w:type="dxa" w:w="4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24</w:t>
            </w:r>
          </w:p>
        </w:tc>
        <w:tc>
          <w:tcPr>
            <w:tcW w:type="dxa" w:w="57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13.72 σ</w:t>
            </w:r>
          </w:p>
        </w:tc>
      </w:tr>
      <w:tr>
        <w:trPr>
          <w:cantSplit/>
        </w:trPr>
        <w:tc>
          <w:tcPr>
            <w:tcW w:type="dxa" w:w="4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48</w:t>
            </w:r>
          </w:p>
        </w:tc>
        <w:tc>
          <w:tcPr>
            <w:tcW w:type="dxa" w:w="57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19.41 σ</w:t>
            </w:r>
          </w:p>
        </w:tc>
      </w:tr>
    </w:tbl>
    <w:p>
      <w:pPr>
        <w:widowControl/>
        <w:spacing w:after="40"/>
        <w:jc w:val="both"/>
      </w:pPr>
      <w:r>
        <w:rPr>
          <w:rFonts w:ascii="DejaVu Serif" w:hAnsi="DejaVu Serif" w:eastAsia="DejaVu Serif" w:cs="DejaVu Serif"/>
          <w:b w:val="0"/>
          <w:i w:val="0"/>
          <w:color w:val="000000"/>
          <w:sz w:val="20"/>
        </w:rPr>
      </w:r>
    </w:p>
    <w:p>
      <w:pPr>
        <w:widowControl/>
        <w:jc w:val="both"/>
      </w:pPr>
      <w:r>
        <w:rPr>
          <w:rFonts w:ascii="DejaVu Serif" w:hAnsi="DejaVu Serif" w:eastAsia="DejaVu Serif" w:cs="DejaVu Serif"/>
          <w:b w:val="0"/>
          <w:i w:val="0"/>
          <w:color w:val="000000"/>
          <w:sz w:val="20"/>
        </w:rPr>
        <w:t>Proposition 29.4 agrees with the projector form to a relative difference of at most 2.0×10⁻¹⁵ over 200 random weighted graphs.</w:t>
      </w:r>
    </w:p>
    <w:p>
      <w:pPr>
        <w:pStyle w:val="Heading2"/>
        <w:widowControl/>
      </w:pPr>
      <w:r>
        <w:rPr>
          <w:rFonts w:ascii="DejaVu Serif" w:hAnsi="DejaVu Serif" w:eastAsia="DejaVu Serif" w:cs="DejaVu Serif"/>
          <w:b/>
          <w:i w:val="0"/>
          <w:color w:val="000000"/>
          <w:sz w:val="22"/>
        </w:rPr>
        <w:t>29 2 Limits of the calibration</w:t>
      </w:r>
    </w:p>
    <w:p>
      <w:pPr>
        <w:widowControl/>
        <w:jc w:val="both"/>
      </w:pPr>
      <w:r>
        <w:rPr>
          <w:rFonts w:ascii="DejaVu Serif" w:hAnsi="DejaVu Serif" w:eastAsia="DejaVu Serif" w:cs="DejaVu Serif"/>
          <w:b w:val="0"/>
          <w:i w:val="0"/>
          <w:color w:val="000000"/>
          <w:sz w:val="20"/>
        </w:rPr>
        <w:t>The level is exact only when W is the noise precision up to a common scale. A common unknown scale is harmless. With R independent replicates of g, the pooled estimate s²=Σᵣ‖gᵣ−ḡ‖²_W/(m(R−1)) is independent of the mean ḡ, and F=(R‖P_Hḡ‖²_W/h)/s² follows the F distribution with h and m(R−1) degrees of freedom under exactness. With 4 replicates on the 6-cycle its empirical type I rate was 0.049.</w:t>
      </w:r>
    </w:p>
    <w:p>
      <w:pPr>
        <w:widowControl/>
        <w:jc w:val="both"/>
      </w:pPr>
      <w:r>
        <w:rPr>
          <w:rFonts w:ascii="DejaVu Serif" w:hAnsi="DejaVu Serif" w:eastAsia="DejaVu Serif" w:cs="DejaVu Serif"/>
          <w:b w:val="0"/>
          <w:i w:val="0"/>
          <w:color w:val="000000"/>
          <w:sz w:val="20"/>
        </w:rPr>
        <w:t>Errors in the shape of W are not removed by replication. When the analyst's weights differ from the true precisions by independent log-normal factors, the type I rate of T_H on a graph with h=66 drifts in either direction (Table 29.4). With log standard deviation 0.5 its median over 20 draws is 0.093 (range 0.036–0.240); with 1.0 it is 0.37 (0.11–0.64). Estimating W is therefore part of the verification problem, consistent with its role as a nuisance parameter in Section 17. Non-Gaussian noise requires a bootstrap or permutation calibration instead of the χ² laws.</w:t>
      </w:r>
    </w:p>
    <w:p>
      <w:pPr>
        <w:keepNext/>
        <w:widowControl/>
      </w:pPr>
      <w:r>
        <w:rPr>
          <w:rFonts w:ascii="DejaVu Serif" w:hAnsi="DejaVu Serif" w:eastAsia="DejaVu Serif" w:cs="DejaVu Serif"/>
          <w:b/>
          <w:i w:val="0"/>
          <w:color w:val="000000"/>
          <w:sz w:val="20"/>
        </w:rPr>
        <w:t>Table 29.4 Type I rate of T_H at nominal 0.05 when W is misspecified (95 edges, h=66, 20 weight draws × 4000 noise draws)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0"/>
        <w:gridCol w:w="2140"/>
        <w:gridCol w:w="2140"/>
        <w:gridCol w:w="2140"/>
      </w:tblGrid>
      <w:tr>
        <w:trPr>
          <w:cantSplit/>
          <w:tblHeader/>
        </w:trPr>
        <w:tc>
          <w:tcPr>
            <w:tcW w:type="dxa" w:w="33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Log standard deviation of weight error</w:t>
            </w:r>
          </w:p>
        </w:tc>
        <w:tc>
          <w:tcPr>
            <w:tcW w:type="dxa" w:w="214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Median type I rate</w:t>
            </w:r>
          </w:p>
        </w:tc>
        <w:tc>
          <w:tcPr>
            <w:tcW w:type="dxa" w:w="214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Minimum</w:t>
            </w:r>
          </w:p>
        </w:tc>
        <w:tc>
          <w:tcPr>
            <w:tcW w:type="dxa" w:w="214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Maximum</w:t>
            </w:r>
          </w:p>
        </w:tc>
      </w:tr>
      <w:tr>
        <w:trPr>
          <w:cantSplit/>
        </w:trPr>
        <w:tc>
          <w:tcPr>
            <w:tcW w:type="dxa" w:w="3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0.00</w:t>
            </w:r>
          </w:p>
        </w:tc>
        <w:tc>
          <w:tcPr>
            <w:tcW w:type="dxa" w:w="21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0.0495</w:t>
            </w:r>
          </w:p>
        </w:tc>
        <w:tc>
          <w:tcPr>
            <w:tcW w:type="dxa" w:w="21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0.0462</w:t>
            </w:r>
          </w:p>
        </w:tc>
        <w:tc>
          <w:tcPr>
            <w:tcW w:type="dxa" w:w="21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0.0560</w:t>
            </w:r>
          </w:p>
        </w:tc>
      </w:tr>
      <w:tr>
        <w:trPr>
          <w:cantSplit/>
        </w:trPr>
        <w:tc>
          <w:tcPr>
            <w:tcW w:type="dxa" w:w="3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0.25</w:t>
            </w:r>
          </w:p>
        </w:tc>
        <w:tc>
          <w:tcPr>
            <w:tcW w:type="dxa" w:w="21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0.0653</w:t>
            </w:r>
          </w:p>
        </w:tc>
        <w:tc>
          <w:tcPr>
            <w:tcW w:type="dxa" w:w="21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0.0288</w:t>
            </w:r>
          </w:p>
        </w:tc>
        <w:tc>
          <w:tcPr>
            <w:tcW w:type="dxa" w:w="21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0.0825</w:t>
            </w:r>
          </w:p>
        </w:tc>
      </w:tr>
      <w:tr>
        <w:trPr>
          <w:cantSplit/>
        </w:trPr>
        <w:tc>
          <w:tcPr>
            <w:tcW w:type="dxa" w:w="3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0.50</w:t>
            </w:r>
          </w:p>
        </w:tc>
        <w:tc>
          <w:tcPr>
            <w:tcW w:type="dxa" w:w="21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0.0935</w:t>
            </w:r>
          </w:p>
        </w:tc>
        <w:tc>
          <w:tcPr>
            <w:tcW w:type="dxa" w:w="21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0.0362</w:t>
            </w:r>
          </w:p>
        </w:tc>
        <w:tc>
          <w:tcPr>
            <w:tcW w:type="dxa" w:w="21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0.2405</w:t>
            </w:r>
          </w:p>
        </w:tc>
      </w:tr>
      <w:tr>
        <w:trPr>
          <w:cantSplit/>
        </w:trPr>
        <w:tc>
          <w:tcPr>
            <w:tcW w:type="dxa" w:w="3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w:t>
            </w:r>
          </w:p>
        </w:tc>
        <w:tc>
          <w:tcPr>
            <w:tcW w:type="dxa" w:w="21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0.3736</w:t>
            </w:r>
          </w:p>
        </w:tc>
        <w:tc>
          <w:tcPr>
            <w:tcW w:type="dxa" w:w="21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0.1140</w:t>
            </w:r>
          </w:p>
        </w:tc>
        <w:tc>
          <w:tcPr>
            <w:tcW w:type="dxa" w:w="21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0.6368</w:t>
            </w:r>
          </w:p>
        </w:tc>
      </w:tr>
    </w:tbl>
    <w:p>
      <w:pPr>
        <w:widowControl/>
        <w:spacing w:after="40"/>
        <w:jc w:val="both"/>
      </w:pPr>
      <w:r>
        <w:rPr>
          <w:rFonts w:ascii="DejaVu Serif" w:hAnsi="DejaVu Serif" w:eastAsia="DejaVu Serif" w:cs="DejaVu Serif"/>
          <w:b w:val="0"/>
          <w:i w:val="0"/>
          <w:color w:val="000000"/>
          <w:sz w:val="20"/>
        </w:rPr>
      </w:r>
    </w:p>
    <w:p>
      <w:pPr>
        <w:pStyle w:val="Heading1"/>
        <w:widowControl/>
      </w:pPr>
      <w:r>
        <w:rPr>
          <w:rFonts w:ascii="DejaVu Serif" w:hAnsi="DejaVu Serif" w:eastAsia="DejaVu Serif" w:cs="DejaVu Serif"/>
          <w:b/>
          <w:i w:val="0"/>
          <w:color w:val="000000"/>
          <w:sz w:val="26"/>
        </w:rPr>
        <w:t>30 Group-valued transport, holonomy and certified synchronisation</w:t>
      </w:r>
    </w:p>
    <w:p>
      <w:pPr>
        <w:widowControl/>
        <w:jc w:val="both"/>
      </w:pPr>
      <w:r>
        <w:rPr>
          <w:rFonts w:ascii="DejaVu Serif" w:hAnsi="DejaVu Serif" w:eastAsia="DejaVu Serif" w:cs="DejaVu Serif"/>
          <w:b w:val="0"/>
          <w:i w:val="0"/>
          <w:color w:val="000000"/>
          <w:sz w:val="20"/>
        </w:rPr>
        <w:t>Section 26 4 observes that loops involving heading require composed transport rather than sums. Sections 2–18 are abelian: coefficients form vector spaces, transitions add, and repair is a linear projection. This section states what survives when transitions take values in a group G, such as planar rotations SO(2), spatial rotations SO(3) or planar rigid motions SE(2), and what must be replaced.</w:t>
      </w:r>
    </w:p>
    <w:p>
      <w:pPr>
        <w:pStyle w:val="Heading2"/>
        <w:widowControl/>
      </w:pPr>
      <w:r>
        <w:rPr>
          <w:rFonts w:ascii="DejaVu Serif" w:hAnsi="DejaVu Serif" w:eastAsia="DejaVu Serif" w:cs="DejaVu Serif"/>
          <w:b/>
          <w:i w:val="0"/>
          <w:color w:val="000000"/>
          <w:sz w:val="22"/>
        </w:rPr>
        <w:t>30 1 Transport, gauge and holonomy</w:t>
      </w:r>
    </w:p>
    <w:p>
      <w:pPr>
        <w:widowControl/>
        <w:jc w:val="both"/>
      </w:pPr>
      <w:r>
        <w:rPr>
          <w:rFonts w:ascii="DejaVu Serif" w:hAnsi="DejaVu Serif" w:eastAsia="DejaVu Serif" w:cs="DejaVu Serif"/>
          <w:b w:val="0"/>
          <w:i w:val="0"/>
          <w:color w:val="000000"/>
          <w:sz w:val="20"/>
        </w:rPr>
        <w:t>On a graph whose vertices carry local frames, a G-valued transition assigns to each oriented edge (u,v) an element m_uv∈G, read as the transport from the frame at u to the frame at v; reversing an edge inverts its element. A gauge assigns a frame s_v∈G to each vertex, and the transitions are gauge-trivial when m_uv=s_u⁻¹s_v on every edge. This is the multiplicative counterpart of g=Ds. The holonomy of a closed walk v₀,v₁,…,v_k=v₀ is the ordered product m_{v₀v₁}m_{v₁v₂}⋯m_{v_{k−1}v₀}.</w:t>
      </w:r>
    </w:p>
    <w:p>
      <w:pPr>
        <w:keepNext/>
        <w:widowControl/>
      </w:pPr>
      <w:r>
        <w:rPr>
          <w:rFonts w:ascii="DejaVu Serif" w:hAnsi="DejaVu Serif" w:eastAsia="DejaVu Serif" w:cs="DejaVu Serif"/>
          <w:b/>
          <w:i w:val="0"/>
          <w:color w:val="000000"/>
          <w:sz w:val="20"/>
        </w:rPr>
        <w:t xml:space="preserve">Theorem 30.1 Holonomy certificate for group-valued transport. </w:t>
      </w:r>
      <w:r>
        <w:rPr>
          <w:rFonts w:ascii="DejaVu Serif" w:hAnsi="DejaVu Serif" w:eastAsia="DejaVu Serif" w:cs="DejaVu Serif"/>
          <w:b w:val="0"/>
          <w:i w:val="0"/>
          <w:color w:val="000000"/>
          <w:sz w:val="20"/>
        </w:rPr>
        <w:t>On a connected graph with a spanning tree rooted at r, the transitions are gauge-trivial if and only if every fundamental walk has identity holonomy. Such a walk follows the tree path from r to u, a non-tree edge (u,v) and the tree path from v back to r. A trivialising gauge is then unique up to one left factor, s↦as with a∈G; on a disconnected graph there is one such factor per component.</w:t>
      </w:r>
    </w:p>
    <w:p>
      <w:pPr>
        <w:widowControl/>
      </w:pPr>
      <w:r>
        <w:rPr>
          <w:rFonts w:ascii="DejaVu Serif" w:hAnsi="DejaVu Serif" w:eastAsia="DejaVu Serif" w:cs="DejaVu Serif"/>
          <w:b w:val="0"/>
          <w:i/>
          <w:color w:val="000000"/>
          <w:sz w:val="20"/>
        </w:rPr>
        <w:t xml:space="preserve">Proof. </w:t>
      </w:r>
      <w:r>
        <w:rPr>
          <w:rFonts w:ascii="DejaVu Serif" w:hAnsi="DejaVu Serif" w:eastAsia="DejaVu Serif" w:cs="DejaVu Serif"/>
          <w:b w:val="0"/>
          <w:i w:val="0"/>
          <w:color w:val="000000"/>
          <w:sz w:val="20"/>
        </w:rPr>
        <w:t>Set s_r=e and integrate along the tree, s_v=s_um_uv for each tree edge directed away from the root, so that tree edges are satisfied. The fundamental walk of a non-tree edge (u,v) has holonomy s_um_uvs_v⁻¹, which is the identity exactly when m_uv=s_u⁻¹s_v. Conversely, gauge-trivial transitions telescope to the identity around every closed walk. If s and s′ both trivialise, then s′_vs_v⁻¹=s′_us_u⁻¹ across every edge, so s′=as on a connected graph. □</w:t>
      </w:r>
    </w:p>
    <w:p>
      <w:pPr>
        <w:widowControl/>
        <w:jc w:val="both"/>
      </w:pPr>
      <w:r>
        <w:rPr>
          <w:rFonts w:ascii="DejaVu Serif" w:hAnsi="DejaVu Serif" w:eastAsia="DejaVu Serif" w:cs="DejaVu Serif"/>
          <w:b w:val="0"/>
          <w:i w:val="0"/>
          <w:color w:val="000000"/>
          <w:sz w:val="20"/>
        </w:rPr>
        <w:t>The certificate needs m−n+c group products, just as Theorem 4.1 needs m−n+c cycle sums. For an abelian group written additively the two theorems coincide.</w:t>
      </w:r>
    </w:p>
    <w:p>
      <w:pPr>
        <w:pStyle w:val="Heading2"/>
        <w:widowControl/>
      </w:pPr>
      <w:r>
        <w:rPr>
          <w:rFonts w:ascii="DejaVu Serif" w:hAnsi="DejaVu Serif" w:eastAsia="DejaVu Serif" w:cs="DejaVu Serif"/>
          <w:b/>
          <w:i w:val="0"/>
          <w:color w:val="000000"/>
          <w:sz w:val="22"/>
        </w:rPr>
        <w:t>30 2 What changes when the group is not abelian</w:t>
      </w:r>
    </w:p>
    <w:p>
      <w:pPr>
        <w:keepNext/>
        <w:widowControl/>
      </w:pPr>
      <w:r>
        <w:rPr>
          <w:rFonts w:ascii="DejaVu Serif" w:hAnsi="DejaVu Serif" w:eastAsia="DejaVu Serif" w:cs="DejaVu Serif"/>
          <w:b/>
          <w:i w:val="0"/>
          <w:color w:val="000000"/>
          <w:sz w:val="20"/>
        </w:rPr>
        <w:t xml:space="preserve">Proposition 30.2 Holonomy is defined up to conjugacy, classes form a set, and homology does not certify triviality. </w:t>
      </w:r>
      <w:r>
        <w:rPr>
          <w:rFonts w:ascii="DejaVu Serif" w:hAnsi="DejaVu Serif" w:eastAsia="DejaVu Serif" w:cs="DejaVu Serif"/>
          <w:b w:val="0"/>
          <w:i w:val="0"/>
          <w:color w:val="000000"/>
          <w:sz w:val="20"/>
        </w:rPr>
        <w:t>(i) Moving the base point of a closed walk conjugates its holonomy, so only its conjugacy class is gauge invariant; for SO(3) this is the rotation angle, not the axis. Triviality is invariant. (ii) On a connected graph, gauge classes of G-valued transitions correspond to homomorphisms from the free fundamental group to G modulo conjugation [89]. This set has a distinguished trivial element but no group structure, so there is no linear projection, no Hodge decomposition and no sum of classes. (iii) Identity holonomy on closed walks whose homology classes form a basis of H₁ does not imply gauge triviality.</w:t>
      </w:r>
    </w:p>
    <w:p>
      <w:pPr>
        <w:widowControl/>
      </w:pPr>
      <w:r>
        <w:rPr>
          <w:rFonts w:ascii="DejaVu Serif" w:hAnsi="DejaVu Serif" w:eastAsia="DejaVu Serif" w:cs="DejaVu Serif"/>
          <w:b w:val="0"/>
          <w:i/>
          <w:color w:val="000000"/>
          <w:sz w:val="20"/>
        </w:rPr>
        <w:t xml:space="preserve">Proof. </w:t>
      </w:r>
      <w:r>
        <w:rPr>
          <w:rFonts w:ascii="DejaVu Serif" w:hAnsi="DejaVu Serif" w:eastAsia="DejaVu Serif" w:cs="DejaVu Serif"/>
          <w:b w:val="0"/>
          <w:i w:val="0"/>
          <w:color w:val="000000"/>
          <w:sz w:val="20"/>
        </w:rPr>
        <w:t>(i) If γ′ is the loop γ started at its second vertex v₁, then Hol(γ′)=m_{v₀v₁}⁻¹Hol(γ)m_{v₀v₁}. (ii) Theorem 30.1 identifies a gauge class with the holonomies of the fundamental walks, which freely generate the fundamental group of a graph [89]; the left factor a acts on them by conjugation. (iii) Take two triangles sharing one vertex, so that the fundamental group is free on the two triangle loops a and b. Put rotations x and y on one edge of each triangle and the identity elsewhere, where x has order 2, y has order 3 and xy has order 5. They generate the icosahedral rotation group A₅ in SO(3), in which every element is a commutator [90]. A search over short words finds U, V, U′ and V′ with [U,V]=x and [U′,V′]=y after substitution. The closed walks w₁=a[U,V]⁻¹ and w₂=b[U′,V′]⁻¹ have exponent sums (1,0) and (0,1), so their classes form a basis of H₁, and both have identity holonomy. The fundamental walks a and b have holonomies x and y, so the transitions are not gauge-trivial. □</w:t>
      </w:r>
    </w:p>
    <w:p>
      <w:pPr>
        <w:widowControl/>
        <w:jc w:val="both"/>
      </w:pPr>
      <w:r>
        <w:rPr>
          <w:rFonts w:ascii="DejaVu Serif" w:hAnsi="DejaVu Serif" w:eastAsia="DejaVu Serif" w:cs="DejaVu Serif"/>
          <w:b w:val="0"/>
          <w:i w:val="0"/>
          <w:color w:val="000000"/>
          <w:sz w:val="20"/>
        </w:rPr>
        <w:t>The example is verified numerically. The two walks have 21 and 17 letters, and their holonomies differ from the identity by at most 3.0×10⁻¹⁵ in any matrix entry, while the generators are rotations by 180° and 120°. An implementation must therefore check the fundamental walks of a spanning tree, or another generating set of the fundamental group. A cycle basis that suffices for abelian checking is not, in general, a certificate for nonabelian transport.</w:t>
      </w:r>
    </w:p>
    <w:p>
      <w:pPr>
        <w:pStyle w:val="Heading2"/>
        <w:widowControl/>
      </w:pPr>
      <w:r>
        <w:rPr>
          <w:rFonts w:ascii="DejaVu Serif" w:hAnsi="DejaVu Serif" w:eastAsia="DejaVu Serif" w:cs="DejaVu Serif"/>
          <w:b/>
          <w:i w:val="0"/>
          <w:color w:val="000000"/>
          <w:sz w:val="22"/>
        </w:rPr>
        <w:t>30 3 Circle coefficients already introduce integers</w:t>
      </w:r>
    </w:p>
    <w:p>
      <w:pPr>
        <w:widowControl/>
        <w:jc w:val="both"/>
      </w:pPr>
      <w:r>
        <w:rPr>
          <w:rFonts w:ascii="DejaVu Serif" w:hAnsi="DejaVu Serif" w:eastAsia="DejaVu Serif" w:cs="DejaVu Serif"/>
          <w:b w:val="0"/>
          <w:i w:val="0"/>
          <w:color w:val="000000"/>
          <w:sz w:val="20"/>
        </w:rPr>
        <w:t>SO(2) is abelian, so Theorem 4.1 applies to angles, but the coefficient group is the circle U(1)=ℝ/2πℤ rather than ℝ.</w:t>
      </w:r>
    </w:p>
    <w:p>
      <w:pPr>
        <w:keepNext/>
        <w:widowControl/>
      </w:pPr>
      <w:r>
        <w:rPr>
          <w:rFonts w:ascii="DejaVu Serif" w:hAnsi="DejaVu Serif" w:eastAsia="DejaVu Serif" w:cs="DejaVu Serif"/>
          <w:b/>
          <w:i w:val="0"/>
          <w:color w:val="000000"/>
          <w:sz w:val="20"/>
        </w:rPr>
        <w:t xml:space="preserve">Proposition 30.3 Winding numbers make circle repair a mixed integer problem. </w:t>
      </w:r>
      <w:r>
        <w:rPr>
          <w:rFonts w:ascii="DejaVu Serif" w:hAnsi="DejaVu Serif" w:eastAsia="DejaVu Serif" w:cs="DejaVu Serif"/>
          <w:b w:val="0"/>
          <w:i w:val="0"/>
          <w:color w:val="000000"/>
          <w:sz w:val="20"/>
        </w:rPr>
        <w:t>On a graph, lift the measured angles θ to real numbers and let Z be a fundamental cycle matrix. With squared angular corrections as the cost, minimal weighted repair over U(1) equals the minimum over k∈ℤʰ of (Zθ+2πk)ᵀ(ZW⁻¹Zᵀ)⁻¹(Zθ+2πk).</w:t>
      </w:r>
    </w:p>
    <w:p>
      <w:pPr>
        <w:widowControl/>
      </w:pPr>
      <w:r>
        <w:rPr>
          <w:rFonts w:ascii="DejaVu Serif" w:hAnsi="DejaVu Serif" w:eastAsia="DejaVu Serif" w:cs="DejaVu Serif"/>
          <w:b w:val="0"/>
          <w:i/>
          <w:color w:val="000000"/>
          <w:sz w:val="20"/>
        </w:rPr>
        <w:t xml:space="preserve">Proof. </w:t>
      </w:r>
      <w:r>
        <w:rPr>
          <w:rFonts w:ascii="DejaVu Serif" w:hAnsi="DejaVu Serif" w:eastAsia="DejaVu Serif" w:cs="DejaVu Serif"/>
          <w:b w:val="0"/>
          <w:i w:val="0"/>
          <w:color w:val="000000"/>
          <w:sz w:val="20"/>
        </w:rPr>
        <w:t>Repaired angles must equal vertex differences modulo 2π, so a repair over U(1) is a real repair of some lift θ+2πn with n∈ℤᵐ. For a fixed lift the minimum is given by Proposition 29.4, and it depends on n only through Zn. Each non-tree edge lies in exactly one fundamental cycle, so Zn ranges over all of ℤʰ. □</w:t>
      </w:r>
    </w:p>
    <w:p>
      <w:pPr>
        <w:widowControl/>
        <w:jc w:val="both"/>
      </w:pPr>
      <w:r>
        <w:rPr>
          <w:rFonts w:ascii="DejaVu Serif" w:hAnsi="DejaVu Serif" w:eastAsia="DejaVu Serif" w:cs="DejaVu Serif"/>
          <w:b w:val="0"/>
          <w:i w:val="0"/>
          <w:color w:val="000000"/>
          <w:sz w:val="20"/>
        </w:rPr>
        <w:t>The integer vector is a closest-vector choice in a lattice. General closest-vector problems are NP-hard; no hardness is claimed for graph cycle lattices, where structure can be exploited, as in network-flow phase unwrapping with ℓ¹ costs [91]. A real-valued solver applied to unwrapped angles makes this integer choice implicitly. Table 30.1 shows a triangle on which that implicit choice is wrong by a full turn.</w:t>
      </w:r>
    </w:p>
    <w:p>
      <w:pPr>
        <w:keepNext/>
        <w:widowControl/>
      </w:pPr>
      <w:r>
        <w:rPr>
          <w:rFonts w:ascii="DejaVu Serif" w:hAnsi="DejaVu Serif" w:eastAsia="DejaVu Serif" w:cs="DejaVu Serif"/>
          <w:b/>
          <w:i w:val="0"/>
          <w:color w:val="000000"/>
          <w:sz w:val="20"/>
        </w:rPr>
        <w:t>Table 30.1 One triangle, two coefficient groups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0"/>
        <w:gridCol w:w="3160"/>
        <w:gridCol w:w="3160"/>
      </w:tblGrid>
      <w:tr>
        <w:trPr>
          <w:cantSplit/>
          <w:tblHeader/>
        </w:trPr>
        <w:tc>
          <w:tcPr>
            <w:tcW w:type="dxa" w:w="34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Quantity</w:t>
            </w:r>
          </w:p>
        </w:tc>
        <w:tc>
          <w:tcPr>
            <w:tcW w:type="dxa" w:w="316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Real-valued model</w:t>
            </w:r>
          </w:p>
        </w:tc>
        <w:tc>
          <w:tcPr>
            <w:tcW w:type="dxa" w:w="316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Circle model</w:t>
            </w:r>
          </w:p>
        </w:tc>
      </w:tr>
      <w:tr>
        <w:trPr>
          <w:cantSplit/>
        </w:trPr>
        <w:tc>
          <w:tcPr>
            <w:tcW w:type="dxa" w:w="3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Measured angles on edges (12, 23, 13)</w:t>
            </w:r>
          </w:p>
        </w:tc>
        <w:tc>
          <w:tcPr>
            <w:tcW w:type="dxa" w:w="31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170°, 170°, −10°</w:t>
            </w:r>
          </w:p>
        </w:tc>
        <w:tc>
          <w:tcPr>
            <w:tcW w:type="dxa" w:w="31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170°, 170°, −10°</w:t>
            </w:r>
          </w:p>
        </w:tc>
      </w:tr>
      <w:tr>
        <w:trPr>
          <w:cantSplit/>
        </w:trPr>
        <w:tc>
          <w:tcPr>
            <w:tcW w:type="dxa" w:w="3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Cyclic class κ=g₁₂+g₂₃−g₁₃</w:t>
            </w:r>
          </w:p>
        </w:tc>
        <w:tc>
          <w:tcPr>
            <w:tcW w:type="dxa" w:w="31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350°</w:t>
            </w:r>
          </w:p>
        </w:tc>
        <w:tc>
          <w:tcPr>
            <w:tcW w:type="dxa" w:w="31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 (winding 1)</w:t>
            </w:r>
          </w:p>
        </w:tc>
      </w:tr>
      <w:tr>
        <w:trPr>
          <w:cantSplit/>
        </w:trPr>
        <w:tc>
          <w:tcPr>
            <w:tcW w:type="dxa" w:w="3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Unit-weight correction per edge</w:t>
            </w:r>
          </w:p>
        </w:tc>
        <w:tc>
          <w:tcPr>
            <w:tcW w:type="dxa" w:w="31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-116.7°, -116.7°, +116.7°</w:t>
            </w:r>
          </w:p>
        </w:tc>
        <w:tc>
          <w:tcPr>
            <w:tcW w:type="dxa" w:w="31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+3.33°, +3.33°, -3.33°</w:t>
            </w:r>
          </w:p>
        </w:tc>
      </w:tr>
    </w:tbl>
    <w:p>
      <w:pPr>
        <w:widowControl/>
        <w:spacing w:after="40"/>
        <w:jc w:val="both"/>
      </w:pPr>
      <w:r>
        <w:rPr>
          <w:rFonts w:ascii="DejaVu Serif" w:hAnsi="DejaVu Serif" w:eastAsia="DejaVu Serif" w:cs="DejaVu Serif"/>
          <w:b w:val="0"/>
          <w:i w:val="0"/>
          <w:color w:val="000000"/>
          <w:sz w:val="20"/>
        </w:rPr>
      </w:r>
    </w:p>
    <w:p>
      <w:pPr>
        <w:pStyle w:val="Heading2"/>
        <w:widowControl/>
      </w:pPr>
      <w:r>
        <w:rPr>
          <w:rFonts w:ascii="DejaVu Serif" w:hAnsi="DejaVu Serif" w:eastAsia="DejaVu Serif" w:cs="DejaVu Serif"/>
          <w:b/>
          <w:i w:val="0"/>
          <w:color w:val="000000"/>
          <w:sz w:val="22"/>
        </w:rPr>
        <w:t>30 4 Certified synchronisation</w:t>
      </w:r>
    </w:p>
    <w:p>
      <w:pPr>
        <w:widowControl/>
        <w:jc w:val="both"/>
      </w:pPr>
      <w:r>
        <w:rPr>
          <w:rFonts w:ascii="DejaVu Serif" w:hAnsi="DejaVu Serif" w:eastAsia="DejaVu Serif" w:cs="DejaVu Serif"/>
          <w:b w:val="0"/>
          <w:i w:val="0"/>
          <w:color w:val="000000"/>
          <w:sz w:val="20"/>
        </w:rPr>
        <w:t>Represent planar rotations by unit complex numbers z_u, and the measured relative rotations by r_e=exp(iθ_e)≈z̄_uz_v. Chordal angular synchronisation [83, 84] minimises f(z)=Σ_e w_e|z_v−r_ez_u|²=z^H M z over unit-modulus vectors, for a Hermitian positive semidefinite M. With unit weights M is the connection Laplacian of the transport [88]. Its smallest eigenvalue is zero exactly for gauge-trivial transport on a connected graph, and it is controlled by a frustration constant through a Cheeger-type inequality [87]. The problem is nonconvex, and its binary analogue, with signs in place of rotations, is the MAX CUT repair of Proposition 10.1. Global optimality can nevertheless be certified after the fact.</w:t>
      </w:r>
    </w:p>
    <w:p>
      <w:pPr>
        <w:keepNext/>
        <w:widowControl/>
      </w:pPr>
      <w:r>
        <w:rPr>
          <w:rFonts w:ascii="DejaVu Serif" w:hAnsi="DejaVu Serif" w:eastAsia="DejaVu Serif" w:cs="DejaVu Serif"/>
          <w:b/>
          <w:i w:val="0"/>
          <w:color w:val="000000"/>
          <w:sz w:val="20"/>
        </w:rPr>
        <w:t xml:space="preserve">Theorem 30.4 A dual certificate of global optimality [85, 86]. </w:t>
      </w:r>
      <w:r>
        <w:rPr>
          <w:rFonts w:ascii="DejaVu Serif" w:hAnsi="DejaVu Serif" w:eastAsia="DejaVu Serif" w:cs="DejaVu Serif"/>
          <w:b w:val="0"/>
          <w:i w:val="0"/>
          <w:color w:val="000000"/>
          <w:sz w:val="20"/>
        </w:rPr>
        <w:t>For any unit-modulus z, put λ_u=Re(z̄_u(Mz)_u) and S=M−Diag(λ). Then f(z)=Σ_uλ_u, and every unit-modulus x satisfies f(x)≥Σ_uλ_u+nλ_min(S). If S is positive semidefinite, z is a global minimiser; if in addition the second smallest eigenvalue of S is positive, the minimiser is unique up to a global phase.</w:t>
      </w:r>
    </w:p>
    <w:p>
      <w:pPr>
        <w:widowControl/>
      </w:pPr>
      <w:r>
        <w:rPr>
          <w:rFonts w:ascii="DejaVu Serif" w:hAnsi="DejaVu Serif" w:eastAsia="DejaVu Serif" w:cs="DejaVu Serif"/>
          <w:b w:val="0"/>
          <w:i/>
          <w:color w:val="000000"/>
          <w:sz w:val="20"/>
        </w:rPr>
        <w:t xml:space="preserve">Proof. </w:t>
      </w:r>
      <w:r>
        <w:rPr>
          <w:rFonts w:ascii="DejaVu Serif" w:hAnsi="DejaVu Serif" w:eastAsia="DejaVu Serif" w:cs="DejaVu Serif"/>
          <w:b w:val="0"/>
          <w:i w:val="0"/>
          <w:color w:val="000000"/>
          <w:sz w:val="20"/>
        </w:rPr>
        <w:t>z^H M z=Σ_u z̄_u(Mz)_u is real, so it equals Σ_uλ_u. For unit-modulus x, x^H M x=x^H S x+Σ_uλ_u|x_u|²≥nλ_min(S)+Σ_uλ_u. If S⪰0 this gives f(x)≥f(z). Then z^H S z=0 forces Sz=0, and any minimiser x satisfies x^H S x=0, so x lies in the kernel of S. When that kernel is one-dimensional x=cz, and unit modulus forces |c|=1. □</w:t>
      </w:r>
    </w:p>
    <w:p>
      <w:pPr>
        <w:keepNext/>
        <w:widowControl/>
      </w:pPr>
      <w:r>
        <w:rPr>
          <w:rFonts w:ascii="DejaVu Serif" w:hAnsi="DejaVu Serif" w:eastAsia="DejaVu Serif" w:cs="DejaVu Serif"/>
          <w:b/>
          <w:i w:val="0"/>
          <w:color w:val="000000"/>
          <w:sz w:val="20"/>
        </w:rPr>
        <w:t xml:space="preserve">Proposition 30.5 A posteriori optimality gap. </w:t>
      </w:r>
      <w:r>
        <w:rPr>
          <w:rFonts w:ascii="DejaVu Serif" w:hAnsi="DejaVu Serif" w:eastAsia="DejaVu Serif" w:cs="DejaVu Serif"/>
          <w:b w:val="0"/>
          <w:i w:val="0"/>
          <w:color w:val="000000"/>
          <w:sz w:val="20"/>
        </w:rPr>
        <w:t>For every unit-modulus candidate z, f(z)−min f≤n·max(0,−λ_min(S)).</w:t>
      </w:r>
    </w:p>
    <w:p>
      <w:pPr>
        <w:widowControl/>
      </w:pPr>
      <w:r>
        <w:rPr>
          <w:rFonts w:ascii="DejaVu Serif" w:hAnsi="DejaVu Serif" w:eastAsia="DejaVu Serif" w:cs="DejaVu Serif"/>
          <w:b w:val="0"/>
          <w:i/>
          <w:color w:val="000000"/>
          <w:sz w:val="20"/>
        </w:rPr>
        <w:t xml:space="preserve">Proof. </w:t>
      </w:r>
      <w:r>
        <w:rPr>
          <w:rFonts w:ascii="DejaVu Serif" w:hAnsi="DejaVu Serif" w:eastAsia="DejaVu Serif" w:cs="DejaVu Serif"/>
          <w:b w:val="0"/>
          <w:i w:val="0"/>
          <w:color w:val="000000"/>
          <w:sz w:val="20"/>
        </w:rPr>
        <w:t>Minimise the inequality of Theorem 30.4 over x and subtract the result from f(z)=Σ_uλ_u. □</w:t>
      </w:r>
    </w:p>
    <w:p>
      <w:pPr>
        <w:widowControl/>
        <w:jc w:val="both"/>
      </w:pPr>
      <w:r>
        <w:rPr>
          <w:rFonts w:ascii="DejaVu Serif" w:hAnsi="DejaVu Serif" w:eastAsia="DejaVu Serif" w:cs="DejaVu Serif"/>
          <w:b w:val="0"/>
          <w:i w:val="0"/>
          <w:color w:val="000000"/>
          <w:sz w:val="20"/>
        </w:rPr>
        <w:t>Every run therefore returns either a certificate or a quantified gap. Floating-point evaluation of λ_min(S) carries the error of a backward-stable symmetric eigensolver, of order nε‖S‖, so an exact certificate still needs the validated enclosures of Proposition 15.5.</w:t>
      </w:r>
    </w:p>
    <w:p>
      <w:pPr>
        <w:widowControl/>
        <w:jc w:val="both"/>
      </w:pPr>
      <w:r>
        <w:rPr>
          <w:rFonts w:ascii="DejaVu Serif" w:hAnsi="DejaVu Serif" w:eastAsia="DejaVu Serif" w:cs="DejaVu Serif"/>
          <w:b w:val="0"/>
          <w:i w:val="0"/>
          <w:color w:val="000000"/>
          <w:sz w:val="20"/>
        </w:rPr>
        <w:t>The same construction certifies planar rigid motions. With poses s_u=(z_u,t_u) and translations t_u∈ℂ, measurements (r_e,τ_e) of s_u⁻¹s_v give the cost Σ_e κ_e|z_v−r_ez_u|²+ω_e|t_v−t_u−z_uτ_e|². For fixed z the translations solve the weighted least squares problem of Theorem 7.1. Eliminating them, with the gauge t₀=0 of Section 13 3, leaves z^H M z with M=M_rot+B^H Ω(I−P_Ω)B, where B carries the translation measurements and P_Ω is the Ω-orthogonal projector onto im D. Theorem 30.4 then certifies the joint optimum; this is the complex planar form of the SE-Sync reduction [86].</w:t>
      </w:r>
    </w:p>
    <w:p>
      <w:pPr>
        <w:widowControl/>
        <w:jc w:val="both"/>
      </w:pPr>
      <w:r>
        <w:rPr>
          <w:rFonts w:ascii="DejaVu Serif" w:hAnsi="DejaVu Serif" w:eastAsia="DejaVu Serif" w:cs="DejaVu Serif"/>
          <w:b w:val="0"/>
          <w:i w:val="0"/>
          <w:color w:val="000000"/>
          <w:sz w:val="20"/>
        </w:rPr>
        <w:t>Two modelling choices belong to the declared model. The translation residual of an edge is measured in the frame of its tail, so reversing an edge changes the cost unless its rotation residual vanishes. The chordal metric is also one of several invariant choices, and each defines a different repair.</w:t>
      </w:r>
    </w:p>
    <w:p>
      <w:pPr>
        <w:pStyle w:val="Heading2"/>
        <w:widowControl/>
      </w:pPr>
      <w:r>
        <w:rPr>
          <w:rFonts w:ascii="DejaVu Serif" w:hAnsi="DejaVu Serif" w:eastAsia="DejaVu Serif" w:cs="DejaVu Serif"/>
          <w:b/>
          <w:i w:val="0"/>
          <w:color w:val="000000"/>
          <w:sz w:val="22"/>
        </w:rPr>
        <w:t>30 5 Numerical results</w:t>
      </w:r>
    </w:p>
    <w:p>
      <w:pPr>
        <w:widowControl/>
        <w:jc w:val="both"/>
      </w:pPr>
      <w:r>
        <w:rPr>
          <w:rFonts w:ascii="DejaVu Serif" w:hAnsi="DejaVu Serif" w:eastAsia="DejaVu Serif" w:cs="DejaVu Serif"/>
          <w:b w:val="0"/>
          <w:i w:val="0"/>
          <w:color w:val="000000"/>
          <w:sz w:val="20"/>
        </w:rPr>
        <w:t>On random graphs with 60 vertices, edge probability 0.15 and wrapped Gaussian angle noise, spectral initialisation followed by generalised power iterations [84] was certified in every trial up to σ=0.8 rad, in 62% of trials at σ=1.0 and in none at σ=1.5 (Table 30.2). Where a run is certified, its error relative to the true angles is that of the global optimum, not of a heuristic. Unwrapping along a spanning tree followed by real least squares matches it at low noise but is 2.3 times worse at σ=0.8, because its implicit winding choices fail.</w:t>
      </w:r>
    </w:p>
    <w:p>
      <w:pPr>
        <w:keepNext/>
        <w:widowControl/>
      </w:pPr>
      <w:r>
        <w:rPr>
          <w:rFonts w:ascii="DejaVu Serif" w:hAnsi="DejaVu Serif" w:eastAsia="DejaVu Serif" w:cs="DejaVu Serif"/>
          <w:b/>
          <w:i w:val="0"/>
          <w:color w:val="000000"/>
          <w:sz w:val="20"/>
        </w:rPr>
        <w:t>Table 30.2 Angular synchronisation on random graphs (60 vertices, 40 trials per noise level)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1100"/>
        <w:gridCol w:w="2400"/>
        <w:gridCol w:w="2700"/>
        <w:gridCol w:w="2220"/>
      </w:tblGrid>
      <w:tr>
        <w:trPr>
          <w:cantSplit/>
          <w:tblHeader/>
        </w:trPr>
        <w:tc>
          <w:tcPr>
            <w:tcW w:type="dxa" w:w="13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Noise σ (rad)</w:t>
            </w:r>
          </w:p>
        </w:tc>
        <w:tc>
          <w:tcPr>
            <w:tcW w:type="dxa" w:w="11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Certified</w:t>
            </w:r>
          </w:p>
        </w:tc>
        <w:tc>
          <w:tcPr>
            <w:tcW w:type="dxa" w:w="24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Median RMS error, certified method (rad)</w:t>
            </w:r>
          </w:p>
        </w:tc>
        <w:tc>
          <w:tcPr>
            <w:tcW w:type="dxa" w:w="27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Median RMS error, unwrap and least squares (rad)</w:t>
            </w:r>
          </w:p>
        </w:tc>
        <w:tc>
          <w:tcPr>
            <w:tcW w:type="dxa" w:w="222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Largest gap bound n·max(0,−λ_min)</w:t>
            </w:r>
          </w:p>
        </w:tc>
      </w:tr>
      <w:tr>
        <w:trPr>
          <w:cantSplit/>
        </w:trPr>
        <w:tc>
          <w:tcPr>
            <w:tcW w:type="dxa" w:w="1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w:t>
            </w:r>
          </w:p>
        </w:tc>
        <w:tc>
          <w:tcPr>
            <w:tcW w:type="dxa" w:w="2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0.018</w:t>
            </w:r>
          </w:p>
        </w:tc>
        <w:tc>
          <w:tcPr>
            <w:tcW w:type="dxa" w:w="2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0.018</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1.2×10⁻¹²</w:t>
            </w:r>
          </w:p>
        </w:tc>
      </w:tr>
      <w:tr>
        <w:trPr>
          <w:cantSplit/>
        </w:trPr>
        <w:tc>
          <w:tcPr>
            <w:tcW w:type="dxa" w:w="1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w:t>
            </w:r>
          </w:p>
        </w:tc>
        <w:tc>
          <w:tcPr>
            <w:tcW w:type="dxa" w:w="2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0.037</w:t>
            </w:r>
          </w:p>
        </w:tc>
        <w:tc>
          <w:tcPr>
            <w:tcW w:type="dxa" w:w="2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0.037</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1.1×10⁻¹²</w:t>
            </w:r>
          </w:p>
        </w:tc>
      </w:tr>
      <w:tr>
        <w:trPr>
          <w:cantSplit/>
        </w:trPr>
        <w:tc>
          <w:tcPr>
            <w:tcW w:type="dxa" w:w="1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w:t>
            </w:r>
          </w:p>
        </w:tc>
        <w:tc>
          <w:tcPr>
            <w:tcW w:type="dxa" w:w="2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0.075</w:t>
            </w:r>
          </w:p>
        </w:tc>
        <w:tc>
          <w:tcPr>
            <w:tcW w:type="dxa" w:w="2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0.075</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2.6×10⁻¹²</w:t>
            </w:r>
          </w:p>
        </w:tc>
      </w:tr>
      <w:tr>
        <w:trPr>
          <w:cantSplit/>
        </w:trPr>
        <w:tc>
          <w:tcPr>
            <w:tcW w:type="dxa" w:w="1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0.40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w:t>
            </w:r>
          </w:p>
        </w:tc>
        <w:tc>
          <w:tcPr>
            <w:tcW w:type="dxa" w:w="2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0.141</w:t>
            </w:r>
          </w:p>
        </w:tc>
        <w:tc>
          <w:tcPr>
            <w:tcW w:type="dxa" w:w="2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0.153</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1.6×10⁻¹²</w:t>
            </w:r>
          </w:p>
        </w:tc>
      </w:tr>
      <w:tr>
        <w:trPr>
          <w:cantSplit/>
        </w:trPr>
        <w:tc>
          <w:tcPr>
            <w:tcW w:type="dxa" w:w="1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0.60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w:t>
            </w:r>
          </w:p>
        </w:tc>
        <w:tc>
          <w:tcPr>
            <w:tcW w:type="dxa" w:w="2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0.217</w:t>
            </w:r>
          </w:p>
        </w:tc>
        <w:tc>
          <w:tcPr>
            <w:tcW w:type="dxa" w:w="2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0.370</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1.6×10⁻¹²</w:t>
            </w:r>
          </w:p>
        </w:tc>
      </w:tr>
      <w:tr>
        <w:trPr>
          <w:cantSplit/>
        </w:trPr>
        <w:tc>
          <w:tcPr>
            <w:tcW w:type="dxa" w:w="1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0.80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w:t>
            </w:r>
          </w:p>
        </w:tc>
        <w:tc>
          <w:tcPr>
            <w:tcW w:type="dxa" w:w="2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0.310</w:t>
            </w:r>
          </w:p>
        </w:tc>
        <w:tc>
          <w:tcPr>
            <w:tcW w:type="dxa" w:w="2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0.705</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8.1×10⁻¹³</w:t>
            </w:r>
          </w:p>
        </w:tc>
      </w:tr>
      <w:tr>
        <w:trPr>
          <w:cantSplit/>
        </w:trPr>
        <w:tc>
          <w:tcPr>
            <w:tcW w:type="dxa" w:w="1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62%</w:t>
            </w:r>
          </w:p>
        </w:tc>
        <w:tc>
          <w:tcPr>
            <w:tcW w:type="dxa" w:w="2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0.431</w:t>
            </w:r>
          </w:p>
        </w:tc>
        <w:tc>
          <w:tcPr>
            <w:tcW w:type="dxa" w:w="2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1.140</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31.5</w:t>
            </w:r>
          </w:p>
        </w:tc>
      </w:tr>
      <w:tr>
        <w:trPr>
          <w:cantSplit/>
        </w:trPr>
        <w:tc>
          <w:tcPr>
            <w:tcW w:type="dxa" w:w="13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1.50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w:t>
            </w:r>
          </w:p>
        </w:tc>
        <w:tc>
          <w:tcPr>
            <w:tcW w:type="dxa" w:w="2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1.370</w:t>
            </w:r>
          </w:p>
        </w:tc>
        <w:tc>
          <w:tcPr>
            <w:tcW w:type="dxa" w:w="2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1.557</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86.0</w:t>
            </w:r>
          </w:p>
        </w:tc>
      </w:tr>
    </w:tbl>
    <w:p>
      <w:pPr>
        <w:widowControl/>
        <w:spacing w:after="40"/>
        <w:jc w:val="both"/>
      </w:pPr>
      <w:r>
        <w:rPr>
          <w:rFonts w:ascii="DejaVu Serif" w:hAnsi="DejaVu Serif" w:eastAsia="DejaVu Serif" w:cs="DejaVu Serif"/>
          <w:b w:val="0"/>
          <w:i w:val="0"/>
          <w:color w:val="000000"/>
          <w:sz w:val="20"/>
        </w:rPr>
      </w:r>
    </w:p>
    <w:p>
      <w:pPr>
        <w:widowControl/>
        <w:jc w:val="both"/>
      </w:pPr>
      <w:r>
        <w:rPr>
          <w:rFonts w:ascii="DejaVu Serif" w:hAnsi="DejaVu Serif" w:eastAsia="DejaVu Serif" w:cs="DejaVu Serif"/>
          <w:b w:val="0"/>
          <w:i w:val="0"/>
          <w:color w:val="000000"/>
          <w:sz w:val="20"/>
        </w:rPr>
        <w:t>Section 26 4 asks for a physically meaningful loop. Consider four 4 m corridors forming a square, traversed in order A to D with a 90° turn after each. Odometry for each corridor is expressed in the frame where it starts. Rotation and translation weights are 4 for the textured corridors A and C and 1 for the plain corridors B and D. A rotational wormhole adds δ to the turn at the end of D, so the loop's holonomy is a rotation by δ while its integrated displacements still close. Table 30.3 compares the certified optimum with two alternatives. The first-order coupled solution is the abelian linearisation of Sections 3–9 applied to the joint problem. The decoupled two-stage method repairs headings by Proposition 7.3 and then fits translations.</w:t>
      </w:r>
    </w:p>
    <w:p>
      <w:pPr>
        <w:keepNext/>
        <w:widowControl/>
      </w:pPr>
      <w:r>
        <w:rPr>
          <w:rFonts w:ascii="DejaVu Serif" w:hAnsi="DejaVu Serif" w:eastAsia="DejaVu Serif" w:cs="DejaVu Serif"/>
          <w:b/>
          <w:i w:val="0"/>
          <w:color w:val="000000"/>
          <w:sz w:val="20"/>
        </w:rPr>
        <w:t>Table 30.3 Certified repair of a square loop with a rotational wormhole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0"/>
        <w:gridCol w:w="1120"/>
        <w:gridCol w:w="1240"/>
        <w:gridCol w:w="1120"/>
        <w:gridCol w:w="1520"/>
        <w:gridCol w:w="1280"/>
        <w:gridCol w:w="1340"/>
        <w:gridCol w:w="1500"/>
      </w:tblGrid>
      <w:tr>
        <w:trPr>
          <w:cantSplit/>
          <w:tblHeader/>
        </w:trPr>
        <w:tc>
          <w:tcPr>
            <w:tcW w:type="dxa" w:w="6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δ</w:t>
            </w:r>
          </w:p>
        </w:tc>
        <w:tc>
          <w:tcPr>
            <w:tcW w:type="dxa" w:w="112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Certified cost</w:t>
            </w:r>
          </w:p>
        </w:tc>
        <w:tc>
          <w:tcPr>
            <w:tcW w:type="dxa" w:w="124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Brute-force minimum</w:t>
            </w:r>
          </w:p>
        </w:tc>
        <w:tc>
          <w:tcPr>
            <w:tcW w:type="dxa" w:w="112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λ_min(S)</w:t>
            </w:r>
          </w:p>
        </w:tc>
        <w:tc>
          <w:tcPr>
            <w:tcW w:type="dxa" w:w="152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First-order: largest heading error</w:t>
            </w:r>
          </w:p>
        </w:tc>
        <w:tc>
          <w:tcPr>
            <w:tcW w:type="dxa" w:w="128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First-order cost excess</w:t>
            </w:r>
          </w:p>
        </w:tc>
        <w:tc>
          <w:tcPr>
            <w:tcW w:type="dxa" w:w="134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Two-stage cost ÷ optimum</w:t>
            </w:r>
          </w:p>
        </w:tc>
        <w:tc>
          <w:tcPr>
            <w:tcW w:type="dxa" w:w="15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Optimum with D reversed ÷ optimum</w:t>
            </w:r>
          </w:p>
        </w:tc>
      </w:tr>
      <w:tr>
        <w:trPr>
          <w:cantSplit/>
        </w:trPr>
        <w:tc>
          <w:tcPr>
            <w:tcW w:type="dxa" w:w="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5°</w:t>
            </w:r>
          </w:p>
        </w:tc>
        <w:tc>
          <w:tcPr>
            <w:tcW w:type="dxa" w:w="1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0.006341</w:t>
            </w:r>
          </w:p>
        </w:tc>
        <w:tc>
          <w:tcPr>
            <w:tcW w:type="dxa" w:w="12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0.006341</w:t>
            </w:r>
          </w:p>
        </w:tc>
        <w:tc>
          <w:tcPr>
            <w:tcW w:type="dxa" w:w="1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1.5×10⁻¹⁵</w:t>
            </w:r>
          </w:p>
        </w:tc>
        <w:tc>
          <w:tcPr>
            <w:tcW w:type="dxa" w:w="15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0.0033°</w:t>
            </w:r>
          </w:p>
        </w:tc>
        <w:tc>
          <w:tcPr>
            <w:tcW w:type="dxa" w:w="128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4.4×10⁻⁶</w:t>
            </w:r>
          </w:p>
        </w:tc>
        <w:tc>
          <w:tcPr>
            <w:tcW w:type="dxa" w:w="13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4.36</w:t>
            </w:r>
          </w:p>
        </w:tc>
        <w:tc>
          <w:tcPr>
            <w:tcW w:type="dxa" w:w="15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4.12</w:t>
            </w:r>
          </w:p>
        </w:tc>
      </w:tr>
      <w:tr>
        <w:trPr>
          <w:cantSplit/>
        </w:trPr>
        <w:tc>
          <w:tcPr>
            <w:tcW w:type="dxa" w:w="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15°</w:t>
            </w:r>
          </w:p>
        </w:tc>
        <w:tc>
          <w:tcPr>
            <w:tcW w:type="dxa" w:w="1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0.056966</w:t>
            </w:r>
          </w:p>
        </w:tc>
        <w:tc>
          <w:tcPr>
            <w:tcW w:type="dxa" w:w="12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0.056966</w:t>
            </w:r>
          </w:p>
        </w:tc>
        <w:tc>
          <w:tcPr>
            <w:tcW w:type="dxa" w:w="1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-9.3×10⁻¹⁶</w:t>
            </w:r>
          </w:p>
        </w:tc>
        <w:tc>
          <w:tcPr>
            <w:tcW w:type="dxa" w:w="15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0.0207°</w:t>
            </w:r>
          </w:p>
        </w:tc>
        <w:tc>
          <w:tcPr>
            <w:tcW w:type="dxa" w:w="128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2.5×10⁻⁵</w:t>
            </w:r>
          </w:p>
        </w:tc>
        <w:tc>
          <w:tcPr>
            <w:tcW w:type="dxa" w:w="13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4.43</w:t>
            </w:r>
          </w:p>
        </w:tc>
        <w:tc>
          <w:tcPr>
            <w:tcW w:type="dxa" w:w="15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4.23</w:t>
            </w:r>
          </w:p>
        </w:tc>
      </w:tr>
      <w:tr>
        <w:trPr>
          <w:cantSplit/>
        </w:trPr>
        <w:tc>
          <w:tcPr>
            <w:tcW w:type="dxa" w:w="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30°</w:t>
            </w:r>
          </w:p>
        </w:tc>
        <w:tc>
          <w:tcPr>
            <w:tcW w:type="dxa" w:w="1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0.225926</w:t>
            </w:r>
          </w:p>
        </w:tc>
        <w:tc>
          <w:tcPr>
            <w:tcW w:type="dxa" w:w="12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0.225926</w:t>
            </w:r>
          </w:p>
        </w:tc>
        <w:tc>
          <w:tcPr>
            <w:tcW w:type="dxa" w:w="1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3.4×10⁻¹⁵</w:t>
            </w:r>
          </w:p>
        </w:tc>
        <w:tc>
          <w:tcPr>
            <w:tcW w:type="dxa" w:w="15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0.0606°</w:t>
            </w:r>
          </w:p>
        </w:tc>
        <w:tc>
          <w:tcPr>
            <w:tcW w:type="dxa" w:w="128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4.5×10⁻⁵</w:t>
            </w:r>
          </w:p>
        </w:tc>
        <w:tc>
          <w:tcPr>
            <w:tcW w:type="dxa" w:w="13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4.55</w:t>
            </w:r>
          </w:p>
        </w:tc>
        <w:tc>
          <w:tcPr>
            <w:tcW w:type="dxa" w:w="15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4.34</w:t>
            </w:r>
          </w:p>
        </w:tc>
      </w:tr>
      <w:tr>
        <w:trPr>
          <w:cantSplit/>
        </w:trPr>
        <w:tc>
          <w:tcPr>
            <w:tcW w:type="dxa" w:w="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60°</w:t>
            </w:r>
          </w:p>
        </w:tc>
        <w:tc>
          <w:tcPr>
            <w:tcW w:type="dxa" w:w="1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0.868206</w:t>
            </w:r>
          </w:p>
        </w:tc>
        <w:tc>
          <w:tcPr>
            <w:tcW w:type="dxa" w:w="12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0.868206</w:t>
            </w:r>
          </w:p>
        </w:tc>
        <w:tc>
          <w:tcPr>
            <w:tcW w:type="dxa" w:w="1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-2.0×10⁻¹⁵</w:t>
            </w:r>
          </w:p>
        </w:tc>
        <w:tc>
          <w:tcPr>
            <w:tcW w:type="dxa" w:w="15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0.2641°</w:t>
            </w:r>
          </w:p>
        </w:tc>
        <w:tc>
          <w:tcPr>
            <w:tcW w:type="dxa" w:w="128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2.2×10⁻⁴</w:t>
            </w:r>
          </w:p>
        </w:tc>
        <w:tc>
          <w:tcPr>
            <w:tcW w:type="dxa" w:w="13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4.86</w:t>
            </w:r>
          </w:p>
        </w:tc>
        <w:tc>
          <w:tcPr>
            <w:tcW w:type="dxa" w:w="15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4.23</w:t>
            </w:r>
          </w:p>
        </w:tc>
      </w:tr>
      <w:tr>
        <w:trPr>
          <w:cantSplit/>
        </w:trPr>
        <w:tc>
          <w:tcPr>
            <w:tcW w:type="dxa" w:w="6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90°</w:t>
            </w:r>
          </w:p>
        </w:tc>
        <w:tc>
          <w:tcPr>
            <w:tcW w:type="dxa" w:w="1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1.809631</w:t>
            </w:r>
          </w:p>
        </w:tc>
        <w:tc>
          <w:tcPr>
            <w:tcW w:type="dxa" w:w="12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1.809631</w:t>
            </w:r>
          </w:p>
        </w:tc>
        <w:tc>
          <w:tcPr>
            <w:tcW w:type="dxa" w:w="1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9.7×10⁻¹⁶</w:t>
            </w:r>
          </w:p>
        </w:tc>
        <w:tc>
          <w:tcPr>
            <w:tcW w:type="dxa" w:w="15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1.0393°</w:t>
            </w:r>
          </w:p>
        </w:tc>
        <w:tc>
          <w:tcPr>
            <w:tcW w:type="dxa" w:w="128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1.1×10⁻³</w:t>
            </w:r>
          </w:p>
        </w:tc>
        <w:tc>
          <w:tcPr>
            <w:tcW w:type="dxa" w:w="134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5.32</w:t>
            </w:r>
          </w:p>
        </w:tc>
        <w:tc>
          <w:tcPr>
            <w:tcW w:type="dxa" w:w="15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3.19</w:t>
            </w:r>
          </w:p>
        </w:tc>
      </w:tr>
    </w:tbl>
    <w:p>
      <w:pPr>
        <w:widowControl/>
        <w:spacing w:after="40"/>
        <w:jc w:val="both"/>
      </w:pPr>
      <w:r>
        <w:rPr>
          <w:rFonts w:ascii="DejaVu Serif" w:hAnsi="DejaVu Serif" w:eastAsia="DejaVu Serif" w:cs="DejaVu Serif"/>
          <w:b w:val="0"/>
          <w:i w:val="0"/>
          <w:color w:val="000000"/>
          <w:sz w:val="20"/>
        </w:rPr>
      </w:r>
    </w:p>
    <w:p>
      <w:pPr>
        <w:widowControl/>
        <w:jc w:val="both"/>
      </w:pPr>
      <w:r>
        <w:rPr>
          <w:rFonts w:ascii="DejaVu Serif" w:hAnsi="DejaVu Serif" w:eastAsia="DejaVu Serif" w:cs="DejaVu Serif"/>
          <w:b w:val="0"/>
          <w:i w:val="0"/>
          <w:color w:val="000000"/>
          <w:sz w:val="20"/>
        </w:rPr>
        <w:t>The certified optimum equals a brute-force minimum from 60 local searches at every δ. The coupled linearisation stays within 0.26° of it up to δ=60° and within 1.04° at 90°, with cost excess at most 0.11%. The decoupled method costs 4.4 to 5.3 times the optimum: repairing headings first changes the frames in which the translations are measured, so holonomy cannot be repaired one factor at a time. Storing D in the opposite direction changes the optimal cost by a factor between 3.2 and 4.3, which confirms that edge orientation belongs to the declared model.</w:t>
      </w:r>
    </w:p>
    <w:p>
      <w:pPr>
        <w:keepNext/>
        <w:widowControl/>
        <w:jc w:val="center"/>
      </w:pPr>
      <w:r>
        <w:drawing>
          <wp:inline xmlns:a="http://schemas.openxmlformats.org/drawingml/2006/main" xmlns:pic="http://schemas.openxmlformats.org/drawingml/2006/picture">
            <wp:extent cx="5760720" cy="3049793"/>
            <wp:docPr id="7" name="Picture 7"/>
            <wp:cNvGraphicFramePr>
              <a:graphicFrameLocks noChangeAspect="1"/>
            </wp:cNvGraphicFramePr>
            <a:graphic>
              <a:graphicData uri="http://schemas.openxmlformats.org/drawingml/2006/picture">
                <pic:pic>
                  <pic:nvPicPr>
                    <pic:cNvPr id="0" name="fig_se2.png"/>
                    <pic:cNvPicPr/>
                  </pic:nvPicPr>
                  <pic:blipFill>
                    <a:blip r:embed="rId20"/>
                    <a:stretch>
                      <a:fillRect/>
                    </a:stretch>
                  </pic:blipFill>
                  <pic:spPr>
                    <a:xfrm>
                      <a:off x="0" y="0"/>
                      <a:ext cx="5760720" cy="3049793"/>
                    </a:xfrm>
                    <a:prstGeom prst="rect"/>
                  </pic:spPr>
                </pic:pic>
              </a:graphicData>
            </a:graphic>
          </wp:inline>
        </w:drawing>
      </w:r>
    </w:p>
    <w:p>
      <w:pPr>
        <w:widowControl/>
      </w:pPr>
      <w:r>
        <w:rPr>
          <w:rFonts w:ascii="DejaVu Serif" w:hAnsi="DejaVu Serif" w:eastAsia="DejaVu Serif" w:cs="DejaVu Serif"/>
          <w:b w:val="0"/>
          <w:i/>
          <w:color w:val="000000"/>
          <w:sz w:val="20"/>
        </w:rPr>
        <w:t>Figure 30.1 Integrated measurements (dashed; the grey arrow is the returning heading, rotated by δ), the two-stage heuristic (dotted) and the certified joint repair (solid, with fitted headings) for δ=15° and δ=60°. The certificate eigenvalues are at rounding level.</w:t>
      </w:r>
    </w:p>
    <w:p>
      <w:pPr>
        <w:widowControl/>
        <w:jc w:val="both"/>
      </w:pPr>
      <w:r>
        <w:rPr>
          <w:rFonts w:ascii="DejaVu Serif" w:hAnsi="DejaVu Serif" w:eastAsia="DejaVu Serif" w:cs="DejaVu Serif"/>
          <w:b w:val="0"/>
          <w:i w:val="0"/>
          <w:color w:val="000000"/>
          <w:sz w:val="20"/>
        </w:rPr>
        <w:t>The correction profile also differs in kind from the abelian prediction. Under Proposition 7.3 the shares of a heading discrepancy carried by A, B, C and D are fixed by the weights at (0.1, 0.4, 0.1, 0.4), wherever the discrepancy entered. In the certified joint repair they track the source (Table 30.4).</w:t>
      </w:r>
    </w:p>
    <w:p>
      <w:pPr>
        <w:widowControl/>
        <w:jc w:val="both"/>
      </w:pPr>
      <w:r>
        <w:rPr>
          <w:rFonts w:ascii="DejaVu Serif" w:hAnsi="DejaVu Serif" w:eastAsia="DejaVu Serif" w:cs="DejaVu Serif"/>
          <w:b w:val="0"/>
          <w:i w:val="0"/>
          <w:color w:val="000000"/>
          <w:sz w:val="20"/>
        </w:rPr>
        <w:t>A discrepancy entering at B or D is 84–86% absorbed there, and one entering at A or C is 42–47% absorbed there, with smaller and sometimes opposite corrections elsewhere. Reliable translations reveal which turn was wrong.</w:t>
      </w:r>
    </w:p>
    <w:p>
      <w:pPr>
        <w:keepNext/>
        <w:widowControl/>
      </w:pPr>
      <w:r>
        <w:rPr>
          <w:rFonts w:ascii="DejaVu Serif" w:hAnsi="DejaVu Serif" w:eastAsia="DejaVu Serif" w:cs="DejaVu Serif"/>
          <w:b/>
          <w:i w:val="0"/>
          <w:color w:val="000000"/>
          <w:sz w:val="20"/>
        </w:rPr>
        <w:t>Table 30.4 Where the heading discrepancy enters and where the certified repair places 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50"/>
        <w:gridCol w:w="650"/>
        <w:gridCol w:w="1450"/>
        <w:gridCol w:w="950"/>
        <w:gridCol w:w="950"/>
        <w:gridCol w:w="950"/>
        <w:gridCol w:w="2120"/>
        <w:gridCol w:w="1700"/>
      </w:tblGrid>
      <w:tr>
        <w:trPr>
          <w:cantSplit/>
          <w:tblHeader/>
        </w:trPr>
        <w:tc>
          <w:tcPr>
            <w:tcW w:type="dxa" w:w="95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Source</w:t>
            </w:r>
          </w:p>
        </w:tc>
        <w:tc>
          <w:tcPr>
            <w:tcW w:type="dxa" w:w="65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δ</w:t>
            </w:r>
          </w:p>
        </w:tc>
        <w:tc>
          <w:tcPr>
            <w:tcW w:type="dxa" w:w="145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Certified share: A</w:t>
            </w:r>
          </w:p>
        </w:tc>
        <w:tc>
          <w:tcPr>
            <w:tcW w:type="dxa" w:w="95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B</w:t>
            </w:r>
          </w:p>
        </w:tc>
        <w:tc>
          <w:tcPr>
            <w:tcW w:type="dxa" w:w="95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C</w:t>
            </w:r>
          </w:p>
        </w:tc>
        <w:tc>
          <w:tcPr>
            <w:tcW w:type="dxa" w:w="95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D</w:t>
            </w:r>
          </w:p>
        </w:tc>
        <w:tc>
          <w:tcPr>
            <w:tcW w:type="dxa" w:w="212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Abelian share (A, B, C, D)</w:t>
            </w:r>
          </w:p>
        </w:tc>
        <w:tc>
          <w:tcPr>
            <w:tcW w:type="dxa" w:w="17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λ_min(S)</w:t>
            </w:r>
          </w:p>
        </w:tc>
      </w:tr>
      <w:tr>
        <w:trPr>
          <w:cantSplit/>
        </w:trPr>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A</w:t>
            </w:r>
          </w:p>
        </w:tc>
        <w:tc>
          <w:tcPr>
            <w:tcW w:type="dxa" w:w="6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15°</w:t>
            </w:r>
          </w:p>
        </w:tc>
        <w:tc>
          <w:tcPr>
            <w:tcW w:type="dxa" w:w="14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+0.425</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+0.394</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-0.214</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+0.394</w:t>
            </w:r>
          </w:p>
        </w:tc>
        <w:tc>
          <w:tcPr>
            <w:tcW w:type="dxa" w:w="2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0.1, 0.4, 0.1, 0.4</w:t>
            </w:r>
          </w:p>
        </w:tc>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-8.6×10⁻¹⁶</w:t>
            </w:r>
          </w:p>
        </w:tc>
      </w:tr>
      <w:tr>
        <w:trPr>
          <w:cantSplit/>
        </w:trPr>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A</w:t>
            </w:r>
          </w:p>
        </w:tc>
        <w:tc>
          <w:tcPr>
            <w:tcW w:type="dxa" w:w="6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60°</w:t>
            </w:r>
          </w:p>
        </w:tc>
        <w:tc>
          <w:tcPr>
            <w:tcW w:type="dxa" w:w="14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+0.466</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+0.381</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-0.229</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+0.381</w:t>
            </w:r>
          </w:p>
        </w:tc>
        <w:tc>
          <w:tcPr>
            <w:tcW w:type="dxa" w:w="2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0.1, 0.4, 0.1, 0.4</w:t>
            </w:r>
          </w:p>
        </w:tc>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8.9×10⁻¹⁶</w:t>
            </w:r>
          </w:p>
        </w:tc>
      </w:tr>
      <w:tr>
        <w:trPr>
          <w:cantSplit/>
        </w:trPr>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B</w:t>
            </w:r>
          </w:p>
        </w:tc>
        <w:tc>
          <w:tcPr>
            <w:tcW w:type="dxa" w:w="6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15°</w:t>
            </w:r>
          </w:p>
        </w:tc>
        <w:tc>
          <w:tcPr>
            <w:tcW w:type="dxa" w:w="14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+0.099</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+0.836</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+0.099</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-0.033</w:t>
            </w:r>
          </w:p>
        </w:tc>
        <w:tc>
          <w:tcPr>
            <w:tcW w:type="dxa" w:w="2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0.1, 0.4, 0.1, 0.4</w:t>
            </w:r>
          </w:p>
        </w:tc>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3.7×10⁻¹⁶</w:t>
            </w:r>
          </w:p>
        </w:tc>
      </w:tr>
      <w:tr>
        <w:trPr>
          <w:cantSplit/>
        </w:trPr>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B</w:t>
            </w:r>
          </w:p>
        </w:tc>
        <w:tc>
          <w:tcPr>
            <w:tcW w:type="dxa" w:w="6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60°</w:t>
            </w:r>
          </w:p>
        </w:tc>
        <w:tc>
          <w:tcPr>
            <w:tcW w:type="dxa" w:w="14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+0.087</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+0.857</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+0.087</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-0.031</w:t>
            </w:r>
          </w:p>
        </w:tc>
        <w:tc>
          <w:tcPr>
            <w:tcW w:type="dxa" w:w="2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0.1, 0.4, 0.1, 0.4</w:t>
            </w:r>
          </w:p>
        </w:tc>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-3.8×10⁻¹⁵</w:t>
            </w:r>
          </w:p>
        </w:tc>
      </w:tr>
      <w:tr>
        <w:trPr>
          <w:cantSplit/>
        </w:trPr>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C</w:t>
            </w:r>
          </w:p>
        </w:tc>
        <w:tc>
          <w:tcPr>
            <w:tcW w:type="dxa" w:w="6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15°</w:t>
            </w:r>
          </w:p>
        </w:tc>
        <w:tc>
          <w:tcPr>
            <w:tcW w:type="dxa" w:w="14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-0.214</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+0.394</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+0.425</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+0.394</w:t>
            </w:r>
          </w:p>
        </w:tc>
        <w:tc>
          <w:tcPr>
            <w:tcW w:type="dxa" w:w="2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0.1, 0.4, 0.1, 0.4</w:t>
            </w:r>
          </w:p>
        </w:tc>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-1.7×10⁻¹⁵</w:t>
            </w:r>
          </w:p>
        </w:tc>
      </w:tr>
      <w:tr>
        <w:trPr>
          <w:cantSplit/>
        </w:trPr>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C</w:t>
            </w:r>
          </w:p>
        </w:tc>
        <w:tc>
          <w:tcPr>
            <w:tcW w:type="dxa" w:w="6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60°</w:t>
            </w:r>
          </w:p>
        </w:tc>
        <w:tc>
          <w:tcPr>
            <w:tcW w:type="dxa" w:w="14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-0.229</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+0.381</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+0.466</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+0.381</w:t>
            </w:r>
          </w:p>
        </w:tc>
        <w:tc>
          <w:tcPr>
            <w:tcW w:type="dxa" w:w="2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0.1, 0.4, 0.1, 0.4</w:t>
            </w:r>
          </w:p>
        </w:tc>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-2.3×10⁻¹⁵</w:t>
            </w:r>
          </w:p>
        </w:tc>
      </w:tr>
      <w:tr>
        <w:trPr>
          <w:cantSplit/>
        </w:trPr>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D</w:t>
            </w:r>
          </w:p>
        </w:tc>
        <w:tc>
          <w:tcPr>
            <w:tcW w:type="dxa" w:w="6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15°</w:t>
            </w:r>
          </w:p>
        </w:tc>
        <w:tc>
          <w:tcPr>
            <w:tcW w:type="dxa" w:w="14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+0.099</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-0.033</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+0.099</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+0.836</w:t>
            </w:r>
          </w:p>
        </w:tc>
        <w:tc>
          <w:tcPr>
            <w:tcW w:type="dxa" w:w="2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0.1, 0.4, 0.1, 0.4</w:t>
            </w:r>
          </w:p>
        </w:tc>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-9.3×10⁻¹⁶</w:t>
            </w:r>
          </w:p>
        </w:tc>
      </w:tr>
      <w:tr>
        <w:trPr>
          <w:cantSplit/>
        </w:trPr>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D</w:t>
            </w:r>
          </w:p>
        </w:tc>
        <w:tc>
          <w:tcPr>
            <w:tcW w:type="dxa" w:w="6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60°</w:t>
            </w:r>
          </w:p>
        </w:tc>
        <w:tc>
          <w:tcPr>
            <w:tcW w:type="dxa" w:w="14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+0.087</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-0.031</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+0.087</w:t>
            </w:r>
          </w:p>
        </w:tc>
        <w:tc>
          <w:tcPr>
            <w:tcW w:type="dxa" w:w="95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+0.857</w:t>
            </w:r>
          </w:p>
        </w:tc>
        <w:tc>
          <w:tcPr>
            <w:tcW w:type="dxa" w:w="21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0.1, 0.4, 0.1, 0.4</w:t>
            </w:r>
          </w:p>
        </w:tc>
        <w:tc>
          <w:tcPr>
            <w:tcW w:type="dxa" w:w="1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-2.0×10⁻¹⁵</w:t>
            </w:r>
          </w:p>
        </w:tc>
      </w:tr>
    </w:tbl>
    <w:p>
      <w:pPr>
        <w:widowControl/>
        <w:spacing w:after="40"/>
        <w:jc w:val="both"/>
      </w:pPr>
      <w:r>
        <w:rPr>
          <w:rFonts w:ascii="DejaVu Serif" w:hAnsi="DejaVu Serif" w:eastAsia="DejaVu Serif" w:cs="DejaVu Serif"/>
          <w:b w:val="0"/>
          <w:i w:val="0"/>
          <w:color w:val="000000"/>
          <w:sz w:val="20"/>
        </w:rPr>
      </w:r>
    </w:p>
    <w:p>
      <w:pPr>
        <w:widowControl/>
        <w:jc w:val="both"/>
      </w:pPr>
      <w:r>
        <w:rPr>
          <w:rFonts w:ascii="DejaVu Serif" w:hAnsi="DejaVu Serif" w:eastAsia="DejaVu Serif" w:cs="DejaVu Serif"/>
          <w:b w:val="0"/>
          <w:i w:val="0"/>
          <w:color w:val="000000"/>
          <w:sz w:val="20"/>
        </w:rPr>
        <w:t>These results revise the reliability-weighted repair test of Table 27.1 whenever headings vary. The scalar profile proportional to 1/w applies only to abelian data. With heading and position both measured, the joint model predicts that corrections follow the source of a discrepancy. Head-direction population activity lies on a ring-like manifold [92, 93], and grid-cell population activity on a torus [94], so the group-valued model is the natural representation for such tests. These observations motivate the model; they do not show that animals solve this synchronisation problem, or that their corrections follow either objective [59].</w:t>
      </w:r>
    </w:p>
    <w:p>
      <w:pPr>
        <w:pStyle w:val="Heading1"/>
        <w:widowControl/>
      </w:pPr>
      <w:r>
        <w:rPr>
          <w:rFonts w:ascii="DejaVu Serif" w:hAnsi="DejaVu Serif" w:eastAsia="DejaVu Serif" w:cs="DejaVu Serif"/>
          <w:b/>
          <w:i w:val="0"/>
          <w:color w:val="000000"/>
          <w:sz w:val="26"/>
        </w:rPr>
        <w:t>31 Restriction maps from population recordings</w:t>
      </w:r>
    </w:p>
    <w:p>
      <w:pPr>
        <w:widowControl/>
        <w:jc w:val="both"/>
      </w:pPr>
      <w:r>
        <w:rPr>
          <w:rFonts w:ascii="DejaVu Serif" w:hAnsi="DejaVu Serif" w:eastAsia="DejaVu Serif" w:cs="DejaVu Serif"/>
          <w:b w:val="0"/>
          <w:i w:val="0"/>
          <w:color w:val="000000"/>
          <w:sz w:val="20"/>
        </w:rPr>
        <w:t>Section 21 requires an explicit encoding of neural states into local sections and an estimated map for each claimed restriction, validated on held-out data. This section states what such estimates can identify, gives a test that does not depend on arbitrary coordinate choices, and shows by simulation how the obvious estimator fails.</w:t>
      </w:r>
    </w:p>
    <w:p>
      <w:pPr>
        <w:keepNext/>
        <w:widowControl/>
      </w:pPr>
      <w:r>
        <w:rPr>
          <w:rFonts w:ascii="DejaVu Serif" w:hAnsi="DejaVu Serif" w:eastAsia="DejaVu Serif" w:cs="DejaVu Serif"/>
          <w:b/>
          <w:i w:val="0"/>
          <w:color w:val="000000"/>
          <w:sz w:val="20"/>
        </w:rPr>
        <w:t xml:space="preserve">Proposition 31.1 Gauge identifiability. </w:t>
      </w:r>
      <w:r>
        <w:rPr>
          <w:rFonts w:ascii="DejaVu Serif" w:hAnsi="DejaVu Serif" w:eastAsia="DejaVu Serif" w:cs="DejaVu Serif"/>
          <w:b w:val="0"/>
          <w:i w:val="0"/>
          <w:color w:val="000000"/>
          <w:sz w:val="20"/>
        </w:rPr>
        <w:t>Suppose recordings arise from local sections through unknown injective encoders, y_i=A_ix_i+noise, with x_i in a stalk of dimension k_i, and let T_ij map stalk i to stalk j on an overlap. Then (A_i, T_ij, x_i) and (A_iG_i⁻¹, G_jT_ijG_i⁻¹, G_ix_i) produce identical observations for any invertible G_i. Ranks, the dimensions of global sections and of H¹, triviality of every loop holonomy and the conjugacy class of each holonomy are invariant; individual matrix entries are not.</w:t>
      </w:r>
    </w:p>
    <w:p>
      <w:pPr>
        <w:widowControl/>
      </w:pPr>
      <w:r>
        <w:rPr>
          <w:rFonts w:ascii="DejaVu Serif" w:hAnsi="DejaVu Serif" w:eastAsia="DejaVu Serif" w:cs="DejaVu Serif"/>
          <w:b w:val="0"/>
          <w:i/>
          <w:color w:val="000000"/>
          <w:sz w:val="20"/>
        </w:rPr>
        <w:t xml:space="preserve">Proof. </w:t>
      </w:r>
      <w:r>
        <w:rPr>
          <w:rFonts w:ascii="DejaVu Serif" w:hAnsi="DejaVu Serif" w:eastAsia="DejaVu Serif" w:cs="DejaVu Serif"/>
          <w:b w:val="0"/>
          <w:i w:val="0"/>
          <w:color w:val="000000"/>
          <w:sz w:val="20"/>
        </w:rPr>
        <w:t>Substitution shows that the two parameterisations generate the same observations. Invertible changes of basis preserve ranks and kernel dimensions. The holonomy of a loop based at i becomes G_iHG_i⁻¹, which is the identity exactly when H is and has the same conjugacy class. □</w:t>
      </w:r>
    </w:p>
    <w:p>
      <w:pPr>
        <w:widowControl/>
        <w:jc w:val="both"/>
      </w:pPr>
      <w:r>
        <w:rPr>
          <w:rFonts w:ascii="DejaVu Serif" w:hAnsi="DejaVu Serif" w:eastAsia="DejaVu Serif" w:cs="DejaVu Serif"/>
          <w:b w:val="0"/>
          <w:i w:val="0"/>
          <w:color w:val="000000"/>
          <w:sz w:val="20"/>
        </w:rPr>
        <w:t>Raw restriction coefficients are therefore not comparable across sessions, animals or analyses unless the gauge is fixed or removed. This is why population studies align latent coordinates before comparing them [98], and why metrics on neural representations are built to be invariant to such transformations [99]. For a loop of contexts the gauge-invariant form of the sheaf hypothesis is H=I.</w:t>
      </w:r>
    </w:p>
    <w:p>
      <w:pPr>
        <w:keepNext/>
        <w:widowControl/>
      </w:pPr>
      <w:r>
        <w:rPr>
          <w:rFonts w:ascii="DejaVu Serif" w:hAnsi="DejaVu Serif" w:eastAsia="DejaVu Serif" w:cs="DejaVu Serif"/>
          <w:b/>
          <w:i w:val="0"/>
          <w:color w:val="000000"/>
          <w:sz w:val="20"/>
        </w:rPr>
        <w:t xml:space="preserve">Proposition 31.2 Spectral tests miss unipotent obstructions. </w:t>
      </w:r>
      <w:r>
        <w:rPr>
          <w:rFonts w:ascii="DejaVu Serif" w:hAnsi="DejaVu Serif" w:eastAsia="DejaVu Serif" w:cs="DejaVu Serif"/>
          <w:b w:val="0"/>
          <w:i w:val="0"/>
          <w:color w:val="000000"/>
          <w:sz w:val="20"/>
        </w:rPr>
        <w:t>A holonomy whose eigenvalues all equal 1 need not be the identity. For H=[[1, s], [0, 1]] with s≠0, every trace tr(Hʲ) equals the dimension, yet H is not conjugate to I. A test based only on the characteristic polynomial has no power against such obstructions.</w:t>
      </w:r>
    </w:p>
    <w:p>
      <w:pPr>
        <w:widowControl/>
      </w:pPr>
      <w:r>
        <w:rPr>
          <w:rFonts w:ascii="DejaVu Serif" w:hAnsi="DejaVu Serif" w:eastAsia="DejaVu Serif" w:cs="DejaVu Serif"/>
          <w:b w:val="0"/>
          <w:i/>
          <w:color w:val="000000"/>
          <w:sz w:val="20"/>
        </w:rPr>
        <w:t xml:space="preserve">Proof. </w:t>
      </w:r>
      <w:r>
        <w:rPr>
          <w:rFonts w:ascii="DejaVu Serif" w:hAnsi="DejaVu Serif" w:eastAsia="DejaVu Serif" w:cs="DejaVu Serif"/>
          <w:b w:val="0"/>
          <w:i w:val="0"/>
          <w:color w:val="000000"/>
          <w:sz w:val="20"/>
        </w:rPr>
        <w:t>H−I is nonzero and nilpotent, so H has the characteristic polynomial of the identity, and the traces of its powers agree with those of I. Conjugation preserves the property H−I≠0. □</w:t>
      </w:r>
    </w:p>
    <w:p>
      <w:pPr>
        <w:keepNext/>
        <w:widowControl/>
      </w:pPr>
      <w:r>
        <w:rPr>
          <w:rFonts w:ascii="DejaVu Serif" w:hAnsi="DejaVu Serif" w:eastAsia="DejaVu Serif" w:cs="DejaVu Serif"/>
          <w:b/>
          <w:i w:val="0"/>
          <w:color w:val="000000"/>
          <w:sz w:val="20"/>
        </w:rPr>
        <w:t xml:space="preserve">Proposition 31.3 Attenuation creates spurious holonomy; a repeat instrument removes it. </w:t>
      </w:r>
      <w:r>
        <w:rPr>
          <w:rFonts w:ascii="DejaVu Serif" w:hAnsi="DejaVu Serif" w:eastAsia="DejaVu Serif" w:cs="DejaVu Serif"/>
          <w:b w:val="0"/>
          <w:i w:val="0"/>
          <w:color w:val="000000"/>
          <w:sz w:val="20"/>
        </w:rPr>
        <w:t>Let x̂_i=ξ_i+e_i be fixed-gauge latent estimates on overlap trials, where ξ_j=Tξ_i holds exactly, Cov(ξ_i)=C_i is positive definite and the noise e is independent of ξ with covariance Σ_i. Ordinary least squares regression of x̂_j on x̂_i converges to TC_i(C_i+Σ_i)⁻¹, the classical attenuation of errors-in-variables regression [95]. Around a loop whose true holonomy is the identity, the product of these limits has determinant ∏det(C_i(C_i+Σ_i)⁻¹)&lt;1 whenever some Σ_i is nonzero, so the estimated holonomy does not converge to I. If each overlap state is presented twice with independent noise, the estimator T̂=X̂_j^a(X̂_i^b)ᵀ[X̂_i^a(X̂_i^b)ᵀ]⁻¹, which uses the second repeat as an instrument, converges to T.</w:t>
      </w:r>
    </w:p>
    <w:p>
      <w:pPr>
        <w:widowControl/>
      </w:pPr>
      <w:r>
        <w:rPr>
          <w:rFonts w:ascii="DejaVu Serif" w:hAnsi="DejaVu Serif" w:eastAsia="DejaVu Serif" w:cs="DejaVu Serif"/>
          <w:b w:val="0"/>
          <w:i/>
          <w:color w:val="000000"/>
          <w:sz w:val="20"/>
        </w:rPr>
        <w:t xml:space="preserve">Proof. </w:t>
      </w:r>
      <w:r>
        <w:rPr>
          <w:rFonts w:ascii="DejaVu Serif" w:hAnsi="DejaVu Serif" w:eastAsia="DejaVu Serif" w:cs="DejaVu Serif"/>
          <w:b w:val="0"/>
          <w:i w:val="0"/>
          <w:color w:val="000000"/>
          <w:sz w:val="20"/>
        </w:rPr>
        <w:t>By the law of large numbers N⁻¹X̂_jX̂_iᵀ→TC_i and N⁻¹X̂_iX̂_iᵀ→C_i+Σ_i, giving the first limit. Its determinant is det T·det C_i/det(C_i+Σ_i), and det(C_i+Σ_i)&gt;det C_i for a nonzero positive semidefinite Σ_i, while the true transition determinants multiply to 1 around the loop. For the instrument, noise terms in different repeats are uncorrelated with each other and with ξ, so N⁻¹X̂_j^a(X̂_i^b)ᵀ→TC_i and N⁻¹X̂_i^a(X̂_i^b)ᵀ→C_i. □</w:t>
      </w:r>
    </w:p>
    <w:p>
      <w:pPr>
        <w:keepNext/>
        <w:widowControl/>
      </w:pPr>
      <w:r>
        <w:rPr>
          <w:rFonts w:ascii="DejaVu Serif" w:hAnsi="DejaVu Serif" w:eastAsia="DejaVu Serif" w:cs="DejaVu Serif"/>
          <w:b/>
          <w:i w:val="0"/>
          <w:color w:val="000000"/>
          <w:sz w:val="20"/>
        </w:rPr>
        <w:t xml:space="preserve">Proposition 31.4 A gauge-invariant Wald statistic. </w:t>
      </w:r>
      <w:r>
        <w:rPr>
          <w:rFonts w:ascii="DejaVu Serif" w:hAnsi="DejaVu Serif" w:eastAsia="DejaVu Serif" w:cs="DejaVu Serif"/>
          <w:b w:val="0"/>
          <w:i w:val="0"/>
          <w:color w:val="000000"/>
          <w:sz w:val="20"/>
        </w:rPr>
        <w:t>Let Ĥ be the estimated holonomy and Ĉ the covariance of vec(Ĥ) over bootstrap resamples of overlap trials with the gauges held fixed [96]. The statistic W=vec(Ĥ−I)ᵀĈ⁻¹vec(Ĥ−I) is unchanged by a change of gauge of the base population.</w:t>
      </w:r>
    </w:p>
    <w:p>
      <w:pPr>
        <w:widowControl/>
      </w:pPr>
      <w:r>
        <w:rPr>
          <w:rFonts w:ascii="DejaVu Serif" w:hAnsi="DejaVu Serif" w:eastAsia="DejaVu Serif" w:cs="DejaVu Serif"/>
          <w:b w:val="0"/>
          <w:i/>
          <w:color w:val="000000"/>
          <w:sz w:val="20"/>
        </w:rPr>
        <w:t xml:space="preserve">Proof. </w:t>
      </w:r>
      <w:r>
        <w:rPr>
          <w:rFonts w:ascii="DejaVu Serif" w:hAnsi="DejaVu Serif" w:eastAsia="DejaVu Serif" w:cs="DejaVu Serif"/>
          <w:b w:val="0"/>
          <w:i w:val="0"/>
          <w:color w:val="000000"/>
          <w:sz w:val="20"/>
        </w:rPr>
        <w:t>A change of gauge maps every replicate Ĥ_b to GĤ_bG⁻¹, so vec(Ĥ_b−I) is multiplied by the invertible matrix K=G⁻ᵀ⊗G. The covariance becomes KĈKᵀ, and the quadratic form is unchanged. □</w:t>
      </w:r>
    </w:p>
    <w:p>
      <w:pPr>
        <w:widowControl/>
        <w:jc w:val="both"/>
      </w:pPr>
      <w:r>
        <w:rPr>
          <w:rFonts w:ascii="DejaVu Serif" w:hAnsi="DejaVu Serif" w:eastAsia="DejaVu Serif" w:cs="DejaVu Serif"/>
          <w:b w:val="0"/>
          <w:i w:val="0"/>
          <w:color w:val="000000"/>
          <w:sz w:val="20"/>
        </w:rPr>
        <w:t>Because Ĉ is itself estimated, the test refers W(B−p)/(p(B−1)) to the F distribution with p=k² and B−p degrees of freedom, Hotelling's correction for an estimated covariance [97]. The principal-component gauges are computed once from all trials and held fixed during resampling; re-estimating them in each replicate would mix gauge changes into the covariance. A composite-versus-direct functoriality check along U⊇V⊇W is the loop U→V→W→U closed with the inverse of the direct map when the maps are invertible. Non-invertible restrictions need a held-out prediction test instead.</w:t>
      </w:r>
    </w:p>
    <w:p>
      <w:pPr>
        <w:pStyle w:val="Heading2"/>
        <w:widowControl/>
      </w:pPr>
      <w:r>
        <w:rPr>
          <w:rFonts w:ascii="DejaVu Serif" w:hAnsi="DejaVu Serif" w:eastAsia="DejaVu Serif" w:cs="DejaVu Serif"/>
          <w:b/>
          <w:i w:val="0"/>
          <w:color w:val="000000"/>
          <w:sz w:val="22"/>
        </w:rPr>
        <w:t>31 1 Simulation</w:t>
      </w:r>
    </w:p>
    <w:p>
      <w:pPr>
        <w:widowControl/>
        <w:jc w:val="both"/>
      </w:pPr>
      <w:r>
        <w:rPr>
          <w:rFonts w:ascii="DejaVu Serif" w:hAnsi="DejaVu Serif" w:eastAsia="DejaVu Serif" w:cs="DejaVu Serif"/>
          <w:b w:val="0"/>
          <w:i w:val="0"/>
          <w:color w:val="000000"/>
          <w:sz w:val="20"/>
        </w:rPr>
        <w:t>Three contexts form a loop with overlaps (1,2), (2,3) and (3,1). Each population has 40 neurons and a three-dimensional latent stalk, and encodes the shared overlap state in its own random frame through a random encoder, with Gaussian noise. Each overlap state is presented twice. In the obstructed models population 1 encodes the state on its second overlap in a frame rotated by φ or sheared by s, which gives a nontrivial holonomy. Principal components are computed once per population, transitions are estimated on each overlap, and the bootstrap uses 200 resamples. There were 150 simulated datasets per null condition and 120 per alternative.</w:t>
      </w:r>
    </w:p>
    <w:p>
      <w:pPr>
        <w:keepNext/>
        <w:widowControl/>
      </w:pPr>
      <w:r>
        <w:rPr>
          <w:rFonts w:ascii="DejaVu Serif" w:hAnsi="DejaVu Serif" w:eastAsia="DejaVu Serif" w:cs="DejaVu Serif"/>
          <w:b/>
          <w:i w:val="0"/>
          <w:color w:val="000000"/>
          <w:sz w:val="20"/>
        </w:rPr>
        <w:t>Table 31.1 Calibration under a gauge-trivial loop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1100"/>
        <w:gridCol w:w="2000"/>
        <w:gridCol w:w="2900"/>
        <w:gridCol w:w="2220"/>
      </w:tblGrid>
      <w:tr>
        <w:trPr>
          <w:cantSplit/>
          <w:tblHeader/>
        </w:trPr>
        <w:tc>
          <w:tcPr>
            <w:tcW w:type="dxa" w:w="15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Trials per overlap</w:t>
            </w:r>
          </w:p>
        </w:tc>
        <w:tc>
          <w:tcPr>
            <w:tcW w:type="dxa" w:w="11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Noise SD</w:t>
            </w:r>
          </w:p>
        </w:tc>
        <w:tc>
          <w:tcPr>
            <w:tcW w:type="dxa" w:w="20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Estimator</w:t>
            </w:r>
          </w:p>
        </w:tc>
        <w:tc>
          <w:tcPr>
            <w:tcW w:type="dxa" w:w="29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Rejection of a true null (α=0.05)</w:t>
            </w:r>
          </w:p>
        </w:tc>
        <w:tc>
          <w:tcPr>
            <w:tcW w:type="dxa" w:w="222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Median ‖Ĥ−I‖</w:t>
            </w:r>
          </w:p>
        </w:tc>
      </w:tr>
      <w:tr>
        <w:trPr>
          <w:cantSplit/>
        </w:trPr>
        <w:tc>
          <w:tcPr>
            <w:tcW w:type="dxa" w:w="15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0.5</w:t>
            </w:r>
          </w:p>
        </w:tc>
        <w:tc>
          <w:tcPr>
            <w:tcW w:type="dxa" w:w="2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least squares</w:t>
            </w:r>
          </w:p>
        </w:tc>
        <w:tc>
          <w:tcPr>
            <w:tcW w:type="dxa" w:w="29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0.740</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0.189</w:t>
            </w:r>
          </w:p>
        </w:tc>
      </w:tr>
      <w:tr>
        <w:trPr>
          <w:cantSplit/>
        </w:trPr>
        <w:tc>
          <w:tcPr>
            <w:tcW w:type="dxa" w:w="15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0.5</w:t>
            </w:r>
          </w:p>
        </w:tc>
        <w:tc>
          <w:tcPr>
            <w:tcW w:type="dxa" w:w="2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repeat instrument</w:t>
            </w:r>
          </w:p>
        </w:tc>
        <w:tc>
          <w:tcPr>
            <w:tcW w:type="dxa" w:w="29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0.073</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0.132</w:t>
            </w:r>
          </w:p>
        </w:tc>
      </w:tr>
      <w:tr>
        <w:trPr>
          <w:cantSplit/>
        </w:trPr>
        <w:tc>
          <w:tcPr>
            <w:tcW w:type="dxa" w:w="15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w:t>
            </w:r>
          </w:p>
        </w:tc>
        <w:tc>
          <w:tcPr>
            <w:tcW w:type="dxa" w:w="2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least squares</w:t>
            </w:r>
          </w:p>
        </w:tc>
        <w:tc>
          <w:tcPr>
            <w:tcW w:type="dxa" w:w="29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1.000</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0.507</w:t>
            </w:r>
          </w:p>
        </w:tc>
      </w:tr>
      <w:tr>
        <w:trPr>
          <w:cantSplit/>
        </w:trPr>
        <w:tc>
          <w:tcPr>
            <w:tcW w:type="dxa" w:w="15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w:t>
            </w:r>
          </w:p>
        </w:tc>
        <w:tc>
          <w:tcPr>
            <w:tcW w:type="dxa" w:w="2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repeat instrument</w:t>
            </w:r>
          </w:p>
        </w:tc>
        <w:tc>
          <w:tcPr>
            <w:tcW w:type="dxa" w:w="29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0.073</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0.301</w:t>
            </w:r>
          </w:p>
        </w:tc>
      </w:tr>
      <w:tr>
        <w:trPr>
          <w:cantSplit/>
        </w:trPr>
        <w:tc>
          <w:tcPr>
            <w:tcW w:type="dxa" w:w="15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400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0.5</w:t>
            </w:r>
          </w:p>
        </w:tc>
        <w:tc>
          <w:tcPr>
            <w:tcW w:type="dxa" w:w="2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least squares</w:t>
            </w:r>
          </w:p>
        </w:tc>
        <w:tc>
          <w:tcPr>
            <w:tcW w:type="dxa" w:w="29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1.000</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0.161</w:t>
            </w:r>
          </w:p>
        </w:tc>
      </w:tr>
      <w:tr>
        <w:trPr>
          <w:cantSplit/>
        </w:trPr>
        <w:tc>
          <w:tcPr>
            <w:tcW w:type="dxa" w:w="15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400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0.5</w:t>
            </w:r>
          </w:p>
        </w:tc>
        <w:tc>
          <w:tcPr>
            <w:tcW w:type="dxa" w:w="2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repeat instrument</w:t>
            </w:r>
          </w:p>
        </w:tc>
        <w:tc>
          <w:tcPr>
            <w:tcW w:type="dxa" w:w="29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0.060</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0.062</w:t>
            </w:r>
          </w:p>
        </w:tc>
      </w:tr>
      <w:tr>
        <w:trPr>
          <w:cantSplit/>
        </w:trPr>
        <w:tc>
          <w:tcPr>
            <w:tcW w:type="dxa" w:w="15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400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w:t>
            </w:r>
          </w:p>
        </w:tc>
        <w:tc>
          <w:tcPr>
            <w:tcW w:type="dxa" w:w="2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least squares</w:t>
            </w:r>
          </w:p>
        </w:tc>
        <w:tc>
          <w:tcPr>
            <w:tcW w:type="dxa" w:w="29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1.000</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0.484</w:t>
            </w:r>
          </w:p>
        </w:tc>
      </w:tr>
      <w:tr>
        <w:trPr>
          <w:cantSplit/>
        </w:trPr>
        <w:tc>
          <w:tcPr>
            <w:tcW w:type="dxa" w:w="15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400</w:t>
            </w:r>
          </w:p>
        </w:tc>
        <w:tc>
          <w:tcPr>
            <w:tcW w:type="dxa" w:w="11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w:t>
            </w:r>
          </w:p>
        </w:tc>
        <w:tc>
          <w:tcPr>
            <w:tcW w:type="dxa" w:w="2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repeat instrument</w:t>
            </w:r>
          </w:p>
        </w:tc>
        <w:tc>
          <w:tcPr>
            <w:tcW w:type="dxa" w:w="29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0.047</w:t>
            </w:r>
          </w:p>
        </w:tc>
        <w:tc>
          <w:tcPr>
            <w:tcW w:type="dxa" w:w="22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0.135</w:t>
            </w:r>
          </w:p>
        </w:tc>
      </w:tr>
    </w:tbl>
    <w:p>
      <w:pPr>
        <w:widowControl/>
        <w:spacing w:after="40"/>
        <w:jc w:val="both"/>
      </w:pPr>
      <w:r>
        <w:rPr>
          <w:rFonts w:ascii="DejaVu Serif" w:hAnsi="DejaVu Serif" w:eastAsia="DejaVu Serif" w:cs="DejaVu Serif"/>
          <w:b w:val="0"/>
          <w:i w:val="0"/>
          <w:color w:val="000000"/>
          <w:sz w:val="20"/>
        </w:rPr>
      </w:r>
    </w:p>
    <w:p>
      <w:pPr>
        <w:widowControl/>
        <w:jc w:val="both"/>
      </w:pPr>
      <w:r>
        <w:rPr>
          <w:rFonts w:ascii="DejaVu Serif" w:hAnsi="DejaVu Serif" w:eastAsia="DejaVu Serif" w:cs="DejaVu Serif"/>
          <w:b w:val="0"/>
          <w:i w:val="0"/>
          <w:color w:val="000000"/>
          <w:sz w:val="20"/>
        </w:rPr>
        <w:t>Least squares rejects a true null in 74–100% of datasets. Quadrupling the trials barely changes its median error ‖Ĥ−I‖ (0.19 to 0.16 at noise 0.5, 0.51 to 0.48 at noise 1.0), as Proposition 31.3 predicts for a bias. The instrument estimator rejects in 4.7–7.3% of datasets, within about 1.3 binomial standard errors of 5%, and its median error falls from 0.30 to 0.13 at noise 1.0.</w:t>
      </w:r>
    </w:p>
    <w:p>
      <w:pPr>
        <w:keepNext/>
        <w:widowControl/>
      </w:pPr>
      <w:r>
        <w:rPr>
          <w:rFonts w:ascii="DejaVu Serif" w:hAnsi="DejaVu Serif" w:eastAsia="DejaVu Serif" w:cs="DejaVu Serif"/>
          <w:b/>
          <w:i w:val="0"/>
          <w:color w:val="000000"/>
          <w:sz w:val="20"/>
        </w:rPr>
        <w:t>Table 31.2 Power against a rotational holonomy (200 trials per overlap, noise SD 1.0, 120 datasets)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0"/>
        <w:gridCol w:w="6720"/>
      </w:tblGrid>
      <w:tr>
        <w:trPr>
          <w:cantSplit/>
          <w:tblHeader/>
        </w:trPr>
        <w:tc>
          <w:tcPr>
            <w:tcW w:type="dxa" w:w="30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Rotation φ</w:t>
            </w:r>
          </w:p>
        </w:tc>
        <w:tc>
          <w:tcPr>
            <w:tcW w:type="dxa" w:w="672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Power of the Wald test (repeat instrument)</w:t>
            </w:r>
          </w:p>
        </w:tc>
      </w:tr>
      <w:tr>
        <w:trPr>
          <w:cantSplit/>
        </w:trPr>
        <w:tc>
          <w:tcPr>
            <w:tcW w:type="dxa" w:w="3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w:t>
            </w:r>
          </w:p>
        </w:tc>
        <w:tc>
          <w:tcPr>
            <w:tcW w:type="dxa" w:w="67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0.058</w:t>
            </w:r>
          </w:p>
        </w:tc>
      </w:tr>
      <w:tr>
        <w:trPr>
          <w:cantSplit/>
        </w:trPr>
        <w:tc>
          <w:tcPr>
            <w:tcW w:type="dxa" w:w="3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5°</w:t>
            </w:r>
          </w:p>
        </w:tc>
        <w:tc>
          <w:tcPr>
            <w:tcW w:type="dxa" w:w="67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0.233</w:t>
            </w:r>
          </w:p>
        </w:tc>
      </w:tr>
      <w:tr>
        <w:trPr>
          <w:cantSplit/>
        </w:trPr>
        <w:tc>
          <w:tcPr>
            <w:tcW w:type="dxa" w:w="3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w:t>
            </w:r>
          </w:p>
        </w:tc>
        <w:tc>
          <w:tcPr>
            <w:tcW w:type="dxa" w:w="67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0.917</w:t>
            </w:r>
          </w:p>
        </w:tc>
      </w:tr>
      <w:tr>
        <w:trPr>
          <w:cantSplit/>
        </w:trPr>
        <w:tc>
          <w:tcPr>
            <w:tcW w:type="dxa" w:w="3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20°</w:t>
            </w:r>
          </w:p>
        </w:tc>
        <w:tc>
          <w:tcPr>
            <w:tcW w:type="dxa" w:w="67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1.000</w:t>
            </w:r>
          </w:p>
        </w:tc>
      </w:tr>
      <w:tr>
        <w:trPr>
          <w:cantSplit/>
        </w:trPr>
        <w:tc>
          <w:tcPr>
            <w:tcW w:type="dxa" w:w="30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40°</w:t>
            </w:r>
          </w:p>
        </w:tc>
        <w:tc>
          <w:tcPr>
            <w:tcW w:type="dxa" w:w="67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1.000</w:t>
            </w:r>
          </w:p>
        </w:tc>
      </w:tr>
    </w:tbl>
    <w:p>
      <w:pPr>
        <w:widowControl/>
        <w:spacing w:after="40"/>
        <w:jc w:val="both"/>
      </w:pPr>
      <w:r>
        <w:rPr>
          <w:rFonts w:ascii="DejaVu Serif" w:hAnsi="DejaVu Serif" w:eastAsia="DejaVu Serif" w:cs="DejaVu Serif"/>
          <w:b w:val="0"/>
          <w:i w:val="0"/>
          <w:color w:val="000000"/>
          <w:sz w:val="20"/>
        </w:rPr>
      </w:r>
    </w:p>
    <w:p>
      <w:pPr>
        <w:keepNext/>
        <w:widowControl/>
      </w:pPr>
      <w:r>
        <w:rPr>
          <w:rFonts w:ascii="DejaVu Serif" w:hAnsi="DejaVu Serif" w:eastAsia="DejaVu Serif" w:cs="DejaVu Serif"/>
          <w:b/>
          <w:i w:val="0"/>
          <w:color w:val="000000"/>
          <w:sz w:val="20"/>
        </w:rPr>
        <w:t>Table 31.3 Detection of a unipotent holonomy (200 trials per overlap, noise SD 1.0, 120 datasets)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0"/>
        <w:gridCol w:w="3660"/>
        <w:gridCol w:w="3660"/>
      </w:tblGrid>
      <w:tr>
        <w:trPr>
          <w:cantSplit/>
          <w:tblHeader/>
        </w:trPr>
        <w:tc>
          <w:tcPr>
            <w:tcW w:type="dxa" w:w="24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Shear s</w:t>
            </w:r>
          </w:p>
        </w:tc>
        <w:tc>
          <w:tcPr>
            <w:tcW w:type="dxa" w:w="366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Full Wald test</w:t>
            </w:r>
          </w:p>
        </w:tc>
        <w:tc>
          <w:tcPr>
            <w:tcW w:type="dxa" w:w="366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Spectral test (traces of powers)</w:t>
            </w:r>
          </w:p>
        </w:tc>
      </w:tr>
      <w:tr>
        <w:trPr>
          <w:cantSplit/>
        </w:trPr>
        <w:tc>
          <w:tcPr>
            <w:tcW w:type="dxa" w:w="2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w:t>
            </w:r>
          </w:p>
        </w:tc>
        <w:tc>
          <w:tcPr>
            <w:tcW w:type="dxa" w:w="36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0.083</w:t>
            </w:r>
          </w:p>
        </w:tc>
        <w:tc>
          <w:tcPr>
            <w:tcW w:type="dxa" w:w="36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0.033</w:t>
            </w:r>
          </w:p>
        </w:tc>
      </w:tr>
      <w:tr>
        <w:trPr>
          <w:cantSplit/>
        </w:trPr>
        <w:tc>
          <w:tcPr>
            <w:tcW w:type="dxa" w:w="2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0.2</w:t>
            </w:r>
          </w:p>
        </w:tc>
        <w:tc>
          <w:tcPr>
            <w:tcW w:type="dxa" w:w="36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0.642</w:t>
            </w:r>
          </w:p>
        </w:tc>
        <w:tc>
          <w:tcPr>
            <w:tcW w:type="dxa" w:w="36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0.058</w:t>
            </w:r>
          </w:p>
        </w:tc>
      </w:tr>
      <w:tr>
        <w:trPr>
          <w:cantSplit/>
        </w:trPr>
        <w:tc>
          <w:tcPr>
            <w:tcW w:type="dxa" w:w="2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0.4</w:t>
            </w:r>
          </w:p>
        </w:tc>
        <w:tc>
          <w:tcPr>
            <w:tcW w:type="dxa" w:w="36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0.983</w:t>
            </w:r>
          </w:p>
        </w:tc>
        <w:tc>
          <w:tcPr>
            <w:tcW w:type="dxa" w:w="36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0.017</w:t>
            </w:r>
          </w:p>
        </w:tc>
      </w:tr>
      <w:tr>
        <w:trPr>
          <w:cantSplit/>
        </w:trPr>
        <w:tc>
          <w:tcPr>
            <w:tcW w:type="dxa" w:w="2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0.8</w:t>
            </w:r>
          </w:p>
        </w:tc>
        <w:tc>
          <w:tcPr>
            <w:tcW w:type="dxa" w:w="36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1.000</w:t>
            </w:r>
          </w:p>
        </w:tc>
        <w:tc>
          <w:tcPr>
            <w:tcW w:type="dxa" w:w="366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0.033</w:t>
            </w:r>
          </w:p>
        </w:tc>
      </w:tr>
    </w:tbl>
    <w:p>
      <w:pPr>
        <w:widowControl/>
        <w:spacing w:after="40"/>
        <w:jc w:val="both"/>
      </w:pPr>
      <w:r>
        <w:rPr>
          <w:rFonts w:ascii="DejaVu Serif" w:hAnsi="DejaVu Serif" w:eastAsia="DejaVu Serif" w:cs="DejaVu Serif"/>
          <w:b w:val="0"/>
          <w:i w:val="0"/>
          <w:color w:val="000000"/>
          <w:sz w:val="20"/>
        </w:rPr>
      </w:r>
    </w:p>
    <w:p>
      <w:pPr>
        <w:widowControl/>
        <w:jc w:val="both"/>
      </w:pPr>
      <w:r>
        <w:rPr>
          <w:rFonts w:ascii="DejaVu Serif" w:hAnsi="DejaVu Serif" w:eastAsia="DejaVu Serif" w:cs="DejaVu Serif"/>
          <w:b w:val="0"/>
          <w:i w:val="0"/>
          <w:color w:val="000000"/>
          <w:sz w:val="20"/>
        </w:rPr>
        <w:t>With 200 trials per overlap the instrument test detects a 10° rotational holonomy in 92% of datasets and a 20° holonomy in all of them. Against a shear the full Wald test reaches 98% at s=0.4, while the spectral test stays at 2–6%, as Proposition 31.2 requires.</w:t>
      </w:r>
    </w:p>
    <w:p>
      <w:pPr>
        <w:widowControl/>
        <w:jc w:val="both"/>
      </w:pPr>
      <w:r>
        <w:rPr>
          <w:rFonts w:ascii="DejaVu Serif" w:hAnsi="DejaVu Serif" w:eastAsia="DejaVu Serif" w:cs="DejaVu Serif"/>
          <w:b w:val="0"/>
          <w:i w:val="0"/>
          <w:color w:val="000000"/>
          <w:sz w:val="20"/>
        </w:rPr>
        <w:t>These are statistical preconditions for testing the sheaf reading of neural data, not evidence that cortex or hippocampus implements it. A real analysis must also address nonlinear encoding, nonstationarity across sessions and the choice of latent dimension, each of which can mimic or hide holonomy.</w:t>
      </w:r>
    </w:p>
    <w:p>
      <w:pPr>
        <w:pStyle w:val="Heading1"/>
        <w:widowControl/>
      </w:pPr>
      <w:r>
        <w:rPr>
          <w:rFonts w:ascii="DejaVu Serif" w:hAnsi="DejaVu Serif" w:eastAsia="DejaVu Serif" w:cs="DejaVu Serif"/>
          <w:b/>
          <w:i w:val="0"/>
          <w:color w:val="000000"/>
          <w:sz w:val="26"/>
        </w:rPr>
        <w:t>32 A compiled reference runtime</w:t>
      </w:r>
    </w:p>
    <w:p>
      <w:pPr>
        <w:widowControl/>
        <w:jc w:val="both"/>
      </w:pPr>
      <w:r>
        <w:rPr>
          <w:rFonts w:ascii="DejaVu Serif" w:hAnsi="DejaVu Serif" w:eastAsia="DejaVu Serif" w:cs="DejaVu Serif"/>
          <w:b w:val="0"/>
          <w:i w:val="0"/>
          <w:color w:val="000000"/>
          <w:sz w:val="20"/>
        </w:rPr>
        <w:t>Appendix A has been described as uncompiled since Version 2. This revision compiles it unchanged with the .NET SDK 8.0.132 on Ubuntu 24.04, in a project with nullable reference types enabled and warnings treated as errors. It adds immutable modules for Sections 29 and 30: a χ² tail, the calibrated cycle verifier, group-valued holonomy and certified angular synchronisation. Appendix D lists the central contracts, and the complete source accompanies this version. The build needs no external packages; a cyclic Jacobi eigensolver replaces a numerical library.</w:t>
      </w:r>
    </w:p>
    <w:p>
      <w:pPr>
        <w:widowControl/>
        <w:jc w:val="both"/>
      </w:pPr>
      <w:r>
        <w:rPr>
          <w:rFonts w:ascii="DejaVu Serif" w:hAnsi="DejaVu Serif" w:eastAsia="DejaVu Serif" w:cs="DejaVu Serif"/>
          <w:b w:val="0"/>
          <w:i w:val="0"/>
          <w:color w:val="000000"/>
          <w:sz w:val="20"/>
        </w:rPr>
        <w:t>A separate script, make_golden.py, writes reference values from Python and SciPy, which the C# program checks independently (Table 32.1).</w:t>
      </w:r>
    </w:p>
    <w:p>
      <w:pPr>
        <w:keepNext/>
        <w:widowControl/>
      </w:pPr>
      <w:r>
        <w:rPr>
          <w:rFonts w:ascii="DejaVu Serif" w:hAnsi="DejaVu Serif" w:eastAsia="DejaVu Serif" w:cs="DejaVu Serif"/>
          <w:b/>
          <w:i w:val="0"/>
          <w:color w:val="000000"/>
          <w:sz w:val="20"/>
        </w:rPr>
        <w:t>Table 32.1 Cross-language checks of the compiled runtime (.NET 8.0.32)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0"/>
        <w:gridCol w:w="3400"/>
        <w:gridCol w:w="3620"/>
      </w:tblGrid>
      <w:tr>
        <w:trPr>
          <w:cantSplit/>
          <w:tblHeader/>
        </w:trPr>
        <w:tc>
          <w:tcPr>
            <w:tcW w:type="dxa" w:w="27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Module</w:t>
            </w:r>
          </w:p>
        </w:tc>
        <w:tc>
          <w:tcPr>
            <w:tcW w:type="dxa" w:w="340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Checks</w:t>
            </w:r>
          </w:p>
        </w:tc>
        <w:tc>
          <w:tcPr>
            <w:tcW w:type="dxa" w:w="3620"/>
            <w:tcMar>
              <w:top w:w="75" w:type="dxa"/>
              <w:left w:w="75" w:type="dxa"/>
              <w:bottom w:w="75" w:type="dxa"/>
              <w:right w:w="75" w:type="dxa"/>
            </w:tcMar>
            <w:shd w:fill="E7EDF2"/>
          </w:tcPr>
          <w:p>
            <w:pPr>
              <w:spacing w:after="40" w:line="250" w:lineRule="auto"/>
            </w:pPr>
            <w:r>
              <w:rPr>
                <w:rFonts w:ascii="DejaVu Serif" w:hAnsi="DejaVu Serif" w:eastAsia="DejaVu Serif" w:cs="DejaVu Serif"/>
                <w:b/>
                <w:i w:val="0"/>
                <w:color w:val="000000"/>
                <w:sz w:val="17"/>
              </w:rPr>
              <w:t>Agreement</w:t>
            </w:r>
          </w:p>
        </w:tc>
      </w:tr>
      <w:tr>
        <w:trPr>
          <w:cantSplit/>
        </w:trPr>
        <w:tc>
          <w:tcPr>
            <w:tcW w:type="dxa" w:w="2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GraphSheafF2 (Appendix A, verbatim)</w:t>
            </w:r>
          </w:p>
        </w:tc>
        <w:tc>
          <w:tcPr>
            <w:tcW w:type="dxa" w:w="3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63 cases, including self-loops: dimensions and exactness</w:t>
            </w:r>
          </w:p>
        </w:tc>
        <w:tc>
          <w:tcPr>
            <w:tcW w:type="dxa" w:w="36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All agree</w:t>
            </w:r>
          </w:p>
        </w:tc>
      </w:tr>
      <w:tr>
        <w:trPr>
          <w:cantSplit/>
        </w:trPr>
        <w:tc>
          <w:tcPr>
            <w:tcW w:type="dxa" w:w="2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Chi-square upper tail</w:t>
            </w:r>
          </w:p>
        </w:tc>
        <w:tc>
          <w:tcPr>
            <w:tcW w:type="dxa" w:w="3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119 points, 1 to 250 degrees of freedom</w:t>
            </w:r>
          </w:p>
        </w:tc>
        <w:tc>
          <w:tcPr>
            <w:tcW w:type="dxa" w:w="36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Relative error ≤ 1.6×10⁻¹³ against SciPy</w:t>
            </w:r>
          </w:p>
        </w:tc>
      </w:tr>
      <w:tr>
        <w:trPr>
          <w:cantSplit/>
        </w:trPr>
        <w:tc>
          <w:tcPr>
            <w:tcW w:type="dxa" w:w="2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CycleVerifier (Proposition 29.4)</w:t>
            </w:r>
          </w:p>
        </w:tc>
        <w:tc>
          <w:tcPr>
            <w:tcW w:type="dxa" w:w="3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40 weighted graphs, half with an added offset</w:t>
            </w:r>
          </w:p>
        </w:tc>
        <w:tc>
          <w:tcPr>
            <w:tcW w:type="dxa" w:w="36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T within 2.6×10⁻¹⁵, p within 1.4×10⁻¹⁴; 40/40 decisions</w:t>
            </w:r>
          </w:p>
        </w:tc>
      </w:tr>
      <w:tr>
        <w:trPr>
          <w:cantSplit/>
        </w:trPr>
        <w:tc>
          <w:tcPr>
            <w:tcW w:type="dxa" w:w="2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Holonomy over SE(2) (Theorem 30.1)</w:t>
            </w:r>
          </w:p>
        </w:tc>
        <w:tc>
          <w:tcPr>
            <w:tcW w:type="dxa" w:w="3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321 fundamental walks in 30 graphs, half with one corrupted edge</w:t>
            </w:r>
          </w:p>
        </w:tc>
        <w:tc>
          <w:tcPr>
            <w:tcW w:type="dxa" w:w="36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Within 5.3×10⁻¹⁵; 30/30 classifications; trivialising frames reproduce all measurements within 1.5×10⁻¹⁴</w:t>
            </w:r>
          </w:p>
        </w:tc>
      </w:tr>
      <w:tr>
        <w:trPr>
          <w:cantSplit/>
        </w:trPr>
        <w:tc>
          <w:tcPr>
            <w:tcW w:type="dxa" w:w="27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AngularSync (Theorem 30.4)</w:t>
            </w:r>
          </w:p>
        </w:tc>
        <w:tc>
          <w:tcPr>
            <w:tcW w:type="dxa" w:w="340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24 instances, noise 0.2 to 1.6 rad</w:t>
            </w:r>
          </w:p>
        </w:tc>
        <w:tc>
          <w:tcPr>
            <w:tcW w:type="dxa" w:w="3620"/>
            <w:tcMar>
              <w:top w:w="75" w:type="dxa"/>
              <w:left w:w="75" w:type="dxa"/>
              <w:bottom w:w="75" w:type="dxa"/>
              <w:right w:w="75" w:type="dxa"/>
            </w:tcMar>
            <w:shd w:fill="FFFFFF"/>
          </w:tcPr>
          <w:p>
            <w:pPr>
              <w:spacing w:after="40" w:line="250" w:lineRule="auto"/>
            </w:pPr>
            <w:r>
              <w:rPr>
                <w:rFonts w:ascii="DejaVu Serif" w:hAnsi="DejaVu Serif" w:eastAsia="DejaVu Serif" w:cs="DejaVu Serif"/>
                <w:b w:val="0"/>
                <w:i w:val="0"/>
                <w:color w:val="000000"/>
                <w:sz w:val="17"/>
              </w:rPr>
              <w:t>Certificate decisions 24/24; costs within 3.2×10⁻¹⁵ where both certify</w:t>
            </w:r>
          </w:p>
        </w:tc>
      </w:tr>
    </w:tbl>
    <w:p>
      <w:pPr>
        <w:widowControl/>
        <w:spacing w:after="40"/>
        <w:jc w:val="both"/>
      </w:pPr>
      <w:r>
        <w:rPr>
          <w:rFonts w:ascii="DejaVu Serif" w:hAnsi="DejaVu Serif" w:eastAsia="DejaVu Serif" w:cs="DejaVu Serif"/>
          <w:b w:val="0"/>
          <w:i w:val="0"/>
          <w:color w:val="000000"/>
          <w:sz w:val="20"/>
        </w:rPr>
      </w:r>
    </w:p>
    <w:p>
      <w:pPr>
        <w:widowControl/>
        <w:jc w:val="both"/>
      </w:pPr>
      <w:r>
        <w:rPr>
          <w:rFonts w:ascii="DejaVu Serif" w:hAnsi="DejaVu Serif" w:eastAsia="DejaVu Serif" w:cs="DejaVu Serif"/>
          <w:b w:val="0"/>
          <w:i w:val="0"/>
          <w:color w:val="000000"/>
          <w:sz w:val="20"/>
        </w:rPr>
        <w:t>These checks establish agreement between two independent implementations on finite instances; they are not formal verification. The certificate inherits the eigensolver error noted after Proposition 30.5, the verifier inherits the Gaussian model of Section 29, and the F₂ core keeps its stated scope: it computes neither d¹ nor general sheaf cohomology.</w:t>
      </w:r>
    </w:p>
    <w:p>
      <w:pPr>
        <w:pStyle w:val="Heading1"/>
        <w:widowControl/>
      </w:pPr>
      <w:r>
        <w:rPr>
          <w:rFonts w:ascii="DejaVu Serif" w:hAnsi="DejaVu Serif" w:eastAsia="DejaVu Serif" w:cs="DejaVu Serif"/>
          <w:b/>
          <w:color w:val="000000"/>
          <w:sz w:val="26"/>
        </w:rPr>
        <w:t>33 Conclusion</w:t>
      </w:r>
    </w:p>
    <w:p>
      <w:pPr>
        <w:widowControl/>
      </w:pPr>
      <w:r>
        <w:rPr>
          <w:rFonts w:ascii="DejaVu Serif" w:hAnsi="DejaVu Serif" w:eastAsia="DejaVu Serif" w:cs="DejaVu Serif"/>
          <w:color w:val="000000"/>
          <w:sz w:val="20"/>
        </w:rPr>
        <w:t>The neocortex–thalamus–hippocampus trio can organise the proposed paradigm when its roles are recurrent and overlapping: reusable representations and transformations, routed information and coupling, and rapidly bound episode traces with retrieval and replay. Six neocortical layers suggest differentiated interfaces, while comparative pallial research prevents treating them as six unique stages obtained by doubling an ancestral cortex. Exact gluing and cohomological diagnosis remain software contracts. The hippocampus retains episode content as well as associations, thalamic circuits carry information as well as control, and neural coincidence is an integration mechanism rather than a proof. With these distinctions, optional brain inspired features can be added through explicit sheaf constructions, and implementation performance and neural plausibility can be tested separately.</w:t>
      </w:r>
    </w:p>
    <w:p>
      <w:pPr>
        <w:widowControl/>
      </w:pPr>
      <w:r>
        <w:rPr>
          <w:rFonts w:ascii="DejaVu Serif" w:hAnsi="DejaVu Serif" w:eastAsia="DejaVu Serif" w:cs="DejaVu Serif"/>
          <w:color w:val="000000"/>
          <w:sz w:val="20"/>
        </w:rPr>
        <w:t>Sections 29–32 turn three of the paper's open requirements into stated results. Calibration replaces the verifier's free tolerance by an exact error rate whose power is the repair cost. Group-valued transport replaces cycle sums by holonomy, certifies global optimality of planar repair after the fact, and shows that homology bases do not certify nonabelian triviality. Gauge-invariant holonomy tests with instrumented estimators make the neural bridge of Section 21 testable without spurious obstructions. The reference code now compiles and agrees with the Python harness to rounding error.</w:t>
      </w:r>
    </w:p>
    <w:p w14:paraId="08DA8BEB" w14:textId="77777777" w:rsidR="000000DC" w:rsidRDefault="00000000" w:rsidP="00351DF2">
      <w:pPr>
        <w:pStyle w:val="Heading1"/>
        <w:widowControl/>
        <w:jc w:val="both"/>
      </w:pPr>
      <w:r>
        <w:rPr>
          <w:rFonts w:ascii="DejaVu Serif" w:eastAsia="DejaVu Serif" w:hAnsi="DejaVu Serif" w:cs="DejaVu Serif"/>
          <w:b/>
          <w:color w:val="000000"/>
          <w:sz w:val="26"/>
        </w:rPr>
        <w:t>References</w:t>
      </w:r>
    </w:p>
    <w:p w14:paraId="43367E27" w14:textId="77777777" w:rsidR="000000DC" w:rsidRDefault="00000000" w:rsidP="00351DF2">
      <w:pPr>
        <w:widowControl/>
        <w:jc w:val="both"/>
      </w:pPr>
      <w:r>
        <w:rPr>
          <w:rFonts w:ascii="DejaVu Serif" w:hAnsi="DejaVu Serif" w:eastAsia="DejaVu Serif" w:cs="DejaVu Serif"/>
          <w:color w:val="000000"/>
          <w:sz w:val="20"/>
        </w:rPr>
        <w:t>[1] Bredon, G. E. (1997). Sheaf Theory. Second edition. Springer, Graduate Texts in Mathematics 170.</w:t>
      </w:r>
    </w:p>
    <w:p w14:paraId="1C927876" w14:textId="77777777" w:rsidR="000000DC" w:rsidRDefault="00000000" w:rsidP="00351DF2">
      <w:pPr>
        <w:widowControl/>
        <w:jc w:val="both"/>
      </w:pPr>
      <w:r>
        <w:rPr>
          <w:rFonts w:ascii="DejaVu Serif" w:hAnsi="DejaVu Serif" w:eastAsia="DejaVu Serif" w:cs="DejaVu Serif"/>
          <w:color w:val="000000"/>
          <w:sz w:val="20"/>
        </w:rPr>
        <w:t>[2] Curry, J. (2014). Sheaves, Cosheaves and Applications. PhD thesis, University of Pennsylvania. arXiv:1303.3255. https://arxiv.org/abs/1303.3255</w:t>
      </w:r>
    </w:p>
    <w:p w14:paraId="3A23F5A0" w14:textId="77777777" w:rsidR="000000DC" w:rsidRDefault="00000000" w:rsidP="00351DF2">
      <w:pPr>
        <w:widowControl/>
        <w:jc w:val="both"/>
      </w:pPr>
      <w:r>
        <w:rPr>
          <w:rFonts w:ascii="DejaVu Serif" w:hAnsi="DejaVu Serif" w:eastAsia="DejaVu Serif" w:cs="DejaVu Serif"/>
          <w:color w:val="000000"/>
          <w:sz w:val="20"/>
        </w:rPr>
        <w:t>[3] Mac Lane, S., and Moerdijk, I. (1992). Sheaves in Geometry and Logic. Springer.</w:t>
      </w:r>
    </w:p>
    <w:p w14:paraId="1092BBCB" w14:textId="77777777" w:rsidR="000000DC" w:rsidRDefault="00000000" w:rsidP="00351DF2">
      <w:pPr>
        <w:widowControl/>
        <w:jc w:val="both"/>
      </w:pPr>
      <w:r>
        <w:rPr>
          <w:rFonts w:ascii="DejaVu Serif" w:hAnsi="DejaVu Serif" w:eastAsia="DejaVu Serif" w:cs="DejaVu Serif"/>
          <w:color w:val="000000"/>
          <w:sz w:val="20"/>
        </w:rPr>
        <w:t>[4] Weibel, C. A. (1994). An Introduction to Homological Algebra. Cambridge University Press.</w:t>
      </w:r>
    </w:p>
    <w:p w14:paraId="683B04DB" w14:textId="77777777" w:rsidR="000000DC" w:rsidRDefault="00000000" w:rsidP="00351DF2">
      <w:pPr>
        <w:widowControl/>
        <w:jc w:val="both"/>
      </w:pPr>
      <w:r>
        <w:rPr>
          <w:rFonts w:ascii="DejaVu Serif" w:hAnsi="DejaVu Serif" w:eastAsia="DejaVu Serif" w:cs="DejaVu Serif"/>
          <w:color w:val="000000"/>
          <w:sz w:val="20"/>
        </w:rPr>
        <w:t>[5] Robinson, M. (2014). Topological Signal Processing. Springer.</w:t>
      </w:r>
    </w:p>
    <w:p w14:paraId="3B36228C" w14:textId="77777777" w:rsidR="000000DC" w:rsidRDefault="00000000" w:rsidP="00351DF2">
      <w:pPr>
        <w:widowControl/>
        <w:jc w:val="both"/>
      </w:pPr>
      <w:r>
        <w:rPr>
          <w:rFonts w:ascii="DejaVu Serif" w:hAnsi="DejaVu Serif" w:eastAsia="DejaVu Serif" w:cs="DejaVu Serif"/>
          <w:color w:val="000000"/>
          <w:sz w:val="20"/>
        </w:rPr>
        <w:t>[6] Hansen, J., and Ghrist, R. (2019). Toward a spectral theory of cellular sheaves. Journal of Applied and Computational Topology 3, 315–358. https://doi.org/10.1007/s41468-019-00038-7. Author manuscript: https://arxiv.org/abs/1808.01513</w:t>
      </w:r>
    </w:p>
    <w:p w14:paraId="26D8184C" w14:textId="77777777" w:rsidR="000000DC" w:rsidRDefault="00000000" w:rsidP="00351DF2">
      <w:pPr>
        <w:widowControl/>
        <w:jc w:val="both"/>
      </w:pPr>
      <w:r>
        <w:rPr>
          <w:rFonts w:ascii="DejaVu Serif" w:hAnsi="DejaVu Serif" w:eastAsia="DejaVu Serif" w:cs="DejaVu Serif"/>
          <w:color w:val="000000"/>
          <w:sz w:val="20"/>
        </w:rPr>
        <w:t>[7] The Stacks Project Authors. Sites and Sheaves, Section 7.10, Sheafification, tag 00W1; Cohomology on Sites, Section 21.10, Čech cohomology and cohomology, tag 03AV. https://stacks.math.columbia.edu/tag/00W1 and https://stacks.math.columbia.edu/tag/03AV. Accessed 21 October 2026.</w:t>
      </w:r>
    </w:p>
    <w:p w14:paraId="4B28E15E" w14:textId="77777777" w:rsidR="000000DC" w:rsidRDefault="00000000" w:rsidP="00351DF2">
      <w:pPr>
        <w:widowControl/>
        <w:jc w:val="both"/>
      </w:pPr>
      <w:r>
        <w:rPr>
          <w:rFonts w:ascii="DejaVu Serif" w:hAnsi="DejaVu Serif" w:eastAsia="DejaVu Serif" w:cs="DejaVu Serif"/>
          <w:color w:val="000000"/>
          <w:sz w:val="20"/>
        </w:rPr>
        <w:t>[8] The Stacks Project Authors. Cohomology on Sites, Section 21.4, First cohomology and torsors, tag 03AG. https://stacks.math.columbia.edu/tag/03AG. Accessed 21 October 2026.</w:t>
      </w:r>
    </w:p>
    <w:p w14:paraId="7A5AB11B" w14:textId="77777777" w:rsidR="000000DC" w:rsidRDefault="00000000" w:rsidP="00351DF2">
      <w:pPr>
        <w:widowControl/>
        <w:jc w:val="both"/>
      </w:pPr>
      <w:r>
        <w:rPr>
          <w:rFonts w:ascii="DejaVu Serif" w:hAnsi="DejaVu Serif" w:eastAsia="DejaVu Serif" w:cs="DejaVu Serif"/>
          <w:color w:val="000000"/>
          <w:sz w:val="20"/>
        </w:rPr>
        <w:t>[9] Karp, R. M. (1972). Reducibility among combinatorial problems. In Complexity of Computer Computations, pp. 85–103. Plenum Press.</w:t>
      </w:r>
    </w:p>
    <w:p w14:paraId="04495079" w14:textId="77777777" w:rsidR="000000DC" w:rsidRDefault="00000000" w:rsidP="00351DF2">
      <w:pPr>
        <w:widowControl/>
        <w:jc w:val="both"/>
      </w:pPr>
      <w:r>
        <w:rPr>
          <w:rFonts w:ascii="DejaVu Serif" w:hAnsi="DejaVu Serif" w:eastAsia="DejaVu Serif" w:cs="DejaVu Serif"/>
          <w:color w:val="000000"/>
          <w:sz w:val="20"/>
        </w:rPr>
        <w:t>[10] Nader, K., Schafe, G. E., and LeDoux, J. E. (2000). Fear memories require protein synthesis in the amygdala for reconsolidation after retrieval. Nature 406, 722–726.</w:t>
      </w:r>
    </w:p>
    <w:p w14:paraId="0BA0E895" w14:textId="77777777" w:rsidR="000000DC" w:rsidRDefault="00000000" w:rsidP="00351DF2">
      <w:pPr>
        <w:widowControl/>
        <w:jc w:val="both"/>
      </w:pPr>
      <w:r>
        <w:rPr>
          <w:rFonts w:ascii="DejaVu Serif" w:hAnsi="DejaVu Serif" w:eastAsia="DejaVu Serif" w:cs="DejaVu Serif"/>
          <w:color w:val="000000"/>
          <w:sz w:val="20"/>
        </w:rPr>
        <w:t>[11] Abramsky, S., and Brandenburger, A. (2011). The sheaf theoretic structure of non locality and contextuality. New Journal of Physics 13, 113036. Contextuality uses a distinct measurement scenario framework; it is background, not a substitute for the transition cohomology defined here.</w:t>
      </w:r>
    </w:p>
    <w:p>
      <w:pPr>
        <w:widowControl/>
      </w:pPr>
      <w:r>
        <w:rPr>
          <w:rFonts w:ascii="DejaVu Serif" w:hAnsi="DejaVu Serif" w:eastAsia="DejaVu Serif" w:cs="DejaVu Serif"/>
          <w:color w:val="000000"/>
          <w:sz w:val="20"/>
        </w:rPr>
        <w:t>[12] Demko, S., Moss, W. F., and Smith, P. W. (1984). Decay rates for inverses of band matrices. Mathematics of Computation 43, 491–499. https://doi.org/10.1090/S0025-5718-1984-0758197-9. Section 16 gives a self contained graph distance argument using the same polynomial approximation principle.</w:t>
      </w:r>
    </w:p>
    <w:p>
      <w:pPr>
        <w:widowControl/>
      </w:pPr>
      <w:r>
        <w:rPr>
          <w:rFonts w:ascii="DejaVu Serif" w:hAnsi="DejaVu Serif" w:eastAsia="DejaVu Serif" w:cs="DejaVu Serif"/>
          <w:color w:val="000000"/>
          <w:sz w:val="20"/>
        </w:rPr>
        <w:t>[13] Anderson, E., et al. (1999). LAPACK Users Guide. Third edition. SIAM. Linear Least Squares Problems. https://netlib.org/lapack/lug/node27.html. Accessed 21 October 2026.</w:t>
      </w:r>
    </w:p>
    <w:p>
      <w:pPr>
        <w:widowControl/>
      </w:pPr>
      <w:r>
        <w:rPr>
          <w:rFonts w:ascii="DejaVu Serif" w:hAnsi="DejaVu Serif" w:eastAsia="DejaVu Serif" w:cs="DejaVu Serif"/>
          <w:b w:val="0"/>
          <w:i w:val="0"/>
          <w:color w:val="000000"/>
          <w:sz w:val="20"/>
        </w:rPr>
        <w:t>[14] Puelles, L., Kuwana, E., Puelles, E., Bulfone, A., Shimamura, K., Keleher, J., Smiga, S., and Rubenstein, J. L. R. (2000). Pallial and subpallial derivatives in the embryonic chick and mouse telencephalon, traced by the expression of the genes Dlx-2, Emx-1, Nkx-2.1, Pax-6, and Tbr-1. Journal of Comparative Neurology 424, 409–438.</w:t>
      </w:r>
    </w:p>
    <w:p>
      <w:pPr>
        <w:widowControl/>
      </w:pPr>
      <w:r>
        <w:rPr>
          <w:rFonts w:ascii="DejaVu Serif" w:hAnsi="DejaVu Serif" w:eastAsia="DejaVu Serif" w:cs="DejaVu Serif"/>
          <w:b w:val="0"/>
          <w:i w:val="0"/>
          <w:color w:val="000000"/>
          <w:sz w:val="20"/>
        </w:rPr>
        <w:t>[15] Tosches, M. A., Yamawaki, T. M., Naumann, R. K., Jacobi, A. A., Tushev, G., and Laurent, G. (2018). Evolution of pallium, hippocampus, and cortical cell types revealed by single-cell transcriptomics in reptiles. Science 360, 881–888. https://doi.org/10.1126/science.aar4237</w:t>
      </w:r>
    </w:p>
    <w:p>
      <w:pPr>
        <w:widowControl/>
      </w:pPr>
      <w:r>
        <w:rPr>
          <w:rFonts w:ascii="DejaVu Serif" w:hAnsi="DejaVu Serif" w:eastAsia="DejaVu Serif" w:cs="DejaVu Serif"/>
          <w:b w:val="0"/>
          <w:i w:val="0"/>
          <w:color w:val="000000"/>
          <w:sz w:val="20"/>
        </w:rPr>
        <w:t>[16] Shepherd, G. M. (2011). The microcircuit concept applied to cortical evolution: from three-layer to six-layer cortex. Frontiers in Neuroanatomy 5, 30. https://doi.org/10.3389/fnana.2011.00030</w:t>
      </w:r>
    </w:p>
    <w:p>
      <w:pPr>
        <w:widowControl/>
      </w:pPr>
      <w:r>
        <w:rPr>
          <w:rFonts w:ascii="DejaVu Serif" w:hAnsi="DejaVu Serif" w:eastAsia="DejaVu Serif" w:cs="DejaVu Serif"/>
          <w:b w:val="0"/>
          <w:i w:val="0"/>
          <w:color w:val="000000"/>
          <w:sz w:val="20"/>
        </w:rPr>
        <w:t>[17] Fournier, J., Müller, C. M., and Laurent, G. (2015). Looking for the roots of cortical sensory computation in three-layered cortices. Current Opinion in Neurobiology 31, 119–126.</w:t>
      </w:r>
    </w:p>
    <w:p>
      <w:pPr>
        <w:widowControl/>
      </w:pPr>
      <w:r>
        <w:rPr>
          <w:rFonts w:ascii="DejaVu Serif" w:hAnsi="DejaVu Serif" w:eastAsia="DejaVu Serif" w:cs="DejaVu Serif"/>
          <w:b w:val="0"/>
          <w:i w:val="0"/>
          <w:color w:val="000000"/>
          <w:sz w:val="20"/>
        </w:rPr>
        <w:t>[18] Dugas-Ford, J., Rowell, J. J., and Ragsdale, C. W. (2012). Cell-type homologies and the origins of the neocortex. Proceedings of the National Academy of Sciences USA 109, 16974–16979.</w:t>
      </w:r>
    </w:p>
    <w:p>
      <w:pPr>
        <w:widowControl/>
      </w:pPr>
      <w:r>
        <w:rPr>
          <w:rFonts w:ascii="DejaVu Serif" w:hAnsi="DejaVu Serif" w:eastAsia="DejaVu Serif" w:cs="DejaVu Serif"/>
          <w:b w:val="0"/>
          <w:i w:val="0"/>
          <w:color w:val="000000"/>
          <w:sz w:val="20"/>
        </w:rPr>
        <w:t>[19] Briscoe, S. D., and Ragsdale, C. W. (2018). Homology, neocortex, and the evolution of developmental mechanisms. Science 362, 190–193.</w:t>
      </w:r>
    </w:p>
    <w:p>
      <w:pPr>
        <w:widowControl/>
      </w:pPr>
      <w:r>
        <w:rPr>
          <w:rFonts w:ascii="DejaVu Serif" w:hAnsi="DejaVu Serif" w:eastAsia="DejaVu Serif" w:cs="DejaVu Serif"/>
          <w:b w:val="0"/>
          <w:i w:val="0"/>
          <w:color w:val="000000"/>
          <w:sz w:val="20"/>
        </w:rPr>
        <w:t>[20] Naumann, R. K., Ondracek, J. M., Reiter, S., Shein-Idelson, M., Tosches, M. A., Yamawaki, T. M., and Laurent, G. (2015). The reptilian brain. Current Biology 25, R317–R321.</w:t>
      </w:r>
    </w:p>
    <w:p>
      <w:pPr>
        <w:widowControl/>
      </w:pPr>
      <w:r>
        <w:rPr>
          <w:rFonts w:ascii="DejaVu Serif" w:hAnsi="DejaVu Serif" w:eastAsia="DejaVu Serif" w:cs="DejaVu Serif"/>
          <w:b w:val="0"/>
          <w:i w:val="0"/>
          <w:color w:val="000000"/>
          <w:sz w:val="20"/>
        </w:rPr>
        <w:t>[21] Molyneaux, B. J., Arlotta, P., Menezes, J. R. L., and Macklis, J. D. (2007). Neuronal subtype specification in the cerebral cortex. Nature Reviews Neuroscience 8, 427–437.</w:t>
      </w:r>
    </w:p>
    <w:p>
      <w:pPr>
        <w:widowControl/>
      </w:pPr>
      <w:r>
        <w:rPr>
          <w:rFonts w:ascii="DejaVu Serif" w:hAnsi="DejaVu Serif" w:eastAsia="DejaVu Serif" w:cs="DejaVu Serif"/>
          <w:b w:val="0"/>
          <w:i w:val="0"/>
          <w:color w:val="000000"/>
          <w:sz w:val="20"/>
        </w:rPr>
        <w:t>[22] Rakic, P. (2009). Evolution of the neocortex: a perspective from developmental biology. Nature Reviews Neuroscience 10, 724–735.</w:t>
      </w:r>
    </w:p>
    <w:p>
      <w:pPr>
        <w:widowControl/>
      </w:pPr>
      <w:r>
        <w:rPr>
          <w:rFonts w:ascii="DejaVu Serif" w:hAnsi="DejaVu Serif" w:eastAsia="DejaVu Serif" w:cs="DejaVu Serif"/>
          <w:b w:val="0"/>
          <w:i w:val="0"/>
          <w:color w:val="000000"/>
          <w:sz w:val="20"/>
        </w:rPr>
        <w:t>[23] Douglas, R. J., and Martin, K. A. C. (2004). Neuronal circuits of the neocortex. Annual Review of Neuroscience 27, 419–451.</w:t>
      </w:r>
    </w:p>
    <w:p>
      <w:pPr>
        <w:widowControl/>
      </w:pPr>
      <w:r>
        <w:rPr>
          <w:rFonts w:ascii="DejaVu Serif" w:hAnsi="DejaVu Serif" w:eastAsia="DejaVu Serif" w:cs="DejaVu Serif"/>
          <w:b w:val="0"/>
          <w:i w:val="0"/>
          <w:color w:val="000000"/>
          <w:sz w:val="20"/>
        </w:rPr>
        <w:t>[24] Harris, K. D., and Shepherd, G. M. G. (2015). The neocortical circuit: themes and variations. Nature Neuroscience 18, 170–181.</w:t>
      </w:r>
    </w:p>
    <w:p>
      <w:pPr>
        <w:widowControl/>
      </w:pPr>
      <w:r>
        <w:rPr>
          <w:rFonts w:ascii="DejaVu Serif" w:hAnsi="DejaVu Serif" w:eastAsia="DejaVu Serif" w:cs="DejaVu Serif"/>
          <w:b w:val="0"/>
          <w:i w:val="0"/>
          <w:color w:val="000000"/>
          <w:sz w:val="20"/>
        </w:rPr>
        <w:t>[25] Larkum, M. E., Zhu, J. J., and Sakmann, B. (1999). A new cellular mechanism for coupling inputs arriving at different cortical layers. Nature 398, 338–341.</w:t>
      </w:r>
    </w:p>
    <w:p>
      <w:pPr>
        <w:widowControl/>
      </w:pPr>
      <w:r>
        <w:rPr>
          <w:rFonts w:ascii="DejaVu Serif" w:hAnsi="DejaVu Serif" w:eastAsia="DejaVu Serif" w:cs="DejaVu Serif"/>
          <w:b w:val="0"/>
          <w:i w:val="0"/>
          <w:color w:val="000000"/>
          <w:sz w:val="20"/>
        </w:rPr>
        <w:t>[26] Larkum, M. (2013). A cellular mechanism for cortical associations: an organizing principle for the cerebral cortex. Trends in Neurosciences 36, 141–151.</w:t>
      </w:r>
    </w:p>
    <w:p>
      <w:pPr>
        <w:widowControl/>
      </w:pPr>
      <w:r>
        <w:rPr>
          <w:rFonts w:ascii="DejaVu Serif" w:hAnsi="DejaVu Serif" w:eastAsia="DejaVu Serif" w:cs="DejaVu Serif"/>
          <w:b w:val="0"/>
          <w:i w:val="0"/>
          <w:color w:val="000000"/>
          <w:sz w:val="20"/>
        </w:rPr>
        <w:t>[27] Suzuki, M., and Larkum, M. E. (2020). General anesthesia decouples cortical pyramidal neurons. Cell 180, 666–676.</w:t>
      </w:r>
    </w:p>
    <w:p>
      <w:pPr>
        <w:widowControl/>
      </w:pPr>
      <w:r>
        <w:rPr>
          <w:rFonts w:ascii="DejaVu Serif" w:hAnsi="DejaVu Serif" w:eastAsia="DejaVu Serif" w:cs="DejaVu Serif"/>
          <w:b w:val="0"/>
          <w:i w:val="0"/>
          <w:color w:val="000000"/>
          <w:sz w:val="20"/>
        </w:rPr>
        <w:t>[28] Takahashi, N., Oertner, T. G., Hegemann, P., and Larkum, M. E. (2016). Active cortical dendrites modulate perception. Science 354, 1587–1590.</w:t>
      </w:r>
    </w:p>
    <w:p>
      <w:pPr>
        <w:widowControl/>
      </w:pPr>
      <w:r>
        <w:rPr>
          <w:rFonts w:ascii="DejaVu Serif" w:hAnsi="DejaVu Serif" w:eastAsia="DejaVu Serif" w:cs="DejaVu Serif"/>
          <w:b w:val="0"/>
          <w:i w:val="0"/>
          <w:color w:val="000000"/>
          <w:sz w:val="20"/>
        </w:rPr>
        <w:t>[29] Olsen, S. R., Bortone, D. S., Adesnik, H., and Scanziani, M. (2012). Gain control by layer six in cortical circuits of vision. Nature 483, 47–52.</w:t>
      </w:r>
    </w:p>
    <w:p>
      <w:pPr>
        <w:widowControl/>
      </w:pPr>
      <w:r>
        <w:rPr>
          <w:rFonts w:ascii="DejaVu Serif" w:hAnsi="DejaVu Serif" w:eastAsia="DejaVu Serif" w:cs="DejaVu Serif"/>
          <w:b w:val="0"/>
          <w:i w:val="0"/>
          <w:color w:val="000000"/>
          <w:sz w:val="20"/>
        </w:rPr>
        <w:t>[30] Tremblay, R., Lee, S., and Rudy, B. (2016). GABAergic interneurons in the neocortex: from cellular properties to circuits. Neuron 91, 260–292.</w:t>
      </w:r>
    </w:p>
    <w:p>
      <w:pPr>
        <w:widowControl/>
      </w:pPr>
      <w:r>
        <w:rPr>
          <w:rFonts w:ascii="DejaVu Serif" w:hAnsi="DejaVu Serif" w:eastAsia="DejaVu Serif" w:cs="DejaVu Serif"/>
          <w:b w:val="0"/>
          <w:i w:val="0"/>
          <w:color w:val="000000"/>
          <w:sz w:val="20"/>
        </w:rPr>
        <w:t>[31] Bastos, A. M., Usrey, W. M., Adams, R. A., Mangun, G. R., Fries, P., and Friston, K. J. (2012). Canonical microcircuits for predictive coding. Neuron 76, 695–711.</w:t>
      </w:r>
    </w:p>
    <w:p>
      <w:pPr>
        <w:widowControl/>
      </w:pPr>
      <w:r>
        <w:rPr>
          <w:rFonts w:ascii="DejaVu Serif" w:hAnsi="DejaVu Serif" w:eastAsia="DejaVu Serif" w:cs="DejaVu Serif"/>
          <w:b w:val="0"/>
          <w:i w:val="0"/>
          <w:color w:val="000000"/>
          <w:sz w:val="20"/>
        </w:rPr>
        <w:t>[32] Felleman, D. J., and Van Essen, D. C. (1991). Distributed hierarchical processing in the primate cerebral cortex. Cerebral Cortex 1, 1–47.</w:t>
      </w:r>
    </w:p>
    <w:p>
      <w:pPr>
        <w:widowControl/>
      </w:pPr>
      <w:r>
        <w:rPr>
          <w:rFonts w:ascii="DejaVu Serif" w:hAnsi="DejaVu Serif" w:eastAsia="DejaVu Serif" w:cs="DejaVu Serif"/>
          <w:b w:val="0"/>
          <w:i w:val="0"/>
          <w:color w:val="000000"/>
          <w:sz w:val="20"/>
        </w:rPr>
        <w:t>[33] Sherman, S. M., and Guillery, R. W. (1998). On the actions that one nerve cell can have on another: distinguishing "drivers" from "modulators". Proceedings of the National Academy of Sciences USA 95, 7121–7126.</w:t>
      </w:r>
    </w:p>
    <w:p>
      <w:pPr>
        <w:widowControl/>
      </w:pPr>
      <w:r>
        <w:rPr>
          <w:rFonts w:ascii="DejaVu Serif" w:hAnsi="DejaVu Serif" w:eastAsia="DejaVu Serif" w:cs="DejaVu Serif"/>
          <w:b w:val="0"/>
          <w:i w:val="0"/>
          <w:color w:val="000000"/>
          <w:sz w:val="20"/>
        </w:rPr>
        <w:t>[34] Sherman, S. M., and Guillery, R. W. (2013). Functional Connections of Cortical Areas: A New View from the Thalamus. MIT Press.</w:t>
      </w:r>
    </w:p>
    <w:p>
      <w:pPr>
        <w:widowControl/>
      </w:pPr>
      <w:r>
        <w:rPr>
          <w:rFonts w:ascii="DejaVu Serif" w:hAnsi="DejaVu Serif" w:eastAsia="DejaVu Serif" w:cs="DejaVu Serif"/>
          <w:b w:val="0"/>
          <w:i w:val="0"/>
          <w:color w:val="000000"/>
          <w:sz w:val="20"/>
        </w:rPr>
        <w:t>[35] Jones, E. G. (2001). The thalamic matrix and thalamocortical synchrony. Trends in Neurosciences 24, 595–601.</w:t>
      </w:r>
    </w:p>
    <w:p>
      <w:pPr>
        <w:widowControl/>
      </w:pPr>
      <w:r>
        <w:rPr>
          <w:rFonts w:ascii="DejaVu Serif" w:hAnsi="DejaVu Serif" w:eastAsia="DejaVu Serif" w:cs="DejaVu Serif"/>
          <w:b w:val="0"/>
          <w:i w:val="0"/>
          <w:color w:val="000000"/>
          <w:sz w:val="20"/>
        </w:rPr>
        <w:t>[36] Crick, F. (1984). Function of the thalamic reticular complex: the searchlight hypothesis. Proceedings of the National Academy of Sciences USA 81, 4586–4590.</w:t>
      </w:r>
    </w:p>
    <w:p>
      <w:pPr>
        <w:widowControl/>
      </w:pPr>
      <w:r>
        <w:rPr>
          <w:rFonts w:ascii="DejaVu Serif" w:hAnsi="DejaVu Serif" w:eastAsia="DejaVu Serif" w:cs="DejaVu Serif"/>
          <w:b w:val="0"/>
          <w:i w:val="0"/>
          <w:color w:val="000000"/>
          <w:sz w:val="20"/>
        </w:rPr>
        <w:t>[37] McAlonan, K., Cavanaugh, J., and Wurtz, R. H. (2008). Guarding the gateway to cortex with attention in visual thalamus. Nature 456, 391–394.</w:t>
      </w:r>
    </w:p>
    <w:p>
      <w:pPr>
        <w:widowControl/>
      </w:pPr>
      <w:r>
        <w:rPr>
          <w:rFonts w:ascii="DejaVu Serif" w:hAnsi="DejaVu Serif" w:eastAsia="DejaVu Serif" w:cs="DejaVu Serif"/>
          <w:b w:val="0"/>
          <w:i w:val="0"/>
          <w:color w:val="000000"/>
          <w:sz w:val="20"/>
        </w:rPr>
        <w:t>[38] Halassa, M. M., and Kastner, S. (2017). Thalamic functions in distributed cognitive control. Nature Neuroscience 20, 1669–1679.</w:t>
      </w:r>
    </w:p>
    <w:p>
      <w:pPr>
        <w:widowControl/>
      </w:pPr>
      <w:r>
        <w:rPr>
          <w:rFonts w:ascii="DejaVu Serif" w:hAnsi="DejaVu Serif" w:eastAsia="DejaVu Serif" w:cs="DejaVu Serif"/>
          <w:b w:val="0"/>
          <w:i w:val="0"/>
          <w:color w:val="000000"/>
          <w:sz w:val="20"/>
        </w:rPr>
        <w:t>[39] Schmitt, L. I., Wimmer, R. D., Nakajima, M., Happ, M., Mofakham, S., and Halassa, M. M. (2017). Thalamic amplification of cortical connectivity sustains attentional control. Nature 545, 219–223.</w:t>
      </w:r>
    </w:p>
    <w:p>
      <w:pPr>
        <w:widowControl/>
      </w:pPr>
      <w:r>
        <w:rPr>
          <w:rFonts w:ascii="DejaVu Serif" w:hAnsi="DejaVu Serif" w:eastAsia="DejaVu Serif" w:cs="DejaVu Serif"/>
          <w:b w:val="0"/>
          <w:i w:val="0"/>
          <w:color w:val="000000"/>
          <w:sz w:val="20"/>
        </w:rPr>
        <w:t>[40] Guo, Z. V., Inagaki, H. K., Daie, K., Druckmann, S., Gerfen, C. R., and Svoboda, K. (2017). Maintenance of persistent activity in a frontal thalamocortical loop. Nature 545, 181–186.</w:t>
      </w:r>
    </w:p>
    <w:p>
      <w:pPr>
        <w:widowControl/>
      </w:pPr>
      <w:r>
        <w:rPr>
          <w:rFonts w:ascii="DejaVu Serif" w:hAnsi="DejaVu Serif" w:eastAsia="DejaVu Serif" w:cs="DejaVu Serif"/>
          <w:b w:val="0"/>
          <w:i w:val="0"/>
          <w:color w:val="000000"/>
          <w:sz w:val="20"/>
        </w:rPr>
        <w:t>[41] Klinzing, J. G., Niethard, N., and Born, J. (2019). Mechanisms of systems memory consolidation during sleep. Nature Neuroscience 22, 1598–1610.</w:t>
      </w:r>
    </w:p>
    <w:p>
      <w:pPr>
        <w:widowControl/>
      </w:pPr>
      <w:r>
        <w:rPr>
          <w:rFonts w:ascii="DejaVu Serif" w:hAnsi="DejaVu Serif" w:eastAsia="DejaVu Serif" w:cs="DejaVu Serif"/>
          <w:b w:val="0"/>
          <w:i w:val="0"/>
          <w:color w:val="000000"/>
          <w:sz w:val="20"/>
        </w:rPr>
        <w:t>[42] Aggleton, J. P., and Brown, M. W. (1999). Episodic memory, amnesia, and the hippocampal–anterior thalamic axis. Behavioral and Brain Sciences 22, 425–444.</w:t>
      </w:r>
    </w:p>
    <w:p>
      <w:pPr>
        <w:widowControl/>
      </w:pPr>
      <w:r>
        <w:rPr>
          <w:rFonts w:ascii="DejaVu Serif" w:hAnsi="DejaVu Serif" w:eastAsia="DejaVu Serif" w:cs="DejaVu Serif"/>
          <w:b w:val="0"/>
          <w:i w:val="0"/>
          <w:color w:val="000000"/>
          <w:sz w:val="20"/>
        </w:rPr>
        <w:t>[43] Dolleman-van der Weel, M. J., Griffin, A. L., Ito, H. T., Shapiro, M. L., Witter, M. P., Vertes, R. P., and Allen, T. A. (2019). The nucleus reuniens of the thalamus sits at the nexus of a hippocampus and medial prefrontal cortex circuit enabling memory and behavior. Learning &amp; Memory 26, 191–205.</w:t>
      </w:r>
    </w:p>
    <w:p>
      <w:pPr>
        <w:widowControl/>
      </w:pPr>
      <w:r>
        <w:rPr>
          <w:rFonts w:ascii="DejaVu Serif" w:hAnsi="DejaVu Serif" w:eastAsia="DejaVu Serif" w:cs="DejaVu Serif"/>
          <w:b w:val="0"/>
          <w:i w:val="0"/>
          <w:color w:val="000000"/>
          <w:sz w:val="20"/>
        </w:rPr>
        <w:t>[44] Teyler, T. J., and DiScenna, P. (1986). The hippocampal memory indexing theory. Behavioral Neuroscience 100, 147–154.</w:t>
      </w:r>
    </w:p>
    <w:p>
      <w:pPr>
        <w:widowControl/>
      </w:pPr>
      <w:r>
        <w:rPr>
          <w:rFonts w:ascii="DejaVu Serif" w:hAnsi="DejaVu Serif" w:eastAsia="DejaVu Serif" w:cs="DejaVu Serif"/>
          <w:b w:val="0"/>
          <w:i w:val="0"/>
          <w:color w:val="000000"/>
          <w:sz w:val="20"/>
        </w:rPr>
        <w:t>[45] McClelland, J. L., McNaughton, B. L., and O'Reilly, R. C. (1995). Why there are complementary learning systems in the hippocampus and neocortex. Psychological Review 102, 419–457.</w:t>
      </w:r>
    </w:p>
    <w:p>
      <w:pPr>
        <w:widowControl/>
      </w:pPr>
      <w:r>
        <w:rPr>
          <w:rFonts w:ascii="DejaVu Serif" w:hAnsi="DejaVu Serif" w:eastAsia="DejaVu Serif" w:cs="DejaVu Serif"/>
          <w:b w:val="0"/>
          <w:i w:val="0"/>
          <w:color w:val="000000"/>
          <w:sz w:val="20"/>
        </w:rPr>
        <w:t>[46] Marr, D. (1971). Simple memory: a theory for archicortex. Philosophical Transactions of the Royal Society of London B 262, 23–81.</w:t>
      </w:r>
    </w:p>
    <w:p>
      <w:pPr>
        <w:widowControl/>
      </w:pPr>
      <w:r>
        <w:rPr>
          <w:rFonts w:ascii="DejaVu Serif" w:hAnsi="DejaVu Serif" w:eastAsia="DejaVu Serif" w:cs="DejaVu Serif"/>
          <w:b w:val="0"/>
          <w:i w:val="0"/>
          <w:color w:val="000000"/>
          <w:sz w:val="20"/>
        </w:rPr>
        <w:t>[47] Leutgeb, J. K., Leutgeb, S., Moser, M.-B., and Moser, E. I. (2007). Pattern separation in the dentate gyrus and CA3 of the hippocampus. Science 315, 961–966.</w:t>
      </w:r>
    </w:p>
    <w:p>
      <w:pPr>
        <w:widowControl/>
      </w:pPr>
      <w:r>
        <w:rPr>
          <w:rFonts w:ascii="DejaVu Serif" w:hAnsi="DejaVu Serif" w:eastAsia="DejaVu Serif" w:cs="DejaVu Serif"/>
          <w:b w:val="0"/>
          <w:i w:val="0"/>
          <w:color w:val="000000"/>
          <w:sz w:val="20"/>
        </w:rPr>
        <w:t>[48] Nakazawa, K., Quirk, M. C., Chitwood, R. A., Watanabe, M., Yeckel, M. F., Sun, L. D., Kato, A., Carr, C. A., Johnston, D., Wilson, M. A., and Tonegawa, S. (2002). Requirement for hippocampal CA3 NMDA receptors in associative memory recall. Science 297, 211–218.</w:t>
      </w:r>
    </w:p>
    <w:p>
      <w:pPr>
        <w:widowControl/>
      </w:pPr>
      <w:r>
        <w:rPr>
          <w:rFonts w:ascii="DejaVu Serif" w:hAnsi="DejaVu Serif" w:eastAsia="DejaVu Serif" w:cs="DejaVu Serif"/>
          <w:b w:val="0"/>
          <w:i w:val="0"/>
          <w:color w:val="000000"/>
          <w:sz w:val="20"/>
        </w:rPr>
        <w:t>[49] Lisman, J. E., and Grace, A. A. (2005). The hippocampal-VTA loop: controlling the entry of information into long-term memory. Neuron 46, 703–713.</w:t>
      </w:r>
    </w:p>
    <w:p>
      <w:pPr>
        <w:widowControl/>
      </w:pPr>
      <w:r>
        <w:rPr>
          <w:rFonts w:ascii="DejaVu Serif" w:hAnsi="DejaVu Serif" w:eastAsia="DejaVu Serif" w:cs="DejaVu Serif"/>
          <w:b w:val="0"/>
          <w:i w:val="0"/>
          <w:color w:val="000000"/>
          <w:sz w:val="20"/>
        </w:rPr>
        <w:t>[50] O'Keefe, J., and Dostrovsky, J. (1971). The hippocampus as a spatial map. Preliminary evidence from unit activity in the freely-moving rat. Brain Research 34, 171–175.</w:t>
      </w:r>
    </w:p>
    <w:p>
      <w:pPr>
        <w:widowControl/>
      </w:pPr>
      <w:r>
        <w:rPr>
          <w:rFonts w:ascii="DejaVu Serif" w:hAnsi="DejaVu Serif" w:eastAsia="DejaVu Serif" w:cs="DejaVu Serif"/>
          <w:b w:val="0"/>
          <w:i w:val="0"/>
          <w:color w:val="000000"/>
          <w:sz w:val="20"/>
        </w:rPr>
        <w:t>[51] Hafting, T., Fyhn, M., Molden, S., Moser, M.-B., and Moser, E. I. (2005). Microstructure of a spatial map in the entorhinal cortex. Nature 436, 801–806.</w:t>
      </w:r>
    </w:p>
    <w:p>
      <w:pPr>
        <w:widowControl/>
      </w:pPr>
      <w:r>
        <w:rPr>
          <w:rFonts w:ascii="DejaVu Serif" w:hAnsi="DejaVu Serif" w:eastAsia="DejaVu Serif" w:cs="DejaVu Serif"/>
          <w:b w:val="0"/>
          <w:i w:val="0"/>
          <w:color w:val="000000"/>
          <w:sz w:val="20"/>
        </w:rPr>
        <w:t>[52] Wilson, M. A., and McNaughton, B. L. (1994). Reactivation of hippocampal ensemble memories during sleep. Science 265, 676–679.</w:t>
      </w:r>
    </w:p>
    <w:p>
      <w:pPr>
        <w:widowControl/>
      </w:pPr>
      <w:r>
        <w:rPr>
          <w:rFonts w:ascii="DejaVu Serif" w:hAnsi="DejaVu Serif" w:eastAsia="DejaVu Serif" w:cs="DejaVu Serif"/>
          <w:b w:val="0"/>
          <w:i w:val="0"/>
          <w:color w:val="000000"/>
          <w:sz w:val="20"/>
        </w:rPr>
        <w:t>[53] Buzsáki, G. (2015). Hippocampal sharp wave-ripple: a cognitive biomarker for episodic memory and planning. Hippocampus 25, 1073–1188.</w:t>
      </w:r>
    </w:p>
    <w:p>
      <w:pPr>
        <w:widowControl/>
      </w:pPr>
      <w:r>
        <w:rPr>
          <w:rFonts w:ascii="DejaVu Serif" w:hAnsi="DejaVu Serif" w:eastAsia="DejaVu Serif" w:cs="DejaVu Serif"/>
          <w:b w:val="0"/>
          <w:i w:val="0"/>
          <w:color w:val="000000"/>
          <w:sz w:val="20"/>
        </w:rPr>
        <w:t>[54] Girardeau, G., Benchenane, K., Wiener, S. I., Buzsáki, G., and Zugaro, M. B. (2009). Selective suppression of hippocampal ripples impairs spatial memory. Nature Neuroscience 12, 1222–1223.</w:t>
      </w:r>
    </w:p>
    <w:p>
      <w:pPr>
        <w:widowControl/>
      </w:pPr>
      <w:r>
        <w:rPr>
          <w:rFonts w:ascii="DejaVu Serif" w:hAnsi="DejaVu Serif" w:eastAsia="DejaVu Serif" w:cs="DejaVu Serif"/>
          <w:b w:val="0"/>
          <w:i w:val="0"/>
          <w:color w:val="000000"/>
          <w:sz w:val="20"/>
        </w:rPr>
        <w:t>[55] Tse, D., Langston, R. F., Kakeyama, M., Bethus, I., Spooner, P. A., Wood, E. R., Witter, M. P., and Morris, R. G. M. (2007). Schemas and memory consolidation. Science 316, 76–82.</w:t>
      </w:r>
    </w:p>
    <w:p>
      <w:pPr>
        <w:widowControl/>
      </w:pPr>
      <w:r>
        <w:rPr>
          <w:rFonts w:ascii="DejaVu Serif" w:hAnsi="DejaVu Serif" w:eastAsia="DejaVu Serif" w:cs="DejaVu Serif"/>
          <w:b w:val="0"/>
          <w:i w:val="0"/>
          <w:color w:val="000000"/>
          <w:sz w:val="20"/>
        </w:rPr>
        <w:t>[56] Nadel, L., and Moscovitch, M. (1997). Memory consolidation, retrograde amnesia and the hippocampal complex. Current Opinion in Neurobiology 7, 217–227.</w:t>
      </w:r>
    </w:p>
    <w:p>
      <w:pPr>
        <w:widowControl/>
      </w:pPr>
      <w:r>
        <w:rPr>
          <w:rFonts w:ascii="DejaVu Serif" w:hAnsi="DejaVu Serif" w:eastAsia="DejaVu Serif" w:cs="DejaVu Serif"/>
          <w:b w:val="0"/>
          <w:i w:val="0"/>
          <w:color w:val="000000"/>
          <w:sz w:val="20"/>
        </w:rPr>
        <w:t>[57] Curto, C., and Itskov, V. (2008). Cell groups reveal structure of stimulus space. PLoS Computational Biology 4, e1000205.</w:t>
      </w:r>
    </w:p>
    <w:p>
      <w:pPr>
        <w:widowControl/>
      </w:pPr>
      <w:r>
        <w:rPr>
          <w:rFonts w:ascii="DejaVu Serif" w:hAnsi="DejaVu Serif" w:eastAsia="DejaVu Serif" w:cs="DejaVu Serif"/>
          <w:b w:val="0"/>
          <w:i w:val="0"/>
          <w:color w:val="000000"/>
          <w:sz w:val="20"/>
        </w:rPr>
        <w:t>[58] Giusti, C., Pastalkova, E., Curto, C., and Itskov, V. (2015). Clique topology reveals intrinsic geometric structure in neural correlations. Proceedings of the National Academy of Sciences USA 112, 13455–13460.</w:t>
      </w:r>
    </w:p>
    <w:p>
      <w:pPr>
        <w:widowControl/>
      </w:pPr>
      <w:r>
        <w:rPr>
          <w:rFonts w:ascii="DejaVu Serif" w:hAnsi="DejaVu Serif" w:eastAsia="DejaVu Serif" w:cs="DejaVu Serif"/>
          <w:b w:val="0"/>
          <w:i w:val="0"/>
          <w:color w:val="000000"/>
          <w:sz w:val="20"/>
        </w:rPr>
        <w:t>[59] Warren, W. H., Rothman, D. B., Schnapp, B. H., and Ericson, J. D. (2017). Wormholes in virtual space: from cognitive maps to cognitive graphs. Cognition 166, 152–163.</w:t>
      </w:r>
    </w:p>
    <w:p>
      <w:pPr>
        <w:widowControl/>
      </w:pPr>
      <w:r>
        <w:rPr>
          <w:rFonts w:ascii="DejaVu Serif" w:hAnsi="DejaVu Serif" w:eastAsia="DejaVu Serif" w:cs="DejaVu Serif"/>
          <w:b w:val="0"/>
          <w:i w:val="0"/>
          <w:color w:val="000000"/>
          <w:sz w:val="20"/>
        </w:rPr>
        <w:t>[60] Redgrave, P., Prescott, T. J., and Gurney, K. (1999). The basal ganglia: a vertebrate solution to the selection problem? Neuroscience 89, 1009–1023.</w:t>
      </w:r>
    </w:p>
    <w:p>
      <w:pPr>
        <w:widowControl/>
      </w:pPr>
      <w:r>
        <w:rPr>
          <w:rFonts w:ascii="DejaVu Serif" w:hAnsi="DejaVu Serif" w:eastAsia="DejaVu Serif" w:cs="DejaVu Serif"/>
          <w:b w:val="0"/>
          <w:i w:val="0"/>
          <w:color w:val="000000"/>
          <w:sz w:val="20"/>
        </w:rPr>
        <w:t>[61] Mink, J. W. (1996). The basal ganglia: focused selection and inhibition of competing motor programs. Progress in Neurobiology 50, 381–425.</w:t>
      </w:r>
    </w:p>
    <w:p>
      <w:pPr>
        <w:widowControl/>
      </w:pPr>
      <w:r>
        <w:rPr>
          <w:rFonts w:ascii="DejaVu Serif" w:hAnsi="DejaVu Serif" w:eastAsia="DejaVu Serif" w:cs="DejaVu Serif"/>
          <w:b w:val="0"/>
          <w:i w:val="0"/>
          <w:color w:val="000000"/>
          <w:sz w:val="20"/>
        </w:rPr>
        <w:t>[62] Wolpert, D. M., Miall, R. C., and Kawato, M. (1998). Internal models in the cerebellum. Trends in Cognitive Sciences 2, 338–347.</w:t>
      </w:r>
    </w:p>
    <w:p>
      <w:pPr>
        <w:widowControl/>
      </w:pPr>
      <w:r>
        <w:rPr>
          <w:rFonts w:ascii="DejaVu Serif" w:hAnsi="DejaVu Serif" w:eastAsia="DejaVu Serif" w:cs="DejaVu Serif"/>
          <w:b w:val="0"/>
          <w:i w:val="0"/>
          <w:color w:val="000000"/>
          <w:sz w:val="20"/>
        </w:rPr>
        <w:t>[63] McGaugh, J. L. (2004). The amygdala modulates the consolidation of memories of emotionally arousing experiences. Annual Review of Neuroscience 27, 1–28.</w:t>
      </w:r>
    </w:p>
    <w:p>
      <w:pPr>
        <w:widowControl/>
      </w:pPr>
      <w:r>
        <w:rPr>
          <w:rFonts w:ascii="DejaVu Serif" w:hAnsi="DejaVu Serif" w:eastAsia="DejaVu Serif" w:cs="DejaVu Serif"/>
          <w:b w:val="0"/>
          <w:i w:val="0"/>
          <w:color w:val="000000"/>
          <w:sz w:val="20"/>
        </w:rPr>
        <w:t>[64] Yu, A. J., and Dayan, P. (2005). Uncertainty, neuromodulation, and attention. Neuron 46, 681–692.</w:t>
      </w:r>
    </w:p>
    <w:p>
      <w:pPr>
        <w:widowControl/>
      </w:pPr>
      <w:r>
        <w:rPr>
          <w:rFonts w:ascii="DejaVu Serif" w:hAnsi="DejaVu Serif" w:eastAsia="DejaVu Serif" w:cs="DejaVu Serif"/>
          <w:b w:val="0"/>
          <w:i w:val="0"/>
          <w:color w:val="000000"/>
          <w:sz w:val="20"/>
        </w:rPr>
        <w:t>[65] Schultz, W., Dayan, P., and Montague, P. R. (1997). A neural substrate of prediction and reward. Science 275, 1593–1599.</w:t>
      </w:r>
    </w:p>
    <w:p>
      <w:pPr>
        <w:widowControl/>
      </w:pPr>
      <w:r>
        <w:rPr>
          <w:rFonts w:ascii="DejaVu Serif" w:hAnsi="DejaVu Serif" w:eastAsia="DejaVu Serif" w:cs="DejaVu Serif"/>
          <w:b w:val="0"/>
          <w:i w:val="0"/>
          <w:color w:val="000000"/>
          <w:sz w:val="20"/>
        </w:rPr>
        <w:t>[66] Crick, F. C., and Koch, C. (2005). What is the function of the claustrum? Philosophical Transactions of the Royal Society B 360, 1271–1279.</w:t>
      </w:r>
    </w:p>
    <w:p>
      <w:pPr>
        <w:widowControl/>
      </w:pPr>
      <w:r>
        <w:rPr>
          <w:rFonts w:ascii="DejaVu Serif" w:hAnsi="DejaVu Serif" w:eastAsia="DejaVu Serif" w:cs="DejaVu Serif"/>
          <w:b w:val="0"/>
          <w:i w:val="0"/>
          <w:color w:val="000000"/>
          <w:sz w:val="20"/>
        </w:rPr>
        <w:t>[67] Robinson, M. (2017). Sheaves are the canonical data structure for sensor integration. Information Fusion 36, 208–224.</w:t>
      </w:r>
    </w:p>
    <w:p>
      <w:pPr>
        <w:widowControl/>
      </w:pPr>
      <w:r>
        <w:rPr>
          <w:rFonts w:ascii="DejaVu Serif" w:hAnsi="DejaVu Serif" w:eastAsia="DejaVu Serif" w:cs="DejaVu Serif"/>
          <w:b w:val="0"/>
          <w:i w:val="0"/>
          <w:color w:val="000000"/>
          <w:sz w:val="20"/>
        </w:rPr>
        <w:t>[68] Bodnar, C., Di Giovanni, F., Chamberlain, B. P., Liò, P., and Bronstein, M. M. (2022). Neural sheaf diffusion: a topological perspective on heterophily and oversmoothing in GNNs. Advances in Neural Information Processing Systems 35.</w:t>
      </w:r>
    </w:p>
    <w:p>
      <w:pPr>
        <w:widowControl/>
      </w:pPr>
      <w:r>
        <w:rPr>
          <w:rFonts w:ascii="DejaVu Serif" w:hAnsi="DejaVu Serif" w:eastAsia="DejaVu Serif" w:cs="DejaVu Serif"/>
          <w:b w:val="0"/>
          <w:i w:val="0"/>
          <w:color w:val="000000"/>
          <w:sz w:val="20"/>
        </w:rPr>
        <w:t>[69] Hansen, J., and Ghrist, R. (2019). Learning sheaf Laplacians from smooth signals. Proceedings of the IEEE International Conference on Acoustics, Speech and Signal Processing (ICASSP).</w:t>
      </w:r>
    </w:p>
    <w:p>
      <w:pPr>
        <w:widowControl/>
      </w:pPr>
      <w:r>
        <w:rPr>
          <w:rFonts w:ascii="DejaVu Serif" w:hAnsi="DejaVu Serif" w:eastAsia="DejaVu Serif" w:cs="DejaVu Serif"/>
          <w:b w:val="0"/>
          <w:i w:val="0"/>
          <w:color w:val="000000"/>
          <w:sz w:val="20"/>
        </w:rPr>
        <w:t>[70] Needell, D. (2010). Randomized Kaczmarz solver for noisy linear systems. BIT Numerical Mathematics 50, 395–403.</w:t>
      </w:r>
    </w:p>
    <w:p>
      <w:pPr>
        <w:widowControl/>
      </w:pPr>
      <w:r>
        <w:rPr>
          <w:rFonts w:ascii="DejaVu Serif" w:hAnsi="DejaVu Serif" w:eastAsia="DejaVu Serif" w:cs="DejaVu Serif"/>
          <w:color w:val="000000"/>
          <w:sz w:val="20"/>
        </w:rPr>
        <w:t>[71] Zaremba, B., et al. (2025). Developmental origins and evolution of pallial cell types and structures in birds. Science 387, eadp5182. https://doi.org/10.1126/science.adp5182</w:t>
      </w:r>
    </w:p>
    <w:p>
      <w:pPr>
        <w:widowControl/>
      </w:pPr>
      <w:r>
        <w:rPr>
          <w:rFonts w:ascii="DejaVu Serif" w:hAnsi="DejaVu Serif" w:eastAsia="DejaVu Serif" w:cs="DejaVu Serif"/>
          <w:color w:val="000000"/>
          <w:sz w:val="20"/>
        </w:rPr>
        <w:t>[72] Hecker, N., et al. (2025). Enhancer-driven cell type comparison reveals similarities between the mammalian and bird pallium. Science 387, eadp3957. https://doi.org/10.1126/science.adp3957</w:t>
      </w:r>
    </w:p>
    <w:p>
      <w:pPr>
        <w:widowControl/>
      </w:pPr>
      <w:r>
        <w:rPr>
          <w:rFonts w:ascii="DejaVu Serif" w:hAnsi="DejaVu Serif" w:eastAsia="DejaVu Serif" w:cs="DejaVu Serif"/>
          <w:color w:val="000000"/>
          <w:sz w:val="20"/>
        </w:rPr>
        <w:t>[73] Yamawaki, N., Borges, K., Suter, B. A., Harris, K. D., and Shepherd, G. M. G. (2014). A genuine layer 4 in motor cortex with prototypical synaptic circuit connectivity. eLife 3, e05422. https://doi.org/10.7554/eLife.05422</w:t>
      </w:r>
    </w:p>
    <w:p>
      <w:pPr>
        <w:widowControl/>
      </w:pPr>
      <w:r>
        <w:rPr>
          <w:rFonts w:ascii="DejaVu Serif" w:hAnsi="DejaVu Serif" w:eastAsia="DejaVu Serif" w:cs="DejaVu Serif"/>
          <w:color w:val="000000"/>
          <w:sz w:val="20"/>
        </w:rPr>
        <w:t>[74] Kirchgessner, M. A., Franklin, A. D., and Callaway, E. M. (2020). Context-dependent and dynamic functional influence of corticothalamic pathways to first- and higher-order visual thalamus. PNAS 117, 13066–13077. https://doi.org/10.1073/pnas.2002080117</w:t>
      </w:r>
    </w:p>
    <w:p>
      <w:pPr>
        <w:widowControl/>
      </w:pPr>
      <w:r>
        <w:rPr>
          <w:rFonts w:ascii="DejaVu Serif" w:hAnsi="DejaVu Serif" w:eastAsia="DejaVu Serif" w:cs="DejaVu Serif"/>
          <w:color w:val="000000"/>
          <w:sz w:val="20"/>
        </w:rPr>
        <w:t>[75] Tanaka, K. Z., He, H., Tomar, A., Niisato, K., Huang, A. J. Y., and McHugh, T. J. (2018). The hippocampal engram maps experience but not place. Science 361, 392–397. https://doi.org/10.1126/science.aat5397</w:t>
      </w:r>
    </w:p>
    <w:p>
      <w:pPr>
        <w:widowControl/>
      </w:pPr>
      <w:r>
        <w:rPr>
          <w:rFonts w:ascii="DejaVu Serif" w:hAnsi="DejaVu Serif" w:eastAsia="DejaVu Serif" w:cs="DejaVu Serif"/>
          <w:color w:val="000000"/>
          <w:sz w:val="20"/>
        </w:rPr>
        <w:t>[76] Liu, X., et al. (2012). Optogenetic stimulation of a hippocampal engram activates fear memory recall. Nature 484, 381–385. https://doi.org/10.1038/nature11028</w:t>
      </w:r>
    </w:p>
    <w:p>
      <w:pPr>
        <w:widowControl/>
      </w:pPr>
      <w:r>
        <w:rPr>
          <w:rFonts w:ascii="DejaVu Serif" w:hAnsi="DejaVu Serif" w:eastAsia="DejaVu Serif" w:cs="DejaVu Serif"/>
          <w:color w:val="000000"/>
          <w:sz w:val="20"/>
        </w:rPr>
        <w:t>[77] Dickey, C. W., et al. (2024). Thalamic spindles and Up states coordinate cortical and hippocampal co-ripples in humans. PLOS Biology 22, e3002855. https://doi.org/10.1371/journal.pbio.3002855. See also the published correction e3002971.</w:t>
      </w:r>
    </w:p>
    <w:p>
      <w:pPr>
        <w:widowControl/>
      </w:pPr>
      <w:r>
        <w:rPr>
          <w:rFonts w:ascii="DejaVu Serif" w:hAnsi="DejaVu Serif" w:eastAsia="DejaVu Serif" w:cs="DejaVu Serif"/>
          <w:color w:val="000000"/>
          <w:sz w:val="20"/>
        </w:rPr>
        <w:t>[78] Basha, D., Azarmehri, A., Proulx, E., Chauvette, S., Ghorbani, M., and Timofeev, I. (2025 version of record). The reuniens nucleus of the thalamus facilitates hippocampo-cortical dialogue during sleep. eLife 12, RP90826. https://doi.org/10.7554/eLife.90826.3</w:t>
      </w:r>
    </w:p>
    <w:p>
      <w:pPr>
        <w:widowControl/>
      </w:pPr>
      <w:r>
        <w:rPr>
          <w:rFonts w:ascii="DejaVu Serif" w:hAnsi="DejaVu Serif" w:eastAsia="DejaVu Serif" w:cs="DejaVu Serif"/>
          <w:color w:val="000000"/>
          <w:sz w:val="20"/>
        </w:rPr>
        <w:t>[79] Wimmer, R. D., et al. (2015). Thalamic control of sensory selection in divided attention. Nature 526, 705–709. https://doi.org/10.1038/nature15398</w:t>
      </w:r>
    </w:p>
    <w:p>
      <w:pPr>
        <w:widowControl/>
      </w:pPr>
      <w:r>
        <w:rPr>
          <w:rFonts w:ascii="DejaVu Serif" w:hAnsi="DejaVu Serif" w:eastAsia="DejaVu Serif" w:cs="DejaVu Serif"/>
          <w:color w:val="000000"/>
          <w:sz w:val="20"/>
        </w:rPr>
        <w:t>[80] Duncan, K., Ketz, N., Inati, S. J., and Davachi, L. (2012). Evidence for area CA1 as a match/mismatch detector: a high-resolution fMRI study of the human hippocampus. Hippocampus 22, 389–398. https://doi.org/10.1002/hipo.20933</w:t>
      </w:r>
    </w:p>
    <w:p>
      <w:pPr>
        <w:widowControl/>
      </w:pPr>
      <w:r>
        <w:rPr>
          <w:rFonts w:ascii="DejaVu Serif" w:hAnsi="DejaVu Serif" w:eastAsia="DejaVu Serif" w:cs="DejaVu Serif"/>
          <w:color w:val="000000"/>
          <w:sz w:val="20"/>
        </w:rPr>
        <w:t>[81] Maingret, N., Girardeau, G., Todorova, R., Goutierre, M., and Zugaro, M. (2016). Hippocampo-cortical coupling mediates memory consolidation during sleep. Nature Neuroscience 19, 959–964. https://doi.org/10.1038/nn.4304</w:t>
      </w:r>
    </w:p>
    <w:p>
      <w:pPr>
        <w:widowControl/>
      </w:pPr>
      <w:r>
        <w:rPr>
          <w:rFonts w:ascii="DejaVu Serif" w:hAnsi="DejaVu Serif" w:eastAsia="DejaVu Serif" w:cs="DejaVu Serif"/>
          <w:color w:val="000000"/>
          <w:sz w:val="20"/>
        </w:rPr>
        <w:t>[82] Seber, G. A. F., and Lee, A. J. (2003). Linear Regression Analysis. Second edition. Wiley.</w:t>
      </w:r>
    </w:p>
    <w:p>
      <w:pPr>
        <w:widowControl/>
      </w:pPr>
      <w:r>
        <w:rPr>
          <w:rFonts w:ascii="DejaVu Serif" w:hAnsi="DejaVu Serif" w:eastAsia="DejaVu Serif" w:cs="DejaVu Serif"/>
          <w:color w:val="000000"/>
          <w:sz w:val="20"/>
        </w:rPr>
        <w:t>[83] Singer, A. (2011). Angular synchronization by eigenvectors and semidefinite programming. Applied and Computational Harmonic Analysis 30, 20–36. https://doi.org/10.1016/j.acha.2010.02.001</w:t>
      </w:r>
    </w:p>
    <w:p>
      <w:pPr>
        <w:widowControl/>
      </w:pPr>
      <w:r>
        <w:rPr>
          <w:rFonts w:ascii="DejaVu Serif" w:hAnsi="DejaVu Serif" w:eastAsia="DejaVu Serif" w:cs="DejaVu Serif"/>
          <w:color w:val="000000"/>
          <w:sz w:val="20"/>
        </w:rPr>
        <w:t>[84] Boumal, N. (2016). Nonconvex phase synchronization. SIAM Journal on Optimization 26, 2355–2377. https://doi.org/10.1137/16M105808X</w:t>
      </w:r>
    </w:p>
    <w:p>
      <w:pPr>
        <w:widowControl/>
      </w:pPr>
      <w:r>
        <w:rPr>
          <w:rFonts w:ascii="DejaVu Serif" w:hAnsi="DejaVu Serif" w:eastAsia="DejaVu Serif" w:cs="DejaVu Serif"/>
          <w:color w:val="000000"/>
          <w:sz w:val="20"/>
        </w:rPr>
        <w:t>[85] Bandeira, A. S., Boumal, N., and Singer, A. (2017). Tightness of the maximum likelihood semidefinite relaxation for angular synchronization. Mathematical Programming 163, 145–167. https://doi.org/10.1007/s10107-016-1059-6</w:t>
      </w:r>
    </w:p>
    <w:p>
      <w:pPr>
        <w:widowControl/>
      </w:pPr>
      <w:r>
        <w:rPr>
          <w:rFonts w:ascii="DejaVu Serif" w:hAnsi="DejaVu Serif" w:eastAsia="DejaVu Serif" w:cs="DejaVu Serif"/>
          <w:color w:val="000000"/>
          <w:sz w:val="20"/>
        </w:rPr>
        <w:t>[86] Rosen, D. M., Carlone, L., Bandeira, A. S., and Leonard, J. J. (2019). SE-Sync: a certifiably correct algorithm for synchronization over the special Euclidean group. International Journal of Robotics Research 38, 95–125. https://doi.org/10.1177/0278364918784361</w:t>
      </w:r>
    </w:p>
    <w:p>
      <w:pPr>
        <w:widowControl/>
      </w:pPr>
      <w:r>
        <w:rPr>
          <w:rFonts w:ascii="DejaVu Serif" w:hAnsi="DejaVu Serif" w:eastAsia="DejaVu Serif" w:cs="DejaVu Serif"/>
          <w:color w:val="000000"/>
          <w:sz w:val="20"/>
        </w:rPr>
        <w:t>[87] Bandeira, A. S., Singer, A., and Spielman, D. A. (2013). A Cheeger inequality for the graph connection Laplacian. SIAM Journal on Matrix Analysis and Applications 34, 1611–1630. https://doi.org/10.1137/120875338</w:t>
      </w:r>
    </w:p>
    <w:p>
      <w:pPr>
        <w:widowControl/>
      </w:pPr>
      <w:r>
        <w:rPr>
          <w:rFonts w:ascii="DejaVu Serif" w:hAnsi="DejaVu Serif" w:eastAsia="DejaVu Serif" w:cs="DejaVu Serif"/>
          <w:color w:val="000000"/>
          <w:sz w:val="20"/>
        </w:rPr>
        <w:t>[88] Singer, A., and Wu, H.-T. (2012). Vector diffusion maps and the connection Laplacian. Communications on Pure and Applied Mathematics 65, 1067–1144. https://doi.org/10.1002/cpa.21395</w:t>
      </w:r>
    </w:p>
    <w:p>
      <w:pPr>
        <w:widowControl/>
      </w:pPr>
      <w:r>
        <w:rPr>
          <w:rFonts w:ascii="DejaVu Serif" w:hAnsi="DejaVu Serif" w:eastAsia="DejaVu Serif" w:cs="DejaVu Serif"/>
          <w:color w:val="000000"/>
          <w:sz w:val="20"/>
        </w:rPr>
        <w:t>[89] Hatcher, A. (2002). Algebraic Topology. Cambridge University Press. Section 1.A, graphs and free groups.</w:t>
      </w:r>
    </w:p>
    <w:p>
      <w:pPr>
        <w:widowControl/>
      </w:pPr>
      <w:r>
        <w:rPr>
          <w:rFonts w:ascii="DejaVu Serif" w:hAnsi="DejaVu Serif" w:eastAsia="DejaVu Serif" w:cs="DejaVu Serif"/>
          <w:color w:val="000000"/>
          <w:sz w:val="20"/>
        </w:rPr>
        <w:t>[90] Ore, O. (1951). Some remarks on commutators. Proceedings of the American Mathematical Society 2, 307–314.</w:t>
      </w:r>
    </w:p>
    <w:p>
      <w:pPr>
        <w:widowControl/>
      </w:pPr>
      <w:r>
        <w:rPr>
          <w:rFonts w:ascii="DejaVu Serif" w:hAnsi="DejaVu Serif" w:eastAsia="DejaVu Serif" w:cs="DejaVu Serif"/>
          <w:color w:val="000000"/>
          <w:sz w:val="20"/>
        </w:rPr>
        <w:t>[91] Costantini, M. (1998). A novel phase unwrapping method based on network programming. IEEE Transactions on Geoscience and Remote Sensing 36, 813–821.</w:t>
      </w:r>
    </w:p>
    <w:p>
      <w:pPr>
        <w:widowControl/>
      </w:pPr>
      <w:r>
        <w:rPr>
          <w:rFonts w:ascii="DejaVu Serif" w:hAnsi="DejaVu Serif" w:eastAsia="DejaVu Serif" w:cs="DejaVu Serif"/>
          <w:color w:val="000000"/>
          <w:sz w:val="20"/>
        </w:rPr>
        <w:t>[92] Taube, J. S. (2007). The head direction signal: origins and sensory-motor integration. Annual Review of Neuroscience 30, 181–207.</w:t>
      </w:r>
    </w:p>
    <w:p>
      <w:pPr>
        <w:widowControl/>
      </w:pPr>
      <w:r>
        <w:rPr>
          <w:rFonts w:ascii="DejaVu Serif" w:hAnsi="DejaVu Serif" w:eastAsia="DejaVu Serif" w:cs="DejaVu Serif"/>
          <w:color w:val="000000"/>
          <w:sz w:val="20"/>
        </w:rPr>
        <w:t>[93] Chaudhuri, R., Gerçek, B., Pandey, B., Peyrache, A., and Fiete, I. (2019). The intrinsic attractor manifold and population dynamics of a canonical cognitive circuit across waking and sleep. Nature Neuroscience 22, 1512–1520. https://doi.org/10.1038/s41593-019-0460-x</w:t>
      </w:r>
    </w:p>
    <w:p>
      <w:pPr>
        <w:widowControl/>
      </w:pPr>
      <w:r>
        <w:rPr>
          <w:rFonts w:ascii="DejaVu Serif" w:hAnsi="DejaVu Serif" w:eastAsia="DejaVu Serif" w:cs="DejaVu Serif"/>
          <w:color w:val="000000"/>
          <w:sz w:val="20"/>
        </w:rPr>
        <w:t>[94] Gardner, R. J., Hermansen, E., Pachitariu, M., Burak, Y., Baas, N. A., Dunn, B. A., Moser, M.-B., and Moser, E. I. (2022). Toroidal topology of population activity in grid cells. Nature 602, 123–128. https://doi.org/10.1038/s41586-021-04268-7</w:t>
      </w:r>
    </w:p>
    <w:p>
      <w:pPr>
        <w:widowControl/>
      </w:pPr>
      <w:r>
        <w:rPr>
          <w:rFonts w:ascii="DejaVu Serif" w:hAnsi="DejaVu Serif" w:eastAsia="DejaVu Serif" w:cs="DejaVu Serif"/>
          <w:color w:val="000000"/>
          <w:sz w:val="20"/>
        </w:rPr>
        <w:t>[95] Fuller, W. A. (1987). Measurement Error Models. Wiley.</w:t>
      </w:r>
    </w:p>
    <w:p>
      <w:pPr>
        <w:widowControl/>
      </w:pPr>
      <w:r>
        <w:rPr>
          <w:rFonts w:ascii="DejaVu Serif" w:hAnsi="DejaVu Serif" w:eastAsia="DejaVu Serif" w:cs="DejaVu Serif"/>
          <w:color w:val="000000"/>
          <w:sz w:val="20"/>
        </w:rPr>
        <w:t>[96] Efron, B., and Tibshirani, R. J. (1993). An Introduction to the Bootstrap. Chapman and Hall.</w:t>
      </w:r>
    </w:p>
    <w:p>
      <w:pPr>
        <w:widowControl/>
      </w:pPr>
      <w:r>
        <w:rPr>
          <w:rFonts w:ascii="DejaVu Serif" w:hAnsi="DejaVu Serif" w:eastAsia="DejaVu Serif" w:cs="DejaVu Serif"/>
          <w:color w:val="000000"/>
          <w:sz w:val="20"/>
        </w:rPr>
        <w:t>[97] Hotelling, H. (1931). The generalization of Student's ratio. Annals of Mathematical Statistics 2, 360–378.</w:t>
      </w:r>
    </w:p>
    <w:p>
      <w:pPr>
        <w:widowControl/>
      </w:pPr>
      <w:r>
        <w:rPr>
          <w:rFonts w:ascii="DejaVu Serif" w:hAnsi="DejaVu Serif" w:eastAsia="DejaVu Serif" w:cs="DejaVu Serif"/>
          <w:color w:val="000000"/>
          <w:sz w:val="20"/>
        </w:rPr>
        <w:t>[98] Gallego, J. A., Perich, M. G., Chowdhury, R. H., Solla, S. A., and Miller, L. E. (2020). Long-term stability of cortical population dynamics underlying consistent behavior. Nature Neuroscience 23, 260–270.</w:t>
      </w:r>
    </w:p>
    <w:p>
      <w:pPr>
        <w:widowControl/>
      </w:pPr>
      <w:r>
        <w:rPr>
          <w:rFonts w:ascii="DejaVu Serif" w:hAnsi="DejaVu Serif" w:eastAsia="DejaVu Serif" w:cs="DejaVu Serif"/>
          <w:color w:val="000000"/>
          <w:sz w:val="20"/>
        </w:rPr>
        <w:t>[99] Williams, A. H., Kunz, E., Kornblith, S., and Linderman, S. W. (2021). Generalized shape metrics on neural representations. Advances in Neural Information Processing Systems 34.</w:t>
      </w:r>
    </w:p>
    <w:p w14:paraId="37075F91" w14:textId="77777777" w:rsidR="000000DC" w:rsidRDefault="00000000" w:rsidP="00351DF2">
      <w:pPr>
        <w:pStyle w:val="Heading1"/>
        <w:widowControl/>
        <w:jc w:val="both"/>
      </w:pPr>
      <w:r>
        <w:rPr>
          <w:rFonts w:ascii="DejaVu Serif" w:eastAsia="DejaVu Serif" w:hAnsi="DejaVu Serif" w:cs="DejaVu Serif"/>
          <w:b/>
          <w:color w:val="000000"/>
          <w:sz w:val="26"/>
        </w:rPr>
        <w:t>Appendix A Reference implementation and certificate checks</w:t>
      </w:r>
    </w:p>
    <w:p w14:paraId="30EA036F" w14:textId="77777777" w:rsidR="000000DC" w:rsidRDefault="00000000" w:rsidP="00351DF2">
      <w:pPr>
        <w:widowControl/>
        <w:jc w:val="both"/>
      </w:pPr>
      <w:r>
        <w:rPr>
          <w:rFonts w:ascii="DejaVu Serif" w:hAnsi="DejaVu Serif" w:eastAsia="DejaVu Serif" w:cs="DejaVu Serif"/>
          <w:color w:val="000000"/>
          <w:sz w:val="20"/>
        </w:rPr>
        <w:t>The C# implementation below retains the original finite F₂ graph core. It validates dimensions and endpoints, handles loops by toggling incidence entries twice, and names the operation IsExact rather than suggesting direct gluing of arbitrary sections. It computes neither d¹ nor general sheaf cohomology. A triangle face must be represented by an additional differential and a separate closure check. The listing compiles unchanged with the .NET 8.0 SDK and passes the checks of Section 32.</w:t>
      </w:r>
    </w:p>
    <w:p w14:paraId="1C92974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using System;</w:t>
      </w:r>
    </w:p>
    <w:p w14:paraId="3EC29CD1"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public readonly record struct Edge(int U, int V);</w:t>
      </w:r>
    </w:p>
    <w:p w14:paraId="4B06DAD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public static class GraphSheafF2</w:t>
      </w:r>
    </w:p>
    <w:p w14:paraId="6106269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w:t>
      </w:r>
    </w:p>
    <w:p w14:paraId="44029F48"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public static bool[,] D0(int n, Edge[] edges)</w:t>
      </w:r>
    </w:p>
    <w:p w14:paraId="33A56AB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6BFCCFD7"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(n &lt; 0) throw new ArgumentOutOfRangeException(nameof(n));</w:t>
      </w:r>
    </w:p>
    <w:p w14:paraId="5CBE5C9F"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ArgumentNullException.ThrowIfNull(edges);</w:t>
      </w:r>
    </w:p>
    <w:p w14:paraId="0DF420CC"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d = new bool[edges.Length, n];</w:t>
      </w:r>
    </w:p>
    <w:p w14:paraId="699AEE33"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e = 0; e &lt; edges.Length; e++)</w:t>
      </w:r>
    </w:p>
    <w:p w14:paraId="77B10E4A"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lastRenderedPageBreak/>
        <w:t xml:space="preserve">        {</w:t>
      </w:r>
    </w:p>
    <w:p w14:paraId="5E7E1F1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(u, v) = edges[e];</w:t>
      </w:r>
    </w:p>
    <w:p w14:paraId="277AEEDA"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(u &lt; 0 || u &gt;= n || v &lt; 0 || v &gt;= n)</w:t>
      </w:r>
    </w:p>
    <w:p w14:paraId="3229D798"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throw new ArgumentException("Invalid endpoint");</w:t>
      </w:r>
    </w:p>
    <w:p w14:paraId="0A40B71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d[e, u] ^= true;</w:t>
      </w:r>
    </w:p>
    <w:p w14:paraId="6FBDA5A7"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d[e, v] ^= true; // A loop has zero coboundary.</w:t>
      </w:r>
    </w:p>
    <w:p w14:paraId="5988FAD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770CF295"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return d;</w:t>
      </w:r>
    </w:p>
    <w:p w14:paraId="46C3397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4A803D1B"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public static int Rank(bool[,] input)</w:t>
      </w:r>
    </w:p>
    <w:p w14:paraId="34B51B7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22EB51DD"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a = (bool[,])input.Clone();</w:t>
      </w:r>
    </w:p>
    <w:p w14:paraId="38B0568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int m = a.GetLength(0), n = a.GetLength(1), r = 0;</w:t>
      </w:r>
    </w:p>
    <w:p w14:paraId="5FF3C78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c = 0; c &lt; n &amp;&amp; r &lt; m; c++)</w:t>
      </w:r>
    </w:p>
    <w:p w14:paraId="2639EA5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16DF1DB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int pivot = r;</w:t>
      </w:r>
    </w:p>
    <w:p w14:paraId="0882B0DF"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while (pivot &lt; m &amp;&amp; !a[pivot,c]) pivot++;</w:t>
      </w:r>
    </w:p>
    <w:p w14:paraId="18C81CE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(pivot == m) continue;</w:t>
      </w:r>
    </w:p>
    <w:p w14:paraId="50088A4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k = 0; k &lt; n; k++)</w:t>
      </w:r>
    </w:p>
    <w:p w14:paraId="72ACA10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(a[r,k], a[pivot,k]) = (a[pivot,k], a[r,k]);</w:t>
      </w:r>
    </w:p>
    <w:p w14:paraId="63AA52F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j = r + 1; j &lt; m; j++)</w:t>
      </w:r>
    </w:p>
    <w:p w14:paraId="183DF49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(a[j,c])</w:t>
      </w:r>
    </w:p>
    <w:p w14:paraId="1BDD58C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k = c; k &lt; n; k++)</w:t>
      </w:r>
    </w:p>
    <w:p w14:paraId="15A3201C"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a[j,k] ^= a[r,k];</w:t>
      </w:r>
    </w:p>
    <w:p w14:paraId="2E13A1E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w:t>
      </w:r>
    </w:p>
    <w:p w14:paraId="4236B23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475FFAFD"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return r;</w:t>
      </w:r>
    </w:p>
    <w:p w14:paraId="482CA44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73A75F5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public static (int H0, int H1) Dimensions(int n, Edge[] edges)</w:t>
      </w:r>
    </w:p>
    <w:p w14:paraId="77011F6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011EEFC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int r = Rank(D0(n, edges));</w:t>
      </w:r>
    </w:p>
    <w:p w14:paraId="1AE0E5FB"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return (n - r, edges.Length - r);</w:t>
      </w:r>
    </w:p>
    <w:p w14:paraId="40E3955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75E60B8D"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public static bool IsExact(int n, Edge[] edges, bool[] g)</w:t>
      </w:r>
    </w:p>
    <w:p w14:paraId="1556250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24D61F6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d = D0(n, edges);</w:t>
      </w:r>
    </w:p>
    <w:p w14:paraId="457EB6C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ArgumentNullException.ThrowIfNull(g);</w:t>
      </w:r>
    </w:p>
    <w:p w14:paraId="2937221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int m = edges.Length;</w:t>
      </w:r>
    </w:p>
    <w:p w14:paraId="4323F43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(g.Length != m) throw new ArgumentException("Wrong size");</w:t>
      </w:r>
    </w:p>
    <w:p w14:paraId="555BF735"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augmented = new bool[m, n + 1];</w:t>
      </w:r>
    </w:p>
    <w:p w14:paraId="44278C5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e = 0; e &lt; m; e++)</w:t>
      </w:r>
    </w:p>
    <w:p w14:paraId="3C3EADA8"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4B98E2A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v = 0; v &lt; n; v++) augmented[e,v] = d[e,v];</w:t>
      </w:r>
    </w:p>
    <w:p w14:paraId="433B9AE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augmented[e,n] = g[e];</w:t>
      </w:r>
    </w:p>
    <w:p w14:paraId="60B243EB"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31E46A7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return Rank(augmented) == Rank(d);</w:t>
      </w:r>
    </w:p>
    <w:p w14:paraId="22D4ED6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5DA4A5F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w:t>
      </w:r>
    </w:p>
    <w:p w14:paraId="1080DAB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Edge[] tri = { new(0,1), new(1,2), new(0,2) };</w:t>
      </w:r>
    </w:p>
    <w:p w14:paraId="3A5459DB"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Dimensions(3, tri) is (1,1).</w:t>
      </w:r>
    </w:p>
    <w:p w14:paraId="5107EE3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IsExact(3, tri, new[] { true, true, false }) is true.</w:t>
      </w:r>
    </w:p>
    <w:p w14:paraId="38499A27"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IsExact(3, tri, new[] { true, false, false }) is false.</w:t>
      </w:r>
    </w:p>
    <w:p w14:paraId="7AABA786" w14:textId="77777777" w:rsidR="000000DC" w:rsidRDefault="00000000" w:rsidP="00351DF2">
      <w:pPr>
        <w:pStyle w:val="Heading1"/>
        <w:widowControl/>
        <w:jc w:val="both"/>
      </w:pPr>
      <w:r>
        <w:rPr>
          <w:rFonts w:ascii="DejaVu Serif" w:eastAsia="DejaVu Serif" w:hAnsi="DejaVu Serif" w:cs="DejaVu Serif"/>
          <w:b/>
          <w:color w:val="000000"/>
          <w:sz w:val="26"/>
        </w:rPr>
        <w:t>Appendix B Numerical verification scope</w:t>
      </w:r>
    </w:p>
    <w:p w14:paraId="2646CC52" w14:textId="77777777" w:rsidR="000000DC" w:rsidRDefault="00000000" w:rsidP="00351DF2">
      <w:pPr>
        <w:widowControl/>
        <w:jc w:val="both"/>
      </w:pPr>
      <w:r>
        <w:rPr>
          <w:rFonts w:ascii="DejaVu Serif" w:hAnsi="DejaVu Serif" w:eastAsia="DejaVu Serif" w:cs="DejaVu Serif"/>
          <w:color w:val="000000"/>
          <w:sz w:val="20"/>
        </w:rPr>
        <w:t>The mathematical checks of Sections 13 and 18 are retained from the preceding revision. The newly supplied trio_numerics.py was rerun for Section 26 with seed 20261021 and NumPy 2.3.5; its output is a set of mathematical surrogate results. Binary Betti numbers describe the sampled complex only. The script’s planar torsion comment and area intensity label do not establish a coefficient comparison or a measured active cell count; the revised text states the narrower valid conclusions. A separate deterministic gradient check supplies the counterexample to mandatory annealing. The C# listing in Appendix A now compiles unchanged; Section 32 reports its checks. Sections 29–31 were generated in a separate environment by paradigm_numerics.py (seed 20261021, NumPy 2.5.3, SciPy 1.18.1), which writes paradigm_results.json and the figures of those sections; each part draws from its own seeded generator, so results do not depend on the order in which parts run, and a full run takes about two and a half minutes on one machine. fig_se2.py draws Figure 30.1. make_golden.py writes the reference values for Section 32, and the C# project in SheafRuntime reads them. Monte Carlo rates carry binomial sampling error, and the bootstrap tests of Section 31 are approximate in finite samples; both are reported as observed.</w:t>
      </w:r>
    </w:p>
    <w:p>
      <w:pPr>
        <w:pStyle w:val="Heading1"/>
        <w:widowControl/>
      </w:pPr>
      <w:r>
        <w:rPr>
          <w:rFonts w:ascii="DejaVu Serif" w:hAnsi="DejaVu Serif" w:eastAsia="DejaVu Serif" w:cs="DejaVu Serif"/>
          <w:b/>
          <w:color w:val="000000"/>
          <w:sz w:val="26"/>
        </w:rPr>
        <w:t>Appendix C Minimal runtime records and contracts</w:t>
      </w:r>
    </w:p>
    <w:p>
      <w:pPr>
        <w:widowControl/>
      </w:pPr>
      <w:r>
        <w:rPr>
          <w:rFonts w:ascii="DejaVu Serif" w:hAnsi="DejaVu Serif" w:eastAsia="DejaVu Serif" w:cs="DejaVu Serif"/>
          <w:color w:val="000000"/>
          <w:sz w:val="20"/>
        </w:rPr>
        <w:t>These records define a prototype independent of any anatomical naming. The three modules own proposal and state responsibilities; the verifier enforces the declared mathematical representation. They are interface specifications, not claimed compiled code or a biologically validated implementation.</w:t>
      </w:r>
    </w:p>
    <w:p>
      <w:pPr>
        <w:keepNext/>
        <w:widowControl/>
      </w:pPr>
      <w:r>
        <w:rPr>
          <w:rFonts w:ascii="DejaVu Serif" w:hAnsi="DejaVu Serif" w:eastAsia="DejaVu Serif" w:cs="DejaVu Serif"/>
          <w:b/>
          <w:color w:val="000000"/>
          <w:sz w:val="20"/>
        </w:rPr>
        <w:t>Table C1 Records needed to make the trio proposal executable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320"/>
        <w:gridCol w:w="3672"/>
      </w:tblGrid>
      <w:tr>
        <w:trPr>
          <w:cantSplit/>
          <w:tblHeader/>
        </w:trPr>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Record</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Required content</w:t>
            </w:r>
          </w:p>
        </w:tc>
        <w:tc>
          <w:tcPr>
            <w:tcW w:type="dxa" w:w="3264"/>
            <w:tcMar>
              <w:top w:w="75" w:type="dxa"/>
              <w:left w:w="75" w:type="dxa"/>
              <w:bottom w:w="75" w:type="dxa"/>
              <w:right w:w="75" w:type="dxa"/>
            </w:tcMar>
            <w:shd w:fill="E7EDF2"/>
          </w:tcPr>
          <w:p>
            <w:pPr>
              <w:spacing w:after="40" w:line="250" w:lineRule="auto"/>
            </w:pPr>
            <w:r>
              <w:rPr>
                <w:rFonts w:ascii="DejaVu Serif" w:hAnsi="DejaVu Serif" w:eastAsia="DejaVu Serif" w:cs="DejaVu Serif"/>
                <w:b/>
                <w:color w:val="000000"/>
                <w:sz w:val="17"/>
              </w:rPr>
              <w:t>Invariant</w:t>
            </w:r>
          </w:p>
        </w:tc>
      </w:tr>
      <w:tr>
        <w:trPr>
          <w:cantSplit/>
        </w:trPr>
        <w:tc>
          <w:tcPr>
            <w:tcW w:type="dxa" w:w="172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ContextModel</w:t>
            </w:r>
          </w:p>
        </w:tc>
        <w:tc>
          <w:tcPr>
            <w:tcW w:type="dxa" w:w="432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Version, domain and cover declarations, coefficient field, stalk dimensions, D, E and W.</w:t>
            </w:r>
          </w:p>
        </w:tc>
        <w:tc>
          <w:tcPr>
            <w:tcW w:type="dxa" w:w="3672"/>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ED=0; W meets its declared positivity assumptions.</w:t>
            </w:r>
          </w:p>
        </w:tc>
      </w:tr>
      <w:tr>
        <w:trPr>
          <w:cantSplit/>
        </w:trPr>
        <w:tc>
          <w:tcPr>
            <w:tcW w:type="dxa" w:w="172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SectionCandidate</w:t>
            </w:r>
          </w:p>
        </w:tc>
        <w:tc>
          <w:tcPr>
            <w:tcW w:type="dxa" w:w="432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Context version, domain, local state and encoder provenance.</w:t>
            </w:r>
          </w:p>
        </w:tc>
        <w:tc>
          <w:tcPr>
            <w:tcW w:type="dxa" w:w="3672"/>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Restriction maps refer to the same model and compatible types.</w:t>
            </w:r>
          </w:p>
        </w:tc>
      </w:tr>
      <w:tr>
        <w:trPr>
          <w:cantSplit/>
        </w:trPr>
        <w:tc>
          <w:tcPr>
            <w:tcW w:type="dxa" w:w="172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RouteState</w:t>
            </w:r>
          </w:p>
        </w:tc>
        <w:tc>
          <w:tcPr>
            <w:tcW w:type="dxa" w:w="432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Payload references, positive gains, observation mask and optional proposed domain change.</w:t>
            </w:r>
          </w:p>
        </w:tc>
        <w:tc>
          <w:tcPr>
            <w:tcW w:type="dxa" w:w="3672"/>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Masking does not silently rewrite the declared domain.</w:t>
            </w:r>
          </w:p>
        </w:tc>
      </w:tr>
      <w:tr>
        <w:trPr>
          <w:cantSplit/>
        </w:trPr>
        <w:tc>
          <w:tcPr>
            <w:tcW w:type="dxa" w:w="172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Episode</w:t>
            </w:r>
          </w:p>
        </w:tc>
        <w:tc>
          <w:tcPr>
            <w:tcW w:type="dxa" w:w="432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Content or reconstruction data, cue indices, transitions, time and model version.</w:t>
            </w:r>
          </w:p>
        </w:tc>
        <w:tc>
          <w:tcPr>
            <w:tcW w:type="dxa" w:w="3672"/>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Archive retains the declared information; it is not just the nerve vertices.</w:t>
            </w:r>
          </w:p>
        </w:tc>
      </w:tr>
      <w:tr>
        <w:trPr>
          <w:cantSplit/>
        </w:trPr>
        <w:tc>
          <w:tcPr>
            <w:tcW w:type="dxa" w:w="1728"/>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IntegrationResult</w:t>
            </w:r>
          </w:p>
        </w:tc>
        <w:tc>
          <w:tcPr>
            <w:tcW w:type="dxa" w:w="4320"/>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Exact, approximate, incomplete, nonclosed or obstructed status, with witness and error bounds.</w:t>
            </w:r>
          </w:p>
        </w:tc>
        <w:tc>
          <w:tcPr>
            <w:tcW w:type="dxa" w:w="3672"/>
            <w:tcMar>
              <w:top w:w="75" w:type="dxa"/>
              <w:left w:w="75" w:type="dxa"/>
              <w:bottom w:w="75" w:type="dxa"/>
              <w:right w:w="75" w:type="dxa"/>
            </w:tcMar>
            <w:shd w:fill="FFFFFF"/>
          </w:tcPr>
          <w:p>
            <w:pPr>
              <w:spacing w:after="40" w:line="250" w:lineRule="auto"/>
            </w:pPr>
            <w:r>
              <w:rPr>
                <w:rFonts w:ascii="DejaVu Serif" w:hAnsi="DejaVu Serif" w:eastAsia="DejaVu Serif" w:cs="DejaVu Serif"/>
                <w:b w:val="0"/>
                <w:color w:val="000000"/>
                <w:sz w:val="17"/>
              </w:rPr>
              <w:t>An approximate result is never relabelled exact by choosing a tolerance.</w:t>
            </w:r>
          </w:p>
        </w:tc>
      </w:tr>
      <w:tr>
        <w:trPr>
          <w:cantSplit/>
        </w:trPr>
        <w:tc>
          <w:tcPr>
            <w:tcW w:type="dxa" w:w="1728"/>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ReplayProposal</w:t>
            </w:r>
          </w:p>
        </w:tc>
        <w:tc>
          <w:tcPr>
            <w:tcW w:type="dxa" w:w="4320"/>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Selected episodes, objective, update rule, validation data and candidate model revision.</w:t>
            </w:r>
          </w:p>
        </w:tc>
        <w:tc>
          <w:tcPr>
            <w:tcW w:type="dxa" w:w="3672"/>
            <w:tcMar>
              <w:top w:w="75" w:type="dxa"/>
              <w:left w:w="75" w:type="dxa"/>
              <w:bottom w:w="75" w:type="dxa"/>
              <w:right w:w="75" w:type="dxa"/>
            </w:tcMar>
            <w:shd w:fill="F7F8FA"/>
          </w:tcPr>
          <w:p>
            <w:pPr>
              <w:spacing w:after="40" w:line="250" w:lineRule="auto"/>
            </w:pPr>
            <w:r>
              <w:rPr>
                <w:rFonts w:ascii="DejaVu Serif" w:hAnsi="DejaVu Serif" w:eastAsia="DejaVu Serif" w:cs="DejaVu Serif"/>
                <w:b w:val="0"/>
                <w:color w:val="000000"/>
                <w:sz w:val="17"/>
              </w:rPr>
              <w:t>A proposed write is verified before replacing protected state.</w:t>
            </w:r>
          </w:p>
        </w:tc>
      </w:tr>
    </w:tbl>
    <w:p>
      <w:pPr>
        <w:widowControl/>
      </w:pPr>
      <w:r>
        <w:rPr>
          <w:rFonts w:ascii="DejaVu Serif" w:hAnsi="DejaVu Serif" w:eastAsia="DejaVu Serif" w:cs="DejaVu Serif"/>
          <w:color w:val="000000"/>
          <w:sz w:val="20"/>
        </w:rPr>
        <w:t>Prototype operations are Route, Propose, Retrieve, Verify, Commit and Replay. Route may change effective coupling; Propose and Retrieve do not grant a commit certificate. Verify checks scope and the relevant exact or bounded conditions. Commit retains provenance and the old version needed for rollback. Replay proposes new state or maps under a declared objective. Actions that affect an external environment require an additional domain specific validation gate; sheaf coherence alone does not guarantee action safety or factual correctness.</w:t>
      </w:r>
    </w:p>
    <w:p>
      <w:pPr>
        <w:pStyle w:val="Heading1"/>
        <w:widowControl/>
      </w:pPr>
      <w:r>
        <w:rPr>
          <w:rFonts w:ascii="DejaVu Serif" w:hAnsi="DejaVu Serif" w:eastAsia="DejaVu Serif" w:cs="DejaVu Serif"/>
          <w:b/>
          <w:i w:val="0"/>
          <w:color w:val="000000"/>
          <w:sz w:val="26"/>
        </w:rPr>
        <w:t>Appendix D Compiled runtime contracts</w:t>
      </w:r>
    </w:p>
    <w:p>
      <w:pPr>
        <w:widowControl/>
        <w:jc w:val="both"/>
      </w:pPr>
      <w:r>
        <w:rPr>
          <w:rFonts w:ascii="DejaVu Serif" w:hAnsi="DejaVu Serif" w:eastAsia="DejaVu Serif" w:cs="DejaVu Serif"/>
          <w:b w:val="0"/>
          <w:i w:val="0"/>
          <w:color w:val="000000"/>
          <w:sz w:val="20"/>
        </w:rPr>
        <w:t>The listing gives the central types and the two certificate procedures of the compiled runtime. The remaining files, SpecialFunctions.cs, Graphs.cs and AngularSync.cs, and the test program accompany this version. Numerical kernels mutate local arrays only; every public type is an immutable record or record struct, and every public operation is a static function. Argument validation is omitted from the listing; the source files contain it.</w:t>
      </w:r>
    </w:p>
    <w:p>
      <w:pPr>
        <w:widowControl/>
        <w:spacing w:after="0" w:line="240" w:lineRule="auto"/>
      </w:pPr>
      <w:r>
        <w:rPr>
          <w:rFonts w:ascii="DejaVu Sans Mono" w:hAnsi="DejaVu Sans Mono" w:eastAsia="DejaVu Sans Mono" w:cs="DejaVu Sans Mono"/>
          <w:b w:val="0"/>
          <w:i w:val="0"/>
          <w:color w:val="000000"/>
          <w:sz w:val="15"/>
        </w:rPr>
        <w:t>public abstract record VerificationResult;</w:t>
      </w:r>
    </w:p>
    <w:p>
      <w:pPr>
        <w:widowControl/>
        <w:spacing w:after="0" w:line="240" w:lineRule="auto"/>
      </w:pPr>
      <w:r>
        <w:rPr>
          <w:rFonts w:ascii="DejaVu Sans Mono" w:hAnsi="DejaVu Sans Mono" w:eastAsia="DejaVu Sans Mono" w:cs="DejaVu Sans Mono"/>
          <w:b w:val="0"/>
          <w:i w:val="0"/>
          <w:color w:val="000000"/>
          <w:sz w:val="15"/>
        </w:rPr>
        <w:t>public sealed record NoCycles : VerificationResult;</w:t>
      </w:r>
    </w:p>
    <w:p>
      <w:pPr>
        <w:widowControl/>
        <w:spacing w:after="0" w:line="240" w:lineRule="auto"/>
      </w:pPr>
      <w:r>
        <w:rPr>
          <w:rFonts w:ascii="DejaVu Sans Mono" w:hAnsi="DejaVu Sans Mono" w:eastAsia="DejaVu Sans Mono" w:cs="DejaVu Sans Mono"/>
          <w:b w:val="0"/>
          <w:i w:val="0"/>
          <w:color w:val="000000"/>
          <w:sz w:val="15"/>
        </w:rPr>
        <w:t>public sealed record ExactWithinNoise(int Dof, double Statistic, double PValue)</w:t>
      </w:r>
    </w:p>
    <w:p>
      <w:pPr>
        <w:widowControl/>
        <w:spacing w:after="0" w:line="240" w:lineRule="auto"/>
      </w:pPr>
      <w:r>
        <w:rPr>
          <w:rFonts w:ascii="DejaVu Sans Mono" w:hAnsi="DejaVu Sans Mono" w:eastAsia="DejaVu Sans Mono" w:cs="DejaVu Sans Mono"/>
          <w:b w:val="0"/>
          <w:i w:val="0"/>
          <w:color w:val="000000"/>
          <w:sz w:val="15"/>
        </w:rPr>
        <w:t xml:space="preserve">    : VerificationResult;</w:t>
      </w:r>
    </w:p>
    <w:p>
      <w:pPr>
        <w:widowControl/>
        <w:spacing w:after="0" w:line="240" w:lineRule="auto"/>
      </w:pPr>
      <w:r>
        <w:rPr>
          <w:rFonts w:ascii="DejaVu Sans Mono" w:hAnsi="DejaVu Sans Mono" w:eastAsia="DejaVu Sans Mono" w:cs="DejaVu Sans Mono"/>
          <w:b w:val="0"/>
          <w:i w:val="0"/>
          <w:color w:val="000000"/>
          <w:sz w:val="15"/>
        </w:rPr>
        <w:t>public sealed record ObstructionDetected(int Dof, double Statistic, double PValue,</w:t>
      </w:r>
    </w:p>
    <w:p>
      <w:pPr>
        <w:widowControl/>
        <w:spacing w:after="0" w:line="240" w:lineRule="auto"/>
      </w:pPr>
      <w:r>
        <w:rPr>
          <w:rFonts w:ascii="DejaVu Sans Mono" w:hAnsi="DejaVu Sans Mono" w:eastAsia="DejaVu Sans Mono" w:cs="DejaVu Sans Mono"/>
          <w:b w:val="0"/>
          <w:i w:val="0"/>
          <w:color w:val="000000"/>
          <w:sz w:val="15"/>
        </w:rPr>
        <w:t xml:space="preserve">    ImmutableArray&lt;CycleScore&gt; Cycles) : VerificationResult;</w:t>
      </w:r>
    </w:p>
    <w:p>
      <w:pPr>
        <w:widowControl/>
        <w:spacing w:after="0" w:line="240" w:lineRule="auto"/>
      </w:pPr>
      <w:r>
        <w:rPr>
          <w:rFonts w:ascii="DejaVu Sans Mono" w:hAnsi="DejaVu Sans Mono" w:eastAsia="DejaVu Sans Mono" w:cs="DejaVu Sans Mono"/>
          <w:b w:val="0"/>
          <w:i w:val="0"/>
          <w:color w:val="000000"/>
          <w:sz w:val="15"/>
        </w:rPr>
        <w:t>public sealed record CycleScore(int NonTreeEdge, double CycleSum, double StandardError)</w:t>
      </w:r>
    </w:p>
    <w:p>
      <w:pPr>
        <w:widowControl/>
        <w:spacing w:after="0" w:line="240" w:lineRule="auto"/>
      </w:pPr>
      <w:r>
        <w:rPr>
          <w:rFonts w:ascii="DejaVu Sans Mono" w:hAnsi="DejaVu Sans Mono" w:eastAsia="DejaVu Sans Mono" w:cs="DejaVu Sans Mono"/>
          <w:b w:val="0"/>
          <w:i w:val="0"/>
          <w:color w:val="000000"/>
          <w:sz w:val="15"/>
        </w:rPr>
        <w:t>{</w:t>
      </w:r>
    </w:p>
    <w:p>
      <w:pPr>
        <w:widowControl/>
        <w:spacing w:after="0" w:line="240" w:lineRule="auto"/>
      </w:pPr>
      <w:r>
        <w:rPr>
          <w:rFonts w:ascii="DejaVu Sans Mono" w:hAnsi="DejaVu Sans Mono" w:eastAsia="DejaVu Sans Mono" w:cs="DejaVu Sans Mono"/>
          <w:b w:val="0"/>
          <w:i w:val="0"/>
          <w:color w:val="000000"/>
          <w:sz w:val="15"/>
        </w:rPr>
        <w:t xml:space="preserve">    public double Z =&gt; CycleSum / StandardError;</w:t>
      </w:r>
    </w:p>
    <w:p>
      <w:pPr>
        <w:widowControl/>
        <w:spacing w:after="0" w:line="240" w:lineRule="auto"/>
      </w:pPr>
      <w:r>
        <w:rPr>
          <w:rFonts w:ascii="DejaVu Sans Mono" w:hAnsi="DejaVu Sans Mono" w:eastAsia="DejaVu Sans Mono" w:cs="DejaVu Sans Mono"/>
          <w:b w:val="0"/>
          <w:i w:val="0"/>
          <w:color w:val="000000"/>
          <w:sz w:val="15"/>
        </w:rPr>
        <w:t>}</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public static class CycleVerifier   // Proposition 29.4 with the chi-square law of Theorem 29.1</w:t>
      </w:r>
    </w:p>
    <w:p>
      <w:pPr>
        <w:widowControl/>
        <w:spacing w:after="0" w:line="240" w:lineRule="auto"/>
      </w:pPr>
      <w:r>
        <w:rPr>
          <w:rFonts w:ascii="DejaVu Sans Mono" w:hAnsi="DejaVu Sans Mono" w:eastAsia="DejaVu Sans Mono" w:cs="DejaVu Sans Mono"/>
          <w:b w:val="0"/>
          <w:i w:val="0"/>
          <w:color w:val="000000"/>
          <w:sz w:val="15"/>
        </w:rPr>
        <w:t>{</w:t>
      </w:r>
    </w:p>
    <w:p>
      <w:pPr>
        <w:widowControl/>
        <w:spacing w:after="0" w:line="240" w:lineRule="auto"/>
      </w:pPr>
      <w:r>
        <w:rPr>
          <w:rFonts w:ascii="DejaVu Sans Mono" w:hAnsi="DejaVu Sans Mono" w:eastAsia="DejaVu Sans Mono" w:cs="DejaVu Sans Mono"/>
          <w:b w:val="0"/>
          <w:i w:val="0"/>
          <w:color w:val="000000"/>
          <w:sz w:val="15"/>
        </w:rPr>
        <w:t xml:space="preserve">    public static VerificationResult Verify(int n, ImmutableArray&lt;Edge&gt; edges,</w:t>
      </w:r>
    </w:p>
    <w:p>
      <w:pPr>
        <w:widowControl/>
        <w:spacing w:after="0" w:line="240" w:lineRule="auto"/>
      </w:pPr>
      <w:r>
        <w:rPr>
          <w:rFonts w:ascii="DejaVu Sans Mono" w:hAnsi="DejaVu Sans Mono" w:eastAsia="DejaVu Sans Mono" w:cs="DejaVu Sans Mono"/>
          <w:b w:val="0"/>
          <w:i w:val="0"/>
          <w:color w:val="000000"/>
          <w:sz w:val="15"/>
        </w:rPr>
        <w:t xml:space="preserve">        ImmutableArray&lt;double&gt; g, ImmutableArray&lt;double&gt; weights, double sigma, double alpha)</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 xml:space="preserve">        var cycles = Graphs.FundamentalCycles(n, edges);</w:t>
      </w:r>
    </w:p>
    <w:p>
      <w:pPr>
        <w:widowControl/>
        <w:spacing w:after="0" w:line="240" w:lineRule="auto"/>
      </w:pPr>
      <w:r>
        <w:rPr>
          <w:rFonts w:ascii="DejaVu Sans Mono" w:hAnsi="DejaVu Sans Mono" w:eastAsia="DejaVu Sans Mono" w:cs="DejaVu Sans Mono"/>
          <w:b w:val="0"/>
          <w:i w:val="0"/>
          <w:color w:val="000000"/>
          <w:sz w:val="15"/>
        </w:rPr>
        <w:t xml:space="preserve">        int h = cycles.Length;</w:t>
      </w:r>
    </w:p>
    <w:p>
      <w:pPr>
        <w:widowControl/>
        <w:spacing w:after="0" w:line="240" w:lineRule="auto"/>
      </w:pPr>
      <w:r>
        <w:rPr>
          <w:rFonts w:ascii="DejaVu Sans Mono" w:hAnsi="DejaVu Sans Mono" w:eastAsia="DejaVu Sans Mono" w:cs="DejaVu Sans Mono"/>
          <w:b w:val="0"/>
          <w:i w:val="0"/>
          <w:color w:val="000000"/>
          <w:sz w:val="15"/>
        </w:rPr>
        <w:t xml:space="preserve">        if (h == 0) return new NoCycles();</w:t>
      </w:r>
    </w:p>
    <w:p>
      <w:pPr>
        <w:widowControl/>
        <w:spacing w:after="0" w:line="240" w:lineRule="auto"/>
      </w:pPr>
      <w:r>
        <w:rPr>
          <w:rFonts w:ascii="DejaVu Sans Mono" w:hAnsi="DejaVu Sans Mono" w:eastAsia="DejaVu Sans Mono" w:cs="DejaVu Sans Mono"/>
          <w:b w:val="0"/>
          <w:i w:val="0"/>
          <w:color w:val="000000"/>
          <w:sz w:val="15"/>
        </w:rPr>
        <w:t xml:space="preserve">        var y = cycles.Select(c =&gt; c.Terms.Sum(t =&gt; t.Sign * g[t.Edge])).ToArray();</w:t>
      </w:r>
    </w:p>
    <w:p>
      <w:pPr>
        <w:widowControl/>
        <w:spacing w:after="0" w:line="240" w:lineRule="auto"/>
      </w:pPr>
      <w:r>
        <w:rPr>
          <w:rFonts w:ascii="DejaVu Sans Mono" w:hAnsi="DejaVu Sans Mono" w:eastAsia="DejaVu Sans Mono" w:cs="DejaVu Sans Mono"/>
          <w:b w:val="0"/>
          <w:i w:val="0"/>
          <w:color w:val="000000"/>
          <w:sz w:val="15"/>
        </w:rPr>
        <w:t xml:space="preserve">        var C = new double[h, h];                                  // Z W^{-1} Z^T</w:t>
      </w:r>
    </w:p>
    <w:p>
      <w:pPr>
        <w:widowControl/>
        <w:spacing w:after="0" w:line="240" w:lineRule="auto"/>
      </w:pPr>
      <w:r>
        <w:rPr>
          <w:rFonts w:ascii="DejaVu Sans Mono" w:hAnsi="DejaVu Sans Mono" w:eastAsia="DejaVu Sans Mono" w:cs="DejaVu Sans Mono"/>
          <w:b w:val="0"/>
          <w:i w:val="0"/>
          <w:color w:val="000000"/>
          <w:sz w:val="15"/>
        </w:rPr>
        <w:t xml:space="preserve">        for (int a = 0; a &lt; h; a++)</w:t>
      </w:r>
    </w:p>
    <w:p>
      <w:pPr>
        <w:widowControl/>
        <w:spacing w:after="0" w:line="240" w:lineRule="auto"/>
      </w:pPr>
      <w:r>
        <w:rPr>
          <w:rFonts w:ascii="DejaVu Sans Mono" w:hAnsi="DejaVu Sans Mono" w:eastAsia="DejaVu Sans Mono" w:cs="DejaVu Sans Mono"/>
          <w:b w:val="0"/>
          <w:i w:val="0"/>
          <w:color w:val="000000"/>
          <w:sz w:val="15"/>
        </w:rPr>
        <w:t xml:space="preserve">            for (int b = a; b &lt; h; b++)</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 xml:space="preserve">                double s = 0;</w:t>
      </w:r>
    </w:p>
    <w:p>
      <w:pPr>
        <w:widowControl/>
        <w:spacing w:after="0" w:line="240" w:lineRule="auto"/>
      </w:pPr>
      <w:r>
        <w:rPr>
          <w:rFonts w:ascii="DejaVu Sans Mono" w:hAnsi="DejaVu Sans Mono" w:eastAsia="DejaVu Sans Mono" w:cs="DejaVu Sans Mono"/>
          <w:b w:val="0"/>
          <w:i w:val="0"/>
          <w:color w:val="000000"/>
          <w:sz w:val="15"/>
        </w:rPr>
        <w:t xml:space="preserve">                foreach (var (ea, sa) in cycles[a].Terms)</w:t>
      </w:r>
    </w:p>
    <w:p>
      <w:pPr>
        <w:widowControl/>
        <w:spacing w:after="0" w:line="240" w:lineRule="auto"/>
      </w:pPr>
      <w:r>
        <w:rPr>
          <w:rFonts w:ascii="DejaVu Sans Mono" w:hAnsi="DejaVu Sans Mono" w:eastAsia="DejaVu Sans Mono" w:cs="DejaVu Sans Mono"/>
          <w:b w:val="0"/>
          <w:i w:val="0"/>
          <w:color w:val="000000"/>
          <w:sz w:val="15"/>
        </w:rPr>
        <w:t xml:space="preserve">                    foreach (var (eb, sb) in cycles[b].Terms)</w:t>
      </w:r>
    </w:p>
    <w:p>
      <w:pPr>
        <w:widowControl/>
        <w:spacing w:after="0" w:line="240" w:lineRule="auto"/>
      </w:pPr>
      <w:r>
        <w:rPr>
          <w:rFonts w:ascii="DejaVu Sans Mono" w:hAnsi="DejaVu Sans Mono" w:eastAsia="DejaVu Sans Mono" w:cs="DejaVu Sans Mono"/>
          <w:b w:val="0"/>
          <w:i w:val="0"/>
          <w:color w:val="000000"/>
          <w:sz w:val="15"/>
        </w:rPr>
        <w:t xml:space="preserve">                        if (ea == eb) s += sa * sb / weights[ea];</w:t>
      </w:r>
    </w:p>
    <w:p>
      <w:pPr>
        <w:widowControl/>
        <w:spacing w:after="0" w:line="240" w:lineRule="auto"/>
      </w:pPr>
      <w:r>
        <w:rPr>
          <w:rFonts w:ascii="DejaVu Sans Mono" w:hAnsi="DejaVu Sans Mono" w:eastAsia="DejaVu Sans Mono" w:cs="DejaVu Sans Mono"/>
          <w:b w:val="0"/>
          <w:i w:val="0"/>
          <w:color w:val="000000"/>
          <w:sz w:val="15"/>
        </w:rPr>
        <w:t xml:space="preserve">                C[a, b] = C[b, a] = s;</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 xml:space="preserve">        var x = Linear.CholeskySolve(C, y);</w:t>
      </w:r>
    </w:p>
    <w:p>
      <w:pPr>
        <w:widowControl/>
        <w:spacing w:after="0" w:line="240" w:lineRule="auto"/>
      </w:pPr>
      <w:r>
        <w:rPr>
          <w:rFonts w:ascii="DejaVu Sans Mono" w:hAnsi="DejaVu Sans Mono" w:eastAsia="DejaVu Sans Mono" w:cs="DejaVu Sans Mono"/>
          <w:b w:val="0"/>
          <w:i w:val="0"/>
          <w:color w:val="000000"/>
          <w:sz w:val="15"/>
        </w:rPr>
        <w:t xml:space="preserve">        double T = y.Zip(x, (p, q) =&gt; p * q).Sum() / (sigma * sigma);</w:t>
      </w:r>
    </w:p>
    <w:p>
      <w:pPr>
        <w:widowControl/>
        <w:spacing w:after="0" w:line="240" w:lineRule="auto"/>
      </w:pPr>
      <w:r>
        <w:rPr>
          <w:rFonts w:ascii="DejaVu Sans Mono" w:hAnsi="DejaVu Sans Mono" w:eastAsia="DejaVu Sans Mono" w:cs="DejaVu Sans Mono"/>
          <w:b w:val="0"/>
          <w:i w:val="0"/>
          <w:color w:val="000000"/>
          <w:sz w:val="15"/>
        </w:rPr>
        <w:t xml:space="preserve">        double p = SpecialFunctions.ChiSquareUpperTail(h, T);</w:t>
      </w:r>
    </w:p>
    <w:p>
      <w:pPr>
        <w:widowControl/>
        <w:spacing w:after="0" w:line="240" w:lineRule="auto"/>
      </w:pPr>
      <w:r>
        <w:rPr>
          <w:rFonts w:ascii="DejaVu Sans Mono" w:hAnsi="DejaVu Sans Mono" w:eastAsia="DejaVu Sans Mono" w:cs="DejaVu Sans Mono"/>
          <w:b w:val="0"/>
          <w:i w:val="0"/>
          <w:color w:val="000000"/>
          <w:sz w:val="15"/>
        </w:rPr>
        <w:t xml:space="preserve">        if (p &gt;= alpha) return new ExactWithinNoise(h, T, p);</w:t>
      </w:r>
    </w:p>
    <w:p>
      <w:pPr>
        <w:widowControl/>
        <w:spacing w:after="0" w:line="240" w:lineRule="auto"/>
      </w:pPr>
      <w:r>
        <w:rPr>
          <w:rFonts w:ascii="DejaVu Sans Mono" w:hAnsi="DejaVu Sans Mono" w:eastAsia="DejaVu Sans Mono" w:cs="DejaVu Sans Mono"/>
          <w:b w:val="0"/>
          <w:i w:val="0"/>
          <w:color w:val="000000"/>
          <w:sz w:val="15"/>
        </w:rPr>
        <w:t xml:space="preserve">        var scores = cycles</w:t>
      </w:r>
    </w:p>
    <w:p>
      <w:pPr>
        <w:widowControl/>
        <w:spacing w:after="0" w:line="240" w:lineRule="auto"/>
      </w:pPr>
      <w:r>
        <w:rPr>
          <w:rFonts w:ascii="DejaVu Sans Mono" w:hAnsi="DejaVu Sans Mono" w:eastAsia="DejaVu Sans Mono" w:cs="DejaVu Sans Mono"/>
          <w:b w:val="0"/>
          <w:i w:val="0"/>
          <w:color w:val="000000"/>
          <w:sz w:val="15"/>
        </w:rPr>
        <w:t xml:space="preserve">            .Select((c, k) =&gt; new CycleScore(c.NonTreeEdge, y[k], sigma * Math.Sqrt(C[k, k])))</w:t>
      </w:r>
    </w:p>
    <w:p>
      <w:pPr>
        <w:widowControl/>
        <w:spacing w:after="0" w:line="240" w:lineRule="auto"/>
      </w:pPr>
      <w:r>
        <w:rPr>
          <w:rFonts w:ascii="DejaVu Sans Mono" w:hAnsi="DejaVu Sans Mono" w:eastAsia="DejaVu Sans Mono" w:cs="DejaVu Sans Mono"/>
          <w:b w:val="0"/>
          <w:i w:val="0"/>
          <w:color w:val="000000"/>
          <w:sz w:val="15"/>
        </w:rPr>
        <w:t xml:space="preserve">            .OrderByDescending(s =&gt; Math.Abs(s.Z)).ToImmutableArray();</w:t>
      </w:r>
    </w:p>
    <w:p>
      <w:pPr>
        <w:widowControl/>
        <w:spacing w:after="0" w:line="240" w:lineRule="auto"/>
      </w:pPr>
      <w:r>
        <w:rPr>
          <w:rFonts w:ascii="DejaVu Sans Mono" w:hAnsi="DejaVu Sans Mono" w:eastAsia="DejaVu Sans Mono" w:cs="DejaVu Sans Mono"/>
          <w:b w:val="0"/>
          <w:i w:val="0"/>
          <w:color w:val="000000"/>
          <w:sz w:val="15"/>
        </w:rPr>
        <w:t xml:space="preserve">        return new ObstructionDetected(h, T, p, scores);</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public interface IGroupElement&lt;TSelf&gt; where TSelf : IGroupElement&lt;TSelf&gt;</w:t>
      </w:r>
    </w:p>
    <w:p>
      <w:pPr>
        <w:widowControl/>
        <w:spacing w:after="0" w:line="240" w:lineRule="auto"/>
      </w:pPr>
      <w:r>
        <w:rPr>
          <w:rFonts w:ascii="DejaVu Sans Mono" w:hAnsi="DejaVu Sans Mono" w:eastAsia="DejaVu Sans Mono" w:cs="DejaVu Sans Mono"/>
          <w:b w:val="0"/>
          <w:i w:val="0"/>
          <w:color w:val="000000"/>
          <w:sz w:val="15"/>
        </w:rPr>
        <w:t>{</w:t>
      </w:r>
    </w:p>
    <w:p>
      <w:pPr>
        <w:widowControl/>
        <w:spacing w:after="0" w:line="240" w:lineRule="auto"/>
      </w:pPr>
      <w:r>
        <w:rPr>
          <w:rFonts w:ascii="DejaVu Sans Mono" w:hAnsi="DejaVu Sans Mono" w:eastAsia="DejaVu Sans Mono" w:cs="DejaVu Sans Mono"/>
          <w:b w:val="0"/>
          <w:i w:val="0"/>
          <w:color w:val="000000"/>
          <w:sz w:val="15"/>
        </w:rPr>
        <w:t xml:space="preserve">    static abstract TSelf Identity { get; }</w:t>
      </w:r>
    </w:p>
    <w:p>
      <w:pPr>
        <w:widowControl/>
        <w:spacing w:after="0" w:line="240" w:lineRule="auto"/>
      </w:pPr>
      <w:r>
        <w:rPr>
          <w:rFonts w:ascii="DejaVu Sans Mono" w:hAnsi="DejaVu Sans Mono" w:eastAsia="DejaVu Sans Mono" w:cs="DejaVu Sans Mono"/>
          <w:b w:val="0"/>
          <w:i w:val="0"/>
          <w:color w:val="000000"/>
          <w:sz w:val="15"/>
        </w:rPr>
        <w:t xml:space="preserve">    TSelf Compose(TSelf other);</w:t>
      </w:r>
    </w:p>
    <w:p>
      <w:pPr>
        <w:widowControl/>
        <w:spacing w:after="0" w:line="240" w:lineRule="auto"/>
      </w:pPr>
      <w:r>
        <w:rPr>
          <w:rFonts w:ascii="DejaVu Sans Mono" w:hAnsi="DejaVu Sans Mono" w:eastAsia="DejaVu Sans Mono" w:cs="DejaVu Sans Mono"/>
          <w:b w:val="0"/>
          <w:i w:val="0"/>
          <w:color w:val="000000"/>
          <w:sz w:val="15"/>
        </w:rPr>
        <w:t xml:space="preserve">    TSelf Inverse();</w:t>
      </w:r>
    </w:p>
    <w:p>
      <w:pPr>
        <w:widowControl/>
        <w:spacing w:after="0" w:line="240" w:lineRule="auto"/>
      </w:pPr>
      <w:r>
        <w:rPr>
          <w:rFonts w:ascii="DejaVu Sans Mono" w:hAnsi="DejaVu Sans Mono" w:eastAsia="DejaVu Sans Mono" w:cs="DejaVu Sans Mono"/>
          <w:b w:val="0"/>
          <w:i w:val="0"/>
          <w:color w:val="000000"/>
          <w:sz w:val="15"/>
        </w:rPr>
        <w:t xml:space="preserve">    double DistanceToIdentity();</w:t>
      </w:r>
    </w:p>
    <w:p>
      <w:pPr>
        <w:widowControl/>
        <w:spacing w:after="0" w:line="240" w:lineRule="auto"/>
      </w:pPr>
      <w:r>
        <w:rPr>
          <w:rFonts w:ascii="DejaVu Sans Mono" w:hAnsi="DejaVu Sans Mono" w:eastAsia="DejaVu Sans Mono" w:cs="DejaVu Sans Mono"/>
          <w:b w:val="0"/>
          <w:i w:val="0"/>
          <w:color w:val="000000"/>
          <w:sz w:val="15"/>
        </w:rPr>
        <w:t>}</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public readonly record struct SE2(double Theta, double X, double Y) : IGroupElement&lt;SE2&gt;</w:t>
      </w:r>
    </w:p>
    <w:p>
      <w:pPr>
        <w:widowControl/>
        <w:spacing w:after="0" w:line="240" w:lineRule="auto"/>
      </w:pPr>
      <w:r>
        <w:rPr>
          <w:rFonts w:ascii="DejaVu Sans Mono" w:hAnsi="DejaVu Sans Mono" w:eastAsia="DejaVu Sans Mono" w:cs="DejaVu Sans Mono"/>
          <w:b w:val="0"/>
          <w:i w:val="0"/>
          <w:color w:val="000000"/>
          <w:sz w:val="15"/>
        </w:rPr>
        <w:t>{</w:t>
      </w:r>
    </w:p>
    <w:p>
      <w:pPr>
        <w:widowControl/>
        <w:spacing w:after="0" w:line="240" w:lineRule="auto"/>
      </w:pPr>
      <w:r>
        <w:rPr>
          <w:rFonts w:ascii="DejaVu Sans Mono" w:hAnsi="DejaVu Sans Mono" w:eastAsia="DejaVu Sans Mono" w:cs="DejaVu Sans Mono"/>
          <w:b w:val="0"/>
          <w:i w:val="0"/>
          <w:color w:val="000000"/>
          <w:sz w:val="15"/>
        </w:rPr>
        <w:t xml:space="preserve">    public static SE2 Identity =&gt; new(0, 0, 0);</w:t>
      </w:r>
    </w:p>
    <w:p>
      <w:pPr>
        <w:widowControl/>
        <w:spacing w:after="0" w:line="240" w:lineRule="auto"/>
      </w:pPr>
      <w:r>
        <w:rPr>
          <w:rFonts w:ascii="DejaVu Sans Mono" w:hAnsi="DejaVu Sans Mono" w:eastAsia="DejaVu Sans Mono" w:cs="DejaVu Sans Mono"/>
          <w:b w:val="0"/>
          <w:i w:val="0"/>
          <w:color w:val="000000"/>
          <w:sz w:val="15"/>
        </w:rPr>
        <w:t xml:space="preserve">    public SE2 Compose(SE2 o)</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 xml:space="preserve">        double c = Math.Cos(Theta), s = Math.Sin(Theta);</w:t>
      </w:r>
    </w:p>
    <w:p>
      <w:pPr>
        <w:widowControl/>
        <w:spacing w:after="0" w:line="240" w:lineRule="auto"/>
      </w:pPr>
      <w:r>
        <w:rPr>
          <w:rFonts w:ascii="DejaVu Sans Mono" w:hAnsi="DejaVu Sans Mono" w:eastAsia="DejaVu Sans Mono" w:cs="DejaVu Sans Mono"/>
          <w:b w:val="0"/>
          <w:i w:val="0"/>
          <w:color w:val="000000"/>
          <w:sz w:val="15"/>
        </w:rPr>
        <w:t xml:space="preserve">        return new SE2(SO2.Wrap(Theta + o.Theta), X + c * o.X - s * o.Y, Y + s * o.X + c * o.Y);</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 xml:space="preserve">    public SE2 Inverse()</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 xml:space="preserve">        double c = Math.Cos(Theta), s = Math.Sin(Theta);</w:t>
      </w:r>
    </w:p>
    <w:p>
      <w:pPr>
        <w:widowControl/>
        <w:spacing w:after="0" w:line="240" w:lineRule="auto"/>
      </w:pPr>
      <w:r>
        <w:rPr>
          <w:rFonts w:ascii="DejaVu Sans Mono" w:hAnsi="DejaVu Sans Mono" w:eastAsia="DejaVu Sans Mono" w:cs="DejaVu Sans Mono"/>
          <w:b w:val="0"/>
          <w:i w:val="0"/>
          <w:color w:val="000000"/>
          <w:sz w:val="15"/>
        </w:rPr>
        <w:t xml:space="preserve">        return new SE2(SO2.Wrap(-Theta), -(c * X + s * Y), -(-s * X + c * Y));</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 xml:space="preserve">    public double DistanceToIdentity() =&gt; Math.Abs(SO2.Wrap(Theta)) + Math.Sqrt(X * X + Y * Y);</w:t>
      </w:r>
    </w:p>
    <w:p>
      <w:pPr>
        <w:widowControl/>
        <w:spacing w:after="0" w:line="240" w:lineRule="auto"/>
      </w:pPr>
      <w:r>
        <w:rPr>
          <w:rFonts w:ascii="DejaVu Sans Mono" w:hAnsi="DejaVu Sans Mono" w:eastAsia="DejaVu Sans Mono" w:cs="DejaVu Sans Mono"/>
          <w:b w:val="0"/>
          <w:i w:val="0"/>
          <w:color w:val="000000"/>
          <w:sz w:val="15"/>
        </w:rPr>
        <w:t>}</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public abstract record GaugeResult&lt;TG&gt; where TG : IGroupElement&lt;TG&gt;;</w:t>
      </w:r>
    </w:p>
    <w:p>
      <w:pPr>
        <w:widowControl/>
        <w:spacing w:after="0" w:line="240" w:lineRule="auto"/>
      </w:pPr>
      <w:r>
        <w:rPr>
          <w:rFonts w:ascii="DejaVu Sans Mono" w:hAnsi="DejaVu Sans Mono" w:eastAsia="DejaVu Sans Mono" w:cs="DejaVu Sans Mono"/>
          <w:b w:val="0"/>
          <w:i w:val="0"/>
          <w:color w:val="000000"/>
          <w:sz w:val="15"/>
        </w:rPr>
        <w:t>public sealed record GaugeTrivial&lt;TG&gt;(ImmutableArray&lt;TG&gt; Frames)</w:t>
      </w:r>
    </w:p>
    <w:p>
      <w:pPr>
        <w:widowControl/>
        <w:spacing w:after="0" w:line="240" w:lineRule="auto"/>
      </w:pPr>
      <w:r>
        <w:rPr>
          <w:rFonts w:ascii="DejaVu Sans Mono" w:hAnsi="DejaVu Sans Mono" w:eastAsia="DejaVu Sans Mono" w:cs="DejaVu Sans Mono"/>
          <w:b w:val="0"/>
          <w:i w:val="0"/>
          <w:color w:val="000000"/>
          <w:sz w:val="15"/>
        </w:rPr>
        <w:t xml:space="preserve">    : GaugeResult&lt;TG&gt; where TG : IGroupElement&lt;TG&gt;;</w:t>
      </w:r>
    </w:p>
    <w:p>
      <w:pPr>
        <w:widowControl/>
        <w:spacing w:after="0" w:line="240" w:lineRule="auto"/>
      </w:pPr>
      <w:r>
        <w:rPr>
          <w:rFonts w:ascii="DejaVu Sans Mono" w:hAnsi="DejaVu Sans Mono" w:eastAsia="DejaVu Sans Mono" w:cs="DejaVu Sans Mono"/>
          <w:b w:val="0"/>
          <w:i w:val="0"/>
          <w:color w:val="000000"/>
          <w:sz w:val="15"/>
        </w:rPr>
        <w:t>public sealed record NontrivialHolonomy&lt;TG&gt;(ImmutableArray&lt;(int NonTreeEdge, TG Holonomy)&gt; Walks)</w:t>
      </w:r>
    </w:p>
    <w:p>
      <w:pPr>
        <w:widowControl/>
        <w:spacing w:after="0" w:line="240" w:lineRule="auto"/>
      </w:pPr>
      <w:r>
        <w:rPr>
          <w:rFonts w:ascii="DejaVu Sans Mono" w:hAnsi="DejaVu Sans Mono" w:eastAsia="DejaVu Sans Mono" w:cs="DejaVu Sans Mono"/>
          <w:b w:val="0"/>
          <w:i w:val="0"/>
          <w:color w:val="000000"/>
          <w:sz w:val="15"/>
        </w:rPr>
        <w:t xml:space="preserve">    : GaugeResult&lt;TG&gt; where TG : IGroupElement&lt;TG&gt;;</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public static class Holonomy        // Theorem 30.1</w:t>
      </w:r>
    </w:p>
    <w:p>
      <w:pPr>
        <w:widowControl/>
        <w:spacing w:after="0" w:line="240" w:lineRule="auto"/>
      </w:pPr>
      <w:r>
        <w:rPr>
          <w:rFonts w:ascii="DejaVu Sans Mono" w:hAnsi="DejaVu Sans Mono" w:eastAsia="DejaVu Sans Mono" w:cs="DejaVu Sans Mono"/>
          <w:b w:val="0"/>
          <w:i w:val="0"/>
          <w:color w:val="000000"/>
          <w:sz w:val="15"/>
        </w:rPr>
        <w:t>{</w:t>
      </w:r>
    </w:p>
    <w:p>
      <w:pPr>
        <w:widowControl/>
        <w:spacing w:after="0" w:line="240" w:lineRule="auto"/>
      </w:pPr>
      <w:r>
        <w:rPr>
          <w:rFonts w:ascii="DejaVu Sans Mono" w:hAnsi="DejaVu Sans Mono" w:eastAsia="DejaVu Sans Mono" w:cs="DejaVu Sans Mono"/>
          <w:b w:val="0"/>
          <w:i w:val="0"/>
          <w:color w:val="000000"/>
          <w:sz w:val="15"/>
        </w:rPr>
        <w:t xml:space="preserve">    public static ImmutableArray&lt;(int NonTreeEdge, TG Holonomy)&gt; FundamentalHolonomies&lt;TG&gt;(</w:t>
      </w:r>
    </w:p>
    <w:p>
      <w:pPr>
        <w:widowControl/>
        <w:spacing w:after="0" w:line="240" w:lineRule="auto"/>
      </w:pPr>
      <w:r>
        <w:rPr>
          <w:rFonts w:ascii="DejaVu Sans Mono" w:hAnsi="DejaVu Sans Mono" w:eastAsia="DejaVu Sans Mono" w:cs="DejaVu Sans Mono"/>
          <w:b w:val="0"/>
          <w:i w:val="0"/>
          <w:color w:val="000000"/>
          <w:sz w:val="15"/>
        </w:rPr>
        <w:t xml:space="preserve">        int n, ImmutableArray&lt;Edge&gt; edges, ImmutableArray&lt;TG&gt; measurement)</w:t>
      </w:r>
    </w:p>
    <w:p>
      <w:pPr>
        <w:widowControl/>
        <w:spacing w:after="0" w:line="240" w:lineRule="auto"/>
      </w:pPr>
      <w:r>
        <w:rPr>
          <w:rFonts w:ascii="DejaVu Sans Mono" w:hAnsi="DejaVu Sans Mono" w:eastAsia="DejaVu Sans Mono" w:cs="DejaVu Sans Mono"/>
          <w:b w:val="0"/>
          <w:i w:val="0"/>
          <w:color w:val="000000"/>
          <w:sz w:val="15"/>
        </w:rPr>
        <w:t xml:space="preserve">        where TG : IGroupElement&lt;TG&gt;</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 xml:space="preserve">        var f = Graphs.BfsForest(n, edges);</w:t>
      </w:r>
    </w:p>
    <w:p>
      <w:pPr>
        <w:widowControl/>
        <w:spacing w:after="0" w:line="240" w:lineRule="auto"/>
      </w:pPr>
      <w:r>
        <w:rPr>
          <w:rFonts w:ascii="DejaVu Sans Mono" w:hAnsi="DejaVu Sans Mono" w:eastAsia="DejaVu Sans Mono" w:cs="DejaVu Sans Mono"/>
          <w:b w:val="0"/>
          <w:i w:val="0"/>
          <w:color w:val="000000"/>
          <w:sz w:val="15"/>
        </w:rPr>
        <w:t xml:space="preserve">        var s = IntegrateFrames(n, edges, measurement, f);          // s_v = s_u m_uv along the tree</w:t>
      </w:r>
    </w:p>
    <w:p>
      <w:pPr>
        <w:widowControl/>
        <w:spacing w:after="0" w:line="240" w:lineRule="auto"/>
      </w:pPr>
      <w:r>
        <w:rPr>
          <w:rFonts w:ascii="DejaVu Sans Mono" w:hAnsi="DejaVu Sans Mono" w:eastAsia="DejaVu Sans Mono" w:cs="DejaVu Sans Mono"/>
          <w:b w:val="0"/>
          <w:i w:val="0"/>
          <w:color w:val="000000"/>
          <w:sz w:val="15"/>
        </w:rPr>
        <w:t xml:space="preserve">        var tree = f.TreeEdges;</w:t>
      </w:r>
    </w:p>
    <w:p>
      <w:pPr>
        <w:widowControl/>
        <w:spacing w:after="0" w:line="240" w:lineRule="auto"/>
      </w:pPr>
      <w:r>
        <w:rPr>
          <w:rFonts w:ascii="DejaVu Sans Mono" w:hAnsi="DejaVu Sans Mono" w:eastAsia="DejaVu Sans Mono" w:cs="DejaVu Sans Mono"/>
          <w:b w:val="0"/>
          <w:i w:val="0"/>
          <w:color w:val="000000"/>
          <w:sz w:val="15"/>
        </w:rPr>
        <w:t xml:space="preserve">        return Enumerable.Range(0, edges.Length).Where(e =&gt; !tree.Contains(e))</w:t>
      </w:r>
    </w:p>
    <w:p>
      <w:pPr>
        <w:widowControl/>
        <w:spacing w:after="0" w:line="240" w:lineRule="auto"/>
      </w:pPr>
      <w:r>
        <w:rPr>
          <w:rFonts w:ascii="DejaVu Sans Mono" w:hAnsi="DejaVu Sans Mono" w:eastAsia="DejaVu Sans Mono" w:cs="DejaVu Sans Mono"/>
          <w:b w:val="0"/>
          <w:i w:val="0"/>
          <w:color w:val="000000"/>
          <w:sz w:val="15"/>
        </w:rPr>
        <w:t xml:space="preserve">            .Select(e =&gt; (e, s[edges[e].U].Compose(measurement[e])</w:t>
      </w:r>
    </w:p>
    <w:p>
      <w:pPr>
        <w:widowControl/>
        <w:spacing w:after="0" w:line="240" w:lineRule="auto"/>
      </w:pPr>
      <w:r>
        <w:rPr>
          <w:rFonts w:ascii="DejaVu Sans Mono" w:hAnsi="DejaVu Sans Mono" w:eastAsia="DejaVu Sans Mono" w:cs="DejaVu Sans Mono"/>
          <w:b w:val="0"/>
          <w:i w:val="0"/>
          <w:color w:val="000000"/>
          <w:sz w:val="15"/>
        </w:rPr>
        <w:t xml:space="preserve">                                          .Compose(s[edges[e].V].Inverse())))</w:t>
      </w:r>
    </w:p>
    <w:p>
      <w:pPr>
        <w:widowControl/>
        <w:spacing w:after="0" w:line="240" w:lineRule="auto"/>
      </w:pPr>
      <w:r>
        <w:rPr>
          <w:rFonts w:ascii="DejaVu Sans Mono" w:hAnsi="DejaVu Sans Mono" w:eastAsia="DejaVu Sans Mono" w:cs="DejaVu Sans Mono"/>
          <w:b w:val="0"/>
          <w:i w:val="0"/>
          <w:color w:val="000000"/>
          <w:sz w:val="15"/>
        </w:rPr>
        <w:t xml:space="preserve">            .ToImmutableArray();</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 xml:space="preserve">    public static GaugeResult&lt;TG&gt; Trivialise&lt;TG&gt;(int n, ImmutableArray&lt;Edge&gt; edges,</w:t>
      </w:r>
    </w:p>
    <w:p>
      <w:pPr>
        <w:widowControl/>
        <w:spacing w:after="0" w:line="240" w:lineRule="auto"/>
      </w:pPr>
      <w:r>
        <w:rPr>
          <w:rFonts w:ascii="DejaVu Sans Mono" w:hAnsi="DejaVu Sans Mono" w:eastAsia="DejaVu Sans Mono" w:cs="DejaVu Sans Mono"/>
          <w:b w:val="0"/>
          <w:i w:val="0"/>
          <w:color w:val="000000"/>
          <w:sz w:val="15"/>
        </w:rPr>
        <w:t xml:space="preserve">        ImmutableArray&lt;TG&gt; measurement, double tolerance) where TG : IGroupElement&lt;TG&gt;</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 xml:space="preserve">        var bad = FundamentalHolonomies(n, edges, measurement)</w:t>
      </w:r>
    </w:p>
    <w:p>
      <w:pPr>
        <w:widowControl/>
        <w:spacing w:after="0" w:line="240" w:lineRule="auto"/>
      </w:pPr>
      <w:r>
        <w:rPr>
          <w:rFonts w:ascii="DejaVu Sans Mono" w:hAnsi="DejaVu Sans Mono" w:eastAsia="DejaVu Sans Mono" w:cs="DejaVu Sans Mono"/>
          <w:b w:val="0"/>
          <w:i w:val="0"/>
          <w:color w:val="000000"/>
          <w:sz w:val="15"/>
        </w:rPr>
        <w:t xml:space="preserve">            .Where(w =&gt; w.Holonomy.DistanceToIdentity() &gt; tolerance).ToImmutableArray();</w:t>
      </w:r>
    </w:p>
    <w:p>
      <w:pPr>
        <w:widowControl/>
        <w:spacing w:after="0" w:line="240" w:lineRule="auto"/>
      </w:pPr>
      <w:r>
        <w:rPr>
          <w:rFonts w:ascii="DejaVu Sans Mono" w:hAnsi="DejaVu Sans Mono" w:eastAsia="DejaVu Sans Mono" w:cs="DejaVu Sans Mono"/>
          <w:b w:val="0"/>
          <w:i w:val="0"/>
          <w:color w:val="000000"/>
          <w:sz w:val="15"/>
        </w:rPr>
        <w:t xml:space="preserve">        return bad.IsEmpty</w:t>
      </w:r>
    </w:p>
    <w:p>
      <w:pPr>
        <w:widowControl/>
        <w:spacing w:after="0" w:line="240" w:lineRule="auto"/>
      </w:pPr>
      <w:r>
        <w:rPr>
          <w:rFonts w:ascii="DejaVu Sans Mono" w:hAnsi="DejaVu Sans Mono" w:eastAsia="DejaVu Sans Mono" w:cs="DejaVu Sans Mono"/>
          <w:b w:val="0"/>
          <w:i w:val="0"/>
          <w:color w:val="000000"/>
          <w:sz w:val="15"/>
        </w:rPr>
        <w:t xml:space="preserve">            ? new GaugeTrivial&lt;TG&gt;(</w:t>
      </w:r>
    </w:p>
    <w:p>
      <w:pPr>
        <w:widowControl/>
        <w:spacing w:after="0" w:line="240" w:lineRule="auto"/>
      </w:pPr>
      <w:r>
        <w:rPr>
          <w:rFonts w:ascii="DejaVu Sans Mono" w:hAnsi="DejaVu Sans Mono" w:eastAsia="DejaVu Sans Mono" w:cs="DejaVu Sans Mono"/>
          <w:b w:val="0"/>
          <w:i w:val="0"/>
          <w:color w:val="000000"/>
          <w:sz w:val="15"/>
        </w:rPr>
        <w:t xml:space="preserve">                  IntegrateFrames(n, edges, measurement, Graphs.BfsForest(n, edges)))</w:t>
      </w:r>
    </w:p>
    <w:p>
      <w:pPr>
        <w:widowControl/>
        <w:spacing w:after="0" w:line="240" w:lineRule="auto"/>
      </w:pPr>
      <w:r>
        <w:rPr>
          <w:rFonts w:ascii="DejaVu Sans Mono" w:hAnsi="DejaVu Sans Mono" w:eastAsia="DejaVu Sans Mono" w:cs="DejaVu Sans Mono"/>
          <w:b w:val="0"/>
          <w:i w:val="0"/>
          <w:color w:val="000000"/>
          <w:sz w:val="15"/>
        </w:rPr>
        <w:t xml:space="preserve">            : new NontrivialHolonomy&lt;TG&gt;(bad);</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 xml:space="preserve">    // IntegrateFrames: see Holonomy.cs</w:t>
      </w:r>
    </w:p>
    <w:p>
      <w:pPr>
        <w:widowControl/>
        <w:spacing w:after="0" w:line="240" w:lineRule="auto"/>
      </w:pPr>
      <w:r>
        <w:rPr>
          <w:rFonts w:ascii="DejaVu Sans Mono" w:hAnsi="DejaVu Sans Mono" w:eastAsia="DejaVu Sans Mono" w:cs="DejaVu Sans Mono"/>
          <w:b w:val="0"/>
          <w:i w:val="0"/>
          <w:color w:val="000000"/>
          <w:sz w:val="15"/>
        </w:rPr>
        <w:t>}</w:t>
      </w:r>
    </w:p>
    <w:p>
      <w:pPr>
        <w:widowControl/>
        <w:spacing w:after="0" w:line="240" w:lineRule="auto"/>
      </w:pPr>
      <w:r>
        <w:rPr>
          <w:rFonts w:ascii="DejaVu Sans Mono" w:hAnsi="DejaVu Sans Mono" w:eastAsia="DejaVu Sans Mono" w:cs="DejaVu Sans Mono"/>
          <w:b w:val="0"/>
          <w:i w:val="0"/>
          <w:color w:val="000000"/>
          <w:sz w:val="15"/>
        </w:rPr>
        <w:t xml:space="preserve"> </w:t>
      </w:r>
    </w:p>
    <w:p>
      <w:pPr>
        <w:widowControl/>
        <w:spacing w:after="0" w:line="240" w:lineRule="auto"/>
      </w:pPr>
      <w:r>
        <w:rPr>
          <w:rFonts w:ascii="DejaVu Sans Mono" w:hAnsi="DejaVu Sans Mono" w:eastAsia="DejaVu Sans Mono" w:cs="DejaVu Sans Mono"/>
          <w:b w:val="0"/>
          <w:i w:val="0"/>
          <w:color w:val="000000"/>
          <w:sz w:val="15"/>
        </w:rPr>
        <w:t>// Theorem 30.4 and Proposition 30.5: certificate and a posteriori gap of AngularSync.Solve</w:t>
      </w:r>
    </w:p>
    <w:p>
      <w:pPr>
        <w:widowControl/>
        <w:spacing w:after="0" w:line="240" w:lineRule="auto"/>
      </w:pPr>
      <w:r>
        <w:rPr>
          <w:rFonts w:ascii="DejaVu Sans Mono" w:hAnsi="DejaVu Sans Mono" w:eastAsia="DejaVu Sans Mono" w:cs="DejaVu Sans Mono"/>
          <w:b w:val="0"/>
          <w:i w:val="0"/>
          <w:color w:val="000000"/>
          <w:sz w:val="15"/>
        </w:rPr>
        <w:t>public sealed record SyncResult(ImmutableArray&lt;double&gt; Angles, double Cost, double LambdaMin,</w:t>
      </w:r>
    </w:p>
    <w:p>
      <w:pPr>
        <w:widowControl/>
        <w:spacing w:after="0" w:line="240" w:lineRule="auto"/>
      </w:pPr>
      <w:r>
        <w:rPr>
          <w:rFonts w:ascii="DejaVu Sans Mono" w:hAnsi="DejaVu Sans Mono" w:eastAsia="DejaVu Sans Mono" w:cs="DejaVu Sans Mono"/>
          <w:b w:val="0"/>
          <w:i w:val="0"/>
          <w:color w:val="000000"/>
          <w:sz w:val="15"/>
        </w:rPr>
        <w:t xml:space="preserve">                                bool Certified, double GapBound);</w:t>
      </w:r>
    </w:p>
    <w:sectPr w:rsidR="000000DC" w:rsidSect="00034616">
      <w:footerReference w:type="default" r:id="rId8"/>
      <w:pgSz w:w="12240" w:h="15840"/>
      <w:pgMar w:top="1123" w:right="1224" w:bottom="112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863B1" w14:textId="77777777" w:rsidR="005119A4" w:rsidRDefault="005119A4">
      <w:pPr>
        <w:spacing w:after="0" w:line="240" w:lineRule="auto"/>
      </w:pPr>
      <w:r>
        <w:separator/>
      </w:r>
    </w:p>
  </w:endnote>
  <w:endnote w:type="continuationSeparator" w:id="0">
    <w:p w14:paraId="10D43224" w14:textId="77777777" w:rsidR="005119A4" w:rsidRDefault="00511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DejaVu 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0807" w14:textId="77777777" w:rsidR="000000DC" w:rsidRDefault="00000000">
    <w:pPr>
      <w:pStyle w:val="Footer"/>
      <w:jc w:val="right"/>
    </w:pPr>
    <w:r>
      <w:fldChar w:fldCharType="begin"/>
    </w:r>
    <w:r>
      <w:instrText>PAGE</w:instrText>
    </w:r>
    <w:r>
      <w:fldChar w:fldCharType="separate"/>
    </w:r>
    <w:r w:rsidR="00351D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2907A" w14:textId="77777777" w:rsidR="005119A4" w:rsidRDefault="005119A4">
      <w:pPr>
        <w:spacing w:after="0" w:line="240" w:lineRule="auto"/>
      </w:pPr>
      <w:r>
        <w:separator/>
      </w:r>
    </w:p>
  </w:footnote>
  <w:footnote w:type="continuationSeparator" w:id="0">
    <w:p w14:paraId="666F32FC" w14:textId="77777777" w:rsidR="005119A4" w:rsidRDefault="005119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821962">
    <w:abstractNumId w:val="8"/>
  </w:num>
  <w:num w:numId="2" w16cid:durableId="249047508">
    <w:abstractNumId w:val="6"/>
  </w:num>
  <w:num w:numId="3" w16cid:durableId="143740468">
    <w:abstractNumId w:val="5"/>
  </w:num>
  <w:num w:numId="4" w16cid:durableId="1286425387">
    <w:abstractNumId w:val="4"/>
  </w:num>
  <w:num w:numId="5" w16cid:durableId="973828920">
    <w:abstractNumId w:val="7"/>
  </w:num>
  <w:num w:numId="6" w16cid:durableId="1147669351">
    <w:abstractNumId w:val="3"/>
  </w:num>
  <w:num w:numId="7" w16cid:durableId="534540085">
    <w:abstractNumId w:val="2"/>
  </w:num>
  <w:num w:numId="8" w16cid:durableId="1206020285">
    <w:abstractNumId w:val="1"/>
  </w:num>
  <w:num w:numId="9" w16cid:durableId="123196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DC"/>
    <w:rsid w:val="00034616"/>
    <w:rsid w:val="0006063C"/>
    <w:rsid w:val="0015074B"/>
    <w:rsid w:val="0029639D"/>
    <w:rsid w:val="00326F90"/>
    <w:rsid w:val="00351DF2"/>
    <w:rsid w:val="005119A4"/>
    <w:rsid w:val="008E7C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620D7"/>
  <w14:defaultImageDpi w14:val="300"/>
  <w15:docId w15:val="{95F7412A-7078-4C45-85D6-184681FA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DejaVu Serif" w:eastAsia="DejaVu Serif" w:hAnsi="DejaVu Serif" w:cs="DejaVu Serif"/>
      <w:color w:val="000000"/>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DejaVu Serif" w:hAnsi="DejaVu Serif"/>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erif" w:hAnsi="DejaVu Serif"/>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ascii="DejaVu Serif" w:hAnsi="DejaVu Serif"/>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DejaVu Serif" w:eastAsia="DejaVu Serif" w:hAnsi="DejaVu Serif" w:cs="DejaVu Serif"/>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erif" w:hAnsi="DejaVu Serif"/>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erif" w:hAnsi="DejaVu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ejaVu Serif" w:eastAsia="DejaVu Serif" w:hAnsi="DejaVu Serif" w:cs="DejaVu Serif"/>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DejaVu Serif" w:eastAsia="DejaVu Serif" w:hAnsi="DejaVu Serif" w:cs="DejaVu Serif"/>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5224</Words>
  <Characters>29778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 Based Programming Paradigm</dc:title>
  <dc:subject>Version 6 neuroscience and implementation architecture</dc:subject>
  <dc:creator>Debi Prasad Ghosh</dc:creator>
  <cp:keywords/>
  <dc:description>generated by python-docx</dc:description>
  <cp:lastModifiedBy>Debiprasad Ghosh</cp:lastModifiedBy>
  <cp:revision>2</cp:revision>
  <dcterms:created xsi:type="dcterms:W3CDTF">2013-12-23T23:15:00Z</dcterms:created>
  <dcterms:modified xsi:type="dcterms:W3CDTF">2026-10-21T05:47:00Z</dcterms:modified>
  <cp:category/>
</cp:coreProperties>
</file>