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2574" w14:textId="77777777" w:rsidR="004C4F4A" w:rsidRPr="0061270E" w:rsidRDefault="00000000" w:rsidP="0061270E">
      <w:pPr>
        <w:pStyle w:val="Title"/>
        <w:jc w:val="center"/>
        <w:rPr>
          <w:sz w:val="100"/>
          <w:szCs w:val="100"/>
        </w:rPr>
      </w:pPr>
      <w:r w:rsidRPr="0061270E">
        <w:rPr>
          <w:sz w:val="100"/>
          <w:szCs w:val="100"/>
        </w:rPr>
        <w:t>Cerebellum as a Closure</w:t>
      </w:r>
    </w:p>
    <w:p w14:paraId="2109966E" w14:textId="77777777" w:rsidR="004C4F4A" w:rsidRPr="0061270E" w:rsidRDefault="00000000" w:rsidP="0061270E">
      <w:pPr>
        <w:pStyle w:val="Subtitle"/>
        <w:jc w:val="center"/>
        <w:rPr>
          <w:color w:val="00B0F0"/>
          <w:sz w:val="28"/>
          <w:szCs w:val="28"/>
        </w:rPr>
      </w:pPr>
      <w:r w:rsidRPr="0061270E">
        <w:rPr>
          <w:color w:val="00B0F0"/>
          <w:sz w:val="28"/>
          <w:szCs w:val="28"/>
        </w:rPr>
        <w:t>Captured context and the possibility of completion through inhibitory circuits</w:t>
      </w:r>
    </w:p>
    <w:p w14:paraId="07DCB1C9" w14:textId="77777777" w:rsidR="004C4F4A" w:rsidRDefault="00000000" w:rsidP="0061270E">
      <w:pPr>
        <w:jc w:val="center"/>
      </w:pPr>
      <w:r>
        <w:t>Debi Prasad Ghosh</w:t>
      </w:r>
      <w:r>
        <w:br/>
        <w:t>Debias Parametric Guru, Kolkata, India</w:t>
      </w:r>
      <w:r>
        <w:br/>
        <w:t>debiprasadghosh@gmail.com</w:t>
      </w:r>
    </w:p>
    <w:p w14:paraId="389D2BDC" w14:textId="77777777" w:rsidR="004C4F4A" w:rsidRDefault="00000000" w:rsidP="0061270E">
      <w:pPr>
        <w:pStyle w:val="Caption"/>
        <w:jc w:val="center"/>
      </w:pPr>
      <w:r>
        <w:t>17 October 2026</w:t>
      </w:r>
    </w:p>
    <w:p w14:paraId="00A86779" w14:textId="77777777" w:rsidR="004C4F4A" w:rsidRDefault="00000000" w:rsidP="0061270E">
      <w:pPr>
        <w:pStyle w:val="Heading1"/>
        <w:jc w:val="both"/>
      </w:pPr>
      <w:r>
        <w:t>Abstract</w:t>
      </w:r>
    </w:p>
    <w:p w14:paraId="57964A8C" w14:textId="77777777" w:rsidR="004C4F4A" w:rsidRDefault="00000000" w:rsidP="0061270E">
      <w:pPr>
        <w:jc w:val="both"/>
      </w:pPr>
      <w:r>
        <w:t>Can inhibition implement closure rather than merely suppress output? We distinguish two meanings. In Closure Diffusion, a closure is executable code bound to a retained environment. A cerebellar loop can be modelled analogously as a shared computation evaluated with task context, learned parameters and eligible history, although that correspondence is functional rather than a demonstrated lexical mechanism. An order-theoretic closure is a stronger object: it must be extensive, monotone and idempotent on a declared state space. We prove that a single order-reversing inhibitory stage cannot be a nontrivial extensive closure on a bounded lattice. We then construct a positive result. Tonic-biased inhibitory NOR gates, composed through disinhibition and coupled to sequenced retained state, implement the least fixed point of a finite positive rule system. The resulting logical operator satisfies all three closure axioms. Candidate suppression is naturally an interior operator, with a complementary closure on rejected candidates. The Gaussian posterior denoiser in Closure Diffusion remains a programming closure but is generally neither extensive nor idempotent. Exhaustive checks of an eight-predicate construction verify 256 seed states and 6,561 comparable pairs; a continuous denoiser supplies a contrasting counterexample. Recent cerebellar disinhibitory studies support context-dependent teaching efficacy, but do not establish the retained Boolean state or fixed-point protocol required by the construction. We propose tests of within-context persistence, completion and reset that could reject a specified neural closure model. Inhibitory-system-based closure is therefore computationally possible with additional state and timing assumptions; inhibition alone does not establish that the cerebellum implements it.</w:t>
      </w:r>
    </w:p>
    <w:p w14:paraId="3BB6C28A" w14:textId="77777777" w:rsidR="004C4F4A" w:rsidRDefault="00000000" w:rsidP="0061270E">
      <w:pPr>
        <w:pStyle w:val="Caption"/>
        <w:jc w:val="both"/>
      </w:pPr>
      <w:r>
        <w:t>Keywords: cerebellum; programming closure; closure operator; inhibition; disinhibition; fixed point; contextual memory; Closure Diffusion.</w:t>
      </w:r>
    </w:p>
    <w:p w14:paraId="6D51F9BA" w14:textId="77777777" w:rsidR="004C4F4A" w:rsidRDefault="00000000" w:rsidP="0061270E">
      <w:pPr>
        <w:pStyle w:val="Heading1"/>
        <w:jc w:val="both"/>
      </w:pPr>
      <w:r>
        <w:t>1 The question and the meaning of closure</w:t>
      </w:r>
    </w:p>
    <w:p w14:paraId="7CE64D5A" w14:textId="77777777" w:rsidR="004C4F4A" w:rsidRDefault="00000000" w:rsidP="0061270E">
      <w:pPr>
        <w:jc w:val="both"/>
      </w:pPr>
      <w:r>
        <w:t>An inhibitory circuit can do more than prevent a movement. It can select which contextual information becomes effective, regulate whether a teaching event changes a synapse, and suppress alternatives that are inconsistent with the current task. The question is whether such operations can organise a computation that carries its context with it and, under stronger conditions, completes an initially partial state.</w:t>
      </w:r>
    </w:p>
    <w:p w14:paraId="2A326E68" w14:textId="77777777" w:rsidR="004C4F4A" w:rsidRDefault="00000000" w:rsidP="0061270E">
      <w:pPr>
        <w:jc w:val="both"/>
      </w:pPr>
      <w:r>
        <w:t>The attached Closure Diffusion manuscript [1] gives the word a precise starting meaning. The denoising code is shared, while its captured environment contains either the fitness-weighted current population or a persistent bank of witnesses and recurrence statistics. Its introduction explicitly does not require topological or order-theoretic closure. We retain that definition. We then ask separately whether a cerebellar-inspired inhibitory construction can implement a mathematical closure operator. The second claim requires proof and additional mechanisms; it is not implied by the terminology of the first.</w:t>
      </w:r>
    </w:p>
    <w:p w14:paraId="6BC2573B" w14:textId="77777777" w:rsidR="004C4F4A" w:rsidRDefault="00000000" w:rsidP="0061270E">
      <w:pPr>
        <w:pStyle w:val="Caption"/>
        <w:keepNext/>
        <w:jc w:val="both"/>
      </w:pPr>
      <w:r>
        <w:lastRenderedPageBreak/>
        <w:t>Table 1  Three meanings that must be kept separate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3168"/>
        <w:gridCol w:w="4464"/>
      </w:tblGrid>
      <w:tr w:rsidR="004C4F4A" w14:paraId="20378B71" w14:textId="77777777">
        <w:trPr>
          <w:cantSplit/>
          <w:tblHeader/>
          <w:jc w:val="center"/>
        </w:trPr>
        <w:tc>
          <w:tcPr>
            <w:tcW w:w="2016" w:type="dxa"/>
            <w:shd w:val="clear" w:color="auto" w:fill="DCE6EF"/>
            <w:tcMar>
              <w:top w:w="90" w:type="dxa"/>
              <w:left w:w="90" w:type="dxa"/>
              <w:bottom w:w="90" w:type="dxa"/>
              <w:right w:w="90" w:type="dxa"/>
            </w:tcMar>
            <w:vAlign w:val="center"/>
          </w:tcPr>
          <w:p w14:paraId="19996F44" w14:textId="77777777" w:rsidR="004C4F4A" w:rsidRDefault="00000000" w:rsidP="0061270E">
            <w:pPr>
              <w:spacing w:before="60" w:after="60"/>
              <w:jc w:val="both"/>
            </w:pPr>
            <w:r>
              <w:rPr>
                <w:b/>
                <w:sz w:val="19"/>
              </w:rPr>
              <w:t>Meaning</w:t>
            </w:r>
          </w:p>
        </w:tc>
        <w:tc>
          <w:tcPr>
            <w:tcW w:w="3168" w:type="dxa"/>
            <w:shd w:val="clear" w:color="auto" w:fill="DCE6EF"/>
            <w:tcMar>
              <w:top w:w="90" w:type="dxa"/>
              <w:left w:w="90" w:type="dxa"/>
              <w:bottom w:w="90" w:type="dxa"/>
              <w:right w:w="90" w:type="dxa"/>
            </w:tcMar>
            <w:vAlign w:val="center"/>
          </w:tcPr>
          <w:p w14:paraId="2E4E4EDC" w14:textId="77777777" w:rsidR="004C4F4A" w:rsidRDefault="00000000" w:rsidP="0061270E">
            <w:pPr>
              <w:spacing w:before="60" w:after="60"/>
              <w:jc w:val="both"/>
            </w:pPr>
            <w:r>
              <w:rPr>
                <w:b/>
                <w:sz w:val="19"/>
              </w:rPr>
              <w:t>Object</w:t>
            </w:r>
          </w:p>
        </w:tc>
        <w:tc>
          <w:tcPr>
            <w:tcW w:w="4464" w:type="dxa"/>
            <w:shd w:val="clear" w:color="auto" w:fill="DCE6EF"/>
            <w:tcMar>
              <w:top w:w="90" w:type="dxa"/>
              <w:left w:w="90" w:type="dxa"/>
              <w:bottom w:w="90" w:type="dxa"/>
              <w:right w:w="90" w:type="dxa"/>
            </w:tcMar>
            <w:vAlign w:val="center"/>
          </w:tcPr>
          <w:p w14:paraId="0D340885" w14:textId="77777777" w:rsidR="004C4F4A" w:rsidRDefault="00000000" w:rsidP="0061270E">
            <w:pPr>
              <w:spacing w:before="60" w:after="60"/>
              <w:jc w:val="both"/>
            </w:pPr>
            <w:r>
              <w:rPr>
                <w:b/>
                <w:sz w:val="19"/>
              </w:rPr>
              <w:t>Required property</w:t>
            </w:r>
          </w:p>
        </w:tc>
      </w:tr>
      <w:tr w:rsidR="004C4F4A" w14:paraId="7ECEFC8B" w14:textId="77777777">
        <w:trPr>
          <w:cantSplit/>
          <w:jc w:val="center"/>
        </w:trPr>
        <w:tc>
          <w:tcPr>
            <w:tcW w:w="2016" w:type="dxa"/>
            <w:shd w:val="clear" w:color="auto" w:fill="F5F7F9"/>
            <w:tcMar>
              <w:top w:w="90" w:type="dxa"/>
              <w:left w:w="90" w:type="dxa"/>
              <w:bottom w:w="90" w:type="dxa"/>
              <w:right w:w="90" w:type="dxa"/>
            </w:tcMar>
            <w:vAlign w:val="center"/>
          </w:tcPr>
          <w:p w14:paraId="0DED3F93" w14:textId="77777777" w:rsidR="004C4F4A" w:rsidRDefault="00000000" w:rsidP="0061270E">
            <w:pPr>
              <w:spacing w:before="60" w:after="60"/>
              <w:jc w:val="both"/>
            </w:pPr>
            <w:r>
              <w:rPr>
                <w:sz w:val="19"/>
              </w:rPr>
              <w:t>Programming closure</w:t>
            </w:r>
          </w:p>
        </w:tc>
        <w:tc>
          <w:tcPr>
            <w:tcW w:w="3168" w:type="dxa"/>
            <w:shd w:val="clear" w:color="auto" w:fill="F5F7F9"/>
            <w:tcMar>
              <w:top w:w="90" w:type="dxa"/>
              <w:left w:w="90" w:type="dxa"/>
              <w:bottom w:w="90" w:type="dxa"/>
              <w:right w:w="90" w:type="dxa"/>
            </w:tcMar>
            <w:vAlign w:val="center"/>
          </w:tcPr>
          <w:p w14:paraId="61ACB5DA" w14:textId="77777777" w:rsidR="004C4F4A" w:rsidRDefault="00000000" w:rsidP="0061270E">
            <w:pPr>
              <w:spacing w:before="60" w:after="60"/>
              <w:jc w:val="both"/>
            </w:pPr>
            <w:r>
              <w:rPr>
                <w:sz w:val="19"/>
              </w:rPr>
              <w:t>A computation with bound state</w:t>
            </w:r>
          </w:p>
        </w:tc>
        <w:tc>
          <w:tcPr>
            <w:tcW w:w="4464" w:type="dxa"/>
            <w:shd w:val="clear" w:color="auto" w:fill="F5F7F9"/>
            <w:tcMar>
              <w:top w:w="90" w:type="dxa"/>
              <w:left w:w="90" w:type="dxa"/>
              <w:bottom w:w="90" w:type="dxa"/>
              <w:right w:w="90" w:type="dxa"/>
            </w:tcMar>
            <w:vAlign w:val="center"/>
          </w:tcPr>
          <w:p w14:paraId="39C96907" w14:textId="77777777" w:rsidR="004C4F4A" w:rsidRDefault="00000000" w:rsidP="0061270E">
            <w:pPr>
              <w:spacing w:before="60" w:after="60"/>
              <w:jc w:val="both"/>
            </w:pPr>
            <w:r>
              <w:rPr>
                <w:sz w:val="19"/>
              </w:rPr>
              <w:t>The relevant environment is captured or explicitly referenced</w:t>
            </w:r>
          </w:p>
        </w:tc>
      </w:tr>
      <w:tr w:rsidR="004C4F4A" w14:paraId="21CA74A6" w14:textId="77777777">
        <w:trPr>
          <w:cantSplit/>
          <w:jc w:val="center"/>
        </w:trPr>
        <w:tc>
          <w:tcPr>
            <w:tcW w:w="2016" w:type="dxa"/>
            <w:shd w:val="clear" w:color="auto" w:fill="FFFFFF"/>
            <w:tcMar>
              <w:top w:w="90" w:type="dxa"/>
              <w:left w:w="90" w:type="dxa"/>
              <w:bottom w:w="90" w:type="dxa"/>
              <w:right w:w="90" w:type="dxa"/>
            </w:tcMar>
            <w:vAlign w:val="center"/>
          </w:tcPr>
          <w:p w14:paraId="65BB59E1" w14:textId="77777777" w:rsidR="004C4F4A" w:rsidRDefault="00000000" w:rsidP="0061270E">
            <w:pPr>
              <w:spacing w:before="60" w:after="60"/>
              <w:jc w:val="both"/>
            </w:pPr>
            <w:r>
              <w:rPr>
                <w:sz w:val="19"/>
              </w:rPr>
              <w:t>Order closure</w:t>
            </w:r>
          </w:p>
        </w:tc>
        <w:tc>
          <w:tcPr>
            <w:tcW w:w="3168" w:type="dxa"/>
            <w:shd w:val="clear" w:color="auto" w:fill="FFFFFF"/>
            <w:tcMar>
              <w:top w:w="90" w:type="dxa"/>
              <w:left w:w="90" w:type="dxa"/>
              <w:bottom w:w="90" w:type="dxa"/>
              <w:right w:w="90" w:type="dxa"/>
            </w:tcMar>
            <w:vAlign w:val="center"/>
          </w:tcPr>
          <w:p w14:paraId="5F73F077" w14:textId="77777777" w:rsidR="004C4F4A" w:rsidRDefault="00000000" w:rsidP="0061270E">
            <w:pPr>
              <w:spacing w:before="60" w:after="60"/>
              <w:jc w:val="both"/>
            </w:pPr>
            <w:r>
              <w:rPr>
                <w:sz w:val="19"/>
              </w:rPr>
              <w:t>An operator on ordered states</w:t>
            </w:r>
          </w:p>
        </w:tc>
        <w:tc>
          <w:tcPr>
            <w:tcW w:w="4464" w:type="dxa"/>
            <w:shd w:val="clear" w:color="auto" w:fill="FFFFFF"/>
            <w:tcMar>
              <w:top w:w="90" w:type="dxa"/>
              <w:left w:w="90" w:type="dxa"/>
              <w:bottom w:w="90" w:type="dxa"/>
              <w:right w:w="90" w:type="dxa"/>
            </w:tcMar>
            <w:vAlign w:val="center"/>
          </w:tcPr>
          <w:p w14:paraId="7DDCFC5D" w14:textId="77777777" w:rsidR="004C4F4A" w:rsidRDefault="00000000" w:rsidP="0061270E">
            <w:pPr>
              <w:spacing w:before="60" w:after="60"/>
              <w:jc w:val="both"/>
            </w:pPr>
            <w:r>
              <w:rPr>
                <w:sz w:val="19"/>
              </w:rPr>
              <w:t>Extensiveness monotonicity and idempotence</w:t>
            </w:r>
          </w:p>
        </w:tc>
      </w:tr>
      <w:tr w:rsidR="004C4F4A" w14:paraId="5E60314A" w14:textId="77777777">
        <w:trPr>
          <w:cantSplit/>
          <w:jc w:val="center"/>
        </w:trPr>
        <w:tc>
          <w:tcPr>
            <w:tcW w:w="2016" w:type="dxa"/>
            <w:shd w:val="clear" w:color="auto" w:fill="F5F7F9"/>
            <w:tcMar>
              <w:top w:w="90" w:type="dxa"/>
              <w:left w:w="90" w:type="dxa"/>
              <w:bottom w:w="90" w:type="dxa"/>
              <w:right w:w="90" w:type="dxa"/>
            </w:tcMar>
            <w:vAlign w:val="center"/>
          </w:tcPr>
          <w:p w14:paraId="6EE9B754" w14:textId="77777777" w:rsidR="004C4F4A" w:rsidRDefault="00000000" w:rsidP="0061270E">
            <w:pPr>
              <w:spacing w:before="60" w:after="60"/>
              <w:jc w:val="both"/>
            </w:pPr>
            <w:r>
              <w:rPr>
                <w:sz w:val="19"/>
              </w:rPr>
              <w:t>Closing a gate</w:t>
            </w:r>
          </w:p>
        </w:tc>
        <w:tc>
          <w:tcPr>
            <w:tcW w:w="3168" w:type="dxa"/>
            <w:shd w:val="clear" w:color="auto" w:fill="F5F7F9"/>
            <w:tcMar>
              <w:top w:w="90" w:type="dxa"/>
              <w:left w:w="90" w:type="dxa"/>
              <w:bottom w:w="90" w:type="dxa"/>
              <w:right w:w="90" w:type="dxa"/>
            </w:tcMar>
            <w:vAlign w:val="center"/>
          </w:tcPr>
          <w:p w14:paraId="172B061B" w14:textId="77777777" w:rsidR="004C4F4A" w:rsidRDefault="00000000" w:rsidP="0061270E">
            <w:pPr>
              <w:spacing w:before="60" w:after="60"/>
              <w:jc w:val="both"/>
            </w:pPr>
            <w:r>
              <w:rPr>
                <w:sz w:val="19"/>
              </w:rPr>
              <w:t>Reduced or prevented output</w:t>
            </w:r>
          </w:p>
        </w:tc>
        <w:tc>
          <w:tcPr>
            <w:tcW w:w="4464" w:type="dxa"/>
            <w:shd w:val="clear" w:color="auto" w:fill="F5F7F9"/>
            <w:tcMar>
              <w:top w:w="90" w:type="dxa"/>
              <w:left w:w="90" w:type="dxa"/>
              <w:bottom w:w="90" w:type="dxa"/>
              <w:right w:w="90" w:type="dxa"/>
            </w:tcMar>
            <w:vAlign w:val="center"/>
          </w:tcPr>
          <w:p w14:paraId="6896058F" w14:textId="77777777" w:rsidR="004C4F4A" w:rsidRDefault="00000000" w:rsidP="0061270E">
            <w:pPr>
              <w:spacing w:before="60" w:after="60"/>
              <w:jc w:val="both"/>
            </w:pPr>
            <w:r>
              <w:rPr>
                <w:sz w:val="19"/>
              </w:rPr>
              <w:t>A specified physiological or engineering threshold</w:t>
            </w:r>
          </w:p>
        </w:tc>
      </w:tr>
    </w:tbl>
    <w:p w14:paraId="2B4FC4C4" w14:textId="77777777" w:rsidR="004C4F4A" w:rsidRDefault="004C4F4A" w:rsidP="0061270E">
      <w:pPr>
        <w:jc w:val="both"/>
      </w:pPr>
    </w:p>
    <w:p w14:paraId="2E3C67B9" w14:textId="77777777" w:rsidR="004C4F4A" w:rsidRDefault="00000000" w:rsidP="0061270E">
      <w:pPr>
        <w:jc w:val="both"/>
      </w:pPr>
      <w:r>
        <w:t>Our positive construction is deliberately limited. It implements closure of a finite set of retained predicates. It does not assert that firing rates only increase, that movements become progressively larger, or that every cerebellar computation is a closure. The circuit theorem establishes possibility. Identifying its state variables and update protocol in a real loop is a separate empirical task.</w:t>
      </w:r>
    </w:p>
    <w:p w14:paraId="5E63F9D9" w14:textId="77777777" w:rsidR="004C4F4A" w:rsidRDefault="00000000" w:rsidP="0061270E">
      <w:pPr>
        <w:pStyle w:val="Heading1"/>
        <w:jc w:val="both"/>
      </w:pPr>
      <w:r>
        <w:t>2 Biological motivation and its limits</w:t>
      </w:r>
    </w:p>
    <w:p w14:paraId="3C74EB46" w14:textId="77777777" w:rsidR="004C4F4A" w:rsidRDefault="00000000" w:rsidP="0061270E">
      <w:pPr>
        <w:pStyle w:val="Heading2"/>
        <w:jc w:val="both"/>
      </w:pPr>
      <w:r>
        <w:t>2 1 Inhibition regulates active output</w:t>
      </w:r>
    </w:p>
    <w:p w14:paraId="6C72B66B" w14:textId="77777777" w:rsidR="004C4F4A" w:rsidRDefault="00000000" w:rsidP="0061270E">
      <w:pPr>
        <w:jc w:val="both"/>
      </w:pPr>
      <w:r>
        <w:t>Purkinje output inhibits cerebellar nuclear neurons, while afferent excitation and intrinsic activity also contribute to nuclear output. Zheng and Raman demonstrated spontaneous firing and its modulation by inhibition and disinhibition [2]. Consequently, tonic Purkinje inhibition does not by itself imply that all action is normally absent. A release threshold must be defined relative to a task and downstream pathway. We interpret inhibitory control as a way to shape effective output, without assuming a universal default-closed motor architecture.</w:t>
      </w:r>
    </w:p>
    <w:p w14:paraId="07CD067C" w14:textId="77777777" w:rsidR="004C4F4A" w:rsidRDefault="00000000" w:rsidP="0061270E">
      <w:pPr>
        <w:pStyle w:val="Heading2"/>
        <w:jc w:val="both"/>
      </w:pPr>
      <w:r>
        <w:t>2 2 Disinhibition can regulate the effectiveness of teaching</w:t>
      </w:r>
    </w:p>
    <w:p w14:paraId="5F7E6DD4" w14:textId="77777777" w:rsidR="004C4F4A" w:rsidRDefault="00000000" w:rsidP="0061270E">
      <w:pPr>
        <w:jc w:val="both"/>
      </w:pPr>
      <w:r>
        <w:t>Santos-Valencia and colleagues reported that climbing fibres preferentially recruit a disinhibitory MLI2 pathway, which inhibits PC-targeting MLI1 interneurons. Their 2026 study emphasised glutamate spillover and the ability of synchronous input to favour large Purkinje dendritic calcium signals [3]. This supplies a circuit motif in which an inhibitory pathway can permit an otherwise limited effect. It does not demonstrate a Boolean completion algorithm.</w:t>
      </w:r>
    </w:p>
    <w:p w14:paraId="1048535B" w14:textId="77777777" w:rsidR="004C4F4A" w:rsidRDefault="00000000" w:rsidP="0061270E">
      <w:pPr>
        <w:jc w:val="both"/>
      </w:pPr>
      <w:r>
        <w:t>Park and colleagues subsequently reported rare functional direct climbing-fibre contacts onto disinhibitory interneurons, synchrony-dependent efficacy and impaired CF-instructed learning after disruption of MLI-to-MLI inhibition [4]. The direct-contact and spillover accounts are not identical anatomical claims. Their common relevance here is that teaching efficacy depends on circuit processing, rather than solely on the arrival of a climbing-fibre event. That result concerns admission of plasticity, which must be distinguished from admission of consequential action.</w:t>
      </w:r>
    </w:p>
    <w:p w14:paraId="41B28EC5" w14:textId="77777777" w:rsidR="004C4F4A" w:rsidRDefault="00000000" w:rsidP="0061270E">
      <w:pPr>
        <w:jc w:val="both"/>
      </w:pPr>
      <w:r>
        <w:t>Kimpo and colleagues had already shown that comparable error-related climbing-fibre signals can have different learning effects across training conditions [5]. Filio and colleagues extended the temporal picture in 2026: anticipatory granule-cell activity stretched across delayed dopamine-related rewards, while climbing fibres often responded after reward delivery; perturbations also implicated both populations in learning [6]. These findings motivate context and eligible history as candidate parts of a bound environment. They do not establish exact event identifiers, a neural register or idempotence.</w:t>
      </w:r>
    </w:p>
    <w:p w14:paraId="7A1BE4B1" w14:textId="77777777" w:rsidR="004C4F4A" w:rsidRDefault="00000000" w:rsidP="0061270E">
      <w:pPr>
        <w:pStyle w:val="Heading2"/>
        <w:jc w:val="both"/>
      </w:pPr>
      <w:r>
        <w:lastRenderedPageBreak/>
        <w:t>2 3 What remains hypothetical</w:t>
      </w:r>
    </w:p>
    <w:p w14:paraId="1B21654C" w14:textId="77777777" w:rsidR="004C4F4A" w:rsidRDefault="00000000" w:rsidP="0061270E">
      <w:pPr>
        <w:jc w:val="both"/>
      </w:pPr>
      <w:r>
        <w:t>A circuit can exhibit disinhibition without preserving newly completed information. It can preserve information without representing a monotone consequence relation. It can converge to an attractor without computing a closure operator. The present paper therefore treats recurrent retention, rule soundness and an adequate settling protocol as assumptions to be tested, not facts supplied by inhibitory anatomy. Storage can also be distributed across the broader loop; the model does not place an entire persistent witness bank inside the cerebellum.</w:t>
      </w:r>
    </w:p>
    <w:p w14:paraId="6B37C5FC" w14:textId="77777777" w:rsidR="004C4F4A" w:rsidRDefault="00000000" w:rsidP="0061270E">
      <w:pPr>
        <w:pStyle w:val="Heading1"/>
        <w:jc w:val="both"/>
      </w:pPr>
      <w:r>
        <w:t>3 The cerebellar loop as a computation with captured context</w:t>
      </w:r>
    </w:p>
    <w:p w14:paraId="55B34949" w14:textId="77777777" w:rsidR="004C4F4A" w:rsidRDefault="00000000" w:rsidP="0061270E">
      <w:pPr>
        <w:jc w:val="both"/>
      </w:pPr>
      <w:r>
        <w:t>Let s be current afferent input. Let E be an environment comprising a task-context identifier c, learned parameters θ, a retained local state h and a version v. A functional closure is the shared executable map Φ together with E. It returns an output and, when stateful, an updated local state. Its teaching operator can be defined separately.</w:t>
      </w:r>
    </w:p>
    <w:p w14:paraId="5A0F4F5B" w14:textId="77777777" w:rsidR="004C4F4A" w:rsidRDefault="00000000" w:rsidP="0061270E">
      <w:pPr>
        <w:jc w:val="both"/>
      </w:pPr>
      <m:oMathPara>
        <m:oMath>
          <m:r>
            <w:rPr>
              <w:rFonts w:ascii="Cambria Math" w:hAnsi="Cambria Math"/>
            </w:rPr>
            <m:t xml:space="preserve">E = (c,θ,h,v),     </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(s) = Φ(s;E),     Δθ = Ψ(δ,e,m;E)</m:t>
          </m:r>
        </m:oMath>
      </m:oMathPara>
    </w:p>
    <w:p w14:paraId="18644E19" w14:textId="77777777" w:rsidR="004C4F4A" w:rsidRDefault="00000000" w:rsidP="0061270E">
      <w:pPr>
        <w:jc w:val="both"/>
      </w:pPr>
      <w:r>
        <w:t>Here e is an eligible history, δ a source-matched teaching value and m the current effectiveness of the teaching pathway. A software implementation may capture E by value, or capture a reference to mutable state. Either is a programming closure, but only an immutable snapshot gives a reproducible fixed map unless mutation is explicitly part of the semantics. If noise affects Φ, its law or random state must also be specified. A frozen foundation model operating on mutable external state is another example of behaviour changing without weight updates.</w:t>
      </w:r>
    </w:p>
    <w:p w14:paraId="5B14C81B" w14:textId="77777777" w:rsidR="004C4F4A" w:rsidRDefault="00000000" w:rsidP="0061270E">
      <w:pPr>
        <w:keepNext/>
        <w:jc w:val="both"/>
      </w:pPr>
      <w:r>
        <w:rPr>
          <w:b/>
        </w:rPr>
        <w:t xml:space="preserve">Lemma 1 Fixed environment gives a well defined local map. </w:t>
      </w:r>
      <w:r>
        <w:t xml:space="preserve">Suppose Φ is a deterministic total function of the displayed arguments and all relevant state is included in E. Capturing one fixed value of E defines a function </w:t>
      </w: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oMath>
      <w:r>
        <w:t xml:space="preserve"> Two invocations with identical s and E have identical outputs. Updating any relevant bound state defines a potentially different function.</w:t>
      </w:r>
    </w:p>
    <w:p w14:paraId="474DA866" w14:textId="77777777" w:rsidR="004C4F4A" w:rsidRDefault="00000000" w:rsidP="0061270E">
      <w:pPr>
        <w:jc w:val="both"/>
      </w:pPr>
      <w:r>
        <w:rPr>
          <w:i/>
        </w:rPr>
        <w:t xml:space="preserve">Proof. </w:t>
      </w:r>
      <w:r>
        <w:t>The first two statements follow from evaluation of the same function at the same arguments. If E changes, the arguments of Φ change; equality of the resulting outputs is no longer guaranteed. This establishes a functional representation, not a unique decomposition of neural anatomy into code and data.  □</w:t>
      </w:r>
    </w:p>
    <w:p w14:paraId="09421CD0" w14:textId="77777777" w:rsidR="004C4F4A" w:rsidRDefault="00000000" w:rsidP="0061270E">
      <w:pPr>
        <w:jc w:val="both"/>
      </w:pPr>
      <w:r>
        <w:t xml:space="preserve">In the cerebellar analogy, the shared microcircuit supplies a recurring computational motif and context and learned synapses determine its local instantiation. We do not assume that biological circuits separate code from data in a programming-language sense. The empirical content lies in identifying which state is retained, how it is reactivated, and how a context change changes the map. Merely writing </w:t>
      </w:r>
      <m:oMath>
        <m:sSub>
          <m:sSubPr>
            <m:ctrlPr>
              <w:rPr>
                <w:rFonts w:ascii="Cambria Math" w:hAnsi="Cambria Math"/>
              </w:rPr>
            </m:ctrlPr>
          </m:sSubPr>
          <m:e>
            <m:r>
              <w:rPr>
                <w:rFonts w:ascii="Cambria Math" w:hAnsi="Cambria Math"/>
              </w:rPr>
              <m:t>F</m:t>
            </m:r>
          </m:e>
          <m:sub>
            <m:r>
              <w:rPr>
                <w:rFonts w:ascii="Cambria Math" w:hAnsi="Cambria Math"/>
              </w:rPr>
              <m:t>E</m:t>
            </m:r>
          </m:sub>
        </m:sSub>
      </m:oMath>
      <w:r>
        <w:t xml:space="preserve"> does not establish a new neuroscientific mechanism.</w:t>
      </w:r>
    </w:p>
    <w:p w14:paraId="4857FD2D" w14:textId="77777777" w:rsidR="004C4F4A" w:rsidRDefault="00000000" w:rsidP="0061270E">
      <w:pPr>
        <w:jc w:val="both"/>
      </w:pPr>
      <w:r>
        <w:t>Inhibition can participate in this construction by suppressing context-incompatible inputs or limiting an output until an appropriate internal state is present. A programming closure does not, however, require inhibition. Inhibition becomes a mechanistic hypothesis about how a particular neural closure selects and binds information, rather than a consequence of the definition.</w:t>
      </w:r>
    </w:p>
    <w:p w14:paraId="7298883A" w14:textId="77777777" w:rsidR="004C4F4A" w:rsidRDefault="00000000" w:rsidP="0061270E">
      <w:pPr>
        <w:pStyle w:val="Heading1"/>
        <w:jc w:val="both"/>
      </w:pPr>
      <w:r>
        <w:t>4 Why a single inhibitory stage is insufficient for order closure</w:t>
      </w:r>
    </w:p>
    <w:p w14:paraId="60AF13F3" w14:textId="77777777" w:rsidR="004C4F4A" w:rsidRDefault="00000000" w:rsidP="0061270E">
      <w:pPr>
        <w:jc w:val="both"/>
      </w:pPr>
      <w:r>
        <w:t>Let L be a partially ordered state space with a greatest element ⊤. A closure C maps L to itself and satisfies extensiveness, monotonicity and idempotence. On a predicate set, the order is inclusion; on Boolean vectors, it is coordinatewise order.</w:t>
      </w:r>
    </w:p>
    <w:p w14:paraId="379D4D49" w14:textId="77777777" w:rsidR="004C4F4A" w:rsidRDefault="00000000" w:rsidP="0061270E">
      <w:pPr>
        <w:jc w:val="both"/>
      </w:pPr>
      <m:oMathPara>
        <m:oMath>
          <m:r>
            <w:rPr>
              <w:rFonts w:ascii="Cambria Math" w:hAnsi="Cambria Math"/>
            </w:rPr>
            <m:t>x ≤ C(x),     x ≤ y ⇒ C(x) ≤ C(y),     C(C(x)) = C(x)</m:t>
          </m:r>
        </m:oMath>
      </m:oMathPara>
    </w:p>
    <w:p w14:paraId="28AAB499" w14:textId="77777777" w:rsidR="004C4F4A" w:rsidRDefault="00000000" w:rsidP="0061270E">
      <w:pPr>
        <w:jc w:val="both"/>
      </w:pPr>
      <w:r>
        <w:lastRenderedPageBreak/>
        <w:t>A map F is antitone, or order-reversing, when x ≤ y implies F(y) ≤ F(x). For a single threshold or rate stage with nondecreasing activation φ, nonnegative inhibitory weight matrix W and tonic bias b, the following map is antitone in the coordinatewise order.</w:t>
      </w:r>
    </w:p>
    <w:p w14:paraId="37DF2B92" w14:textId="77777777" w:rsidR="004C4F4A" w:rsidRDefault="00000000" w:rsidP="0061270E">
      <w:pPr>
        <w:jc w:val="both"/>
      </w:pPr>
      <m:oMathPara>
        <m:oMath>
          <m:r>
            <w:rPr>
              <w:rFonts w:ascii="Cambria Math" w:hAnsi="Cambria Math"/>
            </w:rPr>
            <m:t>F(x) = φ(b-Wx),     W ≥ 0</m:t>
          </m:r>
        </m:oMath>
      </m:oMathPara>
    </w:p>
    <w:p w14:paraId="07975FA7" w14:textId="77777777" w:rsidR="004C4F4A" w:rsidRDefault="00000000" w:rsidP="0061270E">
      <w:pPr>
        <w:keepNext/>
        <w:jc w:val="both"/>
      </w:pPr>
      <w:r>
        <w:rPr>
          <w:b/>
        </w:rPr>
        <w:t xml:space="preserve">Theorem 1 A one stage antitone closure is trivial. </w:t>
      </w:r>
      <w:r>
        <w:t>If F is antitone and extensive on a partially ordered set with greatest element ⊤, then F(x) = ⊤ for every x. In particular, a nontrivial closure cannot be implemented by a single antitone stage on that state space.</w:t>
      </w:r>
    </w:p>
    <w:p w14:paraId="553D3473" w14:textId="77777777" w:rsidR="004C4F4A" w:rsidRDefault="00000000" w:rsidP="0061270E">
      <w:pPr>
        <w:jc w:val="both"/>
      </w:pPr>
      <w:r>
        <w:rPr>
          <w:i/>
        </w:rPr>
        <w:t xml:space="preserve">Proof. </w:t>
      </w:r>
      <w:r>
        <w:t>For every x, x ≤ ⊤. Antitonicity gives F(x) ≥ F(⊤). Extensiveness at ⊤ gives F(⊤) ≥ ⊤, hence F(⊤) = ⊤. Since no element exceeds ⊤, F(x) = ⊤. The constant-top map is indeed extensive, monotone and idempotent, but completes every input to the same uninformative state.  □</w:t>
      </w:r>
    </w:p>
    <w:p w14:paraId="2812151E" w14:textId="77777777" w:rsidR="004C4F4A" w:rsidRDefault="00000000" w:rsidP="0061270E">
      <w:pPr>
        <w:jc w:val="both"/>
      </w:pPr>
      <w:r>
        <w:t>This theorem applies to the specified input-output order and single-stage sign structure. It does not imply that an entire multilayer inhibitory network is antitone. Two inhibitory links reverse sign twice; recurrent state can further change the effective operator. Nor does it imply that a cerebellar output firing rate should be extensive in its cortical drive. The relevant logical order must first be identified.</w:t>
      </w:r>
    </w:p>
    <w:p w14:paraId="58C0E49B" w14:textId="77777777" w:rsidR="004C4F4A" w:rsidRDefault="00000000" w:rsidP="0061270E">
      <w:pPr>
        <w:jc w:val="both"/>
      </w:pPr>
      <w:r>
        <w:t xml:space="preserve">Inhibition alone also does not guarantee convergence. The single Boolean update </w:t>
      </w:r>
      <m:oMath>
        <m:sSub>
          <m:sSubPr>
            <m:ctrlPr>
              <w:rPr>
                <w:rFonts w:ascii="Cambria Math" w:hAnsi="Cambria Math"/>
              </w:rPr>
            </m:ctrlPr>
          </m:sSubPr>
          <m:e>
            <m:r>
              <w:rPr>
                <w:rFonts w:ascii="Cambria Math" w:hAnsi="Cambria Math"/>
              </w:rPr>
              <m:t>x</m:t>
            </m:r>
          </m:e>
          <m:sub>
            <m:r>
              <w:rPr>
                <w:rFonts w:ascii="Cambria Math" w:hAnsi="Cambria Math"/>
              </w:rPr>
              <m:t>next</m:t>
            </m:r>
          </m:sub>
        </m:sSub>
      </m:oMath>
      <w:r>
        <w:t xml:space="preserve"> = 1−x alternates forever between zero and one under synchronous updates. A finite inhibitory network can therefore require a scheduling or stability argument before any claim of completed state is justified.</w:t>
      </w:r>
    </w:p>
    <w:p w14:paraId="7B0EFDCC" w14:textId="77777777" w:rsidR="004C4F4A" w:rsidRDefault="00000000" w:rsidP="0061270E">
      <w:pPr>
        <w:pStyle w:val="Heading1"/>
        <w:jc w:val="both"/>
      </w:pPr>
      <w:r>
        <w:t>5 A constructive closure through disinhibition and retention</w:t>
      </w:r>
    </w:p>
    <w:p w14:paraId="092B861B" w14:textId="77777777" w:rsidR="004C4F4A" w:rsidRDefault="00000000" w:rsidP="0061270E">
      <w:pPr>
        <w:pStyle w:val="Heading2"/>
        <w:jc w:val="both"/>
      </w:pPr>
      <w:r>
        <w:t>5 1 A logical primitive with inhibitory inputs</w:t>
      </w:r>
    </w:p>
    <w:p w14:paraId="65C46B2F" w14:textId="77777777" w:rsidR="004C4F4A" w:rsidRDefault="00000000" w:rsidP="0061270E">
      <w:pPr>
        <w:jc w:val="both"/>
      </w:pPr>
      <w:r>
        <w:t>Consider binary inputs and a unit with tonic bias 1/2, inhibitory input weights −1, and output one precisely when its net drive is positive. Its input-output function is NOR: it is active when every input is zero. Tonic bias is an energy and excitability assumption; the construction is inhibition-based, not excitation-free.</w:t>
      </w:r>
    </w:p>
    <w:p w14:paraId="3B50DED0" w14:textId="77777777" w:rsidR="004C4F4A" w:rsidRDefault="00000000" w:rsidP="0061270E">
      <w:pPr>
        <w:jc w:val="both"/>
      </w:pPr>
      <m:oMathPara>
        <m:oMath>
          <m:r>
            <w:rPr>
              <w:rFonts w:ascii="Cambria Math" w:hAnsi="Cambria Math"/>
            </w:rPr>
            <m:t>NOR(</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 = 1{</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j=1</m:t>
                  </m:r>
                </m:sub>
              </m:sSub>
            </m:e>
            <m:sup>
              <m:r>
                <w:rPr>
                  <w:rFonts w:ascii="Cambria Math" w:hAnsi="Cambria Math"/>
                </w:rPr>
                <m:t>k</m:t>
              </m:r>
            </m:sup>
          </m:sSup>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&gt; 0}</m:t>
          </m:r>
        </m:oMath>
      </m:oMathPara>
    </w:p>
    <w:p w14:paraId="2880AB41" w14:textId="77777777" w:rsidR="004C4F4A" w:rsidRDefault="00000000" w:rsidP="0061270E">
      <w:pPr>
        <w:keepNext/>
        <w:jc w:val="both"/>
      </w:pPr>
      <w:r>
        <w:rPr>
          <w:b/>
        </w:rPr>
        <w:t xml:space="preserve">Lemma 2 NOR composition supplies positive operations. </w:t>
      </w:r>
      <w:r>
        <w:t>Using the NOR unit, NOT(x) = NOR(x), OR(x₁,…,</w:t>
      </w:r>
      <m:oMath>
        <m:sSub>
          <m:sSubPr>
            <m:ctrlPr>
              <w:rPr>
                <w:rFonts w:ascii="Cambria Math" w:hAnsi="Cambria Math"/>
              </w:rPr>
            </m:ctrlPr>
          </m:sSubPr>
          <m:e>
            <m:r>
              <w:rPr>
                <w:rFonts w:ascii="Cambria Math" w:hAnsi="Cambria Math"/>
              </w:rPr>
              <m:t>x</m:t>
            </m:r>
          </m:e>
          <m:sub>
            <m:r>
              <w:rPr>
                <w:rFonts w:ascii="Cambria Math" w:hAnsi="Cambria Math"/>
              </w:rPr>
              <m:t>k</m:t>
            </m:r>
          </m:sub>
        </m:sSub>
      </m:oMath>
      <w:r>
        <w:t>) = NOT(NOR(x₁,…,</w:t>
      </w:r>
      <m:oMath>
        <m:sSub>
          <m:sSubPr>
            <m:ctrlPr>
              <w:rPr>
                <w:rFonts w:ascii="Cambria Math" w:hAnsi="Cambria Math"/>
              </w:rPr>
            </m:ctrlPr>
          </m:sSubPr>
          <m:e>
            <m:r>
              <w:rPr>
                <w:rFonts w:ascii="Cambria Math" w:hAnsi="Cambria Math"/>
              </w:rPr>
              <m:t>x</m:t>
            </m:r>
          </m:e>
          <m:sub>
            <m:r>
              <w:rPr>
                <w:rFonts w:ascii="Cambria Math" w:hAnsi="Cambria Math"/>
              </w:rPr>
              <m:t>k</m:t>
            </m:r>
          </m:sub>
        </m:sSub>
      </m:oMath>
      <w:r>
        <w:t>)), and AND(x₁,…,</w:t>
      </w:r>
      <m:oMath>
        <m:sSub>
          <m:sSubPr>
            <m:ctrlPr>
              <w:rPr>
                <w:rFonts w:ascii="Cambria Math" w:hAnsi="Cambria Math"/>
              </w:rPr>
            </m:ctrlPr>
          </m:sSubPr>
          <m:e>
            <m:r>
              <w:rPr>
                <w:rFonts w:ascii="Cambria Math" w:hAnsi="Cambria Math"/>
              </w:rPr>
              <m:t>x</m:t>
            </m:r>
          </m:e>
          <m:sub>
            <m:r>
              <w:rPr>
                <w:rFonts w:ascii="Cambria Math" w:hAnsi="Cambria Math"/>
              </w:rPr>
              <m:t>k</m:t>
            </m:r>
          </m:sub>
        </m:sSub>
      </m:oMath>
      <w:r>
        <w:t>) = NOR(NOT(x₁),…,NOT(</w:t>
      </w:r>
      <m:oMath>
        <m:sSub>
          <m:sSubPr>
            <m:ctrlPr>
              <w:rPr>
                <w:rFonts w:ascii="Cambria Math" w:hAnsi="Cambria Math"/>
              </w:rPr>
            </m:ctrlPr>
          </m:sSubPr>
          <m:e>
            <m:r>
              <w:rPr>
                <w:rFonts w:ascii="Cambria Math" w:hAnsi="Cambria Math"/>
              </w:rPr>
              <m:t>x</m:t>
            </m:r>
          </m:e>
          <m:sub>
            <m:r>
              <w:rPr>
                <w:rFonts w:ascii="Cambria Math" w:hAnsi="Cambria Math"/>
              </w:rPr>
              <m:t>k</m:t>
            </m:r>
          </m:sub>
        </m:sSub>
      </m:oMath>
      <w:r>
        <w:t>)). Identity is double negation.</w:t>
      </w:r>
    </w:p>
    <w:p w14:paraId="6B36A059" w14:textId="77777777" w:rsidR="004C4F4A" w:rsidRDefault="00000000" w:rsidP="0061270E">
      <w:pPr>
        <w:jc w:val="both"/>
      </w:pPr>
      <w:r>
        <w:rPr>
          <w:i/>
        </w:rPr>
        <w:t xml:space="preserve">Proof. </w:t>
      </w:r>
      <w:r>
        <w:t>NOR is one exactly when none of its arguments is one. Applying this truth condition directly gives negation, then the two De Morgan identities. Every nonconstant signal edge in these small circuits is inhibitory; the positive effective operations arise through composition. The intermediate neural or gate outputs need not be monotone even when the final logical map is.  □</w:t>
      </w:r>
    </w:p>
    <w:p w14:paraId="29B257F7" w14:textId="77777777" w:rsidR="004C4F4A" w:rsidRDefault="00000000" w:rsidP="0061270E">
      <w:pPr>
        <w:pStyle w:val="Heading2"/>
        <w:jc w:val="both"/>
      </w:pPr>
      <w:r>
        <w:t>5 2 Closure of a finite set of predicates</w:t>
      </w:r>
    </w:p>
    <w:p w14:paraId="39E56C48" w14:textId="77777777" w:rsidR="004C4F4A" w:rsidRDefault="00000000" w:rsidP="0061270E">
      <w:pPr>
        <w:jc w:val="both"/>
      </w:pPr>
      <w:r>
        <w:t>Let P be a finite set of n predicates. A positive rule has a body B contained in P and a head b in P, written B ⇒ b. Its meaning is that all body predicates suffice for the head. Fix the context, rule set R and the interpretation of each predicate during one completion episode. Starting from evidence X, retain every established predicate and add the heads of enabled rules.</w:t>
      </w:r>
    </w:p>
    <w:p w14:paraId="3177DFEC" w14:textId="77777777" w:rsidR="004C4F4A" w:rsidRDefault="00000000" w:rsidP="0061270E">
      <w:pPr>
        <w:jc w:val="both"/>
      </w:pPr>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(S) = S ∪ {b : (B ⇒ b) ∈ R and B ⊆ S}</m:t>
          </m:r>
        </m:oMath>
      </m:oMathPara>
    </w:p>
    <w:p w14:paraId="5ED62B70" w14:textId="77777777" w:rsidR="004C4F4A" w:rsidRDefault="00000000" w:rsidP="0061270E">
      <w:pPr>
        <w:jc w:val="both"/>
      </w:pPr>
      <m:oMathPara>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xml:space="preserve"> = X,     </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(X) = </m:t>
          </m:r>
          <m:sSub>
            <m:sSubPr>
              <m:ctrlPr>
                <w:rPr>
                  <w:rFonts w:ascii="Cambria Math" w:hAnsi="Cambria Math"/>
                </w:rPr>
              </m:ctrlPr>
            </m:sSubPr>
            <m:e>
              <m:r>
                <w:rPr>
                  <w:rFonts w:ascii="Cambria Math" w:hAnsi="Cambria Math"/>
                </w:rPr>
                <m:t>S</m:t>
              </m:r>
            </m:e>
            <m:sub>
              <m:r>
                <w:rPr>
                  <w:rFonts w:ascii="Cambria Math" w:hAnsi="Cambria Math"/>
                </w:rPr>
                <m:t>τ</m:t>
              </m:r>
            </m:sub>
          </m:sSub>
        </m:oMath>
      </m:oMathPara>
    </w:p>
    <w:p w14:paraId="594D4532" w14:textId="77777777" w:rsidR="004C4F4A" w:rsidRDefault="00000000" w:rsidP="0061270E">
      <w:pPr>
        <w:jc w:val="both"/>
      </w:pPr>
      <w:r>
        <w:t>Here τ is the first index for which the next update leaves the retained set unchanged.</w:t>
      </w:r>
    </w:p>
    <w:p w14:paraId="04648362" w14:textId="77777777" w:rsidR="004C4F4A" w:rsidRDefault="00000000" w:rsidP="0061270E">
      <w:pPr>
        <w:keepNext/>
        <w:jc w:val="both"/>
      </w:pPr>
      <w:r>
        <w:rPr>
          <w:b/>
        </w:rPr>
        <w:lastRenderedPageBreak/>
        <w:t xml:space="preserve">Theorem 2 Finite positive completion is a closure. </w:t>
      </w:r>
      <w:r>
        <w:t xml:space="preserve">The iteration stabilises after at most n−|X| strict rounds. Its result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(X) is the least R-closed superset of X. The operator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 is extensive, monotone and idempotent.</w:t>
      </w:r>
    </w:p>
    <w:p w14:paraId="1F10EF84" w14:textId="77777777" w:rsidR="004C4F4A" w:rsidRDefault="00000000" w:rsidP="0061270E">
      <w:pPr>
        <w:jc w:val="both"/>
      </w:pPr>
      <w:r>
        <w:rPr>
          <w:i/>
        </w:rPr>
        <w:t xml:space="preserve">Proof. </w:t>
      </w:r>
      <w:r>
        <w:t xml:space="preserve">Each update retains its input. A strict update adds at least one previously absent predicate, so at most n−|X| such updates occur. At stabilisation, every rule enabled by the result already has its head present, proving closedness. Let Y be any closed superset of X. By induction S₀ ⊆ Y and </w:t>
      </w:r>
      <m:oMath>
        <m:sSub>
          <m:sSubPr>
            <m:ctrlPr>
              <w:rPr>
                <w:rFonts w:ascii="Cambria Math" w:hAnsi="Cambria Math"/>
              </w:rPr>
            </m:ctrlPr>
          </m:sSubPr>
          <m:e>
            <m:r>
              <w:rPr>
                <w:rFonts w:ascii="Cambria Math" w:hAnsi="Cambria Math"/>
              </w:rPr>
              <m:t>S</m:t>
            </m:r>
          </m:e>
          <m:sub>
            <m:r>
              <w:rPr>
                <w:rFonts w:ascii="Cambria Math" w:hAnsi="Cambria Math"/>
              </w:rPr>
              <m:t>t</m:t>
            </m:r>
          </m:sub>
        </m:sSub>
      </m:oMath>
      <w:r>
        <w:t xml:space="preserve"> ⊆ Y imply </w:t>
      </w:r>
      <m:oMath>
        <m:sSub>
          <m:sSubPr>
            <m:ctrlPr>
              <w:rPr>
                <w:rFonts w:ascii="Cambria Math" w:hAnsi="Cambria Math"/>
              </w:rPr>
            </m:ctrlPr>
          </m:sSubPr>
          <m:e>
            <m:r>
              <w:rPr>
                <w:rFonts w:ascii="Cambria Math" w:hAnsi="Cambria Math"/>
              </w:rPr>
              <m:t>S</m:t>
            </m:r>
          </m:e>
          <m:sub>
            <m:r>
              <w:rPr>
                <w:rFonts w:ascii="Cambria Math" w:hAnsi="Cambria Math"/>
              </w:rPr>
              <m:t>t+1</m:t>
            </m:r>
          </m:sub>
        </m:sSub>
      </m:oMath>
      <w:r>
        <w:t xml:space="preserve"> ⊆ Y, because every added head is licensed by a body inside Y. Hence the limit is the least closed superset. Extensiveness follows from retention. If X ⊆ X′, rule positivity gives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(S) ⊆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(S′) whenever S ⊆ S′; induction and stabilisation give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(X) ⊆ </w:t>
      </w:r>
      <m:oMath>
        <m:sSub>
          <m:sSubPr>
            <m:ctrlPr>
              <w:rPr>
                <w:rFonts w:ascii="Cambria Math" w:hAnsi="Cambria Math"/>
              </w:rPr>
            </m:ctrlPr>
          </m:sSubPr>
          <m:e>
            <m:r>
              <w:rPr>
                <w:rFonts w:ascii="Cambria Math" w:hAnsi="Cambria Math"/>
              </w:rPr>
              <m:t>C</m:t>
            </m:r>
          </m:e>
          <m:sub>
            <m:r>
              <w:rPr>
                <w:rFonts w:ascii="Cambria Math" w:hAnsi="Cambria Math"/>
              </w:rPr>
              <m:t>R</m:t>
            </m:r>
          </m:sub>
        </m:sSub>
      </m:oMath>
      <w:r>
        <w:t xml:space="preserve">(X′). Finally, starting from an already closed </w:t>
      </w:r>
      <m:oMath>
        <m:sSub>
          <m:sSubPr>
            <m:ctrlPr>
              <w:rPr>
                <w:rFonts w:ascii="Cambria Math" w:hAnsi="Cambria Math"/>
              </w:rPr>
            </m:ctrlPr>
          </m:sSubPr>
          <m:e>
            <m:r>
              <w:rPr>
                <w:rFonts w:ascii="Cambria Math" w:hAnsi="Cambria Math"/>
              </w:rPr>
              <m:t>C</m:t>
            </m:r>
          </m:e>
          <m:sub>
            <m:r>
              <w:rPr>
                <w:rFonts w:ascii="Cambria Math" w:hAnsi="Cambria Math"/>
              </w:rPr>
              <m:t>R</m:t>
            </m:r>
          </m:sub>
        </m:sSub>
      </m:oMath>
      <w:r>
        <w:t>(X) adds nothing, proving idempotence. Detecting that the last round is unchanged may require one additional check.  □</w:t>
      </w:r>
    </w:p>
    <w:p w14:paraId="67C1552C" w14:textId="77777777" w:rsidR="004C4F4A" w:rsidRDefault="00000000" w:rsidP="0061270E">
      <w:pPr>
        <w:keepNext/>
        <w:jc w:val="both"/>
      </w:pPr>
      <w:r>
        <w:rPr>
          <w:b/>
        </w:rPr>
        <w:t xml:space="preserve">Corollary 1 Sound completion requires sound inputs and rules. </w:t>
      </w:r>
      <w:r>
        <w:t xml:space="preserve">Fix a context and a set True of predicates that are true in that context. If X is contained in True and every rule with body inside True has its head inside True, then </w:t>
      </w:r>
      <m:oMath>
        <m:sSub>
          <m:sSubPr>
            <m:ctrlPr>
              <w:rPr>
                <w:rFonts w:ascii="Cambria Math" w:hAnsi="Cambria Math"/>
              </w:rPr>
            </m:ctrlPr>
          </m:sSubPr>
          <m:e>
            <m:r>
              <w:rPr>
                <w:rFonts w:ascii="Cambria Math" w:hAnsi="Cambria Math"/>
              </w:rPr>
              <m:t>C</m:t>
            </m:r>
          </m:e>
          <m:sub>
            <m:r>
              <w:rPr>
                <w:rFonts w:ascii="Cambria Math" w:hAnsi="Cambria Math"/>
              </w:rPr>
              <m:t>R</m:t>
            </m:r>
          </m:sub>
        </m:sSub>
      </m:oMath>
      <w:r>
        <w:t>(X) is contained in True.</w:t>
      </w:r>
    </w:p>
    <w:p w14:paraId="7EED57FD" w14:textId="77777777" w:rsidR="004C4F4A" w:rsidRDefault="00000000" w:rsidP="0061270E">
      <w:pPr>
        <w:jc w:val="both"/>
      </w:pPr>
      <w:r>
        <w:rPr>
          <w:i/>
        </w:rPr>
        <w:t xml:space="preserve">Proof. </w:t>
      </w:r>
      <w:r>
        <w:t>Every iterate stays inside True by induction, using precisely the stated truth-preservation assumption. The limit therefore stays inside True. The theorem cannot turn an incorrect learned rule or an incorrectly accepted measurement into a valid certificate.  □</w:t>
      </w:r>
    </w:p>
    <w:p w14:paraId="72559166" w14:textId="77777777" w:rsidR="004C4F4A" w:rsidRDefault="00000000" w:rsidP="0061270E">
      <w:pPr>
        <w:pStyle w:val="Heading2"/>
        <w:jc w:val="both"/>
      </w:pPr>
      <w:r>
        <w:t>5 3 An inhibitory circuit realisation</w:t>
      </w:r>
    </w:p>
    <w:p w14:paraId="57B7E612" w14:textId="77777777" w:rsidR="004C4F4A" w:rsidRDefault="00000000" w:rsidP="0061270E">
      <w:pPr>
        <w:keepNext/>
        <w:jc w:val="both"/>
      </w:pPr>
      <w:r>
        <w:rPr>
          <w:b/>
        </w:rPr>
        <w:t xml:space="preserve">Theorem 3 NOR gates with sequenced retained state realise the closure. </w:t>
      </w:r>
      <w:r>
        <w:t xml:space="preserve">For any finite positive rule system, each update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and its iterated closure can be realised by tonic-biased inhibitory NOR circuits together with a valid read-compute-commit protocol for retained Boolean state. The state register is not cleared during the completion episode.</w:t>
      </w:r>
    </w:p>
    <w:p w14:paraId="45022FA8" w14:textId="77777777" w:rsidR="004C4F4A" w:rsidRDefault="00000000" w:rsidP="0061270E">
      <w:pPr>
        <w:jc w:val="both"/>
      </w:pPr>
      <w:r>
        <w:rPr>
          <w:i/>
        </w:rPr>
        <w:t xml:space="preserve">Proof. </w:t>
      </w:r>
      <w:r>
        <w:t xml:space="preserve">For each rule, implement the conjunction of its body with Lemma 2. For each output coordinate, implement the disjunction of its old retained bit and all enabled rules having that head. This finite NOR circuit computes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exactly. Read an unchanged old register, allow the combinational circuit to settle, then commit its result to the next register. Repeating this protocol produces exactly the sequence of Theorem 2, which terminates at </w:t>
      </w:r>
      <m:oMath>
        <m:sSub>
          <m:sSubPr>
            <m:ctrlPr>
              <w:rPr>
                <w:rFonts w:ascii="Cambria Math" w:hAnsi="Cambria Math"/>
              </w:rPr>
            </m:ctrlPr>
          </m:sSubPr>
          <m:e>
            <m:r>
              <w:rPr>
                <w:rFonts w:ascii="Cambria Math" w:hAnsi="Cambria Math"/>
              </w:rPr>
              <m:t>C</m:t>
            </m:r>
          </m:e>
          <m:sub>
            <m:r>
              <w:rPr>
                <w:rFonts w:ascii="Cambria Math" w:hAnsi="Cambria Math"/>
              </w:rPr>
              <m:t>R</m:t>
            </m:r>
          </m:sub>
        </m:sSub>
      </m:oMath>
      <w:r>
        <w:t>(X). The proof is logical and assumes reliable thresholds, retention and sequencing. It does not prove stability for an arbitrary continuous-time inhibitory network.  □</w:t>
      </w:r>
    </w:p>
    <w:p w14:paraId="7FEB282E" w14:textId="77777777" w:rsidR="004C4F4A" w:rsidRDefault="00000000" w:rsidP="0061270E">
      <w:pPr>
        <w:jc w:val="both"/>
      </w:pPr>
      <w:r>
        <w:t>A register can be built from appropriately controlled NOR latch circuitry; merely cross-coupling two inverters is not a sufficient timing specification. For example, synchronous updates from an inconsistent pair of latch values can oscillate. The construction therefore states its sequencing requirement openly. A biological implementation might use temporally separated processes rather than a digital clock, but that possibility needs its own dynamical evidence.</w:t>
      </w:r>
    </w:p>
    <w:p w14:paraId="7B7158FB" w14:textId="77777777" w:rsidR="004C4F4A" w:rsidRDefault="00000000" w:rsidP="0061270E">
      <w:pPr>
        <w:jc w:val="both"/>
      </w:pPr>
      <w:r>
        <w:t>The mechanism is completion by retained consequence. Inhibition supplies the elementary transformations; disinhibition makes effective positive operations possible; retained state prevents an established consequence from disappearing before later rules use it. Omitting retention gives an ordinary filter or transient cascade. Omitting settling and sequencing can give races or oscillations. Inhibitory sign by itself supplies none of these missing conditions.</w:t>
      </w:r>
    </w:p>
    <w:p w14:paraId="466F8128" w14:textId="77777777" w:rsidR="004C4F4A" w:rsidRDefault="00000000" w:rsidP="0061270E">
      <w:pPr>
        <w:jc w:val="both"/>
      </w:pPr>
      <w:r>
        <w:t>These are standard closure and Boolean-circuit arguments specialised to the question posed here. Their value is to identify what an inhibitory explanation must contain. They do not establish a new general theorem of logic, an efficient biological implementation, or a reason to prefer NOR hardware over other implementations.</w:t>
      </w:r>
    </w:p>
    <w:p w14:paraId="3EBAABA1" w14:textId="77777777" w:rsidR="004C4F4A" w:rsidRDefault="00000000" w:rsidP="0061270E">
      <w:pPr>
        <w:pStyle w:val="Heading1"/>
        <w:jc w:val="both"/>
      </w:pPr>
      <w:r>
        <w:lastRenderedPageBreak/>
        <w:t>6 Suppression of candidates and closure of rejections</w:t>
      </w:r>
    </w:p>
    <w:p w14:paraId="1A572000" w14:textId="77777777" w:rsidR="004C4F4A" w:rsidRDefault="00000000" w:rsidP="0061270E">
      <w:pPr>
        <w:jc w:val="both"/>
      </w:pPr>
      <w:r>
        <w:t>If the represented state is a set of surviving actions, inhibition usually removes elements rather than adding them. Let Ω be a fixed candidate universe and let K be the subset permitted by the fixed context. The natural filter is I(A) = A ∩ K. It is an interior operator: contractive, monotone and idempotent. Calling it an extensive closure in the ordinary inclusion order would be incorrect.</w:t>
      </w:r>
    </w:p>
    <w:p w14:paraId="1B7351AE" w14:textId="77777777" w:rsidR="004C4F4A" w:rsidRDefault="00000000" w:rsidP="0061270E">
      <w:pPr>
        <w:keepNext/>
        <w:jc w:val="both"/>
      </w:pPr>
      <w:r>
        <w:rPr>
          <w:b/>
        </w:rPr>
        <w:t xml:space="preserve">Proposition 1 Complementary closure on rejected candidates. </w:t>
      </w:r>
      <w:r>
        <w:t xml:space="preserve">If I is any contractive, monotone and idempotent map on the power set of Ω, then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 xml:space="preserve">(R) = Ω ∖ I(Ω ∖ R) is extensive, monotone and idempotent on rejection sets R. For I(A) = A ∩ K,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(R) = R ∪ (Ω ∖ K).</w:t>
      </w:r>
    </w:p>
    <w:p w14:paraId="32114419" w14:textId="77777777" w:rsidR="004C4F4A" w:rsidRDefault="00000000" w:rsidP="0061270E">
      <w:pPr>
        <w:jc w:val="both"/>
      </w:pPr>
      <w:r>
        <w:rPr>
          <w:i/>
        </w:rPr>
        <w:t xml:space="preserve">Proof. </w:t>
      </w:r>
      <w:r>
        <w:t xml:space="preserve">Contractivity of I gives I(Ω ∖ R) ⊆ Ω ∖ R, so complementation gives R ⊆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 xml:space="preserve">(R). If R ⊆ R′, their complements reverse inclusion; monotonicity of I and a second complementation restore inclusion of the two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 xml:space="preserve"> outputs. Finally Ω ∖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 xml:space="preserve">(R) = I(Ω ∖ R); substitute this into </w:t>
      </w:r>
      <m:oMath>
        <m:sSub>
          <m:sSubPr>
            <m:ctrlPr>
              <w:rPr>
                <w:rFonts w:ascii="Cambria Math" w:hAnsi="Cambria Math"/>
              </w:rPr>
            </m:ctrlPr>
          </m:sSubPr>
          <m:e>
            <m:r>
              <w:rPr>
                <w:rFonts w:ascii="Cambria Math" w:hAnsi="Cambria Math"/>
              </w:rPr>
              <m:t>C</m:t>
            </m:r>
          </m:e>
          <m:sub>
            <m:r>
              <w:rPr>
                <w:rFonts w:ascii="Cambria Math" w:hAnsi="Cambria Math"/>
              </w:rPr>
              <m:t>rej</m:t>
            </m:r>
          </m:sub>
        </m:sSub>
      </m:oMath>
      <w:r>
        <w:t xml:space="preserve"> and use idempotence of I. The explicit formula follows from De Morgan’s law.  □</w:t>
      </w:r>
    </w:p>
    <w:p w14:paraId="5B6E3C49" w14:textId="77777777" w:rsidR="004C4F4A" w:rsidRDefault="00000000" w:rsidP="0061270E">
      <w:pPr>
        <w:jc w:val="both"/>
      </w:pPr>
      <w:r>
        <w:t>This duality gives a legitimate mathematical sense in which inhibition can close a rejection state while shrinking a survival state. It is a change of represented variable, not evidence that suppression has acquired information by itself. Likewise, Theorem 2 concerns a general order closure, not necessarily a topological closure. A rule {a,b} ⇒ c can make C({a,b}) larger than C({a}) ∪ C({b}), violating finite-union preservation. We therefore make no Kuratowski-topology claim.</w:t>
      </w:r>
    </w:p>
    <w:p w14:paraId="2F0BA81E" w14:textId="77777777" w:rsidR="004C4F4A" w:rsidRDefault="00000000" w:rsidP="0061270E">
      <w:pPr>
        <w:pStyle w:val="Heading1"/>
        <w:jc w:val="both"/>
      </w:pPr>
      <w:r>
        <w:t>7 What carries over from Closure Diffusion</w:t>
      </w:r>
    </w:p>
    <w:p w14:paraId="6D3D5A71" w14:textId="77777777" w:rsidR="004C4F4A" w:rsidRDefault="00000000" w:rsidP="0061270E">
      <w:pPr>
        <w:pStyle w:val="Heading2"/>
        <w:jc w:val="both"/>
      </w:pPr>
      <w:r>
        <w:t>7 1 Inhibitory penalties can represent posterior competition</w:t>
      </w:r>
    </w:p>
    <w:p w14:paraId="65C38F32" w14:textId="77777777" w:rsidR="004C4F4A" w:rsidRDefault="00000000" w:rsidP="0061270E">
      <w:pPr>
        <w:jc w:val="both"/>
      </w:pPr>
      <w:r>
        <w:t xml:space="preserve">For fixed keys </w:t>
      </w:r>
      <m:oMath>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oMath>
      <w:r>
        <w:t xml:space="preserve"> values </w:t>
      </w:r>
      <m:oMath>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oMath>
      <w:r>
        <w:t xml:space="preserve"> positive normalised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and noise σ &gt; 0, Closure Diffusion evaluates a Gaussian posterior mean using its captured bank [1]. Its responsibilities and a corresponding inhibitory penalty can be written as follows.</w:t>
      </w:r>
    </w:p>
    <w:p w14:paraId="1A594B9B" w14:textId="77777777" w:rsidR="004C4F4A" w:rsidRDefault="00000000" w:rsidP="0061270E">
      <w:pPr>
        <w:jc w:val="both"/>
      </w:pPr>
      <m:oMathPara>
        <m:oMath>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 xml:space="preserve">(z) = </m:t>
          </m:r>
          <m:f>
            <m:fPr>
              <m:ctrlPr>
                <w:rPr>
                  <w:rFonts w:ascii="Cambria Math" w:hAnsi="Cambria Math"/>
                </w:rPr>
              </m:ctrlPr>
            </m:fPr>
            <m:num>
              <m:sSup>
                <m:sSupPr>
                  <m:ctrlPr>
                    <w:rPr>
                      <w:rFonts w:ascii="Cambria Math" w:hAnsi="Cambria Math"/>
                    </w:rPr>
                  </m:ctrlPr>
                </m:sSupPr>
                <m:e>
                  <m:r>
                    <w:rPr>
                      <w:rFonts w:ascii="Cambria Math" w:hAnsi="Cambria Math"/>
                    </w:rPr>
                    <m:t>‖z-</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r>
            <w:rPr>
              <w:rFonts w:ascii="Cambria Math" w:hAnsi="Cambria Math"/>
            </w:rPr>
            <m:t xml:space="preserve">-log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m:t>
          </m:r>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xml:space="preserve">(z)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(z))</m:t>
              </m:r>
            </m:num>
            <m:den>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exp(-</m:t>
              </m:r>
              <m:sSub>
                <m:sSubPr>
                  <m:ctrlPr>
                    <w:rPr>
                      <w:rFonts w:ascii="Cambria Math" w:hAnsi="Cambria Math"/>
                    </w:rPr>
                  </m:ctrlPr>
                </m:sSubPr>
                <m:e>
                  <m:r>
                    <w:rPr>
                      <w:rFonts w:ascii="Cambria Math" w:hAnsi="Cambria Math"/>
                    </w:rPr>
                    <m:t>I</m:t>
                  </m:r>
                </m:e>
                <m:sub>
                  <m:r>
                    <w:rPr>
                      <w:rFonts w:ascii="Cambria Math" w:hAnsi="Cambria Math"/>
                    </w:rPr>
                    <m:t>k</m:t>
                  </m:r>
                </m:sub>
              </m:sSub>
              <m:r>
                <w:rPr>
                  <w:rFonts w:ascii="Cambria Math" w:hAnsi="Cambria Math"/>
                </w:rPr>
                <m:t>(z))</m:t>
              </m:r>
            </m:den>
          </m:f>
        </m:oMath>
      </m:oMathPara>
    </w:p>
    <w:p w14:paraId="6EB635FF" w14:textId="77777777" w:rsidR="004C4F4A" w:rsidRDefault="00000000" w:rsidP="0061270E">
      <w:pPr>
        <w:jc w:val="both"/>
      </w:pPr>
      <m:oMathPara>
        <m:oMath>
          <m:sSub>
            <m:sSubPr>
              <m:ctrlPr>
                <w:rPr>
                  <w:rFonts w:ascii="Cambria Math" w:hAnsi="Cambria Math"/>
                </w:rPr>
              </m:ctrlPr>
            </m:sSubPr>
            <m:e>
              <m:r>
                <w:rPr>
                  <w:rFonts w:ascii="Cambria Math" w:hAnsi="Cambria Math"/>
                </w:rPr>
                <m:t>D</m:t>
              </m:r>
            </m:e>
            <m:sub>
              <m:r>
                <w:rPr>
                  <w:rFonts w:ascii="Cambria Math" w:hAnsi="Cambria Math"/>
                </w:rPr>
                <m:t>σ</m:t>
              </m:r>
            </m:sub>
          </m:sSub>
          <m:r>
            <w:rPr>
              <w:rFonts w:ascii="Cambria Math" w:hAnsi="Cambria Math"/>
            </w:rPr>
            <m:t xml:space="preserve">(z) = </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xml:space="preserve">(z) </m:t>
          </m:r>
          <m:sSub>
            <m:sSubPr>
              <m:ctrlPr>
                <w:rPr>
                  <w:rFonts w:ascii="Cambria Math" w:hAnsi="Cambria Math"/>
                </w:rPr>
              </m:ctrlPr>
            </m:sSubPr>
            <m:e>
              <m:r>
                <w:rPr>
                  <w:rFonts w:ascii="Cambria Math" w:hAnsi="Cambria Math"/>
                </w:rPr>
                <m:t>κ</m:t>
              </m:r>
            </m:e>
            <m:sub>
              <m:r>
                <w:rPr>
                  <w:rFonts w:ascii="Cambria Math" w:hAnsi="Cambria Math"/>
                </w:rPr>
                <m:t>j</m:t>
              </m:r>
            </m:sub>
          </m:sSub>
          <m:r>
            <w:rPr>
              <w:rFonts w:ascii="Cambria Math" w:hAnsi="Cambria Math"/>
            </w:rPr>
            <m:t xml:space="preserve">,     V(z) = </m:t>
          </m:r>
          <m:sSub>
            <m:sSubPr>
              <m:ctrlPr>
                <w:rPr>
                  <w:rFonts w:ascii="Cambria Math" w:hAnsi="Cambria Math"/>
                </w:rPr>
              </m:ctrlPr>
            </m:sSubPr>
            <m:e>
              <m: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 xml:space="preserve">(z) </m:t>
          </m:r>
          <m:sSub>
            <m:sSubPr>
              <m:ctrlPr>
                <w:rPr>
                  <w:rFonts w:ascii="Cambria Math" w:hAnsi="Cambria Math"/>
                </w:rPr>
              </m:ctrlPr>
            </m:sSubPr>
            <m:e>
              <m:r>
                <w:rPr>
                  <w:rFonts w:ascii="Cambria Math" w:hAnsi="Cambria Math"/>
                </w:rPr>
                <m:t>v</m:t>
              </m:r>
            </m:e>
            <m:sub>
              <m:r>
                <w:rPr>
                  <w:rFonts w:ascii="Cambria Math" w:hAnsi="Cambria Math"/>
                </w:rPr>
                <m:t>j</m:t>
              </m:r>
            </m:sub>
          </m:sSub>
        </m:oMath>
      </m:oMathPara>
    </w:p>
    <w:p w14:paraId="5F427CC8" w14:textId="77777777" w:rsidR="004C4F4A" w:rsidRDefault="00000000" w:rsidP="0061270E">
      <w:pPr>
        <w:keepNext/>
        <w:jc w:val="both"/>
      </w:pPr>
      <w:r>
        <w:rPr>
          <w:b/>
        </w:rPr>
        <w:t xml:space="preserve">Proposition 2 Posterior retrieval admits a suppression representation. </w:t>
      </w:r>
      <w:r>
        <w:t xml:space="preserve">The displayed responsibilities equal the Gaussian-kernel responsibilities in [1]. Each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is nonnegative when the weights are normalised, and increasing one penalty while holding all others fixed reduces its responsibility for a bank of at least two positive-weight entries.</w:t>
      </w:r>
    </w:p>
    <w:p w14:paraId="14B9FC52" w14:textId="77777777" w:rsidR="004C4F4A" w:rsidRDefault="00000000" w:rsidP="0061270E">
      <w:pPr>
        <w:jc w:val="both"/>
      </w:pPr>
      <w:r>
        <w:rPr>
          <w:i/>
        </w:rPr>
        <w:t xml:space="preserve">Proof. </w:t>
      </w:r>
      <w:r>
        <w:t xml:space="preserve">Normalised positive weights are at most one, so both terms in </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are nonnegative. Substituting exp(−</w:t>
      </w:r>
      <m:oMath>
        <m:sSub>
          <m:sSubPr>
            <m:ctrlPr>
              <w:rPr>
                <w:rFonts w:ascii="Cambria Math" w:hAnsi="Cambria Math"/>
              </w:rPr>
            </m:ctrlPr>
          </m:sSubPr>
          <m:e>
            <m:r>
              <w:rPr>
                <w:rFonts w:ascii="Cambria Math" w:hAnsi="Cambria Math"/>
              </w:rPr>
              <m:t>I</m:t>
            </m:r>
          </m:e>
          <m:sub>
            <m:r>
              <w:rPr>
                <w:rFonts w:ascii="Cambria Math" w:hAnsi="Cambria Math"/>
              </w:rPr>
              <m:t>j</m:t>
            </m:r>
          </m:sub>
        </m:sSub>
      </m:oMath>
      <w:r>
        <w:t xml:space="preserve">) =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exp(−‖z−</w:t>
      </w:r>
      <m:oMath>
        <m:sSub>
          <m:sSubPr>
            <m:ctrlPr>
              <w:rPr>
                <w:rFonts w:ascii="Cambria Math" w:hAnsi="Cambria Math"/>
              </w:rPr>
            </m:ctrlPr>
          </m:sSubPr>
          <m:e>
            <m:r>
              <w:rPr>
                <w:rFonts w:ascii="Cambria Math" w:hAnsi="Cambria Math"/>
              </w:rPr>
              <m:t>κ</m:t>
            </m:r>
          </m:e>
          <m:sub>
            <m:r>
              <w:rPr>
                <w:rFonts w:ascii="Cambria Math" w:hAnsi="Cambria Math"/>
              </w:rPr>
              <m:t>j</m:t>
            </m:r>
          </m:sub>
        </m:sSub>
      </m:oMath>
      <w:r>
        <w:t>‖²/(2σ²)) gives the posterior formula. Differentiating the normalised weight with respect to its own independent penalty gives −</w:t>
      </w:r>
      <m:oMath>
        <m:sSub>
          <m:sSubPr>
            <m:ctrlPr>
              <w:rPr>
                <w:rFonts w:ascii="Cambria Math" w:hAnsi="Cambria Math"/>
              </w:rPr>
            </m:ctrlPr>
          </m:sSubPr>
          <m:e>
            <m:r>
              <w:rPr>
                <w:rFonts w:ascii="Cambria Math" w:hAnsi="Cambria Math"/>
              </w:rPr>
              <m:t>ρ</m:t>
            </m:r>
          </m:e>
          <m:sub>
            <m:r>
              <w:rPr>
                <w:rFonts w:ascii="Cambria Math" w:hAnsi="Cambria Math"/>
              </w:rPr>
              <m:t>j</m:t>
            </m:r>
          </m:sub>
        </m:sSub>
      </m:oMath>
      <w:r>
        <w:t>(1−</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which is strictly negative when 0 &lt; </w:t>
      </w:r>
      <m:oMath>
        <m:sSub>
          <m:sSubPr>
            <m:ctrlPr>
              <w:rPr>
                <w:rFonts w:ascii="Cambria Math" w:hAnsi="Cambria Math"/>
              </w:rPr>
            </m:ctrlPr>
          </m:sSubPr>
          <m:e>
            <m:r>
              <w:rPr>
                <w:rFonts w:ascii="Cambria Math" w:hAnsi="Cambria Math"/>
              </w:rPr>
              <m:t>ρ</m:t>
            </m:r>
          </m:e>
          <m:sub>
            <m:r>
              <w:rPr>
                <w:rFonts w:ascii="Cambria Math" w:hAnsi="Cambria Math"/>
              </w:rPr>
              <m:t>j</m:t>
            </m:r>
          </m:sub>
        </m:sSub>
      </m:oMath>
      <w:r>
        <w:t xml:space="preserve"> &lt; 1. Simultaneous changes induced by moving z need not decrease that responsibility.  □</w:t>
      </w:r>
    </w:p>
    <w:p w14:paraId="3E118C56" w14:textId="77777777" w:rsidR="004C4F4A" w:rsidRDefault="00000000" w:rsidP="0061270E">
      <w:pPr>
        <w:jc w:val="both"/>
      </w:pPr>
      <w:r>
        <w:t>This is an algebraic representation of competition by suppression. Computing distance, an exponential response, a denominator and a value readout requires more than a bare inhibitory synapse. We do not claim that the cerebellum computes this exact softmax or that a single inhibitory pool supplies the required normalisation. Modern Hopfield retrieval provides a related softmax association model [7], which also does not by itself establish an order closure.</w:t>
      </w:r>
    </w:p>
    <w:p w14:paraId="4241A213" w14:textId="77777777" w:rsidR="004C4F4A" w:rsidRDefault="00000000" w:rsidP="0061270E">
      <w:pPr>
        <w:jc w:val="both"/>
      </w:pPr>
      <w:r>
        <w:lastRenderedPageBreak/>
        <w:t>The inner and outer environments of [1] can be represented by separate bound banks. The mixture’s posterior source probability is not a safety certificate. Nor must it be a hard winner at low noise when the banks share support. The physical value mean may average incompatible designs, so an individual witness still requires context-specific validation before consequential use. These distinctions are preserved when the bank is interpreted as a neural analogy.</w:t>
      </w:r>
    </w:p>
    <w:p w14:paraId="6AF37CC8" w14:textId="77777777" w:rsidR="004C4F4A" w:rsidRDefault="00000000" w:rsidP="0061270E">
      <w:pPr>
        <w:pStyle w:val="Heading2"/>
        <w:jc w:val="both"/>
      </w:pPr>
      <w:r>
        <w:t>7 2 A denoiser is generally not an idempotent closure</w:t>
      </w:r>
    </w:p>
    <w:p w14:paraId="1A06E23F" w14:textId="77777777" w:rsidR="004C4F4A" w:rsidRDefault="00000000" w:rsidP="0061270E">
      <w:pPr>
        <w:keepNext/>
        <w:jc w:val="both"/>
      </w:pPr>
      <w:r>
        <w:rPr>
          <w:b/>
        </w:rPr>
        <w:t xml:space="preserve">Proposition 3 Gaussian posterior denoising does not generally satisfy order closure. </w:t>
      </w:r>
      <w:r>
        <w:t>For equal-weight scalar keys −1 and +1 and σ = 1, the posterior mean is D(z) = tanh(z). This map is neither extensive on the real line with its usual order nor idempotent.</w:t>
      </w:r>
    </w:p>
    <w:p w14:paraId="1522396C" w14:textId="77777777" w:rsidR="004C4F4A" w:rsidRDefault="00000000" w:rsidP="0061270E">
      <w:pPr>
        <w:jc w:val="both"/>
      </w:pPr>
      <w:r>
        <w:rPr>
          <w:i/>
        </w:rPr>
        <w:t xml:space="preserve">Proof. </w:t>
      </w:r>
      <w:r>
        <w:t>The posterior probability difference of the two keys is (exp(z)−exp(−z))/(exp(z)+exp(−z)), giving tanh(z). At z = 2, tanh(2) &lt; 2, violating extensiveness. For z &gt; 0, 0 &lt; tanh(z) &lt; z and strict increase implies tanh(tanh(z)) &lt; tanh(z), violating idempotence. Thus exact posterior evaluation and captured environments do not imply the closure axioms.  □</w:t>
      </w:r>
    </w:p>
    <w:p w14:paraId="5D018FFE" w14:textId="77777777" w:rsidR="004C4F4A" w:rsidRDefault="00000000" w:rsidP="0061270E">
      <w:pPr>
        <w:jc w:val="both"/>
      </w:pPr>
      <w:r>
        <w:t>Nearest-key readout gives a different object. For distinct keys and fixed tie-breaking, the map P(z) returning the nearest key satisfies P(P(z)) = P(z), because every key is nearest to itself. That makes it a retraction onto the key set. Idempotence alone does not make it an order closure: extensiveness and an appropriate monotone order are still missing. Converging to an attractor, sampling a witness, and completing a consequence set are three distinct computational operations.</w:t>
      </w:r>
    </w:p>
    <w:p w14:paraId="1FFDE01D" w14:textId="77777777" w:rsidR="004C4F4A" w:rsidRDefault="00000000" w:rsidP="0061270E">
      <w:pPr>
        <w:pStyle w:val="Heading2"/>
        <w:jc w:val="both"/>
      </w:pPr>
      <w:r>
        <w:t>7 3 Context change requires explicit invalidation</w:t>
      </w:r>
    </w:p>
    <w:p w14:paraId="698B6E08" w14:textId="77777777" w:rsidR="004C4F4A" w:rsidRDefault="00000000" w:rsidP="0061270E">
      <w:pPr>
        <w:keepNext/>
        <w:jc w:val="both"/>
      </w:pPr>
      <w:r>
        <w:rPr>
          <w:b/>
        </w:rPr>
        <w:t xml:space="preserve">Proposition 4 Retaining every old fact can preserve an invalid permission. </w:t>
      </w:r>
      <w:r>
        <w:t xml:space="preserve">Let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consist of the single rule a ⇒ permit and let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be empty. Closing {a} under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yields {a,permit}. Any extensive operator started from that full old state retains permit, while closing the fresh evidence {a} under </w:t>
      </w:r>
      <m:oMath>
        <m:sSub>
          <m:sSubPr>
            <m:ctrlPr>
              <w:rPr>
                <w:rFonts w:ascii="Cambria Math" w:hAnsi="Cambria Math"/>
              </w:rPr>
            </m:ctrlPr>
          </m:sSubPr>
          <m:e>
            <m:r>
              <w:rPr>
                <w:rFonts w:ascii="Cambria Math" w:hAnsi="Cambria Math"/>
              </w:rPr>
              <m:t>R</m:t>
            </m:r>
          </m:e>
          <m:sub>
            <m:r>
              <w:rPr>
                <w:rFonts w:ascii="Cambria Math" w:hAnsi="Cambria Math"/>
              </w:rPr>
              <m:t>B</m:t>
            </m:r>
          </m:sub>
        </m:sSub>
      </m:oMath>
      <w:r>
        <w:t xml:space="preserve"> does not add it.</w:t>
      </w:r>
    </w:p>
    <w:p w14:paraId="25091D46" w14:textId="77777777" w:rsidR="004C4F4A" w:rsidRDefault="00000000" w:rsidP="0061270E">
      <w:pPr>
        <w:jc w:val="both"/>
      </w:pPr>
      <w:r>
        <w:rPr>
          <w:i/>
        </w:rPr>
        <w:t xml:space="preserve">Proof. </w:t>
      </w:r>
      <w:r>
        <w:t xml:space="preserve">The first statement is immediate from the enabled rule. Extensiveness prevents removal of an element already present in the starting set. With fresh evidence and an empty </w:t>
      </w:r>
      <m:oMath>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m:t>
        </m:r>
      </m:oMath>
      <w:r>
        <w:t xml:space="preserve"> the fixed point is {a}. Hence a changed context cannot in general be handled by monotonically accumulating all previous conclusions without invalidation.  □</w:t>
      </w:r>
    </w:p>
    <w:p w14:paraId="69B4BD46" w14:textId="77777777" w:rsidR="004C4F4A" w:rsidRDefault="00000000" w:rsidP="0061270E">
      <w:pPr>
        <w:jc w:val="both"/>
      </w:pPr>
      <w:r>
        <w:t>A hard reset is one solution, but it is not the only one. Version-tagged facts, dependency tracking, withdrawal of invalid supports or separate context-specific registers can prevent an old permission from being used in a new environment. The closure theorem remains valid within each frozen episode; revision between episodes is a different operator. This is the mathematical role of binding the task context and rule version rather than treating old conclusions as unqualified facts.</w:t>
      </w:r>
    </w:p>
    <w:p w14:paraId="55CE2522" w14:textId="77777777" w:rsidR="004C4F4A" w:rsidRDefault="00000000" w:rsidP="0061270E">
      <w:pPr>
        <w:pStyle w:val="Heading1"/>
        <w:jc w:val="both"/>
      </w:pPr>
      <w:r>
        <w:t>8 Executed finite checks</w:t>
      </w:r>
    </w:p>
    <w:p w14:paraId="6073691C" w14:textId="77777777" w:rsidR="004C4F4A" w:rsidRDefault="00000000" w:rsidP="0061270E">
      <w:pPr>
        <w:jc w:val="both"/>
      </w:pPr>
      <w:r>
        <w:t>We executed a deterministic reference check of an eight-predicate construction. The predicates are abstract Boolean variables a through h, with rules {a,b} ⇒ d, {b,c} ⇒ e, {d,e} ⇒ f, {f} ⇒ g and {g,c} ⇒ h. They are not identified with particular neurons, clinical signs or engineering certifications. Each update is evaluated twice: once through NOR primitives and once by direct positive-rule evaluation.</w:t>
      </w:r>
    </w:p>
    <w:p w14:paraId="46943641" w14:textId="77777777" w:rsidR="004C4F4A" w:rsidRDefault="00000000" w:rsidP="0061270E">
      <w:pPr>
        <w:pStyle w:val="Caption"/>
        <w:keepNext/>
        <w:jc w:val="both"/>
      </w:pPr>
      <w:r>
        <w:t>Table 2  Exhaustive checks of the declared eight predicate model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2304"/>
        <w:gridCol w:w="2304"/>
      </w:tblGrid>
      <w:tr w:rsidR="004C4F4A" w14:paraId="18E36B21" w14:textId="77777777">
        <w:trPr>
          <w:cantSplit/>
          <w:tblHeader/>
          <w:jc w:val="center"/>
        </w:trPr>
        <w:tc>
          <w:tcPr>
            <w:tcW w:w="5040" w:type="dxa"/>
            <w:shd w:val="clear" w:color="auto" w:fill="DCE6EF"/>
            <w:tcMar>
              <w:top w:w="90" w:type="dxa"/>
              <w:left w:w="90" w:type="dxa"/>
              <w:bottom w:w="90" w:type="dxa"/>
              <w:right w:w="90" w:type="dxa"/>
            </w:tcMar>
            <w:vAlign w:val="center"/>
          </w:tcPr>
          <w:p w14:paraId="3EF248B6" w14:textId="77777777" w:rsidR="004C4F4A" w:rsidRDefault="00000000" w:rsidP="0061270E">
            <w:pPr>
              <w:spacing w:before="60" w:after="60"/>
              <w:jc w:val="both"/>
            </w:pPr>
            <w:r>
              <w:rPr>
                <w:b/>
                <w:sz w:val="19"/>
              </w:rPr>
              <w:t>Property</w:t>
            </w:r>
          </w:p>
        </w:tc>
        <w:tc>
          <w:tcPr>
            <w:tcW w:w="2304" w:type="dxa"/>
            <w:shd w:val="clear" w:color="auto" w:fill="DCE6EF"/>
            <w:tcMar>
              <w:top w:w="90" w:type="dxa"/>
              <w:left w:w="90" w:type="dxa"/>
              <w:bottom w:w="90" w:type="dxa"/>
              <w:right w:w="90" w:type="dxa"/>
            </w:tcMar>
            <w:vAlign w:val="center"/>
          </w:tcPr>
          <w:p w14:paraId="6FDC3393" w14:textId="77777777" w:rsidR="004C4F4A" w:rsidRDefault="00000000" w:rsidP="0061270E">
            <w:pPr>
              <w:spacing w:before="60" w:after="60"/>
              <w:jc w:val="both"/>
            </w:pPr>
            <w:r>
              <w:rPr>
                <w:b/>
                <w:sz w:val="19"/>
              </w:rPr>
              <w:t>Cases checked</w:t>
            </w:r>
          </w:p>
        </w:tc>
        <w:tc>
          <w:tcPr>
            <w:tcW w:w="2304" w:type="dxa"/>
            <w:shd w:val="clear" w:color="auto" w:fill="DCE6EF"/>
            <w:tcMar>
              <w:top w:w="90" w:type="dxa"/>
              <w:left w:w="90" w:type="dxa"/>
              <w:bottom w:w="90" w:type="dxa"/>
              <w:right w:w="90" w:type="dxa"/>
            </w:tcMar>
            <w:vAlign w:val="center"/>
          </w:tcPr>
          <w:p w14:paraId="6DB376DA" w14:textId="77777777" w:rsidR="004C4F4A" w:rsidRDefault="00000000" w:rsidP="0061270E">
            <w:pPr>
              <w:spacing w:before="60" w:after="60"/>
              <w:jc w:val="both"/>
            </w:pPr>
            <w:r>
              <w:rPr>
                <w:b/>
                <w:sz w:val="19"/>
              </w:rPr>
              <w:t>Result</w:t>
            </w:r>
          </w:p>
        </w:tc>
      </w:tr>
      <w:tr w:rsidR="004C4F4A" w14:paraId="7B97F419" w14:textId="77777777">
        <w:trPr>
          <w:cantSplit/>
          <w:jc w:val="center"/>
        </w:trPr>
        <w:tc>
          <w:tcPr>
            <w:tcW w:w="5040" w:type="dxa"/>
            <w:shd w:val="clear" w:color="auto" w:fill="F5F7F9"/>
            <w:tcMar>
              <w:top w:w="90" w:type="dxa"/>
              <w:left w:w="90" w:type="dxa"/>
              <w:bottom w:w="90" w:type="dxa"/>
              <w:right w:w="90" w:type="dxa"/>
            </w:tcMar>
            <w:vAlign w:val="center"/>
          </w:tcPr>
          <w:p w14:paraId="6791940C" w14:textId="77777777" w:rsidR="004C4F4A" w:rsidRDefault="00000000" w:rsidP="0061270E">
            <w:pPr>
              <w:spacing w:before="60" w:after="60"/>
              <w:jc w:val="both"/>
            </w:pPr>
            <w:r>
              <w:rPr>
                <w:sz w:val="19"/>
              </w:rPr>
              <w:lastRenderedPageBreak/>
              <w:t>NOR update equals direct rule update</w:t>
            </w:r>
          </w:p>
        </w:tc>
        <w:tc>
          <w:tcPr>
            <w:tcW w:w="2304" w:type="dxa"/>
            <w:shd w:val="clear" w:color="auto" w:fill="F5F7F9"/>
            <w:tcMar>
              <w:top w:w="90" w:type="dxa"/>
              <w:left w:w="90" w:type="dxa"/>
              <w:bottom w:w="90" w:type="dxa"/>
              <w:right w:w="90" w:type="dxa"/>
            </w:tcMar>
            <w:vAlign w:val="center"/>
          </w:tcPr>
          <w:p w14:paraId="56E98000" w14:textId="77777777" w:rsidR="004C4F4A" w:rsidRDefault="00000000" w:rsidP="0061270E">
            <w:pPr>
              <w:spacing w:before="60" w:after="60"/>
              <w:jc w:val="both"/>
            </w:pPr>
            <w:r>
              <w:rPr>
                <w:sz w:val="19"/>
              </w:rPr>
              <w:t>256 seed states</w:t>
            </w:r>
          </w:p>
        </w:tc>
        <w:tc>
          <w:tcPr>
            <w:tcW w:w="2304" w:type="dxa"/>
            <w:shd w:val="clear" w:color="auto" w:fill="F5F7F9"/>
            <w:tcMar>
              <w:top w:w="90" w:type="dxa"/>
              <w:left w:w="90" w:type="dxa"/>
              <w:bottom w:w="90" w:type="dxa"/>
              <w:right w:w="90" w:type="dxa"/>
            </w:tcMar>
            <w:vAlign w:val="center"/>
          </w:tcPr>
          <w:p w14:paraId="56E07290" w14:textId="77777777" w:rsidR="004C4F4A" w:rsidRDefault="00000000" w:rsidP="0061270E">
            <w:pPr>
              <w:spacing w:before="60" w:after="60"/>
              <w:jc w:val="both"/>
            </w:pPr>
            <w:r>
              <w:rPr>
                <w:sz w:val="19"/>
              </w:rPr>
              <w:t>256 agreements</w:t>
            </w:r>
          </w:p>
        </w:tc>
      </w:tr>
      <w:tr w:rsidR="004C4F4A" w14:paraId="7643AE10" w14:textId="77777777">
        <w:trPr>
          <w:cantSplit/>
          <w:jc w:val="center"/>
        </w:trPr>
        <w:tc>
          <w:tcPr>
            <w:tcW w:w="5040" w:type="dxa"/>
            <w:shd w:val="clear" w:color="auto" w:fill="FFFFFF"/>
            <w:tcMar>
              <w:top w:w="90" w:type="dxa"/>
              <w:left w:w="90" w:type="dxa"/>
              <w:bottom w:w="90" w:type="dxa"/>
              <w:right w:w="90" w:type="dxa"/>
            </w:tcMar>
            <w:vAlign w:val="center"/>
          </w:tcPr>
          <w:p w14:paraId="0F7C519B" w14:textId="77777777" w:rsidR="004C4F4A" w:rsidRDefault="00000000" w:rsidP="0061270E">
            <w:pPr>
              <w:spacing w:before="60" w:after="60"/>
              <w:jc w:val="both"/>
            </w:pPr>
            <w:r>
              <w:rPr>
                <w:sz w:val="19"/>
              </w:rPr>
              <w:t>Seed is contained in its closure</w:t>
            </w:r>
          </w:p>
        </w:tc>
        <w:tc>
          <w:tcPr>
            <w:tcW w:w="2304" w:type="dxa"/>
            <w:shd w:val="clear" w:color="auto" w:fill="FFFFFF"/>
            <w:tcMar>
              <w:top w:w="90" w:type="dxa"/>
              <w:left w:w="90" w:type="dxa"/>
              <w:bottom w:w="90" w:type="dxa"/>
              <w:right w:w="90" w:type="dxa"/>
            </w:tcMar>
            <w:vAlign w:val="center"/>
          </w:tcPr>
          <w:p w14:paraId="2F5357CA" w14:textId="77777777" w:rsidR="004C4F4A" w:rsidRDefault="00000000" w:rsidP="0061270E">
            <w:pPr>
              <w:spacing w:before="60" w:after="60"/>
              <w:jc w:val="both"/>
            </w:pPr>
            <w:r>
              <w:rPr>
                <w:sz w:val="19"/>
              </w:rPr>
              <w:t>256 seed states</w:t>
            </w:r>
          </w:p>
        </w:tc>
        <w:tc>
          <w:tcPr>
            <w:tcW w:w="2304" w:type="dxa"/>
            <w:shd w:val="clear" w:color="auto" w:fill="FFFFFF"/>
            <w:tcMar>
              <w:top w:w="90" w:type="dxa"/>
              <w:left w:w="90" w:type="dxa"/>
              <w:bottom w:w="90" w:type="dxa"/>
              <w:right w:w="90" w:type="dxa"/>
            </w:tcMar>
            <w:vAlign w:val="center"/>
          </w:tcPr>
          <w:p w14:paraId="2B5BA7DE" w14:textId="77777777" w:rsidR="004C4F4A" w:rsidRDefault="00000000" w:rsidP="0061270E">
            <w:pPr>
              <w:spacing w:before="60" w:after="60"/>
              <w:jc w:val="both"/>
            </w:pPr>
            <w:r>
              <w:rPr>
                <w:sz w:val="19"/>
              </w:rPr>
              <w:t>256 passes</w:t>
            </w:r>
          </w:p>
        </w:tc>
      </w:tr>
      <w:tr w:rsidR="004C4F4A" w14:paraId="1FE92FB3" w14:textId="77777777">
        <w:trPr>
          <w:cantSplit/>
          <w:jc w:val="center"/>
        </w:trPr>
        <w:tc>
          <w:tcPr>
            <w:tcW w:w="5040" w:type="dxa"/>
            <w:shd w:val="clear" w:color="auto" w:fill="F5F7F9"/>
            <w:tcMar>
              <w:top w:w="90" w:type="dxa"/>
              <w:left w:w="90" w:type="dxa"/>
              <w:bottom w:w="90" w:type="dxa"/>
              <w:right w:w="90" w:type="dxa"/>
            </w:tcMar>
            <w:vAlign w:val="center"/>
          </w:tcPr>
          <w:p w14:paraId="1D79816B" w14:textId="77777777" w:rsidR="004C4F4A" w:rsidRDefault="00000000" w:rsidP="0061270E">
            <w:pPr>
              <w:spacing w:before="60" w:after="60"/>
              <w:jc w:val="both"/>
            </w:pPr>
            <w:r>
              <w:rPr>
                <w:sz w:val="19"/>
              </w:rPr>
              <w:t>Closing a closed state changes nothing</w:t>
            </w:r>
          </w:p>
        </w:tc>
        <w:tc>
          <w:tcPr>
            <w:tcW w:w="2304" w:type="dxa"/>
            <w:shd w:val="clear" w:color="auto" w:fill="F5F7F9"/>
            <w:tcMar>
              <w:top w:w="90" w:type="dxa"/>
              <w:left w:w="90" w:type="dxa"/>
              <w:bottom w:w="90" w:type="dxa"/>
              <w:right w:w="90" w:type="dxa"/>
            </w:tcMar>
            <w:vAlign w:val="center"/>
          </w:tcPr>
          <w:p w14:paraId="5966A509" w14:textId="77777777" w:rsidR="004C4F4A" w:rsidRDefault="00000000" w:rsidP="0061270E">
            <w:pPr>
              <w:spacing w:before="60" w:after="60"/>
              <w:jc w:val="both"/>
            </w:pPr>
            <w:r>
              <w:rPr>
                <w:sz w:val="19"/>
              </w:rPr>
              <w:t>256 closed outputs</w:t>
            </w:r>
          </w:p>
        </w:tc>
        <w:tc>
          <w:tcPr>
            <w:tcW w:w="2304" w:type="dxa"/>
            <w:shd w:val="clear" w:color="auto" w:fill="F5F7F9"/>
            <w:tcMar>
              <w:top w:w="90" w:type="dxa"/>
              <w:left w:w="90" w:type="dxa"/>
              <w:bottom w:w="90" w:type="dxa"/>
              <w:right w:w="90" w:type="dxa"/>
            </w:tcMar>
            <w:vAlign w:val="center"/>
          </w:tcPr>
          <w:p w14:paraId="51D628D4" w14:textId="77777777" w:rsidR="004C4F4A" w:rsidRDefault="00000000" w:rsidP="0061270E">
            <w:pPr>
              <w:spacing w:before="60" w:after="60"/>
              <w:jc w:val="both"/>
            </w:pPr>
            <w:r>
              <w:rPr>
                <w:sz w:val="19"/>
              </w:rPr>
              <w:t>256 passes</w:t>
            </w:r>
          </w:p>
        </w:tc>
      </w:tr>
      <w:tr w:rsidR="004C4F4A" w14:paraId="5B526A08" w14:textId="77777777">
        <w:trPr>
          <w:cantSplit/>
          <w:jc w:val="center"/>
        </w:trPr>
        <w:tc>
          <w:tcPr>
            <w:tcW w:w="5040" w:type="dxa"/>
            <w:shd w:val="clear" w:color="auto" w:fill="FFFFFF"/>
            <w:tcMar>
              <w:top w:w="90" w:type="dxa"/>
              <w:left w:w="90" w:type="dxa"/>
              <w:bottom w:w="90" w:type="dxa"/>
              <w:right w:w="90" w:type="dxa"/>
            </w:tcMar>
            <w:vAlign w:val="center"/>
          </w:tcPr>
          <w:p w14:paraId="4FD7A1F8" w14:textId="77777777" w:rsidR="004C4F4A" w:rsidRDefault="00000000" w:rsidP="0061270E">
            <w:pPr>
              <w:spacing w:before="60" w:after="60"/>
              <w:jc w:val="both"/>
            </w:pPr>
            <w:r>
              <w:rPr>
                <w:sz w:val="19"/>
              </w:rPr>
              <w:t>Monotonicity on comparable seeds</w:t>
            </w:r>
          </w:p>
        </w:tc>
        <w:tc>
          <w:tcPr>
            <w:tcW w:w="2304" w:type="dxa"/>
            <w:shd w:val="clear" w:color="auto" w:fill="FFFFFF"/>
            <w:tcMar>
              <w:top w:w="90" w:type="dxa"/>
              <w:left w:w="90" w:type="dxa"/>
              <w:bottom w:w="90" w:type="dxa"/>
              <w:right w:w="90" w:type="dxa"/>
            </w:tcMar>
            <w:vAlign w:val="center"/>
          </w:tcPr>
          <w:p w14:paraId="1E6D8CEC" w14:textId="77777777" w:rsidR="004C4F4A" w:rsidRDefault="00000000" w:rsidP="0061270E">
            <w:pPr>
              <w:spacing w:before="60" w:after="60"/>
              <w:jc w:val="both"/>
            </w:pPr>
            <w:r>
              <w:rPr>
                <w:sz w:val="19"/>
              </w:rPr>
              <w:t>6,561 ordered pairs</w:t>
            </w:r>
          </w:p>
        </w:tc>
        <w:tc>
          <w:tcPr>
            <w:tcW w:w="2304" w:type="dxa"/>
            <w:shd w:val="clear" w:color="auto" w:fill="FFFFFF"/>
            <w:tcMar>
              <w:top w:w="90" w:type="dxa"/>
              <w:left w:w="90" w:type="dxa"/>
              <w:bottom w:w="90" w:type="dxa"/>
              <w:right w:w="90" w:type="dxa"/>
            </w:tcMar>
            <w:vAlign w:val="center"/>
          </w:tcPr>
          <w:p w14:paraId="6BC40DCD" w14:textId="77777777" w:rsidR="004C4F4A" w:rsidRDefault="00000000" w:rsidP="0061270E">
            <w:pPr>
              <w:spacing w:before="60" w:after="60"/>
              <w:jc w:val="both"/>
            </w:pPr>
            <w:r>
              <w:rPr>
                <w:sz w:val="19"/>
              </w:rPr>
              <w:t>6,561 passes</w:t>
            </w:r>
          </w:p>
        </w:tc>
      </w:tr>
      <w:tr w:rsidR="004C4F4A" w14:paraId="7DB6387F" w14:textId="77777777">
        <w:trPr>
          <w:cantSplit/>
          <w:jc w:val="center"/>
        </w:trPr>
        <w:tc>
          <w:tcPr>
            <w:tcW w:w="5040" w:type="dxa"/>
            <w:shd w:val="clear" w:color="auto" w:fill="F5F7F9"/>
            <w:tcMar>
              <w:top w:w="90" w:type="dxa"/>
              <w:left w:w="90" w:type="dxa"/>
              <w:bottom w:w="90" w:type="dxa"/>
              <w:right w:w="90" w:type="dxa"/>
            </w:tcMar>
            <w:vAlign w:val="center"/>
          </w:tcPr>
          <w:p w14:paraId="03BA98CA" w14:textId="77777777" w:rsidR="004C4F4A" w:rsidRDefault="00000000" w:rsidP="0061270E">
            <w:pPr>
              <w:spacing w:before="60" w:after="60"/>
              <w:jc w:val="both"/>
            </w:pPr>
            <w:r>
              <w:rPr>
                <w:sz w:val="19"/>
              </w:rPr>
              <w:t>Strict update rounds until a fixed point</w:t>
            </w:r>
          </w:p>
        </w:tc>
        <w:tc>
          <w:tcPr>
            <w:tcW w:w="2304" w:type="dxa"/>
            <w:shd w:val="clear" w:color="auto" w:fill="F5F7F9"/>
            <w:tcMar>
              <w:top w:w="90" w:type="dxa"/>
              <w:left w:w="90" w:type="dxa"/>
              <w:bottom w:w="90" w:type="dxa"/>
              <w:right w:w="90" w:type="dxa"/>
            </w:tcMar>
            <w:vAlign w:val="center"/>
          </w:tcPr>
          <w:p w14:paraId="288435BB" w14:textId="77777777" w:rsidR="004C4F4A" w:rsidRDefault="00000000" w:rsidP="0061270E">
            <w:pPr>
              <w:spacing w:before="60" w:after="60"/>
              <w:jc w:val="both"/>
            </w:pPr>
            <w:r>
              <w:rPr>
                <w:sz w:val="19"/>
              </w:rPr>
              <w:t>All 256 seeds</w:t>
            </w:r>
          </w:p>
        </w:tc>
        <w:tc>
          <w:tcPr>
            <w:tcW w:w="2304" w:type="dxa"/>
            <w:shd w:val="clear" w:color="auto" w:fill="F5F7F9"/>
            <w:tcMar>
              <w:top w:w="90" w:type="dxa"/>
              <w:left w:w="90" w:type="dxa"/>
              <w:bottom w:w="90" w:type="dxa"/>
              <w:right w:w="90" w:type="dxa"/>
            </w:tcMar>
            <w:vAlign w:val="center"/>
          </w:tcPr>
          <w:p w14:paraId="730E112F" w14:textId="77777777" w:rsidR="004C4F4A" w:rsidRDefault="00000000" w:rsidP="0061270E">
            <w:pPr>
              <w:spacing w:before="60" w:after="60"/>
              <w:jc w:val="both"/>
            </w:pPr>
            <w:r>
              <w:rPr>
                <w:sz w:val="19"/>
              </w:rPr>
              <w:t>Maximum 4</w:t>
            </w:r>
          </w:p>
        </w:tc>
      </w:tr>
      <w:tr w:rsidR="004C4F4A" w14:paraId="6FDE6210" w14:textId="77777777">
        <w:trPr>
          <w:cantSplit/>
          <w:jc w:val="center"/>
        </w:trPr>
        <w:tc>
          <w:tcPr>
            <w:tcW w:w="5040" w:type="dxa"/>
            <w:shd w:val="clear" w:color="auto" w:fill="FFFFFF"/>
            <w:tcMar>
              <w:top w:w="90" w:type="dxa"/>
              <w:left w:w="90" w:type="dxa"/>
              <w:bottom w:w="90" w:type="dxa"/>
              <w:right w:w="90" w:type="dxa"/>
            </w:tcMar>
            <w:vAlign w:val="center"/>
          </w:tcPr>
          <w:p w14:paraId="52A26D3A" w14:textId="77777777" w:rsidR="004C4F4A" w:rsidRDefault="00000000" w:rsidP="0061270E">
            <w:pPr>
              <w:spacing w:before="60" w:after="60"/>
              <w:jc w:val="both"/>
            </w:pPr>
            <w:r>
              <w:rPr>
                <w:sz w:val="19"/>
              </w:rPr>
              <w:t>One round is already idempotent</w:t>
            </w:r>
          </w:p>
        </w:tc>
        <w:tc>
          <w:tcPr>
            <w:tcW w:w="2304" w:type="dxa"/>
            <w:shd w:val="clear" w:color="auto" w:fill="FFFFFF"/>
            <w:tcMar>
              <w:top w:w="90" w:type="dxa"/>
              <w:left w:w="90" w:type="dxa"/>
              <w:bottom w:w="90" w:type="dxa"/>
              <w:right w:w="90" w:type="dxa"/>
            </w:tcMar>
            <w:vAlign w:val="center"/>
          </w:tcPr>
          <w:p w14:paraId="3C45251C" w14:textId="77777777" w:rsidR="004C4F4A" w:rsidRDefault="00000000" w:rsidP="0061270E">
            <w:pPr>
              <w:spacing w:before="60" w:after="60"/>
              <w:jc w:val="both"/>
            </w:pPr>
            <w:r>
              <w:rPr>
                <w:sz w:val="19"/>
              </w:rPr>
              <w:t>Seed {a,b,c}</w:t>
            </w:r>
          </w:p>
        </w:tc>
        <w:tc>
          <w:tcPr>
            <w:tcW w:w="2304" w:type="dxa"/>
            <w:shd w:val="clear" w:color="auto" w:fill="FFFFFF"/>
            <w:tcMar>
              <w:top w:w="90" w:type="dxa"/>
              <w:left w:w="90" w:type="dxa"/>
              <w:bottom w:w="90" w:type="dxa"/>
              <w:right w:w="90" w:type="dxa"/>
            </w:tcMar>
            <w:vAlign w:val="center"/>
          </w:tcPr>
          <w:p w14:paraId="43AD713F" w14:textId="77777777" w:rsidR="004C4F4A" w:rsidRDefault="00000000" w:rsidP="0061270E">
            <w:pPr>
              <w:spacing w:before="60" w:after="60"/>
              <w:jc w:val="both"/>
            </w:pPr>
            <w:r>
              <w:rPr>
                <w:sz w:val="19"/>
              </w:rPr>
              <w:t>False</w:t>
            </w:r>
          </w:p>
        </w:tc>
      </w:tr>
    </w:tbl>
    <w:p w14:paraId="4164FA65" w14:textId="77777777" w:rsidR="004C4F4A" w:rsidRDefault="004C4F4A" w:rsidP="0061270E">
      <w:pPr>
        <w:jc w:val="both"/>
      </w:pPr>
    </w:p>
    <w:p w14:paraId="59E6D4D3" w14:textId="77777777" w:rsidR="004C4F4A" w:rsidRDefault="00000000" w:rsidP="0061270E">
      <w:pPr>
        <w:jc w:val="both"/>
      </w:pPr>
      <w:r>
        <w:t>The count of comparable pairs includes equality and is 3⁸: for each predicate, the pair of seed bits can be (0,0), (0,1) or (1,1). For seed {a,b,c}, the retained sets grow by adding {d,e}, then f, then g, then h. One update is not idempotent, whereas the completed operator is. This distinction is the mechanism under examination, not an implementation defect.</w:t>
      </w:r>
    </w:p>
    <w:p w14:paraId="077F7E38" w14:textId="77777777" w:rsidR="004C4F4A" w:rsidRDefault="00000000" w:rsidP="0061270E">
      <w:pPr>
        <w:keepNext/>
        <w:jc w:val="both"/>
      </w:pPr>
      <w:r>
        <w:rPr>
          <w:noProof/>
        </w:rPr>
        <w:drawing>
          <wp:inline distT="0" distB="0" distL="0" distR="0" wp14:anchorId="3D7C5458" wp14:editId="65BC9466">
            <wp:extent cx="6080760" cy="2432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osure_construction.png"/>
                    <pic:cNvPicPr/>
                  </pic:nvPicPr>
                  <pic:blipFill>
                    <a:blip r:embed="rId8"/>
                    <a:stretch>
                      <a:fillRect/>
                    </a:stretch>
                  </pic:blipFill>
                  <pic:spPr>
                    <a:xfrm>
                      <a:off x="0" y="0"/>
                      <a:ext cx="6080760" cy="2432304"/>
                    </a:xfrm>
                    <a:prstGeom prst="rect">
                      <a:avLst/>
                    </a:prstGeom>
                  </pic:spPr>
                </pic:pic>
              </a:graphicData>
            </a:graphic>
          </wp:inline>
        </w:drawing>
      </w:r>
    </w:p>
    <w:p w14:paraId="4119DC79" w14:textId="77777777" w:rsidR="004C4F4A" w:rsidRDefault="00000000" w:rsidP="0061270E">
      <w:pPr>
        <w:pStyle w:val="Caption"/>
        <w:jc w:val="both"/>
      </w:pPr>
      <w:r>
        <w:t>Figure 1. A, retained logical facts across the four strict rounds from seed {a,b,c}; white means absent and blue means present. B, the exact two-key posterior mean D(z) = tanh(z) and its second application. Their difference demonstrates failure of idempotence. These are constructed calculations, not neural measurements.</w:t>
      </w:r>
    </w:p>
    <w:p w14:paraId="182BD54B" w14:textId="77777777" w:rsidR="004C4F4A" w:rsidRDefault="00000000" w:rsidP="0061270E">
      <w:pPr>
        <w:jc w:val="both"/>
      </w:pPr>
      <w:r>
        <w:t>For the continuous example, D(0.5) = 0.462117 and D(D(0.5)) = 0.431808. At z = 2, D(z) = 0.964028. Across the declared 2,001-point grid on [−2,2], the largest absolute difference between one and two applications is 0.217960; this is a grid statistic, not a global supremum. The finite logic checks support the implementation, while the proofs establish the general properties of the stated construction. Appendix A gives a compact reproducible routine.</w:t>
      </w:r>
    </w:p>
    <w:p w14:paraId="64A24EB9" w14:textId="77777777" w:rsidR="004C4F4A" w:rsidRDefault="00000000" w:rsidP="0061270E">
      <w:pPr>
        <w:pStyle w:val="Heading1"/>
        <w:jc w:val="both"/>
      </w:pPr>
      <w:r>
        <w:t>9 How a neural closure hypothesis could be rejected</w:t>
      </w:r>
    </w:p>
    <w:p w14:paraId="41B2FD0D" w14:textId="77777777" w:rsidR="004C4F4A" w:rsidRDefault="00000000" w:rsidP="0061270E">
      <w:pPr>
        <w:pStyle w:val="Heading2"/>
        <w:jc w:val="both"/>
      </w:pPr>
      <w:r>
        <w:t>9 1 Declare the state before testing closure</w:t>
      </w:r>
    </w:p>
    <w:p w14:paraId="0AA2C081" w14:textId="77777777" w:rsidR="004C4F4A" w:rsidRDefault="00000000" w:rsidP="0061270E">
      <w:pPr>
        <w:jc w:val="both"/>
      </w:pPr>
      <w:r>
        <w:t xml:space="preserve">A test of the strong order-closure hypothesis must specify a single loop, a fixed context interval and a decoder for the proposed retained predicates. It must also state the inclusion order and the permitted evidence </w:t>
      </w:r>
      <w:r>
        <w:lastRenderedPageBreak/>
        <w:t>additions. Choosing a new decoder after each failed test would make the claim uninformative. Continuous firing rates may rise and fall while decoded logical state remains stable; that is acceptable only when the decoder was declared independently.</w:t>
      </w:r>
    </w:p>
    <w:p w14:paraId="20BFD41B" w14:textId="77777777" w:rsidR="004C4F4A" w:rsidRDefault="00000000" w:rsidP="0061270E">
      <w:pPr>
        <w:jc w:val="both"/>
      </w:pPr>
      <w:r>
        <w:t>Within that declared model, test three properties. Previously established valid predicates should persist during the episode; adding compatible evidence should not remove completed consequences; and reapplying the same input after completion should not add a new consequence. Stimulus repetition is not automatically operator reapplication, because it may change adaptation, timing or the environment. These variables must be matched or explicitly included in the bound state.</w:t>
      </w:r>
    </w:p>
    <w:p w14:paraId="7A38CEF8" w14:textId="77777777" w:rsidR="004C4F4A" w:rsidRDefault="00000000" w:rsidP="0061270E">
      <w:pPr>
        <w:pStyle w:val="Heading2"/>
        <w:jc w:val="both"/>
      </w:pPr>
      <w:r>
        <w:t>9 2 Distinguish completion from suppression and ordinary settling</w:t>
      </w:r>
    </w:p>
    <w:p w14:paraId="70690504" w14:textId="77777777" w:rsidR="004C4F4A" w:rsidRDefault="00000000" w:rsidP="0061270E">
      <w:pPr>
        <w:jc w:val="both"/>
      </w:pPr>
      <w:r>
        <w:t>Compare a pointwise inhibitory filter, a generic attractor model and the retained positive-completion model on the same decoded variables. Only the last is required to preserve the seed, respect inclusion across compatible seeds and return the least rule-closed superset. A stable output or a repeated action is insufficient evidence. Include incomplete seeds that require multiple successive implications, because a one-step classifier can agree on fully specified inputs while failing at completion.</w:t>
      </w:r>
    </w:p>
    <w:p w14:paraId="07F24D4A" w14:textId="77777777" w:rsidR="004C4F4A" w:rsidRDefault="00000000" w:rsidP="0061270E">
      <w:pPr>
        <w:jc w:val="both"/>
      </w:pPr>
      <w:r>
        <w:t>A specific physiological prediction is that disrupting the retention process after early evidence has been presented will selectively reduce later multi-step completion, beyond the effect on immediate pointwise modulation. A separate change in the disinhibitory teaching pathway may alter what is learned for a future episode without deleting the current retained evidence. These are proposed dissociations for the chosen model, not findings already demonstrated by the cited studies.</w:t>
      </w:r>
    </w:p>
    <w:p w14:paraId="758BB379" w14:textId="77777777" w:rsidR="004C4F4A" w:rsidRDefault="00000000" w:rsidP="0061270E">
      <w:pPr>
        <w:pStyle w:val="Heading2"/>
        <w:jc w:val="both"/>
      </w:pPr>
      <w:r>
        <w:t>9 3 Test context reset and teaching admission separately</w:t>
      </w:r>
    </w:p>
    <w:p w14:paraId="0B710D84" w14:textId="77777777" w:rsidR="004C4F4A" w:rsidRDefault="00000000" w:rsidP="0061270E">
      <w:pPr>
        <w:jc w:val="both"/>
      </w:pPr>
      <w:r>
        <w:t>Introduce a context switch that invalidates a previously supported permission. The model predicts either withdrawal of the permission or isolation of the old context state before it can affect the new task. Continued use of the obsolete permission would refute adequate context handling for that implementation. Perfect persistence without a reset or version boundary would count against, rather than for, useful closure.</w:t>
      </w:r>
    </w:p>
    <w:p w14:paraId="0B202B71" w14:textId="77777777" w:rsidR="004C4F4A" w:rsidRDefault="00000000" w:rsidP="0061270E">
      <w:pPr>
        <w:jc w:val="both"/>
      </w:pPr>
      <w:r>
        <w:t>Independently manipulate whether a teaching value belongs to the selected event and whether the circuit permits that teaching event to induce plasticity. A valid outcome with blocked plasticity, an invalidly matched outcome and a valid observational target without execution test different conditions. The 2026 disinhibition results motivate this separation [3,4]; they do not prove the learning-source semantics or the retained completion state. Failure of a prespecified decoder to exhibit the closure axioms would reject that neural instantiation while leaving the weaker programming-closure analogy available.</w:t>
      </w:r>
    </w:p>
    <w:p w14:paraId="6C2F4126" w14:textId="77777777" w:rsidR="004C4F4A" w:rsidRDefault="00000000" w:rsidP="0061270E">
      <w:pPr>
        <w:pStyle w:val="Heading1"/>
        <w:jc w:val="both"/>
      </w:pPr>
      <w:r>
        <w:t>10 Analogy with recent AI harness research</w:t>
      </w:r>
    </w:p>
    <w:p w14:paraId="6BE34A5C" w14:textId="77777777" w:rsidR="004C4F4A" w:rsidRDefault="00000000" w:rsidP="0061270E">
      <w:pPr>
        <w:jc w:val="both"/>
      </w:pPr>
      <w:r>
        <w:t>Recent AI harness research supplies a computational comparison. Ning and colleagues organise Code as Agent Harness around executable interfaces, memory, planning, tool use and feedback [8]. In that view, an agent’s effective behaviour depends on the model together with its operational environment. This resembles the weaker programming-closure interpretation: a shared computation acquires a local identity through bound state and available operations. The correspondence is our interpretation; the survey does not establish a cerebellar mechanism or the axioms of order closure.</w:t>
      </w:r>
    </w:p>
    <w:p w14:paraId="09A8997F" w14:textId="77777777" w:rsidR="004C4F4A" w:rsidRDefault="00000000" w:rsidP="0061270E">
      <w:pPr>
        <w:jc w:val="both"/>
      </w:pPr>
      <w:r>
        <w:t xml:space="preserve">Zhao and colleagues introduce a Language Model Agent Machine that fixes the semantic model while accounting for context, persistent memory, access and verification resources [9]. Their analysis makes a useful demand on our construction: retained intermediate facts and access to them have costs. The bound of n−|X| strict rounds in Theorem 2 is a logical termination bound, not a bound on neural energy, gate count, model </w:t>
      </w:r>
      <w:r>
        <w:lastRenderedPageBreak/>
        <w:t>calls or elapsed time. A practical implementation must account for rule evaluation, memory access and the detection of stabilisation.</w:t>
      </w:r>
    </w:p>
    <w:p w14:paraId="24154A2C" w14:textId="77777777" w:rsidR="004C4F4A" w:rsidRDefault="00000000" w:rsidP="0061270E">
      <w:pPr>
        <w:jc w:val="both"/>
      </w:pPr>
      <w:r>
        <w:t>The October 2026 VERSE preprint studies execution-based verification while revising agent and optimizer harnesses, including prompts, tools, skills and notes, with model weights fixed [10]. Its relevance is the distinction between changing a bound environment and changing the underlying model. In our terminology, revising the rule set or tool permissions changes E and potentially the local map. Such revision belongs between closure episodes; within one episode the closure proof holds R fixed. A verification result can control whether a proposed update is admitted, but a fallible verifier does not supply the soundness assumption of Corollary 1.</w:t>
      </w:r>
    </w:p>
    <w:p w14:paraId="5FCB33D4" w14:textId="77777777" w:rsidR="004C4F4A" w:rsidRDefault="00000000" w:rsidP="0061270E">
      <w:pPr>
        <w:jc w:val="both"/>
      </w:pPr>
      <w:r>
        <w:t>References [8–10] are recent preprints and are used here for their stated computational frameworks. They provide no evidence that a harness is an inhibitory neural circuit. Persistent agent memory need not be extensive, repeated execution need not be idempotent, and an improving harness need not be monotone under an evidence order. The actionable analogy is narrower: bind context, retain justified state, distinguish proposal from admission, and invalidate conclusions when the binding changes. These requirements can be implemented and evaluated without treating biological resemblance as a proof of correctness.</w:t>
      </w:r>
    </w:p>
    <w:p w14:paraId="11902E8D" w14:textId="77777777" w:rsidR="004C4F4A" w:rsidRDefault="00000000" w:rsidP="0061270E">
      <w:pPr>
        <w:pStyle w:val="Heading1"/>
        <w:jc w:val="both"/>
      </w:pPr>
      <w:r>
        <w:t>11 An implementation for construction intelligence</w:t>
      </w:r>
    </w:p>
    <w:p w14:paraId="6356853A" w14:textId="77777777" w:rsidR="004C4F4A" w:rsidRDefault="00000000" w:rsidP="0061270E">
      <w:pPr>
        <w:jc w:val="both"/>
      </w:pPr>
      <w:r>
        <w:t>The engineering interpretation is concrete. A shared checking routine can capture a model snapshot, units, load case, code edition, solver version and admissible evidence rules. That binding defines the programming closure. During one verification episode, valid evidence accumulates and consequences are retained. An inhibition-based dispatcher can withhold a consequential drawing issue until its declared prerequisites have been established. The order closure acts on evidence and permissions, not on the geometric coordinates or magnitude of the issued action.</w:t>
      </w:r>
    </w:p>
    <w:p w14:paraId="0941F025" w14:textId="77777777" w:rsidR="004C4F4A" w:rsidRDefault="00000000" w:rsidP="0061270E">
      <w:pPr>
        <w:jc w:val="both"/>
      </w:pPr>
      <w:r>
        <w:t>For example, a rule that verified units and a matched load-case identifier permit use of a solver result is sound only if those predicates were themselves established reliably. A permission requiring both a checked result and a reviewed acceptance criterion should not be inferred from the mere absence of an alarm. Absence of evidence and evidence of absence are different states. The positive-rule construction uses established predicates, which prevents an unverified omission from silently becoming permission.</w:t>
      </w:r>
    </w:p>
    <w:p w14:paraId="41A66866" w14:textId="77777777" w:rsidR="004C4F4A" w:rsidRDefault="00000000" w:rsidP="0061270E">
      <w:pPr>
        <w:jc w:val="both"/>
      </w:pPr>
      <w:r>
        <w:t>When a load case or code edition changes, obsolete permissions require invalidation or a new version of the bound environment, as Proposition 4 shows. The persistent witness bank of Closure Diffusion may propose an earlier design; it does not certify that design for the current context. The shared closure architecture can therefore combine proposal reuse with explicit verification, while maintaining the distinction between recall, completion of evidence and consequential release. This is a proposed engineering design, not a benchmark result or a model of the entire cerebellum.</w:t>
      </w:r>
    </w:p>
    <w:p w14:paraId="27FFEA4C" w14:textId="77777777" w:rsidR="004C4F4A" w:rsidRDefault="00000000" w:rsidP="0061270E">
      <w:pPr>
        <w:pStyle w:val="Heading1"/>
        <w:jc w:val="both"/>
      </w:pPr>
      <w:r>
        <w:t>12 Limitations and conclusion</w:t>
      </w:r>
    </w:p>
    <w:p w14:paraId="1FCC25E6" w14:textId="77777777" w:rsidR="004C4F4A" w:rsidRDefault="00000000" w:rsidP="0061270E">
      <w:pPr>
        <w:jc w:val="both"/>
      </w:pPr>
      <w:r>
        <w:t>The NOR model assumes exact Boolean thresholds, tonic bias, reliable memory and a valid sequencing protocol. It does not simulate conductances, synaptic delays, noise, oscillatory stability, metabolic cost or plasticity in spiking cells. Its fact representation is chosen by the modeller. No anatomical claim is made that a molecular-layer interneuron is a NOR gate or that a cerebellar microzone stores Horn predicates. The biological studies establish relevant inhibitory and disinhibitory mechanisms, not the full constructed architecture.</w:t>
      </w:r>
    </w:p>
    <w:p w14:paraId="75D6BC8C" w14:textId="77777777" w:rsidR="004C4F4A" w:rsidRDefault="00000000" w:rsidP="0061270E">
      <w:pPr>
        <w:jc w:val="both"/>
      </w:pPr>
      <w:r>
        <w:t xml:space="preserve">The captured-environment model also has limits. Calling a task-conditioned neural function a closure is a useful computational description, but it becomes explanatory only when the bound state and its causal role are identified. A persistent outer bank need not be local to the cerebellum. Gaussian posterior competition </w:t>
      </w:r>
      <w:r>
        <w:lastRenderedPageBreak/>
        <w:t>supplies a possible computational analogy, but exact normalisation, retrieval quality and inference cost remain separate design issues. We make no optimization, safety or biological-efficiency claim from the analogy alone.</w:t>
      </w:r>
    </w:p>
    <w:p w14:paraId="4A0C3873" w14:textId="77777777" w:rsidR="004C4F4A" w:rsidRDefault="00000000" w:rsidP="0061270E">
      <w:pPr>
        <w:jc w:val="both"/>
      </w:pPr>
      <w:r>
        <w:t>The answer to the paper’s question is conditional but constructive. An inhibitory-system-based closure is possible when inhibitory stages are composed to provide disinhibition and positive operations, and when a retained state is updated under a settling protocol with context held fixed. A single antitone stage is insufficient for a nontrivial extensive closure. Candidate suppression is naturally an interior operation, and posterior denoising is generally not idempotent. The cerebellum-as-closure hypothesis is therefore strongest when it names the bound context, the retained variables, the completion rule and the reset mechanism, each of which can be tested separately.</w:t>
      </w:r>
    </w:p>
    <w:p w14:paraId="51DE7BB4" w14:textId="77777777" w:rsidR="004C4F4A" w:rsidRDefault="00000000" w:rsidP="0061270E">
      <w:pPr>
        <w:pStyle w:val="Heading1"/>
        <w:jc w:val="both"/>
      </w:pPr>
      <w:r>
        <w:t>References</w:t>
      </w:r>
    </w:p>
    <w:p w14:paraId="5F3C7FC1" w14:textId="1478C701" w:rsidR="004C4F4A" w:rsidRDefault="00000000" w:rsidP="0061270E">
      <w:pPr>
        <w:jc w:val="both"/>
      </w:pPr>
      <w:r>
        <w:t xml:space="preserve">[1] Ghosh, D. P. (2026). Closure Diffusion: Mixture priors and contextual recall for recurrent optimization. Version 3 final, 16 October 2026. </w:t>
      </w:r>
      <w:r w:rsidR="007503AA" w:rsidRPr="007503AA">
        <w:t>https://github.com/debiprasadghosh/ResearchOverFlow/tree/main/October2026/ClosureDiffusion</w:t>
      </w:r>
      <w:r w:rsidR="007503AA">
        <w:t>/</w:t>
      </w:r>
      <w:r>
        <w:t>Closure_Diffusion_V3_Final.docx.</w:t>
      </w:r>
    </w:p>
    <w:p w14:paraId="2EFE0760" w14:textId="77777777" w:rsidR="004C4F4A" w:rsidRDefault="00000000" w:rsidP="0061270E">
      <w:pPr>
        <w:jc w:val="both"/>
      </w:pPr>
      <w:r>
        <w:t>[2] Zheng, N., and Raman, I. M. (2009). Ca currents activated by spontaneous firing and synaptic disinhibition in neurons of the cerebellar nuclei. Journal of Neuroscience, 29, 9826–9838. https://doi.org/10.1523/JNEUROSCI.2069-09.2009</w:t>
      </w:r>
    </w:p>
    <w:p w14:paraId="626DB5CE" w14:textId="77777777" w:rsidR="004C4F4A" w:rsidRDefault="00000000" w:rsidP="0061270E">
      <w:pPr>
        <w:jc w:val="both"/>
      </w:pPr>
      <w:r>
        <w:t>[3] Santos-Valencia, F., Lackey, E. P., Norton, A., et al. (2026). Climbing fibres recruit disinhibition to enhance Purkinje cell calcium signals. Nature, 653, 455–464. Published online 18 March 2026. https://doi.org/10.1038/s41586-026-10220-4</w:t>
      </w:r>
    </w:p>
    <w:p w14:paraId="25E48810" w14:textId="77777777" w:rsidR="004C4F4A" w:rsidRDefault="00000000" w:rsidP="0061270E">
      <w:pPr>
        <w:jc w:val="both"/>
      </w:pPr>
      <w:r>
        <w:t>[4] Park, C., Yang, Z., Nashef, A., et al. (2026). Synchronous climbing fiber activity enables instructive signaling for cerebellar learning through modulation of disinhibitory circuits. Nature Neuroscience, 29, 1425–1438. Published 14 May 2026. https://doi.org/10.1038/s41593-026-02268-2</w:t>
      </w:r>
    </w:p>
    <w:p w14:paraId="4B449AB0" w14:textId="77777777" w:rsidR="004C4F4A" w:rsidRDefault="00000000" w:rsidP="0061270E">
      <w:pPr>
        <w:jc w:val="both"/>
      </w:pPr>
      <w:r>
        <w:t>[5] Kimpo, R. R., Rinaldi, J. M., Kim, C. K., Payne, H. L., and Raymond, J. L. (2014). Gating of neural error signals during motor learning. eLife, 3, e02076. https://doi.org/10.7554/eLife.02076</w:t>
      </w:r>
    </w:p>
    <w:p w14:paraId="21EF39B7" w14:textId="77777777" w:rsidR="004C4F4A" w:rsidRDefault="00000000" w:rsidP="0061270E">
      <w:pPr>
        <w:jc w:val="both"/>
      </w:pPr>
      <w:r>
        <w:t>[6] Filio, B. A., Otchere, A., Srinivasan, S., et al. (2026). Predictive and instructive cerebellar encoding of dopamine reward drives motivated behavior. Nature Neuroscience. Published online 16 September 2026. https://doi.org/10.1038/s41593-026-02449-z</w:t>
      </w:r>
    </w:p>
    <w:p w14:paraId="7185EAE8" w14:textId="77777777" w:rsidR="004C4F4A" w:rsidRDefault="00000000" w:rsidP="0061270E">
      <w:pPr>
        <w:jc w:val="both"/>
      </w:pPr>
      <w:r>
        <w:t>[7] Ramsauer, H., Schäfl, B., Lehner, J., et al. (2021). Hopfield Networks is All You Need. ICLR. arXiv:2008.02217v3. https://arxiv.org/abs/2008.02217v3</w:t>
      </w:r>
    </w:p>
    <w:p w14:paraId="3991C6C9" w14:textId="77777777" w:rsidR="004C4F4A" w:rsidRDefault="00000000" w:rsidP="0061270E">
      <w:pPr>
        <w:jc w:val="both"/>
      </w:pPr>
      <w:r>
        <w:t>[8] Ning, X., Tieu, K., Fu, D., et al. (2026). Code as Agent Harness. arXiv preprint 2605.18747v1, 18 May 2026. https://arxiv.org/abs/2605.18747v1</w:t>
      </w:r>
    </w:p>
    <w:p w14:paraId="2883D447" w14:textId="77777777" w:rsidR="004C4F4A" w:rsidRDefault="00000000" w:rsidP="0061270E">
      <w:pPr>
        <w:jc w:val="both"/>
      </w:pPr>
      <w:r>
        <w:t>[9] Zhao, Z., Guo, X., Zhang, J., Zhang, Y., and Chen, Y. (2026). Harnessing LLMs as Agents: What Does It Cost? arXiv preprint 2610.02488v2, revised 6 October 2026. https://arxiv.org/abs/2610.02488v2</w:t>
      </w:r>
    </w:p>
    <w:p w14:paraId="647377AA" w14:textId="77777777" w:rsidR="004C4F4A" w:rsidRDefault="00000000" w:rsidP="0061270E">
      <w:pPr>
        <w:jc w:val="both"/>
      </w:pPr>
      <w:r>
        <w:t>[10] Wang, Z., Ge, Y., Wang, Z., et al. (2026). VERSE: Verified Self-Evolving Optimizer for Agent Harnesses. arXiv preprint 2610.02616v1, 2 October 2026. https://arxiv.org/abs/2610.02616v1</w:t>
      </w:r>
    </w:p>
    <w:p w14:paraId="3CC2A6B9" w14:textId="77777777" w:rsidR="004C4F4A" w:rsidRDefault="00000000" w:rsidP="0061270E">
      <w:pPr>
        <w:pStyle w:val="Caption"/>
        <w:jc w:val="both"/>
      </w:pPr>
      <w:r>
        <w:t>Evidence note. Neuroscience claims were checked against primary publication pages, primary abstracts or author-affiliated records available through 17 October 2026. The proofs concern the explicit mathematical models in this paper. The numerical section reports newly executed synthetic checks and no animal or human data.</w:t>
      </w:r>
    </w:p>
    <w:p w14:paraId="1282EB9D" w14:textId="77777777" w:rsidR="004C4F4A" w:rsidRDefault="00000000" w:rsidP="0061270E">
      <w:pPr>
        <w:pStyle w:val="Heading1"/>
        <w:jc w:val="both"/>
      </w:pPr>
      <w:r>
        <w:lastRenderedPageBreak/>
        <w:t>Appendix A Reproducible finite checks</w:t>
      </w:r>
    </w:p>
    <w:p w14:paraId="4395A8CC" w14:textId="77777777" w:rsidR="004C4F4A" w:rsidRDefault="00000000" w:rsidP="0061270E">
      <w:pPr>
        <w:jc w:val="both"/>
      </w:pPr>
      <w:r>
        <w:t>This Python routine uses only the standard library and reproduces the finite logical checks and the denoiser counterexample. The figure uses the same retained-state history. The grid maximum is over exactly 2,001 points, not a numerical optimisation of a continuous supremum.</w:t>
      </w:r>
    </w:p>
    <w:p w14:paraId="5F796DE1" w14:textId="77777777" w:rsidR="004C4F4A" w:rsidRDefault="00000000" w:rsidP="0061270E">
      <w:pPr>
        <w:spacing w:after="0" w:line="240" w:lineRule="auto"/>
        <w:jc w:val="both"/>
      </w:pPr>
      <w:r>
        <w:rPr>
          <w:rFonts w:ascii="Courier New" w:hAnsi="Courier New"/>
          <w:sz w:val="18"/>
        </w:rPr>
        <w:t>from itertools import product</w:t>
      </w:r>
    </w:p>
    <w:p w14:paraId="50792D6D" w14:textId="77777777" w:rsidR="004C4F4A" w:rsidRDefault="00000000" w:rsidP="0061270E">
      <w:pPr>
        <w:spacing w:after="0" w:line="240" w:lineRule="auto"/>
        <w:jc w:val="both"/>
      </w:pPr>
      <w:r>
        <w:rPr>
          <w:rFonts w:ascii="Courier New" w:hAnsi="Courier New"/>
          <w:sz w:val="18"/>
        </w:rPr>
        <w:t>from math import tanh</w:t>
      </w:r>
    </w:p>
    <w:p w14:paraId="53D07C86" w14:textId="77777777" w:rsidR="004C4F4A" w:rsidRDefault="00000000" w:rsidP="0061270E">
      <w:pPr>
        <w:spacing w:after="0" w:line="240" w:lineRule="auto"/>
        <w:jc w:val="both"/>
      </w:pPr>
      <w:r>
        <w:rPr>
          <w:rFonts w:ascii="Courier New" w:hAnsi="Courier New"/>
          <w:sz w:val="18"/>
        </w:rPr>
        <w:t xml:space="preserve"> </w:t>
      </w:r>
    </w:p>
    <w:p w14:paraId="0045F6ED" w14:textId="77777777" w:rsidR="004C4F4A" w:rsidRDefault="00000000" w:rsidP="0061270E">
      <w:pPr>
        <w:spacing w:after="0" w:line="240" w:lineRule="auto"/>
        <w:jc w:val="both"/>
      </w:pPr>
      <w:r>
        <w:rPr>
          <w:rFonts w:ascii="Courier New" w:hAnsi="Courier New"/>
          <w:sz w:val="18"/>
        </w:rPr>
        <w:t>rules = [((0,1),3), ((1,2),4), ((3,4),5),</w:t>
      </w:r>
    </w:p>
    <w:p w14:paraId="171E9833" w14:textId="77777777" w:rsidR="004C4F4A" w:rsidRDefault="00000000" w:rsidP="0061270E">
      <w:pPr>
        <w:spacing w:after="0" w:line="240" w:lineRule="auto"/>
        <w:jc w:val="both"/>
      </w:pPr>
      <w:r>
        <w:rPr>
          <w:rFonts w:ascii="Courier New" w:hAnsi="Courier New"/>
          <w:sz w:val="18"/>
        </w:rPr>
        <w:t xml:space="preserve">         ((5,),6), ((6,2),7)]</w:t>
      </w:r>
    </w:p>
    <w:p w14:paraId="0BC1958E" w14:textId="77777777" w:rsidR="004C4F4A" w:rsidRDefault="00000000" w:rsidP="0061270E">
      <w:pPr>
        <w:spacing w:after="0" w:line="240" w:lineRule="auto"/>
        <w:jc w:val="both"/>
      </w:pPr>
      <w:r>
        <w:rPr>
          <w:rFonts w:ascii="Courier New" w:hAnsi="Courier New"/>
          <w:sz w:val="18"/>
        </w:rPr>
        <w:t>nor = lambda xs: int(sum(xs) &lt; 0.5)</w:t>
      </w:r>
    </w:p>
    <w:p w14:paraId="1C930CD6" w14:textId="77777777" w:rsidR="004C4F4A" w:rsidRDefault="00000000" w:rsidP="0061270E">
      <w:pPr>
        <w:spacing w:after="0" w:line="240" w:lineRule="auto"/>
        <w:jc w:val="both"/>
      </w:pPr>
      <w:r>
        <w:rPr>
          <w:rFonts w:ascii="Courier New" w:hAnsi="Courier New"/>
          <w:sz w:val="18"/>
        </w:rPr>
        <w:t>NOT = lambda x: nor([x])</w:t>
      </w:r>
    </w:p>
    <w:p w14:paraId="506025C5" w14:textId="77777777" w:rsidR="004C4F4A" w:rsidRDefault="00000000" w:rsidP="0061270E">
      <w:pPr>
        <w:spacing w:after="0" w:line="240" w:lineRule="auto"/>
        <w:jc w:val="both"/>
      </w:pPr>
      <w:r>
        <w:rPr>
          <w:rFonts w:ascii="Courier New" w:hAnsi="Courier New"/>
          <w:sz w:val="18"/>
        </w:rPr>
        <w:t>OR = lambda xs: NOT(nor(xs))</w:t>
      </w:r>
    </w:p>
    <w:p w14:paraId="1395D32E" w14:textId="77777777" w:rsidR="004C4F4A" w:rsidRDefault="00000000" w:rsidP="0061270E">
      <w:pPr>
        <w:spacing w:after="0" w:line="240" w:lineRule="auto"/>
        <w:jc w:val="both"/>
      </w:pPr>
      <w:r>
        <w:rPr>
          <w:rFonts w:ascii="Courier New" w:hAnsi="Courier New"/>
          <w:sz w:val="18"/>
        </w:rPr>
        <w:t>AND = lambda xs: nor([NOT(x) for x in xs])</w:t>
      </w:r>
    </w:p>
    <w:p w14:paraId="75D352AA" w14:textId="77777777" w:rsidR="004C4F4A" w:rsidRDefault="00000000" w:rsidP="0061270E">
      <w:pPr>
        <w:spacing w:after="0" w:line="240" w:lineRule="auto"/>
        <w:jc w:val="both"/>
      </w:pPr>
      <w:r>
        <w:rPr>
          <w:rFonts w:ascii="Courier New" w:hAnsi="Courier New"/>
          <w:sz w:val="18"/>
        </w:rPr>
        <w:t xml:space="preserve"> </w:t>
      </w:r>
    </w:p>
    <w:p w14:paraId="4717447C" w14:textId="77777777" w:rsidR="004C4F4A" w:rsidRDefault="00000000" w:rsidP="0061270E">
      <w:pPr>
        <w:spacing w:after="0" w:line="240" w:lineRule="auto"/>
        <w:jc w:val="both"/>
      </w:pPr>
      <w:r>
        <w:rPr>
          <w:rFonts w:ascii="Courier New" w:hAnsi="Courier New"/>
          <w:sz w:val="18"/>
        </w:rPr>
        <w:t>def step(x):</w:t>
      </w:r>
    </w:p>
    <w:p w14:paraId="62AB2548" w14:textId="77777777" w:rsidR="004C4F4A" w:rsidRDefault="00000000" w:rsidP="0061270E">
      <w:pPr>
        <w:spacing w:after="0" w:line="240" w:lineRule="auto"/>
        <w:jc w:val="both"/>
      </w:pPr>
      <w:r>
        <w:rPr>
          <w:rFonts w:ascii="Courier New" w:hAnsi="Courier New"/>
          <w:sz w:val="18"/>
        </w:rPr>
        <w:t xml:space="preserve">    return tuple(OR([x[i]] + [AND([x[j] for j in b])</w:t>
      </w:r>
    </w:p>
    <w:p w14:paraId="5AC22BFF" w14:textId="77777777" w:rsidR="004C4F4A" w:rsidRDefault="00000000" w:rsidP="0061270E">
      <w:pPr>
        <w:spacing w:after="0" w:line="240" w:lineRule="auto"/>
        <w:jc w:val="both"/>
      </w:pPr>
      <w:r>
        <w:rPr>
          <w:rFonts w:ascii="Courier New" w:hAnsi="Courier New"/>
          <w:sz w:val="18"/>
        </w:rPr>
        <w:t xml:space="preserve">                 for b,h in rules if h == i]) for i in range(8))</w:t>
      </w:r>
    </w:p>
    <w:p w14:paraId="661EC49B" w14:textId="77777777" w:rsidR="004C4F4A" w:rsidRDefault="00000000" w:rsidP="0061270E">
      <w:pPr>
        <w:spacing w:after="0" w:line="240" w:lineRule="auto"/>
        <w:jc w:val="both"/>
      </w:pPr>
      <w:r>
        <w:rPr>
          <w:rFonts w:ascii="Courier New" w:hAnsi="Courier New"/>
          <w:sz w:val="18"/>
        </w:rPr>
        <w:t xml:space="preserve"> </w:t>
      </w:r>
    </w:p>
    <w:p w14:paraId="45694886" w14:textId="77777777" w:rsidR="004C4F4A" w:rsidRDefault="00000000" w:rsidP="0061270E">
      <w:pPr>
        <w:spacing w:after="0" w:line="240" w:lineRule="auto"/>
        <w:jc w:val="both"/>
      </w:pPr>
      <w:r>
        <w:rPr>
          <w:rFonts w:ascii="Courier New" w:hAnsi="Courier New"/>
          <w:sz w:val="18"/>
        </w:rPr>
        <w:t>def direct(x):</w:t>
      </w:r>
    </w:p>
    <w:p w14:paraId="73100AD4" w14:textId="77777777" w:rsidR="004C4F4A" w:rsidRDefault="00000000" w:rsidP="0061270E">
      <w:pPr>
        <w:spacing w:after="0" w:line="240" w:lineRule="auto"/>
        <w:jc w:val="both"/>
      </w:pPr>
      <w:r>
        <w:rPr>
          <w:rFonts w:ascii="Courier New" w:hAnsi="Courier New"/>
          <w:sz w:val="18"/>
        </w:rPr>
        <w:t xml:space="preserve">    return tuple(int(x[i] or any(all(x[j] for j in b)</w:t>
      </w:r>
    </w:p>
    <w:p w14:paraId="497C522A" w14:textId="77777777" w:rsidR="004C4F4A" w:rsidRDefault="00000000" w:rsidP="0061270E">
      <w:pPr>
        <w:spacing w:after="0" w:line="240" w:lineRule="auto"/>
        <w:jc w:val="both"/>
      </w:pPr>
      <w:r>
        <w:rPr>
          <w:rFonts w:ascii="Courier New" w:hAnsi="Courier New"/>
          <w:sz w:val="18"/>
        </w:rPr>
        <w:t xml:space="preserve">                 for b,h in rules if h == i)) for i in range(8))</w:t>
      </w:r>
    </w:p>
    <w:p w14:paraId="4168E582" w14:textId="77777777" w:rsidR="004C4F4A" w:rsidRDefault="00000000" w:rsidP="0061270E">
      <w:pPr>
        <w:spacing w:after="0" w:line="240" w:lineRule="auto"/>
        <w:jc w:val="both"/>
      </w:pPr>
      <w:r>
        <w:rPr>
          <w:rFonts w:ascii="Courier New" w:hAnsi="Courier New"/>
          <w:sz w:val="18"/>
        </w:rPr>
        <w:t xml:space="preserve"> </w:t>
      </w:r>
    </w:p>
    <w:p w14:paraId="7039744E" w14:textId="77777777" w:rsidR="004C4F4A" w:rsidRDefault="00000000" w:rsidP="0061270E">
      <w:pPr>
        <w:spacing w:after="0" w:line="240" w:lineRule="auto"/>
        <w:jc w:val="both"/>
      </w:pPr>
      <w:r>
        <w:rPr>
          <w:rFonts w:ascii="Courier New" w:hAnsi="Courier New"/>
          <w:sz w:val="18"/>
        </w:rPr>
        <w:t>def close(x):</w:t>
      </w:r>
    </w:p>
    <w:p w14:paraId="672FCA7F" w14:textId="77777777" w:rsidR="004C4F4A" w:rsidRDefault="00000000" w:rsidP="0061270E">
      <w:pPr>
        <w:spacing w:after="0" w:line="240" w:lineRule="auto"/>
        <w:jc w:val="both"/>
      </w:pPr>
      <w:r>
        <w:rPr>
          <w:rFonts w:ascii="Courier New" w:hAnsi="Courier New"/>
          <w:sz w:val="18"/>
        </w:rPr>
        <w:t xml:space="preserve">    rounds = 0</w:t>
      </w:r>
    </w:p>
    <w:p w14:paraId="2F785536" w14:textId="77777777" w:rsidR="004C4F4A" w:rsidRDefault="00000000" w:rsidP="0061270E">
      <w:pPr>
        <w:spacing w:after="0" w:line="240" w:lineRule="auto"/>
        <w:jc w:val="both"/>
      </w:pPr>
      <w:r>
        <w:rPr>
          <w:rFonts w:ascii="Courier New" w:hAnsi="Courier New"/>
          <w:sz w:val="18"/>
        </w:rPr>
        <w:t xml:space="preserve">    while True:</w:t>
      </w:r>
    </w:p>
    <w:p w14:paraId="3669C1C0" w14:textId="77777777" w:rsidR="004C4F4A" w:rsidRDefault="00000000" w:rsidP="0061270E">
      <w:pPr>
        <w:spacing w:after="0" w:line="240" w:lineRule="auto"/>
        <w:jc w:val="both"/>
      </w:pPr>
      <w:r>
        <w:rPr>
          <w:rFonts w:ascii="Courier New" w:hAnsi="Courier New"/>
          <w:sz w:val="18"/>
        </w:rPr>
        <w:t xml:space="preserve">        y = step(x)</w:t>
      </w:r>
    </w:p>
    <w:p w14:paraId="123AA105" w14:textId="77777777" w:rsidR="004C4F4A" w:rsidRDefault="00000000" w:rsidP="0061270E">
      <w:pPr>
        <w:spacing w:after="0" w:line="240" w:lineRule="auto"/>
        <w:jc w:val="both"/>
      </w:pPr>
      <w:r>
        <w:rPr>
          <w:rFonts w:ascii="Courier New" w:hAnsi="Courier New"/>
          <w:sz w:val="18"/>
        </w:rPr>
        <w:t xml:space="preserve">        if y == x:</w:t>
      </w:r>
    </w:p>
    <w:p w14:paraId="6E3FEE1E" w14:textId="77777777" w:rsidR="004C4F4A" w:rsidRDefault="00000000" w:rsidP="0061270E">
      <w:pPr>
        <w:spacing w:after="0" w:line="240" w:lineRule="auto"/>
        <w:jc w:val="both"/>
      </w:pPr>
      <w:r>
        <w:rPr>
          <w:rFonts w:ascii="Courier New" w:hAnsi="Courier New"/>
          <w:sz w:val="18"/>
        </w:rPr>
        <w:t xml:space="preserve">            return x, rounds</w:t>
      </w:r>
    </w:p>
    <w:p w14:paraId="259EE2AC" w14:textId="77777777" w:rsidR="004C4F4A" w:rsidRDefault="00000000" w:rsidP="0061270E">
      <w:pPr>
        <w:spacing w:after="0" w:line="240" w:lineRule="auto"/>
        <w:jc w:val="both"/>
      </w:pPr>
      <w:r>
        <w:rPr>
          <w:rFonts w:ascii="Courier New" w:hAnsi="Courier New"/>
          <w:sz w:val="18"/>
        </w:rPr>
        <w:t xml:space="preserve">        x, rounds = y, rounds + 1</w:t>
      </w:r>
    </w:p>
    <w:p w14:paraId="5B6A9801" w14:textId="77777777" w:rsidR="004C4F4A" w:rsidRDefault="00000000" w:rsidP="0061270E">
      <w:pPr>
        <w:spacing w:after="0" w:line="240" w:lineRule="auto"/>
        <w:jc w:val="both"/>
      </w:pPr>
      <w:r>
        <w:rPr>
          <w:rFonts w:ascii="Courier New" w:hAnsi="Courier New"/>
          <w:sz w:val="18"/>
        </w:rPr>
        <w:t xml:space="preserve"> </w:t>
      </w:r>
    </w:p>
    <w:p w14:paraId="23564F0F" w14:textId="77777777" w:rsidR="004C4F4A" w:rsidRDefault="00000000" w:rsidP="0061270E">
      <w:pPr>
        <w:spacing w:after="0" w:line="240" w:lineRule="auto"/>
        <w:jc w:val="both"/>
      </w:pPr>
      <w:r>
        <w:rPr>
          <w:rFonts w:ascii="Courier New" w:hAnsi="Courier New"/>
          <w:sz w:val="18"/>
        </w:rPr>
        <w:t>seeds = list(product([0,1], repeat=8))</w:t>
      </w:r>
    </w:p>
    <w:p w14:paraId="4123AD1E" w14:textId="77777777" w:rsidR="004C4F4A" w:rsidRDefault="00000000" w:rsidP="0061270E">
      <w:pPr>
        <w:spacing w:after="0" w:line="240" w:lineRule="auto"/>
        <w:jc w:val="both"/>
      </w:pPr>
      <w:r>
        <w:rPr>
          <w:rFonts w:ascii="Courier New" w:hAnsi="Courier New"/>
          <w:sz w:val="18"/>
        </w:rPr>
        <w:t>C = {x: close(x)[0] for x in seeds}</w:t>
      </w:r>
    </w:p>
    <w:p w14:paraId="10B53A5C" w14:textId="77777777" w:rsidR="004C4F4A" w:rsidRDefault="00000000" w:rsidP="0061270E">
      <w:pPr>
        <w:spacing w:after="0" w:line="240" w:lineRule="auto"/>
        <w:jc w:val="both"/>
      </w:pPr>
      <w:r>
        <w:rPr>
          <w:rFonts w:ascii="Courier New" w:hAnsi="Courier New"/>
          <w:sz w:val="18"/>
        </w:rPr>
        <w:t>assert all(step(x) == direct(x) for x in seeds)</w:t>
      </w:r>
    </w:p>
    <w:p w14:paraId="138C8276" w14:textId="77777777" w:rsidR="004C4F4A" w:rsidRDefault="00000000" w:rsidP="0061270E">
      <w:pPr>
        <w:spacing w:after="0" w:line="240" w:lineRule="auto"/>
        <w:jc w:val="both"/>
      </w:pPr>
      <w:r>
        <w:rPr>
          <w:rFonts w:ascii="Courier New" w:hAnsi="Courier New"/>
          <w:sz w:val="18"/>
        </w:rPr>
        <w:t>assert all(all(a &lt;= b for a,b in zip(x,C[x])) for x in seeds)</w:t>
      </w:r>
    </w:p>
    <w:p w14:paraId="1075B4B3" w14:textId="77777777" w:rsidR="004C4F4A" w:rsidRDefault="00000000" w:rsidP="0061270E">
      <w:pPr>
        <w:spacing w:after="0" w:line="240" w:lineRule="auto"/>
        <w:jc w:val="both"/>
      </w:pPr>
      <w:r>
        <w:rPr>
          <w:rFonts w:ascii="Courier New" w:hAnsi="Courier New"/>
          <w:sz w:val="18"/>
        </w:rPr>
        <w:t>assert all(C[C[x]] == C[x] for x in seeds)</w:t>
      </w:r>
    </w:p>
    <w:p w14:paraId="0EA1E39D" w14:textId="77777777" w:rsidR="004C4F4A" w:rsidRDefault="00000000" w:rsidP="0061270E">
      <w:pPr>
        <w:spacing w:after="0" w:line="240" w:lineRule="auto"/>
        <w:jc w:val="both"/>
      </w:pPr>
      <w:r>
        <w:rPr>
          <w:rFonts w:ascii="Courier New" w:hAnsi="Courier New"/>
          <w:sz w:val="18"/>
        </w:rPr>
        <w:t>pairs = [(x,y) for x in seeds for y in seeds</w:t>
      </w:r>
    </w:p>
    <w:p w14:paraId="73A5B46E" w14:textId="77777777" w:rsidR="004C4F4A" w:rsidRDefault="00000000" w:rsidP="0061270E">
      <w:pPr>
        <w:spacing w:after="0" w:line="240" w:lineRule="auto"/>
        <w:jc w:val="both"/>
      </w:pPr>
      <w:r>
        <w:rPr>
          <w:rFonts w:ascii="Courier New" w:hAnsi="Courier New"/>
          <w:sz w:val="18"/>
        </w:rPr>
        <w:t xml:space="preserve">         if all(a &lt;= b for a,b in zip(x,y))]</w:t>
      </w:r>
    </w:p>
    <w:p w14:paraId="3707DB38" w14:textId="77777777" w:rsidR="004C4F4A" w:rsidRDefault="00000000" w:rsidP="0061270E">
      <w:pPr>
        <w:spacing w:after="0" w:line="240" w:lineRule="auto"/>
        <w:jc w:val="both"/>
      </w:pPr>
      <w:r>
        <w:rPr>
          <w:rFonts w:ascii="Courier New" w:hAnsi="Courier New"/>
          <w:sz w:val="18"/>
        </w:rPr>
        <w:t>assert len(pairs) == 6561</w:t>
      </w:r>
    </w:p>
    <w:p w14:paraId="4371C58A" w14:textId="77777777" w:rsidR="004C4F4A" w:rsidRDefault="00000000" w:rsidP="0061270E">
      <w:pPr>
        <w:spacing w:after="0" w:line="240" w:lineRule="auto"/>
        <w:jc w:val="both"/>
      </w:pPr>
      <w:r>
        <w:rPr>
          <w:rFonts w:ascii="Courier New" w:hAnsi="Courier New"/>
          <w:sz w:val="18"/>
        </w:rPr>
        <w:t>assert all(all(a &lt;= b for a,b in zip(C[x],C[y])) for x,y in pairs)</w:t>
      </w:r>
    </w:p>
    <w:p w14:paraId="7EB422EF" w14:textId="77777777" w:rsidR="004C4F4A" w:rsidRDefault="00000000" w:rsidP="0061270E">
      <w:pPr>
        <w:spacing w:after="0" w:line="240" w:lineRule="auto"/>
        <w:jc w:val="both"/>
      </w:pPr>
      <w:r>
        <w:rPr>
          <w:rFonts w:ascii="Courier New" w:hAnsi="Courier New"/>
          <w:sz w:val="18"/>
        </w:rPr>
        <w:t>assert max(close(x)[1] for x in seeds) == 4</w:t>
      </w:r>
    </w:p>
    <w:p w14:paraId="5FAD28ED" w14:textId="77777777" w:rsidR="004C4F4A" w:rsidRDefault="00000000" w:rsidP="0061270E">
      <w:pPr>
        <w:spacing w:after="0" w:line="240" w:lineRule="auto"/>
        <w:jc w:val="both"/>
      </w:pPr>
      <w:r>
        <w:rPr>
          <w:rFonts w:ascii="Courier New" w:hAnsi="Courier New"/>
          <w:sz w:val="18"/>
        </w:rPr>
        <w:t>x = (1,1,1,0,0,0,0,0)</w:t>
      </w:r>
    </w:p>
    <w:p w14:paraId="110800EA" w14:textId="77777777" w:rsidR="004C4F4A" w:rsidRDefault="00000000" w:rsidP="0061270E">
      <w:pPr>
        <w:spacing w:after="0" w:line="240" w:lineRule="auto"/>
        <w:jc w:val="both"/>
      </w:pPr>
      <w:r>
        <w:rPr>
          <w:rFonts w:ascii="Courier New" w:hAnsi="Courier New"/>
          <w:sz w:val="18"/>
        </w:rPr>
        <w:t>assert step(step(x)) != step(x)</w:t>
      </w:r>
    </w:p>
    <w:p w14:paraId="7B17CB4C" w14:textId="77777777" w:rsidR="004C4F4A" w:rsidRDefault="00000000" w:rsidP="0061270E">
      <w:pPr>
        <w:spacing w:after="0" w:line="240" w:lineRule="auto"/>
        <w:jc w:val="both"/>
      </w:pPr>
      <w:r>
        <w:rPr>
          <w:rFonts w:ascii="Courier New" w:hAnsi="Courier New"/>
          <w:sz w:val="18"/>
        </w:rPr>
        <w:t>print(len(seeds), len(pairs), tanh(.5), tanh(tanh(.5)))</w:t>
      </w:r>
    </w:p>
    <w:p w14:paraId="5ADF2EF3" w14:textId="77777777" w:rsidR="004C4F4A" w:rsidRDefault="00000000" w:rsidP="0061270E">
      <w:pPr>
        <w:spacing w:after="0" w:line="240" w:lineRule="auto"/>
        <w:jc w:val="both"/>
      </w:pPr>
      <w:r>
        <w:rPr>
          <w:rFonts w:ascii="Courier New" w:hAnsi="Courier New"/>
          <w:sz w:val="18"/>
        </w:rPr>
        <w:t>grid = [-2 + 4*i/2000 for i in range(2001)]</w:t>
      </w:r>
    </w:p>
    <w:p w14:paraId="3F19025C" w14:textId="77777777" w:rsidR="004C4F4A" w:rsidRDefault="00000000" w:rsidP="0061270E">
      <w:pPr>
        <w:spacing w:after="0" w:line="240" w:lineRule="auto"/>
        <w:jc w:val="both"/>
      </w:pPr>
      <w:r>
        <w:rPr>
          <w:rFonts w:ascii="Courier New" w:hAnsi="Courier New"/>
          <w:sz w:val="18"/>
        </w:rPr>
        <w:t>print(max(abs(tanh(tanh(z))-tanh(z)) for z in grid))</w:t>
      </w:r>
    </w:p>
    <w:sectPr w:rsidR="004C4F4A"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F2EA" w14:textId="77777777" w:rsidR="008E3273" w:rsidRDefault="008E3273">
      <w:pPr>
        <w:spacing w:after="0" w:line="240" w:lineRule="auto"/>
      </w:pPr>
      <w:r>
        <w:separator/>
      </w:r>
    </w:p>
  </w:endnote>
  <w:endnote w:type="continuationSeparator" w:id="0">
    <w:p w14:paraId="719EDA0A" w14:textId="77777777" w:rsidR="008E3273" w:rsidRDefault="008E3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19C4" w14:textId="1C11D370" w:rsidR="004C4F4A" w:rsidRDefault="00000000" w:rsidP="00DB37F8">
    <w:pPr>
      <w:pStyle w:val="Footer"/>
      <w:jc w:val="right"/>
    </w:pPr>
    <w:r>
      <w:t xml:space="preserve">Ghosh </w:t>
    </w:r>
    <w:r w:rsidR="00DB37F8">
      <w:t>D. P.</w:t>
    </w:r>
    <w:r>
      <w:t xml:space="preserve"> | </w:t>
    </w:r>
    <w:r>
      <w:fldChar w:fldCharType="begin"/>
    </w:r>
    <w:r>
      <w:instrText>PAGE</w:instrText>
    </w:r>
    <w:r>
      <w:fldChar w:fldCharType="separate"/>
    </w:r>
    <w:r w:rsidR="006127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6A8AB" w14:textId="77777777" w:rsidR="008E3273" w:rsidRDefault="008E3273">
      <w:pPr>
        <w:spacing w:after="0" w:line="240" w:lineRule="auto"/>
      </w:pPr>
      <w:r>
        <w:separator/>
      </w:r>
    </w:p>
  </w:footnote>
  <w:footnote w:type="continuationSeparator" w:id="0">
    <w:p w14:paraId="0AC7CC3F" w14:textId="77777777" w:rsidR="008E3273" w:rsidRDefault="008E3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8A48" w14:textId="2A83945E" w:rsidR="004C4F4A" w:rsidRDefault="00000000">
    <w:pPr>
      <w:pStyle w:val="Header"/>
    </w:pPr>
    <w:r>
      <w:rPr>
        <w:color w:val="000000"/>
        <w:sz w:val="16"/>
      </w:rPr>
      <w:t>CEREBELLUM AS A CLOSURE | THEORY AND CIRCUIT CONSTRUCTION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4068249">
    <w:abstractNumId w:val="8"/>
  </w:num>
  <w:num w:numId="2" w16cid:durableId="1676036715">
    <w:abstractNumId w:val="6"/>
  </w:num>
  <w:num w:numId="3" w16cid:durableId="1961763909">
    <w:abstractNumId w:val="5"/>
  </w:num>
  <w:num w:numId="4" w16cid:durableId="247929476">
    <w:abstractNumId w:val="4"/>
  </w:num>
  <w:num w:numId="5" w16cid:durableId="1106122847">
    <w:abstractNumId w:val="7"/>
  </w:num>
  <w:num w:numId="6" w16cid:durableId="1002197061">
    <w:abstractNumId w:val="3"/>
  </w:num>
  <w:num w:numId="7" w16cid:durableId="1676692313">
    <w:abstractNumId w:val="2"/>
  </w:num>
  <w:num w:numId="8" w16cid:durableId="733704938">
    <w:abstractNumId w:val="1"/>
  </w:num>
  <w:num w:numId="9" w16cid:durableId="1194223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F4A"/>
    <w:rsid w:val="0061270E"/>
    <w:rsid w:val="007503AA"/>
    <w:rsid w:val="008E3273"/>
    <w:rsid w:val="00AA1D8D"/>
    <w:rsid w:val="00B47730"/>
    <w:rsid w:val="00CB0664"/>
    <w:rsid w:val="00DB37F8"/>
    <w:rsid w:val="00DE4B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93F5D"/>
  <w14:defaultImageDpi w14:val="300"/>
  <w15:docId w15:val="{232A1EBD-A293-4AAF-B64F-D038742A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40" w:after="120" w:line="240" w:lineRule="auto"/>
      <w:contextualSpacing/>
    </w:pPr>
    <w:rPr>
      <w:rFonts w:asciiTheme="majorHAnsi" w:eastAsiaTheme="majorEastAsia" w:hAnsiTheme="majorHAnsi" w:cstheme="majorBid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12</Pages>
  <Words>5758</Words>
  <Characters>32822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Cerebellum as a Closure</vt:lpstr>
    </vt:vector>
  </TitlesOfParts>
  <Manager/>
  <Company/>
  <LinksUpToDate>false</LinksUpToDate>
  <CharactersWithSpaces>38503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Cerebellum as a Closure</dc:title>
  <dc:subject>Captured environments and constructive inhibitory closure</dc:subject>
  <dc:creator>Debi Prasad Ghosh</dc:creator>
  <cp:keywords/>
  <dc:description>generated by python-docx</dc:description>
  <cp:lastModifiedBy>Debiprasad Ghosh</cp:lastModifiedBy>
  <cp:revision>3</cp:revision>
  <dcterms:created xsi:type="dcterms:W3CDTF">2013-12-23T23:15:00Z</dcterms:created>
  <dcterms:modified xsi:type="dcterms:W3CDTF">2026-10-17T06:50:00Z</dcterms:modified>
  <cp:category/>
</cp:coreProperties>
</file>