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53DFF" w14:textId="2D531CD9" w:rsidR="00C415D1" w:rsidRDefault="005A464C" w:rsidP="005A464C">
      <w:pPr>
        <w:pStyle w:val="Title"/>
      </w:pPr>
      <w:r>
        <w:t>SheafFarm: Some Sheaf-Diffusion Algorithms are More Sheaf Than Others</w:t>
      </w:r>
    </w:p>
    <w:p w14:paraId="74C8246B" w14:textId="77777777" w:rsidR="00C415D1" w:rsidRDefault="00000000" w:rsidP="005A464C">
      <w:pPr>
        <w:pStyle w:val="Subtitle"/>
      </w:pPr>
      <w:r>
        <w:t>Distinguishing operator geometry compatibility and generative law</w:t>
      </w:r>
    </w:p>
    <w:p w14:paraId="3D2A1355" w14:textId="77777777" w:rsidR="00C415D1" w:rsidRDefault="00000000" w:rsidP="005A464C">
      <w:pPr>
        <w:pStyle w:val="Author"/>
      </w:pPr>
      <w:r>
        <w:t>Debi Prasad Ghosh</w:t>
      </w:r>
    </w:p>
    <w:p w14:paraId="12348477" w14:textId="77777777" w:rsidR="00C415D1" w:rsidRDefault="00000000" w:rsidP="005A464C">
      <w:pPr>
        <w:pStyle w:val="Author"/>
      </w:pPr>
      <w:r>
        <w:t>Founder and Principal Engineer, Debias Parametric Guru, Kolkata, India</w:t>
      </w:r>
    </w:p>
    <w:p w14:paraId="03CA81E1" w14:textId="77777777" w:rsidR="00C415D1" w:rsidRDefault="00000000" w:rsidP="005A464C">
      <w:pPr>
        <w:pStyle w:val="Date"/>
      </w:pPr>
      <w:r>
        <w:t>20 October 2026</w:t>
      </w:r>
    </w:p>
    <w:p w14:paraId="0AE55481" w14:textId="77777777" w:rsidR="00C415D1" w:rsidRDefault="00000000" w:rsidP="005A464C">
      <w:pPr>
        <w:pStyle w:val="Heading21"/>
        <w:jc w:val="both"/>
      </w:pPr>
      <w:bookmarkStart w:id="0" w:name="abstract"/>
      <w:r>
        <w:t>Abstract</w:t>
      </w:r>
    </w:p>
    <w:p w14:paraId="1AE7A272" w14:textId="77777777" w:rsidR="00C415D1" w:rsidRDefault="00000000" w:rsidP="005A464C">
      <w:pPr>
        <w:pStyle w:val="FirstParagraph"/>
        <w:jc w:val="both"/>
      </w:pPr>
      <w:r>
        <w:t>The name sheaf diffusion covers several different mathematical commitments. A model may assemble a Laplacian from restriction maps, transport data between local frames, preserve compatible assignments, or generate a probability law on global sections. These properties are not interchangeable. We propose a comparison by explicit structural certificates rather than a scalar measure of sheafness. The paper proves three separations. First, algorithms that access a sheaf only through its vertex Laplacian cannot recover the whole sheaf: identical Laplacians can hide different first cohomology, or different general transport holonomy even with the same stalk dimensions. Second, preserving global sections is equivalent to an unrestricted cochain factorisation, but does not imply a local sheaf morphism. Third, stronger compatibility can discard operator information. Infinite-time heat and hard Gaussian coupling retain only the compatible subspace. On a cycle with two-dimensional orthogonal data, an arbitrarily small nontrivial rotation changes that subspace from dimension two to zero, so the zero-holonomy and infinite-diffusion limits do not commute. Finite heat and soft Gaussian laws instead obey quantitative perturbation bounds. We also show that full unit-covariance Gaussian marginals can be exactly compatible on a connected orthogonal local system only when its holonomy is trivial. These results distinguish neural sheaf architectures, archive reads, correlated batch noise, coupled targets and probabilistic gluing without treating them as a performance ranking. Seventeen deterministic checks illustrate the proofs. The resulting implementation question is precise: which structural information does the algorithm retain, which relations does it enforce, and which probability claim has actually been established?</w:t>
      </w:r>
    </w:p>
    <w:p w14:paraId="434FB120" w14:textId="77777777" w:rsidR="00C415D1" w:rsidRDefault="00000000" w:rsidP="005A464C">
      <w:pPr>
        <w:pStyle w:val="BodyText"/>
        <w:jc w:val="both"/>
      </w:pPr>
      <w:r>
        <w:rPr>
          <w:b/>
          <w:bCs/>
        </w:rPr>
        <w:t>Keywords:</w:t>
      </w:r>
      <w:r>
        <w:t xml:space="preserve"> cellular sheaf; sheaf diffusion; holonomy; naturality; Gaussian diffusion; global sections; identifiability; model comparison.</w:t>
      </w:r>
    </w:p>
    <w:p w14:paraId="634AFDED" w14:textId="77777777" w:rsidR="00C415D1" w:rsidRDefault="00000000" w:rsidP="005A464C">
      <w:pPr>
        <w:pStyle w:val="Heading11"/>
        <w:jc w:val="both"/>
      </w:pPr>
      <w:bookmarkStart w:id="1" w:name="what-the-title-means"/>
      <w:bookmarkEnd w:id="0"/>
      <w:r>
        <w:t>1 What the title means</w:t>
      </w:r>
    </w:p>
    <w:p w14:paraId="4EFC5D1D" w14:textId="77777777" w:rsidR="00C415D1" w:rsidRDefault="00000000" w:rsidP="005A464C">
      <w:pPr>
        <w:pStyle w:val="FirstParagraph"/>
        <w:jc w:val="both"/>
      </w:pPr>
      <w:r>
        <w:t xml:space="preserve">Some sheaf-diffusion algorithms use more of a sheaf than others. That statement becomes useful only after specifying what </w:t>
      </w:r>
      <w:r>
        <w:rPr>
          <w:i/>
          <w:iCs/>
        </w:rPr>
        <w:t>use</w:t>
      </w:r>
      <w:r>
        <w:t xml:space="preserve"> means. Multiplying by a matrix assembled from restrictions uses their Gram operator. Solving for a compatible assignment uses their common kernel. Checking the restriction squares uses the local diagram itself. Sampling a law on compatible assignments requires a further probabilistic specification. An algorithm can make a strong commitment in one of these senses and a weak commitment in another.</w:t>
      </w:r>
    </w:p>
    <w:p w14:paraId="428D1094" w14:textId="77777777" w:rsidR="00C415D1" w:rsidRDefault="00000000" w:rsidP="005A464C">
      <w:pPr>
        <w:pStyle w:val="BodyText"/>
        <w:jc w:val="both"/>
      </w:pPr>
      <w:r>
        <w:t>We therefore interpret the title as a question about retained structure. It is not a claim that a constant sheaf is less legitimate, that nonzero holonomy is always desirable, or that an elaborate construction should outperform a simple one. Constant sheaves are sheaves. Ordinary graph diffusion is a valid special case. A sheaf with complicated matrices can be equivalent, after changing local coordinates, to that simple case. Conversely, hard compatibility may eliminate directions that a useful model needs.</w:t>
      </w:r>
    </w:p>
    <w:p w14:paraId="38C1DEF3" w14:textId="77777777" w:rsidR="00C415D1" w:rsidRDefault="00000000" w:rsidP="005A464C">
      <w:pPr>
        <w:pStyle w:val="BodyText"/>
        <w:jc w:val="both"/>
      </w:pPr>
      <w:r>
        <w:t xml:space="preserve">The distinction matters in the ASE programme. The route from DDPM and DDIM through Diffusion Evolution and ADE to Autoregressive Sheaf Evolution changes the clean prediction inside a scheduled recurrence. The reverse route shows where a sheaf can enter a conventional sampler: a read among records, correlations among </w:t>
      </w:r>
      <w:r>
        <w:lastRenderedPageBreak/>
        <w:t>generated examples, a clean joint target, or a compositional support model [7, 11]. Sharing a denoising update does not make those constructions share a probability law.</w:t>
      </w:r>
    </w:p>
    <w:p w14:paraId="0092DA50" w14:textId="77777777" w:rsidR="00C415D1" w:rsidRDefault="00000000" w:rsidP="005A464C">
      <w:pPr>
        <w:pStyle w:val="BodyText"/>
        <w:jc w:val="both"/>
      </w:pPr>
      <w:r>
        <w:t>There is also an established architectural meaning. Neural Sheaf Diffusion learns restriction maps and uses their associated operator for graph representation learning [2]. Deep Neural Sheaf Diffusion changes the propagation mechanism to address depth-related signal decay [3]. Such models need not be generative DDPMs, nor do their learned nonlinear layers automatically become morphisms of sheaves. Their structural claims should be assessed at the interfaces they actually declare.</w:t>
      </w:r>
    </w:p>
    <w:p w14:paraId="1CCDCDDC" w14:textId="77777777" w:rsidR="00C415D1" w:rsidRDefault="00000000" w:rsidP="005A464C">
      <w:pPr>
        <w:pStyle w:val="BodyText"/>
        <w:jc w:val="both"/>
      </w:pPr>
      <w:r>
        <w:t>This paper develops a small mathematical theory of those interfaces. Section 3 establishes what a Laplacian-only algorithm cannot identify. Section 4 removes coordinate-dependent notions of nontriviality. Section 5 separates section preservation, cochain maps and local naturality. Section 6 shows how hard compatibility can forget geometry and become discontinuous. Section 7 separates compatible noise, unchanged marginal laws and globally calibrated targets. Sections 8 and 9 turn these distinctions into algorithm comparisons and falsifiable engineering tests.</w:t>
      </w:r>
    </w:p>
    <w:p w14:paraId="1E5F3D81" w14:textId="77777777" w:rsidR="00C415D1" w:rsidRDefault="00000000" w:rsidP="005A464C">
      <w:pPr>
        <w:pStyle w:val="BodyText"/>
        <w:jc w:val="both"/>
      </w:pPr>
      <w:r>
        <w:t>The underlying sheaf and spectral facts are classical [1, 2]. The contribution is their organisation into an operational comparison, together with explicit separation examples and their consequences for sheaf-based generative diffusion. We make no literature-priority claim for the elementary identities, no assertion that sheaf theory is necessary to compute a matrix product, and no trained-model performance claim.</w:t>
      </w:r>
    </w:p>
    <w:p w14:paraId="46C72EE7" w14:textId="77777777" w:rsidR="00C415D1" w:rsidRDefault="00000000" w:rsidP="005A464C">
      <w:pPr>
        <w:pStyle w:val="Heading11"/>
        <w:jc w:val="both"/>
      </w:pPr>
      <w:bookmarkStart w:id="2" w:name="a-typed-structural-comparison"/>
      <w:bookmarkEnd w:id="1"/>
      <w:r>
        <w:t>2 A typed structural comparison</w:t>
      </w:r>
    </w:p>
    <w:p w14:paraId="625F3C7B" w14:textId="77777777" w:rsidR="00C415D1" w:rsidRDefault="00000000" w:rsidP="005A464C">
      <w:pPr>
        <w:pStyle w:val="FirstParagraph"/>
        <w:jc w:val="both"/>
      </w:pPr>
      <w:r>
        <w:t>Fix units before taking a residual. Displacements, rotations, stresses and latent features require declared scales and metrics. We use orthonormal coordinates after that calibration. A permitted change of frame acts within the declared physical or feature type; it does not authorise mixing quantities with incompatible units.</w:t>
      </w:r>
    </w:p>
    <w:p w14:paraId="7AA013B2" w14:textId="77777777" w:rsidR="00C415D1" w:rsidRDefault="00000000" w:rsidP="005A464C">
      <w:pPr>
        <w:pStyle w:val="BodyText"/>
        <w:keepNext/>
        <w:jc w:val="both"/>
      </w:pPr>
      <w:r>
        <w:rPr>
          <w:b/>
          <w:bCs/>
        </w:rPr>
        <w:t>Definition 2.1 — Horizontal data and agreement.</w:t>
      </w:r>
      <w:r>
        <w:t xml:space="preserve"> On a finite oriented graph, assign data spaces </w:t>
      </w:r>
      <m:oMath>
        <m:r>
          <w:rPr>
            <w:rFonts w:ascii="Cambria Math" w:hAnsi="Cambria Math"/>
          </w:rPr>
          <m:t>F</m:t>
        </m:r>
        <m:d>
          <m:dPr>
            <m:ctrlPr>
              <w:rPr>
                <w:rFonts w:ascii="Cambria Math" w:hAnsi="Cambria Math"/>
              </w:rPr>
            </m:ctrlPr>
          </m:dPr>
          <m:e>
            <m:r>
              <w:rPr>
                <w:rFonts w:ascii="Cambria Math" w:hAnsi="Cambria Math"/>
              </w:rPr>
              <m:t>v</m:t>
            </m:r>
          </m:e>
        </m:d>
      </m:oMath>
      <w:r>
        <w:t xml:space="preserve"> and comparison spaces </w:t>
      </w:r>
      <m:oMath>
        <m:r>
          <w:rPr>
            <w:rFonts w:ascii="Cambria Math" w:hAnsi="Cambria Math"/>
          </w:rPr>
          <m:t>F</m:t>
        </m:r>
        <m:d>
          <m:dPr>
            <m:ctrlPr>
              <w:rPr>
                <w:rFonts w:ascii="Cambria Math" w:hAnsi="Cambria Math"/>
              </w:rPr>
            </m:ctrlPr>
          </m:dPr>
          <m:e>
            <m:r>
              <w:rPr>
                <w:rFonts w:ascii="Cambria Math" w:hAnsi="Cambria Math"/>
              </w:rPr>
              <m:t>e</m:t>
            </m:r>
          </m:e>
        </m:d>
        <m:r>
          <m:rPr>
            <m:nor/>
          </m:rPr>
          <m:t>,</m:t>
        </m:r>
      </m:oMath>
      <w:r>
        <w:t xml:space="preserve"> with linear restrictions </w:t>
      </w:r>
      <m:oMath>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e</m:t>
            </m:r>
          </m:e>
        </m:d>
      </m:oMath>
      <w:r>
        <w:t xml:space="preserve"> for each incidence. Put</w:t>
      </w:r>
    </w:p>
    <w:p w14:paraId="6A208BC6" w14:textId="77777777" w:rsidR="00C415D1" w:rsidRDefault="00000000" w:rsidP="005A464C">
      <w:pPr>
        <w:pStyle w:val="Equation"/>
        <w:jc w:val="both"/>
      </w:pPr>
      <w:r>
        <w:tab/>
      </w:r>
      <m:oMath>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we</m:t>
            </m:r>
          </m:sub>
        </m:sSub>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oMath>
      <w:r>
        <w:tab/>
        <w:t>(1)</w:t>
      </w:r>
    </w:p>
    <w:p w14:paraId="7D9F0B5C" w14:textId="77777777" w:rsidR="00C415D1" w:rsidRDefault="00000000" w:rsidP="005A464C">
      <w:pPr>
        <w:pStyle w:val="BodyText"/>
        <w:jc w:val="both"/>
      </w:pPr>
      <w:r>
        <w:t xml:space="preserve">For positive-definite edge metric </w:t>
      </w:r>
      <m:oMath>
        <m:r>
          <w:rPr>
            <w:rFonts w:ascii="Cambria Math" w:hAnsi="Cambria Math"/>
          </w:rPr>
          <m:t>W</m:t>
        </m:r>
        <m:r>
          <m:rPr>
            <m:nor/>
          </m:rPr>
          <m:t>,</m:t>
        </m:r>
      </m:oMath>
      <w:r>
        <w:t xml:space="preserve"> let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δ</m:t>
        </m:r>
        <m:r>
          <m:rPr>
            <m:nor/>
          </m:rPr>
          <m:t>.</m:t>
        </m:r>
      </m:oMath>
      <w:r>
        <w:t xml:space="preserve"> The agreement energy, vertex Laplacian and compatible space are</w:t>
      </w:r>
    </w:p>
    <w:p w14:paraId="5983BFDB" w14:textId="77777777" w:rsidR="00C415D1" w:rsidRDefault="00000000" w:rsidP="005A464C">
      <w:pPr>
        <w:pStyle w:val="Equation"/>
        <w:jc w:val="both"/>
      </w:pPr>
      <w:r>
        <w:tab/>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Bx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  L</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r>
          <m:rPr>
            <m:sty m:val="p"/>
          </m:rPr>
          <w:rPr>
            <w:rFonts w:ascii="Cambria Math" w:hAnsi="Cambria Math"/>
          </w:rPr>
          <m:t>,</m:t>
        </m:r>
        <m:r>
          <w:rPr>
            <w:rFonts w:ascii="Cambria Math" w:hAnsi="Cambria Math"/>
          </w:rPr>
          <m:t>  V</m:t>
        </m:r>
        <m:r>
          <m:rPr>
            <m:sty m:val="p"/>
          </m:rPr>
          <w:rPr>
            <w:rFonts w:ascii="Cambria Math" w:hAnsi="Cambria Math"/>
          </w:rPr>
          <m:t>=ker</m:t>
        </m:r>
        <m:r>
          <w:rPr>
            <w:rFonts w:ascii="Cambria Math" w:hAnsi="Cambria Math"/>
          </w:rPr>
          <m:t>B</m:t>
        </m:r>
        <m:r>
          <m:rPr>
            <m:sty m:val="p"/>
          </m:rPr>
          <w:rPr>
            <w:rFonts w:ascii="Cambria Math" w:hAnsi="Cambria Math"/>
          </w:rPr>
          <m:t>=ker</m:t>
        </m:r>
        <m:r>
          <w:rPr>
            <w:rFonts w:ascii="Cambria Math" w:hAnsi="Cambria Math"/>
          </w:rPr>
          <m:t>L</m:t>
        </m:r>
        <m:r>
          <m:rPr>
            <m:sty m:val="p"/>
          </m:rPr>
          <w:rPr>
            <w:rFonts w:ascii="Cambria Math" w:hAnsi="Cambria Math"/>
          </w:rPr>
          <m:t>.</m:t>
        </m:r>
      </m:oMath>
      <w:r>
        <w:tab/>
        <w:t>(2)</w:t>
      </w:r>
    </w:p>
    <w:p w14:paraId="2E642314" w14:textId="77777777" w:rsidR="00C415D1" w:rsidRDefault="00000000" w:rsidP="005A464C">
      <w:pPr>
        <w:pStyle w:val="BodyText"/>
        <w:jc w:val="both"/>
      </w:pPr>
      <w:r>
        <w:t>A stalk is a data space, not a travelling token. A token occupies elements of successive data spaces; specified linear transports or pathwise derivatives form its vertical fibre diagram. A graph sheaf has no higher-face identities to check. If a model adds triangles or higher cells, the relevant restriction composites must commute before the resulting cochain complex is asserted.</w:t>
      </w:r>
    </w:p>
    <w:p w14:paraId="52A28D08" w14:textId="77777777" w:rsidR="00C415D1" w:rsidRDefault="00000000" w:rsidP="005A464C">
      <w:pPr>
        <w:pStyle w:val="BodyText"/>
        <w:jc w:val="both"/>
      </w:pPr>
      <w:r>
        <w:t>The four bases remain distinct. A cover and its nerve describe locality; a context base describes partial-variable incidence; a layer order describes computational depth or noise levels; an observation star describes retrieval. A graph connecting examples is not automatically an open-cover nerve. Comparison between these objects needs maps, not shared terminology.</w:t>
      </w:r>
    </w:p>
    <w:p w14:paraId="410952C8" w14:textId="77777777" w:rsidR="00C415D1" w:rsidRDefault="00000000" w:rsidP="005A464C">
      <w:pPr>
        <w:pStyle w:val="BodyText"/>
        <w:keepNext/>
        <w:jc w:val="both"/>
      </w:pPr>
      <w:r>
        <w:rPr>
          <w:b/>
          <w:bCs/>
        </w:rPr>
        <w:lastRenderedPageBreak/>
        <w:t>Definition 2.2 — A declared comparison interface.</w:t>
      </w:r>
      <w:r>
        <w:t xml:space="preserve"> An algorithmic claim specifies its data spaces, restriction family, allowed coordinate changes, available operations, admissible inputs, and a baseline class. A structural certificate is a statement about that interface, not merely a name attached to the code.</w:t>
      </w:r>
    </w:p>
    <w:p w14:paraId="1DB9AB8F" w14:textId="77777777" w:rsidR="00C415D1" w:rsidRDefault="00000000" w:rsidP="005A464C">
      <w:pPr>
        <w:pStyle w:val="TableCaption"/>
        <w:jc w:val="both"/>
      </w:pPr>
      <w:r>
        <w:rPr>
          <w:b/>
          <w:bCs/>
        </w:rPr>
        <w:t>Table 1.</w:t>
      </w:r>
      <w:r>
        <w:t xml:space="preserve"> Certificates used in this paper. Each needs its own assumptions and witness.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77"/>
        <w:gridCol w:w="4101"/>
        <w:gridCol w:w="4086"/>
      </w:tblGrid>
      <w:tr w:rsidR="00C415D1" w14:paraId="7E83044A" w14:textId="77777777">
        <w:trPr>
          <w:cnfStyle w:val="100000000000" w:firstRow="1" w:lastRow="0" w:firstColumn="0" w:lastColumn="0" w:oddVBand="0" w:evenVBand="0" w:oddHBand="0" w:evenHBand="0" w:firstRowFirstColumn="0" w:firstRowLastColumn="0" w:lastRowFirstColumn="0" w:lastRowLastColumn="0"/>
          <w:cantSplit/>
          <w:tblHeader/>
        </w:trPr>
        <w:tc>
          <w:tcPr>
            <w:tcW w:w="1944" w:type="dxa"/>
            <w:shd w:val="clear" w:color="auto" w:fill="E7EBEF"/>
            <w:tcMar>
              <w:top w:w="85" w:type="dxa"/>
              <w:left w:w="85" w:type="dxa"/>
              <w:bottom w:w="85" w:type="dxa"/>
              <w:right w:w="85" w:type="dxa"/>
            </w:tcMar>
            <w:vAlign w:val="center"/>
          </w:tcPr>
          <w:p w14:paraId="76F74BD0" w14:textId="77777777" w:rsidR="00C415D1" w:rsidRDefault="00000000" w:rsidP="005A464C">
            <w:pPr>
              <w:pStyle w:val="Compact"/>
              <w:spacing w:before="20" w:after="40" w:line="259" w:lineRule="auto"/>
              <w:jc w:val="both"/>
            </w:pPr>
            <w:r>
              <w:rPr>
                <w:sz w:val="20"/>
              </w:rPr>
              <w:t>Certificate</w:t>
            </w:r>
          </w:p>
        </w:tc>
        <w:tc>
          <w:tcPr>
            <w:tcW w:w="4032" w:type="dxa"/>
            <w:shd w:val="clear" w:color="auto" w:fill="E7EBEF"/>
            <w:tcMar>
              <w:top w:w="85" w:type="dxa"/>
              <w:left w:w="85" w:type="dxa"/>
              <w:bottom w:w="85" w:type="dxa"/>
              <w:right w:w="85" w:type="dxa"/>
            </w:tcMar>
            <w:vAlign w:val="center"/>
          </w:tcPr>
          <w:p w14:paraId="0824539E" w14:textId="77777777" w:rsidR="00C415D1" w:rsidRDefault="00000000" w:rsidP="005A464C">
            <w:pPr>
              <w:pStyle w:val="Compact"/>
              <w:spacing w:before="20" w:after="40" w:line="259" w:lineRule="auto"/>
              <w:jc w:val="both"/>
            </w:pPr>
            <w:r>
              <w:rPr>
                <w:sz w:val="20"/>
              </w:rPr>
              <w:t>What it establishes</w:t>
            </w:r>
          </w:p>
        </w:tc>
        <w:tc>
          <w:tcPr>
            <w:tcW w:w="4018" w:type="dxa"/>
            <w:shd w:val="clear" w:color="auto" w:fill="E7EBEF"/>
            <w:tcMar>
              <w:top w:w="85" w:type="dxa"/>
              <w:left w:w="85" w:type="dxa"/>
              <w:bottom w:w="85" w:type="dxa"/>
              <w:right w:w="85" w:type="dxa"/>
            </w:tcMar>
            <w:vAlign w:val="center"/>
          </w:tcPr>
          <w:p w14:paraId="74A87AFC" w14:textId="77777777" w:rsidR="00C415D1" w:rsidRDefault="00000000" w:rsidP="005A464C">
            <w:pPr>
              <w:pStyle w:val="Compact"/>
              <w:spacing w:before="20" w:after="40" w:line="259" w:lineRule="auto"/>
              <w:jc w:val="both"/>
            </w:pPr>
            <w:r>
              <w:rPr>
                <w:sz w:val="20"/>
              </w:rPr>
              <w:t>What does not establish it</w:t>
            </w:r>
          </w:p>
        </w:tc>
      </w:tr>
      <w:tr w:rsidR="00C415D1" w14:paraId="2B946CC6" w14:textId="77777777">
        <w:trPr>
          <w:cantSplit/>
        </w:trPr>
        <w:tc>
          <w:tcPr>
            <w:tcW w:w="1944" w:type="dxa"/>
            <w:shd w:val="clear" w:color="auto" w:fill="FFFFFF"/>
            <w:tcMar>
              <w:top w:w="85" w:type="dxa"/>
              <w:left w:w="85" w:type="dxa"/>
              <w:bottom w:w="85" w:type="dxa"/>
              <w:right w:w="85" w:type="dxa"/>
            </w:tcMar>
            <w:vAlign w:val="center"/>
          </w:tcPr>
          <w:p w14:paraId="034876B5" w14:textId="77777777" w:rsidR="00C415D1" w:rsidRDefault="00000000" w:rsidP="005A464C">
            <w:pPr>
              <w:pStyle w:val="Compact"/>
              <w:spacing w:before="20" w:after="40" w:line="259" w:lineRule="auto"/>
              <w:jc w:val="both"/>
            </w:pPr>
            <w:r>
              <w:rPr>
                <w:sz w:val="20"/>
              </w:rPr>
              <w:t>Operator dependence</w:t>
            </w:r>
          </w:p>
        </w:tc>
        <w:tc>
          <w:tcPr>
            <w:tcW w:w="4032" w:type="dxa"/>
            <w:shd w:val="clear" w:color="auto" w:fill="FFFFFF"/>
            <w:tcMar>
              <w:top w:w="85" w:type="dxa"/>
              <w:left w:w="85" w:type="dxa"/>
              <w:bottom w:w="85" w:type="dxa"/>
              <w:right w:w="85" w:type="dxa"/>
            </w:tcMar>
            <w:vAlign w:val="center"/>
          </w:tcPr>
          <w:p w14:paraId="0DFEBFEB" w14:textId="77777777" w:rsidR="00C415D1" w:rsidRDefault="00000000" w:rsidP="005A464C">
            <w:pPr>
              <w:pStyle w:val="Compact"/>
              <w:spacing w:before="20" w:after="40" w:line="259" w:lineRule="auto"/>
              <w:jc w:val="both"/>
            </w:pPr>
            <w:r>
              <w:rPr>
                <w:sz w:val="20"/>
              </w:rPr>
              <w:t>Changes in admissible restrictions affect the operator or law beyond the declared control</w:t>
            </w:r>
          </w:p>
        </w:tc>
        <w:tc>
          <w:tcPr>
            <w:tcW w:w="4018" w:type="dxa"/>
            <w:shd w:val="clear" w:color="auto" w:fill="FFFFFF"/>
            <w:tcMar>
              <w:top w:w="85" w:type="dxa"/>
              <w:left w:w="85" w:type="dxa"/>
              <w:bottom w:w="85" w:type="dxa"/>
              <w:right w:w="85" w:type="dxa"/>
            </w:tcMar>
            <w:vAlign w:val="center"/>
          </w:tcPr>
          <w:p w14:paraId="01155CC4" w14:textId="77777777" w:rsidR="00C415D1" w:rsidRDefault="00000000" w:rsidP="005A464C">
            <w:pPr>
              <w:pStyle w:val="Compact"/>
              <w:spacing w:before="20" w:after="40" w:line="259" w:lineRule="auto"/>
              <w:jc w:val="both"/>
            </w:pPr>
            <w:r>
              <w:rPr>
                <w:sz w:val="20"/>
              </w:rPr>
              <w:t>Nonidentity entries in one coordinate system</w:t>
            </w:r>
          </w:p>
        </w:tc>
      </w:tr>
      <w:tr w:rsidR="00C415D1" w14:paraId="5F5899B7" w14:textId="77777777">
        <w:trPr>
          <w:cantSplit/>
        </w:trPr>
        <w:tc>
          <w:tcPr>
            <w:tcW w:w="1944" w:type="dxa"/>
            <w:shd w:val="clear" w:color="auto" w:fill="F7F8F9"/>
            <w:tcMar>
              <w:top w:w="85" w:type="dxa"/>
              <w:left w:w="85" w:type="dxa"/>
              <w:bottom w:w="85" w:type="dxa"/>
              <w:right w:w="85" w:type="dxa"/>
            </w:tcMar>
            <w:vAlign w:val="center"/>
          </w:tcPr>
          <w:p w14:paraId="781DA9CA" w14:textId="77777777" w:rsidR="00C415D1" w:rsidRDefault="00000000" w:rsidP="005A464C">
            <w:pPr>
              <w:pStyle w:val="Compact"/>
              <w:spacing w:before="20" w:after="40" w:line="259" w:lineRule="auto"/>
              <w:jc w:val="both"/>
            </w:pPr>
            <w:r>
              <w:rPr>
                <w:sz w:val="20"/>
              </w:rPr>
              <w:t>Frame covariance</w:t>
            </w:r>
          </w:p>
        </w:tc>
        <w:tc>
          <w:tcPr>
            <w:tcW w:w="4032" w:type="dxa"/>
            <w:shd w:val="clear" w:color="auto" w:fill="F7F8F9"/>
            <w:tcMar>
              <w:top w:w="85" w:type="dxa"/>
              <w:left w:w="85" w:type="dxa"/>
              <w:bottom w:w="85" w:type="dxa"/>
              <w:right w:w="85" w:type="dxa"/>
            </w:tcMar>
            <w:vAlign w:val="center"/>
          </w:tcPr>
          <w:p w14:paraId="2507A920" w14:textId="77777777" w:rsidR="00C415D1" w:rsidRDefault="00000000" w:rsidP="005A464C">
            <w:pPr>
              <w:pStyle w:val="Compact"/>
              <w:spacing w:before="20" w:after="40" w:line="259" w:lineRule="auto"/>
              <w:jc w:val="both"/>
            </w:pPr>
            <w:r>
              <w:rPr>
                <w:sz w:val="20"/>
              </w:rPr>
              <w:t>The complete calculation transforms with allowed local frames</w:t>
            </w:r>
          </w:p>
        </w:tc>
        <w:tc>
          <w:tcPr>
            <w:tcW w:w="4018" w:type="dxa"/>
            <w:shd w:val="clear" w:color="auto" w:fill="F7F8F9"/>
            <w:tcMar>
              <w:top w:w="85" w:type="dxa"/>
              <w:left w:w="85" w:type="dxa"/>
              <w:bottom w:w="85" w:type="dxa"/>
              <w:right w:w="85" w:type="dxa"/>
            </w:tcMar>
            <w:vAlign w:val="center"/>
          </w:tcPr>
          <w:p w14:paraId="31F000B9" w14:textId="77777777" w:rsidR="00C415D1" w:rsidRDefault="00000000" w:rsidP="005A464C">
            <w:pPr>
              <w:pStyle w:val="Compact"/>
              <w:spacing w:before="20" w:after="40" w:line="259" w:lineRule="auto"/>
              <w:jc w:val="both"/>
            </w:pPr>
            <w:r>
              <w:rPr>
                <w:sz w:val="20"/>
              </w:rPr>
              <w:t>Covariance of the Laplacian alone</w:t>
            </w:r>
          </w:p>
        </w:tc>
      </w:tr>
      <w:tr w:rsidR="00C415D1" w14:paraId="70390F55" w14:textId="77777777">
        <w:trPr>
          <w:cantSplit/>
        </w:trPr>
        <w:tc>
          <w:tcPr>
            <w:tcW w:w="1944" w:type="dxa"/>
            <w:shd w:val="clear" w:color="auto" w:fill="FFFFFF"/>
            <w:tcMar>
              <w:top w:w="85" w:type="dxa"/>
              <w:left w:w="85" w:type="dxa"/>
              <w:bottom w:w="85" w:type="dxa"/>
              <w:right w:w="85" w:type="dxa"/>
            </w:tcMar>
            <w:vAlign w:val="center"/>
          </w:tcPr>
          <w:p w14:paraId="650DD985" w14:textId="77777777" w:rsidR="00C415D1" w:rsidRDefault="00000000" w:rsidP="005A464C">
            <w:pPr>
              <w:pStyle w:val="Compact"/>
              <w:spacing w:before="20" w:after="40" w:line="259" w:lineRule="auto"/>
              <w:jc w:val="both"/>
            </w:pPr>
            <w:r>
              <w:rPr>
                <w:sz w:val="20"/>
              </w:rPr>
              <w:t>Local naturality</w:t>
            </w:r>
          </w:p>
        </w:tc>
        <w:tc>
          <w:tcPr>
            <w:tcW w:w="4032" w:type="dxa"/>
            <w:shd w:val="clear" w:color="auto" w:fill="FFFFFF"/>
            <w:tcMar>
              <w:top w:w="85" w:type="dxa"/>
              <w:left w:w="85" w:type="dxa"/>
              <w:bottom w:w="85" w:type="dxa"/>
              <w:right w:w="85" w:type="dxa"/>
            </w:tcMar>
            <w:vAlign w:val="center"/>
          </w:tcPr>
          <w:p w14:paraId="5F5EAD90" w14:textId="77777777" w:rsidR="00C415D1" w:rsidRDefault="00000000" w:rsidP="005A464C">
            <w:pPr>
              <w:pStyle w:val="Compact"/>
              <w:spacing w:before="20" w:after="40" w:line="259" w:lineRule="auto"/>
              <w:jc w:val="both"/>
            </w:pPr>
            <w:r>
              <w:rPr>
                <w:sz w:val="20"/>
              </w:rPr>
              <w:t>Specified stalk maps commute with the incidence restrictions</w:t>
            </w:r>
          </w:p>
        </w:tc>
        <w:tc>
          <w:tcPr>
            <w:tcW w:w="4018" w:type="dxa"/>
            <w:shd w:val="clear" w:color="auto" w:fill="FFFFFF"/>
            <w:tcMar>
              <w:top w:w="85" w:type="dxa"/>
              <w:left w:w="85" w:type="dxa"/>
              <w:bottom w:w="85" w:type="dxa"/>
              <w:right w:w="85" w:type="dxa"/>
            </w:tcMar>
            <w:vAlign w:val="center"/>
          </w:tcPr>
          <w:p w14:paraId="4E355CE1" w14:textId="77777777" w:rsidR="00C415D1" w:rsidRDefault="00000000" w:rsidP="005A464C">
            <w:pPr>
              <w:pStyle w:val="Compact"/>
              <w:spacing w:before="20" w:after="40" w:line="259" w:lineRule="auto"/>
              <w:jc w:val="both"/>
            </w:pPr>
            <w:r>
              <w:rPr>
                <w:sz w:val="20"/>
              </w:rPr>
              <w:t>A global matrix factorisation</w:t>
            </w:r>
          </w:p>
        </w:tc>
      </w:tr>
      <w:tr w:rsidR="00C415D1" w14:paraId="1A8FACDF" w14:textId="77777777">
        <w:trPr>
          <w:cantSplit/>
        </w:trPr>
        <w:tc>
          <w:tcPr>
            <w:tcW w:w="1944" w:type="dxa"/>
            <w:shd w:val="clear" w:color="auto" w:fill="F7F8F9"/>
            <w:tcMar>
              <w:top w:w="85" w:type="dxa"/>
              <w:left w:w="85" w:type="dxa"/>
              <w:bottom w:w="85" w:type="dxa"/>
              <w:right w:w="85" w:type="dxa"/>
            </w:tcMar>
            <w:vAlign w:val="center"/>
          </w:tcPr>
          <w:p w14:paraId="580E29C9" w14:textId="77777777" w:rsidR="00C415D1" w:rsidRDefault="00000000" w:rsidP="005A464C">
            <w:pPr>
              <w:pStyle w:val="Compact"/>
              <w:spacing w:before="20" w:after="40" w:line="259" w:lineRule="auto"/>
              <w:jc w:val="both"/>
            </w:pPr>
            <w:r>
              <w:rPr>
                <w:sz w:val="20"/>
              </w:rPr>
              <w:t>Section compatibility</w:t>
            </w:r>
          </w:p>
        </w:tc>
        <w:tc>
          <w:tcPr>
            <w:tcW w:w="4032" w:type="dxa"/>
            <w:shd w:val="clear" w:color="auto" w:fill="F7F8F9"/>
            <w:tcMar>
              <w:top w:w="85" w:type="dxa"/>
              <w:left w:w="85" w:type="dxa"/>
              <w:bottom w:w="85" w:type="dxa"/>
              <w:right w:w="85" w:type="dxa"/>
            </w:tcMar>
            <w:vAlign w:val="center"/>
          </w:tcPr>
          <w:p w14:paraId="3265F23D" w14:textId="77777777" w:rsidR="00C415D1" w:rsidRDefault="00000000" w:rsidP="005A464C">
            <w:pPr>
              <w:pStyle w:val="Compact"/>
              <w:spacing w:before="20" w:after="40" w:line="259" w:lineRule="auto"/>
              <w:jc w:val="both"/>
            </w:pPr>
            <w:r>
              <w:rPr>
                <w:sz w:val="20"/>
              </w:rPr>
              <w:t>The stated output or trajectory satisfies the declared agreement law</w:t>
            </w:r>
          </w:p>
        </w:tc>
        <w:tc>
          <w:tcPr>
            <w:tcW w:w="4018" w:type="dxa"/>
            <w:shd w:val="clear" w:color="auto" w:fill="F7F8F9"/>
            <w:tcMar>
              <w:top w:w="85" w:type="dxa"/>
              <w:left w:w="85" w:type="dxa"/>
              <w:bottom w:w="85" w:type="dxa"/>
              <w:right w:w="85" w:type="dxa"/>
            </w:tcMar>
            <w:vAlign w:val="center"/>
          </w:tcPr>
          <w:p w14:paraId="0C0AEF6C" w14:textId="77777777" w:rsidR="00C415D1" w:rsidRDefault="00000000" w:rsidP="005A464C">
            <w:pPr>
              <w:pStyle w:val="Compact"/>
              <w:spacing w:before="20" w:after="40" w:line="259" w:lineRule="auto"/>
              <w:jc w:val="both"/>
            </w:pPr>
            <w:r>
              <w:rPr>
                <w:sz w:val="20"/>
              </w:rPr>
              <w:t>A small average residual without a tolerance</w:t>
            </w:r>
          </w:p>
        </w:tc>
      </w:tr>
      <w:tr w:rsidR="00C415D1" w14:paraId="35609CBE" w14:textId="77777777">
        <w:trPr>
          <w:cantSplit/>
        </w:trPr>
        <w:tc>
          <w:tcPr>
            <w:tcW w:w="1944" w:type="dxa"/>
            <w:shd w:val="clear" w:color="auto" w:fill="FFFFFF"/>
            <w:tcMar>
              <w:top w:w="85" w:type="dxa"/>
              <w:left w:w="85" w:type="dxa"/>
              <w:bottom w:w="85" w:type="dxa"/>
              <w:right w:w="85" w:type="dxa"/>
            </w:tcMar>
            <w:vAlign w:val="center"/>
          </w:tcPr>
          <w:p w14:paraId="14E7A80D" w14:textId="77777777" w:rsidR="00C415D1" w:rsidRDefault="00000000" w:rsidP="005A464C">
            <w:pPr>
              <w:pStyle w:val="Compact"/>
              <w:spacing w:before="20" w:after="40" w:line="259" w:lineRule="auto"/>
              <w:jc w:val="both"/>
            </w:pPr>
            <w:r>
              <w:rPr>
                <w:sz w:val="20"/>
              </w:rPr>
              <w:t>Probability consistency</w:t>
            </w:r>
          </w:p>
        </w:tc>
        <w:tc>
          <w:tcPr>
            <w:tcW w:w="4032" w:type="dxa"/>
            <w:shd w:val="clear" w:color="auto" w:fill="FFFFFF"/>
            <w:tcMar>
              <w:top w:w="85" w:type="dxa"/>
              <w:left w:w="85" w:type="dxa"/>
              <w:bottom w:w="85" w:type="dxa"/>
              <w:right w:w="85" w:type="dxa"/>
            </w:tcMar>
            <w:vAlign w:val="center"/>
          </w:tcPr>
          <w:p w14:paraId="1626C7AD" w14:textId="77777777" w:rsidR="00C415D1" w:rsidRDefault="00000000" w:rsidP="005A464C">
            <w:pPr>
              <w:pStyle w:val="Compact"/>
              <w:spacing w:before="20" w:after="40" w:line="259" w:lineRule="auto"/>
              <w:jc w:val="both"/>
            </w:pPr>
            <w:r>
              <w:rPr>
                <w:sz w:val="20"/>
              </w:rPr>
              <w:t>A clean law, corruption and reverse construction agree under stated limits</w:t>
            </w:r>
          </w:p>
        </w:tc>
        <w:tc>
          <w:tcPr>
            <w:tcW w:w="4018" w:type="dxa"/>
            <w:shd w:val="clear" w:color="auto" w:fill="FFFFFF"/>
            <w:tcMar>
              <w:top w:w="85" w:type="dxa"/>
              <w:left w:w="85" w:type="dxa"/>
              <w:bottom w:w="85" w:type="dxa"/>
              <w:right w:w="85" w:type="dxa"/>
            </w:tcMar>
            <w:vAlign w:val="center"/>
          </w:tcPr>
          <w:p w14:paraId="68C7003A" w14:textId="77777777" w:rsidR="00C415D1" w:rsidRDefault="00000000" w:rsidP="005A464C">
            <w:pPr>
              <w:pStyle w:val="Compact"/>
              <w:spacing w:before="20" w:after="40" w:line="259" w:lineRule="auto"/>
              <w:jc w:val="both"/>
            </w:pPr>
            <w:r>
              <w:rPr>
                <w:sz w:val="20"/>
              </w:rPr>
              <w:t>A compatible mean or a score at one noise level</w:t>
            </w:r>
          </w:p>
        </w:tc>
      </w:tr>
    </w:tbl>
    <w:p w14:paraId="5669FF89" w14:textId="77777777" w:rsidR="00C415D1" w:rsidRDefault="00000000" w:rsidP="005A464C">
      <w:pPr>
        <w:pStyle w:val="BodyText"/>
        <w:spacing w:before="140"/>
        <w:jc w:val="both"/>
      </w:pPr>
      <w:r>
        <w:t>An algorithm can carry several certificates. For a fixed interface and common certificate vocabulary, inclusion of verified certificate sets defines a preorder; quotienting algorithms with equal sets gives a partial order. This is bookkeeping, not a new numerical invariant. Unverified is not false, and inapplicable is not a failed test. A deterministic graph classifier has no obligation to provide a generative score.</w:t>
      </w:r>
    </w:p>
    <w:p w14:paraId="3B7D14CB" w14:textId="77777777" w:rsidR="00C415D1" w:rsidRDefault="00000000" w:rsidP="005A464C">
      <w:pPr>
        <w:pStyle w:val="BodyText"/>
        <w:jc w:val="both"/>
      </w:pPr>
      <w:r>
        <w:t>Baseline choice is essential. A scalar graph Laplacian acting independently on channels is a narrow control. An unrestricted block-matrix network may represent the same linear operator as a sheaf layer. Demonstrating a difference from the first control does not establish a difference from the second. Tests should state whether the claimed benefit concerns parameterisation, calibrated interfaces, computation, expressivity or access to information.</w:t>
      </w:r>
    </w:p>
    <w:p w14:paraId="48938A69" w14:textId="77777777" w:rsidR="00C415D1" w:rsidRDefault="00000000" w:rsidP="005A464C">
      <w:pPr>
        <w:pStyle w:val="Heading11"/>
        <w:jc w:val="both"/>
      </w:pPr>
      <w:bookmarkStart w:id="3" w:name="a-laplacian-is-not-the-whole-sheaf"/>
      <w:bookmarkEnd w:id="2"/>
      <w:r>
        <w:t>3 A Laplacian is not the whole sheaf</w:t>
      </w:r>
    </w:p>
    <w:p w14:paraId="5F31AFBD" w14:textId="77777777" w:rsidR="00C415D1" w:rsidRDefault="00000000" w:rsidP="005A464C">
      <w:pPr>
        <w:pStyle w:val="FirstParagraph"/>
        <w:keepNext/>
        <w:jc w:val="both"/>
      </w:pPr>
      <w:r>
        <w:rPr>
          <w:b/>
          <w:bCs/>
        </w:rPr>
        <w:t>Theorem 3.1 — Indistinguishability through the Gram interface.</w:t>
      </w:r>
      <w:r>
        <w:t xml:space="preserve"> Suppose an algorithm receives the horizontal structure only through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r>
          <m:rPr>
            <m:nor/>
          </m:rPr>
          <m:t>.</m:t>
        </m:r>
      </m:oMath>
      <w:r>
        <w:t xml:space="preserve"> Its other inputs, parameters, initial law and randomisation rules are held fixed. Two structures with the same </w:t>
      </w:r>
      <m:oMath>
        <m:r>
          <w:rPr>
            <w:rFonts w:ascii="Cambria Math" w:hAnsi="Cambria Math"/>
          </w:rPr>
          <m:t>L</m:t>
        </m:r>
      </m:oMath>
      <w:r>
        <w:t xml:space="preserve"> induce the same output law. This applies to finite compositions of measurable functions of that interface, including heat flow, resolvents and Gaussian energies depending only on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Lx</m:t>
        </m:r>
        <m:r>
          <m:rPr>
            <m:nor/>
          </m:rPr>
          <m:t>.</m:t>
        </m:r>
      </m:oMath>
    </w:p>
    <w:p w14:paraId="102FDE73" w14:textId="77777777" w:rsidR="00C415D1" w:rsidRDefault="00000000" w:rsidP="005A464C">
      <w:pPr>
        <w:pStyle w:val="BodyText"/>
        <w:jc w:val="both"/>
      </w:pPr>
      <w:r>
        <w:rPr>
          <w:i/>
          <w:iCs/>
        </w:rPr>
        <w:t>Proof.</w:t>
      </w:r>
      <w:r>
        <w:t xml:space="preserve"> Equal interfaces give equal first-step functions or transition kernels. Induction gives equal joint laws of every subsequent state and equal final output laws. For a deterministic algorithm with a shared random seed, the realised outputs also agree. </w:t>
      </w:r>
      <m:oMath>
        <m:r>
          <m:rPr>
            <m:sty m:val="p"/>
          </m:rPr>
          <w:rPr>
            <w:rFonts w:ascii="Cambria Math" w:hAnsi="Cambria Math"/>
          </w:rPr>
          <m:t>▫</m:t>
        </m:r>
      </m:oMath>
    </w:p>
    <w:p w14:paraId="17758DC3" w14:textId="77777777" w:rsidR="00C415D1" w:rsidRDefault="00000000" w:rsidP="005A464C">
      <w:pPr>
        <w:pStyle w:val="BodyText"/>
        <w:jc w:val="both"/>
      </w:pPr>
      <w:r>
        <w:t xml:space="preserve">The statement holds regardless of how sophisticated the function of </w:t>
      </w:r>
      <m:oMath>
        <m:r>
          <w:rPr>
            <w:rFonts w:ascii="Cambria Math" w:hAnsi="Cambria Math"/>
          </w:rPr>
          <m:t>L</m:t>
        </m:r>
      </m:oMath>
      <w:r>
        <w:t xml:space="preserve"> is. It does not say that </w:t>
      </w:r>
      <m:oMath>
        <m:r>
          <w:rPr>
            <w:rFonts w:ascii="Cambria Math" w:hAnsi="Cambria Math"/>
          </w:rPr>
          <m:t>L</m:t>
        </m:r>
      </m:oMath>
      <w:r>
        <w:t xml:space="preserve"> is useless: it determines the vertex agreement energy and its compatible subspace. It says that a claim about the </w:t>
      </w:r>
      <w:r>
        <w:rPr>
          <w:i/>
          <w:iCs/>
        </w:rPr>
        <w:t>whole</w:t>
      </w:r>
      <w:r>
        <w:t xml:space="preserve"> sheaf needs more information than that interface supplies.</w:t>
      </w:r>
    </w:p>
    <w:p w14:paraId="13CC3D39" w14:textId="77777777" w:rsidR="00C415D1" w:rsidRDefault="00000000" w:rsidP="005A464C">
      <w:pPr>
        <w:pStyle w:val="BodyText"/>
        <w:keepNext/>
        <w:jc w:val="both"/>
      </w:pPr>
      <w:r>
        <w:rPr>
          <w:b/>
          <w:bCs/>
        </w:rPr>
        <w:lastRenderedPageBreak/>
        <w:t>Example 3.2 — Equal Laplacians and different first cohomology.</w:t>
      </w:r>
      <w:r>
        <w:t xml:space="preserve"> Take two scalar vertex spaces joined by one edge. In the first sheaf the edge space is </w:t>
      </w:r>
      <m:oMath>
        <m:r>
          <m:rPr>
            <m:scr m:val="double-struck"/>
            <m:sty m:val="p"/>
          </m:rPr>
          <w:rPr>
            <w:rFonts w:ascii="Cambria Math" w:hAnsi="Cambria Math"/>
          </w:rPr>
          <m:t>R</m:t>
        </m:r>
      </m:oMath>
      <w:r>
        <w:t xml:space="preserve"> with identity restrictions. In the second it is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and both restrictions send </w:t>
      </w:r>
      <m:oMath>
        <m:r>
          <w:rPr>
            <w:rFonts w:ascii="Cambria Math" w:hAnsi="Cambria Math"/>
          </w:rPr>
          <m:t>u</m:t>
        </m:r>
      </m:oMath>
      <w:r>
        <w:t xml:space="preserve"> to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0</m:t>
            </m:r>
          </m:e>
        </m:d>
        <m:r>
          <m:rPr>
            <m:nor/>
          </m:rPr>
          <m:t>.</m:t>
        </m:r>
      </m:oMath>
      <w:r>
        <w:t xml:space="preserve"> With identity metrics,</w:t>
      </w:r>
    </w:p>
    <w:p w14:paraId="1D555CD8" w14:textId="77777777" w:rsidR="00C415D1" w:rsidRDefault="00000000" w:rsidP="005A464C">
      <w:pPr>
        <w:pStyle w:val="Equation"/>
        <w:jc w:val="both"/>
      </w:pPr>
      <w:r>
        <w:tab/>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w:rPr>
                      <w:rFonts w:ascii="Cambria Math" w:hAnsi="Cambria Math"/>
                    </w:rPr>
                    <m:t>1</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mr>
            </m:m>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2</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oMath>
      <w:r>
        <w:tab/>
        <w:t>(3)</w:t>
      </w:r>
    </w:p>
    <w:p w14:paraId="6ED79997" w14:textId="77777777" w:rsidR="00C415D1" w:rsidRDefault="00000000" w:rsidP="005A464C">
      <w:pPr>
        <w:pStyle w:val="BodyText"/>
        <w:jc w:val="both"/>
      </w:pPr>
      <w:r>
        <w:t xml:space="preserve">On a graph,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/im</m:t>
        </m:r>
        <m:r>
          <w:rPr>
            <w:rFonts w:ascii="Cambria Math" w:hAnsi="Cambria Math"/>
          </w:rPr>
          <m:t>δ</m:t>
        </m:r>
        <m:r>
          <m:rPr>
            <m:nor/>
          </m:rPr>
          <m:t>.</m:t>
        </m:r>
      </m:oMath>
      <w:r>
        <w:t xml:space="preserve"> Its dimensions are zero and one respectively. The extra comparison coordinate is invisible to the vertex energy. Its nonzero first cohomology does not assert inconsistent observed data. Consequently, no experiment confined to the common Laplacian interface can decide which first cohomology is present.</w:t>
      </w:r>
    </w:p>
    <w:p w14:paraId="602C2EDD" w14:textId="77777777" w:rsidR="00C415D1" w:rsidRDefault="00000000" w:rsidP="005A464C">
      <w:pPr>
        <w:pStyle w:val="BodyText"/>
        <w:jc w:val="both"/>
      </w:pPr>
      <w:r>
        <w:t xml:space="preserve">This example deliberately exposes an unobserved edge direction. A minimal-realisation assumption can rule it out, but that assumption must be supplied. Also, when </w:t>
      </w:r>
      <m:oMath>
        <m:r>
          <m:rPr>
            <m:sty m:val="p"/>
          </m:rPr>
          <w:rPr>
            <w:rFonts w:ascii="Cambria Math" w:hAnsi="Cambria Math"/>
          </w:rPr>
          <m:t>dim</m:t>
        </m:r>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is separately known, the graph formula </w:t>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=dim</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-rank</m:t>
        </m:r>
        <m:r>
          <w:rPr>
            <w:rFonts w:ascii="Cambria Math" w:hAnsi="Cambria Math"/>
          </w:rPr>
          <m:t>L</m:t>
        </m:r>
      </m:oMath>
      <w:r>
        <w:t xml:space="preserve"> determines the dimension. The example does not deny that formula; the two interfaces hide different edge dimensions. Even knowing a dimension does not reconstruct the individual restrictions.</w:t>
      </w:r>
    </w:p>
    <w:p w14:paraId="1A0EBB9D" w14:textId="77777777" w:rsidR="00C415D1" w:rsidRDefault="00000000" w:rsidP="005A464C">
      <w:pPr>
        <w:pStyle w:val="BodyText"/>
        <w:keepNext/>
        <w:jc w:val="both"/>
      </w:pPr>
      <w:r>
        <w:rPr>
          <w:b/>
          <w:bCs/>
        </w:rPr>
        <w:t>Example 3.3 — Even invertible restrictions and fixed dimensions do not identify general holonomy.</w:t>
      </w:r>
      <w:r>
        <w:t xml:space="preserve"> Join two scalar vertices by two parallel edges, both oriented from the first vertex to the second. Take the two coboundaries</w:t>
      </w:r>
    </w:p>
    <w:p w14:paraId="42403C05" w14:textId="77777777" w:rsidR="00C415D1" w:rsidRDefault="00000000" w:rsidP="005A464C">
      <w:pPr>
        <w:pStyle w:val="Equation"/>
        <w:jc w:val="both"/>
      </w:pPr>
      <w:r>
        <w:tab/>
      </w:r>
      <m:oMath>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w:rPr>
                      <w:rFonts w:ascii="Cambria Math" w:hAnsi="Cambria Math"/>
                    </w:rPr>
                    <m:t>1</m:t>
                  </m:r>
                </m:e>
              </m:mr>
              <m:mr>
                <m:e>
                  <m:r>
                    <m:rPr>
                      <m:sty m:val="p"/>
                    </m:rPr>
                    <w:rPr>
                      <w:rFonts w:ascii="Cambria Math" w:hAnsi="Cambria Math"/>
                    </w:rPr>
                    <m:t>-</m:t>
                  </m:r>
                  <m:r>
                    <w:rPr>
                      <w:rFonts w:ascii="Cambria Math" w:hAnsi="Cambria Math"/>
                    </w:rPr>
                    <m:t>2</m:t>
                  </m:r>
                </m:e>
                <m:e>
                  <m:r>
                    <w:rPr>
                      <w:rFonts w:ascii="Cambria Math" w:hAnsi="Cambria Math"/>
                    </w:rPr>
                    <m:t>3</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b</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5</m:t>
                  </m:r>
                </m:e>
                <m:e>
                  <m:r>
                    <w:rPr>
                      <w:rFonts w:ascii="Cambria Math" w:hAnsi="Cambria Math"/>
                    </w:rPr>
                    <m:t>3</m:t>
                  </m:r>
                </m:e>
              </m:mr>
              <m:m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e>
                <m:e>
                  <m:r>
                    <w:rPr>
                      <w:rFonts w:ascii="Cambria Math" w:hAnsi="Cambria Math"/>
                    </w:rPr>
                    <m:t>1</m:t>
                  </m:r>
                </m:e>
              </m:mr>
            </m:m>
          </m:e>
        </m:d>
        <m:r>
          <m:rPr>
            <m:sty m:val="p"/>
          </m:rPr>
          <w:rPr>
            <w:rFonts w:ascii="Cambria Math" w:hAnsi="Cambria Math"/>
          </w:rPr>
          <m:t>.</m:t>
        </m:r>
      </m:oMath>
      <w:r>
        <w:tab/>
        <w:t>(4)</w:t>
      </w:r>
    </w:p>
    <w:p w14:paraId="354B5852" w14:textId="77777777" w:rsidR="00C415D1" w:rsidRDefault="00000000" w:rsidP="005A464C">
      <w:pPr>
        <w:pStyle w:val="BodyText"/>
        <w:jc w:val="both"/>
      </w:pPr>
      <w:r>
        <w:t xml:space="preserve">Both have Gram matrix </w:t>
      </w:r>
      <m:oMath>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5</m:t>
                  </m:r>
                </m:e>
                <m:e>
                  <m:r>
                    <m:rPr>
                      <m:sty m:val="p"/>
                    </m:rPr>
                    <w:rPr>
                      <w:rFonts w:ascii="Cambria Math" w:hAnsi="Cambria Math"/>
                    </w:rPr>
                    <m:t>-</m:t>
                  </m:r>
                  <m:r>
                    <w:rPr>
                      <w:rFonts w:ascii="Cambria Math" w:hAnsi="Cambria Math"/>
                    </w:rPr>
                    <m:t>7</m:t>
                  </m:r>
                </m:e>
              </m:mr>
              <m:mr>
                <m:e>
                  <m:r>
                    <m:rPr>
                      <m:sty m:val="p"/>
                    </m:rPr>
                    <w:rPr>
                      <w:rFonts w:ascii="Cambria Math" w:hAnsi="Cambria Math"/>
                    </w:rPr>
                    <m:t>-</m:t>
                  </m:r>
                  <m:r>
                    <w:rPr>
                      <w:rFonts w:ascii="Cambria Math" w:hAnsi="Cambria Math"/>
                    </w:rPr>
                    <m:t>7</m:t>
                  </m:r>
                </m:e>
                <m:e>
                  <m:r>
                    <w:rPr>
                      <w:rFonts w:ascii="Cambria Math" w:hAnsi="Cambria Math"/>
                    </w:rPr>
                    <m:t>10</m:t>
                  </m:r>
                </m:e>
              </m:mr>
            </m:m>
          </m:e>
        </m:d>
        <m:r>
          <m:rPr>
            <m:nor/>
          </m:rPr>
          <m:t>.</m:t>
        </m:r>
      </m:oMath>
      <w:r>
        <w:t xml:space="preserve"> All incidence restrictions are nonzero and hence invertible. Their transports, obtained by dividing the positive tail restriction by the head restriction, are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oMath>
      <w:r>
        <w:t xml:space="preserve"> and </w:t>
      </w:r>
      <m:oMath>
        <m:d>
          <m:dPr>
            <m:ctrlPr>
              <w:rPr>
                <w:rFonts w:ascii="Cambria Math" w:hAnsi="Cambria Math"/>
              </w:rPr>
            </m:ctrlPr>
          </m:dPr>
          <m:e>
            <m:r>
              <w:rPr>
                <w:rFonts w:ascii="Cambria Math" w:hAnsi="Cambria Math"/>
              </w:rPr>
              <m:t>11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e>
        </m:d>
        <m:r>
          <m:rPr>
            <m:nor/>
          </m:rPr>
          <m:t>.</m:t>
        </m:r>
      </m:oMath>
      <w:r>
        <w:t xml:space="preserve"> Transport around the two-edge loop is therefore </w:t>
      </w:r>
      <m:oMath>
        <m:r>
          <w:rPr>
            <w:rFonts w:ascii="Cambria Math" w:hAnsi="Cambria Math"/>
          </w:rPr>
          <m:t>3</m:t>
        </m:r>
        <m:r>
          <m:rPr>
            <m:sty m:val="p"/>
          </m:rPr>
          <w:rPr>
            <w:rFonts w:ascii="Cambria Math" w:hAnsi="Cambria Math"/>
          </w:rPr>
          <m:t>/</m:t>
        </m:r>
        <m:r>
          <w:rPr>
            <w:rFonts w:ascii="Cambria Math" w:hAnsi="Cambria Math"/>
          </w:rPr>
          <m:t>2</m:t>
        </m:r>
      </m:oMath>
      <w:r>
        <w:t xml:space="preserve"> in the first case and </w:t>
      </w:r>
      <m:oMath>
        <m:r>
          <w:rPr>
            <w:rFonts w:ascii="Cambria Math" w:hAnsi="Cambria Math"/>
          </w:rPr>
          <m:t>11</m:t>
        </m:r>
        <m:r>
          <m:rPr>
            <m:sty m:val="p"/>
          </m:rPr>
          <w:rPr>
            <w:rFonts w:ascii="Cambria Math" w:hAnsi="Cambria Math"/>
          </w:rPr>
          <m:t>/</m:t>
        </m:r>
        <m:r>
          <w:rPr>
            <w:rFonts w:ascii="Cambria Math" w:hAnsi="Cambria Math"/>
          </w:rPr>
          <m:t>6</m:t>
        </m:r>
      </m:oMath>
      <w:r>
        <w:t xml:space="preserve"> in the second. Scalar local changes of frame cannot change a loop multiplier. The sheaves are not isomorphic over this fixed graph, although their vertex energies and all Laplacian-only algorithms coincide. These transports are general invertible maps, not orthogonal ones. A direct sum with the same constant sheaf gives a nonzero section space without changing the indistinguishability argument.</w:t>
      </w:r>
    </w:p>
    <w:p w14:paraId="268806BA" w14:textId="77777777" w:rsidR="00C415D1" w:rsidRDefault="00000000" w:rsidP="005A464C">
      <w:pPr>
        <w:pStyle w:val="BodyText"/>
        <w:jc w:val="both"/>
      </w:pPr>
      <w:r>
        <w:t xml:space="preserve">More generally, orthogonal changes of whitened comparison coordinates leave </w:t>
      </w:r>
      <m:oMath>
        <m:r>
          <w:rPr>
            <w:rFonts w:ascii="Cambria Math" w:hAnsi="Cambria Math"/>
          </w:rPr>
          <m:t>L</m:t>
        </m:r>
      </m:oMath>
      <w:r>
        <w:t xml:space="preserve"> unchanged. Such changes mixing different edge blocks can destroy the original incidence interpretation, or, on parallel edges as above, preserve incidence while changing the sheaf. An arbitrary factorisation of a positive-semidefinite matrix is therefore not a certificate of a specified local diagram. The typed factorisation and the Gram operator answer different questions.</w:t>
      </w:r>
    </w:p>
    <w:p w14:paraId="4B76C53E" w14:textId="77777777" w:rsidR="00C415D1" w:rsidRDefault="00000000" w:rsidP="005A464C">
      <w:pPr>
        <w:pStyle w:val="CaptionedFigure"/>
        <w:jc w:val="both"/>
      </w:pPr>
      <w:r>
        <w:rPr>
          <w:noProof/>
        </w:rPr>
        <w:drawing>
          <wp:inline distT="0" distB="0" distL="0" distR="0" wp14:anchorId="628F6F90" wp14:editId="33B7C99F">
            <wp:extent cx="6337300" cy="1889002"/>
            <wp:effectExtent l="0" t="0" r="0" b="0"/>
            <wp:docPr id="24" name="Picture" descr="Information loss from typed restrictions to the vertex Gram operator and then to the compatible projector."/>
            <wp:cNvGraphicFramePr/>
            <a:graphic xmlns:a="http://schemas.openxmlformats.org/drawingml/2006/main">
              <a:graphicData uri="http://schemas.openxmlformats.org/drawingml/2006/picture">
                <pic:pic xmlns:pic="http://schemas.openxmlformats.org/drawingml/2006/picture">
                  <pic:nvPicPr>
                    <pic:cNvPr id="25" name="Picture" descr="fig/interfaces.png"/>
                    <pic:cNvPicPr>
                      <a:picLocks noChangeAspect="1" noChangeArrowheads="1"/>
                    </pic:cNvPicPr>
                  </pic:nvPicPr>
                  <pic:blipFill>
                    <a:blip r:embed="rId7"/>
                    <a:stretch>
                      <a:fillRect/>
                    </a:stretch>
                  </pic:blipFill>
                  <pic:spPr bwMode="auto">
                    <a:xfrm>
                      <a:off x="0" y="0"/>
                      <a:ext cx="6337300" cy="1889002"/>
                    </a:xfrm>
                    <a:prstGeom prst="rect">
                      <a:avLst/>
                    </a:prstGeom>
                    <a:noFill/>
                    <a:ln w="9525">
                      <a:noFill/>
                      <a:headEnd/>
                      <a:tailEnd/>
                    </a:ln>
                  </pic:spPr>
                </pic:pic>
              </a:graphicData>
            </a:graphic>
          </wp:inline>
        </w:drawing>
      </w:r>
    </w:p>
    <w:p w14:paraId="2679B3CA" w14:textId="77777777" w:rsidR="00C415D1" w:rsidRDefault="00000000" w:rsidP="005A464C">
      <w:pPr>
        <w:pStyle w:val="ImageCaption"/>
        <w:keepLines/>
        <w:jc w:val="both"/>
      </w:pPr>
      <w:r>
        <w:t>Figure 1. Information retained by three interfaces. Passing from typed restrictions to the vertex Gram operator can lose edge-space information. Passing from the operator to its kernel projector loses positive spectral information. Heat and soft Gaussian laws use the middle interface; exact compatibility alone can use the last. The arrows express information loss, not a ranking of model quality.</w:t>
      </w:r>
    </w:p>
    <w:p w14:paraId="25F3252D" w14:textId="77777777" w:rsidR="00C415D1" w:rsidRDefault="00000000" w:rsidP="005A464C">
      <w:pPr>
        <w:pStyle w:val="Heading11"/>
        <w:jc w:val="both"/>
      </w:pPr>
      <w:bookmarkStart w:id="4" w:name="X2330db33b613cb69bf00f07fde088b5294020d6"/>
      <w:bookmarkEnd w:id="3"/>
      <w:r>
        <w:lastRenderedPageBreak/>
        <w:t>4 Nonidentity maps can be a choice of frame</w:t>
      </w:r>
    </w:p>
    <w:p w14:paraId="7BE5EC30" w14:textId="77777777" w:rsidR="00C415D1" w:rsidRDefault="00000000" w:rsidP="005A464C">
      <w:pPr>
        <w:pStyle w:val="FirstParagraph"/>
        <w:jc w:val="both"/>
      </w:pPr>
      <w:r>
        <w:t xml:space="preserve">Consider a connected graph with </w:t>
      </w:r>
      <m:oMath>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orthogonal transport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on each oriented edge </w:t>
      </w:r>
      <m:oMath>
        <m:r>
          <w:rPr>
            <w:rFonts w:ascii="Cambria Math" w:hAnsi="Cambria Math"/>
          </w:rPr>
          <m:t>v</m:t>
        </m:r>
        <m:r>
          <m:rPr>
            <m:sty m:val="p"/>
          </m:rPr>
          <w:rPr>
            <w:rFonts w:ascii="Cambria Math" w:hAnsi="Cambria Math"/>
          </w:rPr>
          <m:t>→</m:t>
        </m:r>
        <m:r>
          <w:rPr>
            <w:rFonts w:ascii="Cambria Math" w:hAnsi="Cambria Math"/>
          </w:rPr>
          <m:t>w</m:t>
        </m:r>
        <m:r>
          <m:rPr>
            <m:nor/>
          </m:rPr>
          <m:t>.</m:t>
        </m:r>
      </m:oMath>
      <w:r>
        <w:t xml:space="preserve"> Write the residual as </w:t>
      </w:r>
      <m:oMath>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v</m:t>
            </m:r>
          </m:sub>
        </m:sSub>
        <m:r>
          <m:rPr>
            <m:nor/>
          </m:rPr>
          <m:t>.</m:t>
        </m:r>
      </m:oMath>
      <w:r>
        <w:t xml:space="preserve"> Local orthogonal frames </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change transport by</w:t>
      </w:r>
    </w:p>
    <w:p w14:paraId="3EA2DA29" w14:textId="77777777" w:rsidR="00C415D1" w:rsidRDefault="00000000" w:rsidP="005A464C">
      <w:pPr>
        <w:pStyle w:val="Equation"/>
        <w:jc w:val="both"/>
      </w:pPr>
      <w:r>
        <w:tab/>
      </w: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  T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sSub>
          <m:sSubPr>
            <m:ctrlPr>
              <w:rPr>
                <w:rFonts w:ascii="Cambria Math" w:hAnsi="Cambria Math"/>
              </w:rPr>
            </m:ctrlPr>
          </m:sSubPr>
          <m:e>
            <m:r>
              <w:rPr>
                <w:rFonts w:ascii="Cambria Math" w:hAnsi="Cambria Math"/>
              </w:rPr>
              <m:t>T</m:t>
            </m:r>
          </m:e>
          <m:sub>
            <m:r>
              <w:rPr>
                <w:rFonts w:ascii="Cambria Math" w:hAnsi="Cambria Math"/>
              </w:rPr>
              <m:t>e</m:t>
            </m:r>
          </m:sub>
        </m:sSub>
        <m:sSubSup>
          <m:sSubSupPr>
            <m:ctrlPr>
              <w:rPr>
                <w:rFonts w:ascii="Cambria Math" w:hAnsi="Cambria Math"/>
              </w:rPr>
            </m:ctrlPr>
          </m:sSubSupPr>
          <m:e>
            <m:r>
              <w:rPr>
                <w:rFonts w:ascii="Cambria Math" w:hAnsi="Cambria Math"/>
              </w:rPr>
              <m:t>G</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oMath>
      <w:r>
        <w:tab/>
        <w:t>(5)</w:t>
      </w:r>
    </w:p>
    <w:p w14:paraId="08981FF4" w14:textId="77777777" w:rsidR="00C415D1" w:rsidRDefault="00000000" w:rsidP="005A464C">
      <w:pPr>
        <w:pStyle w:val="BodyText"/>
        <w:jc w:val="both"/>
      </w:pPr>
      <w:r>
        <w:t>Cycle transport, based at a fixed root, is holonomy. Changing frames conjugates it and therefore preserves whether it is the identity.</w:t>
      </w:r>
    </w:p>
    <w:p w14:paraId="4F0E8AF0" w14:textId="77777777" w:rsidR="00C415D1" w:rsidRDefault="00000000" w:rsidP="005A464C">
      <w:pPr>
        <w:pStyle w:val="BodyText"/>
        <w:keepNext/>
        <w:jc w:val="both"/>
      </w:pPr>
      <w:r>
        <w:rPr>
          <w:b/>
          <w:bCs/>
        </w:rPr>
        <w:t>Theorem 4.1 — Flattening an orthogonal local system.</w:t>
      </w:r>
      <w:r>
        <w:t xml:space="preserve"> There are local orthogonal frames making every </w:t>
      </w:r>
      <m:oMath>
        <m:r>
          <w:rPr>
            <w:rFonts w:ascii="Cambria Math" w:hAnsi="Cambria Math"/>
          </w:rPr>
          <m:t>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r>
          <w:rPr>
            <w:rFonts w:ascii="Cambria Math" w:hAnsi="Cambria Math"/>
          </w:rPr>
          <m:t>I</m:t>
        </m:r>
      </m:oMath>
      <w:r>
        <w:t xml:space="preserve"> if and only if every cycle holonomy is the identity. In particular, every such local system on a tree is equivalent to an identity-transport system.</w:t>
      </w:r>
    </w:p>
    <w:p w14:paraId="7BF4F4F9" w14:textId="77777777" w:rsidR="00C415D1" w:rsidRDefault="00000000" w:rsidP="005A464C">
      <w:pPr>
        <w:pStyle w:val="BodyText"/>
        <w:jc w:val="both"/>
      </w:pPr>
      <w:r>
        <w:rPr>
          <w:i/>
          <w:iCs/>
        </w:rPr>
        <w:t>Proof.</w:t>
      </w:r>
      <w:r>
        <w:t xml:space="preserve"> Identity edge transports give identity transport around every cycle, and conjugation preserves that property. Conversely, choose a root and a spanning tree. For each vertex let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be transport from the root along the tree and set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sub>
          <m:sup>
            <m:r>
              <m:rPr>
                <m:sty m:val="p"/>
              </m:rPr>
              <w:rPr>
                <w:rFonts w:ascii="Cambria Math" w:hAnsi="Cambria Math"/>
              </w:rPr>
              <m:t>⊤</m:t>
            </m:r>
          </m:sup>
        </m:sSubSup>
        <m:r>
          <m:rPr>
            <m:nor/>
          </m:rPr>
          <m:t>.</m:t>
        </m:r>
      </m:oMath>
      <w:r>
        <w:t xml:space="preserve"> Every tree edge becomes identity. Each remaining edge becomes the holonomy of its corresponding fundamental cycle, which is identity by assumption. </w:t>
      </w:r>
      <m:oMath>
        <m:r>
          <m:rPr>
            <m:sty m:val="p"/>
          </m:rPr>
          <w:rPr>
            <w:rFonts w:ascii="Cambria Math" w:hAnsi="Cambria Math"/>
          </w:rPr>
          <m:t>▫</m:t>
        </m:r>
      </m:oMath>
    </w:p>
    <w:p w14:paraId="7F66E1D9" w14:textId="77777777" w:rsidR="00C415D1" w:rsidRDefault="00000000" w:rsidP="005A464C">
      <w:pPr>
        <w:pStyle w:val="BodyText"/>
        <w:jc w:val="both"/>
      </w:pPr>
      <w:r>
        <w:t>Thus counting nonidentity matrices is not a coordinate-invariant measure of structural complexity. A chain of rotation matrices can be ordinary graph heat expressed in different local frames. That does not make the maps irrelevant in an engineering implementation: local frames may be fixed by sensors or finite-element conventions, and their calibration is necessary to compare physical data correctly.</w:t>
      </w:r>
    </w:p>
    <w:p w14:paraId="28F34987" w14:textId="77777777" w:rsidR="00C415D1" w:rsidRDefault="00000000" w:rsidP="005A464C">
      <w:pPr>
        <w:pStyle w:val="BodyText"/>
        <w:jc w:val="both"/>
      </w:pPr>
      <w:r>
        <w:t xml:space="preserve">When holonomy is nontrivial, global sections correspond to root vectors fixed by every cycle holonomy. Indeed, a compatible assignment must be the transport of its root value, and path independence requires precisely those fixed-vector identities. A balanced scalar sign cycle therefore has a one-dimensional compatible space, while a frustrated three-cycle has none. Their vertex spectra are respectively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r>
          <m:rPr>
            <m:nor/>
          </m:rPr>
          <m:t>.</m:t>
        </m:r>
      </m:oMath>
      <w:r>
        <w:t xml:space="preserve"> This is a controlled geometric distinction on the same graph, not a change in its ordinary cycle count.</w:t>
      </w:r>
    </w:p>
    <w:p w14:paraId="18589816" w14:textId="77777777" w:rsidR="00C415D1" w:rsidRDefault="00000000" w:rsidP="005A464C">
      <w:pPr>
        <w:pStyle w:val="BodyText"/>
        <w:keepNext/>
        <w:jc w:val="both"/>
      </w:pPr>
      <w:r>
        <w:rPr>
          <w:b/>
          <w:bCs/>
        </w:rPr>
        <w:t>Proposition 4.2 — A covariant linear operator does not certify a covariant network.</w:t>
      </w:r>
      <w:r>
        <w:t xml:space="preserve"> If local frame changes are orthogonal, then </w:t>
      </w:r>
      <m:oMath>
        <m:r>
          <w:rPr>
            <w:rFonts w:ascii="Cambria Math" w:hAnsi="Cambria Math"/>
          </w:rPr>
          <m:t>L</m:t>
        </m:r>
        <m:r>
          <m:rPr>
            <m:sty m:val="p"/>
          </m:rPr>
          <w:rPr>
            <w:rFonts w:ascii="Cambria Math" w:hAnsi="Cambria Math"/>
          </w:rPr>
          <m:t>'=</m:t>
        </m:r>
        <m:r>
          <w:rPr>
            <w:rFonts w:ascii="Cambria Math" w:hAnsi="Cambria Math"/>
          </w:rPr>
          <m:t>GL</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and every spectral function obeys </w:t>
      </w:r>
      <m:oMath>
        <m:r>
          <w:rPr>
            <w:rFonts w:ascii="Cambria Math" w:hAnsi="Cambria Math"/>
          </w:rPr>
          <m:t>f</m:t>
        </m:r>
        <m:d>
          <m:dPr>
            <m:ctrlPr>
              <w:rPr>
                <w:rFonts w:ascii="Cambria Math" w:hAnsi="Cambria Math"/>
              </w:rPr>
            </m:ctrlPr>
          </m:dPr>
          <m:e>
            <m:r>
              <w:rPr>
                <w:rFonts w:ascii="Cambria Math" w:hAnsi="Cambria Math"/>
              </w:rPr>
              <m:t>L</m:t>
            </m:r>
            <m:r>
              <m:rPr>
                <m:sty m:val="p"/>
              </m:rPr>
              <w:rPr>
                <w:rFonts w:ascii="Cambria Math" w:hAnsi="Cambria Math"/>
              </w:rPr>
              <m:t>'</m:t>
            </m:r>
          </m:e>
        </m:d>
        <m:r>
          <m:rPr>
            <m:sty m:val="p"/>
          </m:rPr>
          <w:rPr>
            <w:rFonts w:ascii="Cambria Math" w:hAnsi="Cambria Math"/>
          </w:rPr>
          <m:t>=</m:t>
        </m:r>
        <m:r>
          <w:rPr>
            <w:rFonts w:ascii="Cambria Math" w:hAnsi="Cambria Math"/>
          </w:rPr>
          <m:t>Gf</m:t>
        </m:r>
        <m:d>
          <m:dPr>
            <m:ctrlPr>
              <w:rPr>
                <w:rFonts w:ascii="Cambria Math" w:hAnsi="Cambria Math"/>
              </w:rPr>
            </m:ctrlPr>
          </m:dPr>
          <m:e>
            <m:r>
              <w:rPr>
                <w:rFonts w:ascii="Cambria Math" w:hAnsi="Cambria Math"/>
              </w:rPr>
              <m:t>L</m:t>
            </m:r>
          </m:e>
        </m:d>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m:t>
        </m:r>
      </m:oMath>
      <w:r>
        <w:t xml:space="preserve"> A nonlinear layer additionally needs </w:t>
      </w:r>
      <m:oMath>
        <m:r>
          <w:rPr>
            <w:rFonts w:ascii="Cambria Math" w:hAnsi="Cambria Math"/>
          </w:rPr>
          <m:t>σ</m:t>
        </m:r>
        <m:d>
          <m:dPr>
            <m:ctrlPr>
              <w:rPr>
                <w:rFonts w:ascii="Cambria Math" w:hAnsi="Cambria Math"/>
              </w:rPr>
            </m:ctrlPr>
          </m:dPr>
          <m:e>
            <m:r>
              <w:rPr>
                <w:rFonts w:ascii="Cambria Math" w:hAnsi="Cambria Math"/>
              </w:rPr>
              <m:t>Gx</m:t>
            </m:r>
          </m:e>
        </m:d>
        <m:r>
          <m:rPr>
            <m:sty m:val="p"/>
          </m:rPr>
          <w:rPr>
            <w:rFonts w:ascii="Cambria Math" w:hAnsi="Cambria Math"/>
          </w:rPr>
          <m:t>=</m:t>
        </m:r>
        <m:r>
          <w:rPr>
            <w:rFonts w:ascii="Cambria Math" w:hAnsi="Cambria Math"/>
          </w:rPr>
          <m:t>Gσ</m:t>
        </m:r>
        <m:d>
          <m:dPr>
            <m:ctrlPr>
              <w:rPr>
                <w:rFonts w:ascii="Cambria Math" w:hAnsi="Cambria Math"/>
              </w:rPr>
            </m:ctrlPr>
          </m:dPr>
          <m:e>
            <m:r>
              <w:rPr>
                <w:rFonts w:ascii="Cambria Math" w:hAnsi="Cambria Math"/>
              </w:rPr>
              <m:t>x</m:t>
            </m:r>
          </m:e>
        </m:d>
        <m:r>
          <m:rPr>
            <m:nor/>
          </m:rPr>
          <m:t>,</m:t>
        </m:r>
      </m:oMath>
      <w:r>
        <w:t xml:space="preserve"> or a correspondingly transformed nonlinear rule.</w:t>
      </w:r>
    </w:p>
    <w:p w14:paraId="19CF47E1" w14:textId="77777777" w:rsidR="00C415D1" w:rsidRDefault="00000000" w:rsidP="005A464C">
      <w:pPr>
        <w:pStyle w:val="BodyText"/>
        <w:jc w:val="both"/>
      </w:pPr>
      <w:r>
        <w:rPr>
          <w:i/>
          <w:iCs/>
        </w:rPr>
        <w:t>Proof.</w:t>
      </w:r>
      <w:r>
        <w:t xml:space="preserve"> Whitened residuals transform by an orthogonal edge map, so the Gram transforms by conjugation. Polynomial functional calculus and its spectral extension prove the first claim. Substitution into the complete nonlinear update gives the second condition. </w:t>
      </w:r>
      <m:oMath>
        <m:r>
          <m:rPr>
            <m:sty m:val="p"/>
          </m:rPr>
          <w:rPr>
            <w:rFonts w:ascii="Cambria Math" w:hAnsi="Cambria Math"/>
          </w:rPr>
          <m:t>▫</m:t>
        </m:r>
      </m:oMath>
    </w:p>
    <w:p w14:paraId="40054BF2" w14:textId="77777777" w:rsidR="00C415D1" w:rsidRDefault="00000000" w:rsidP="005A464C">
      <w:pPr>
        <w:pStyle w:val="BodyText"/>
        <w:jc w:val="both"/>
      </w:pPr>
      <w:r>
        <w:t xml:space="preserve">Coordinatewise ReLU fails it for a general rotation. With </w:t>
      </w:r>
      <m:oMath>
        <m: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and a quarter-turn </w:t>
      </w:r>
      <m:oMath>
        <m:r>
          <w:rPr>
            <w:rFonts w:ascii="Cambria Math" w:hAnsi="Cambria Math"/>
          </w:rPr>
          <m:t>G</m:t>
        </m:r>
        <m:r>
          <m:rPr>
            <m:nor/>
          </m:rPr>
          <m:t>,</m:t>
        </m:r>
      </m:oMath>
      <w:r>
        <w:t xml:space="preserve"> </w:t>
      </w:r>
      <m:oMath>
        <m:r>
          <m:rPr>
            <m:sty m:val="p"/>
          </m:rPr>
          <w:rPr>
            <w:rFonts w:ascii="Cambria Math" w:hAnsi="Cambria Math"/>
          </w:rPr>
          <m:t>ReLU</m:t>
        </m:r>
        <m:d>
          <m:dPr>
            <m:ctrlPr>
              <w:rPr>
                <w:rFonts w:ascii="Cambria Math" w:hAnsi="Cambria Math"/>
              </w:rPr>
            </m:ctrlPr>
          </m:dPr>
          <m:e>
            <m:r>
              <w:rPr>
                <w:rFonts w:ascii="Cambria Math" w:hAnsi="Cambria Math"/>
              </w:rPr>
              <m:t>Gx</m:t>
            </m:r>
          </m:e>
        </m:d>
        <m:r>
          <m:rPr>
            <m:sty m:val="p"/>
          </m:rPr>
          <w:rPr>
            <w:rFonts w:ascii="Cambria Math" w:hAnsi="Cambria Math"/>
          </w:rPr>
          <m:t>=</m:t>
        </m:r>
        <m:r>
          <w:rPr>
            <w:rFonts w:ascii="Cambria Math" w:hAnsi="Cambria Math"/>
          </w:rPr>
          <m:t>0</m:t>
        </m:r>
      </m:oMath>
      <w:r>
        <w:t xml:space="preserve"> while </w:t>
      </w:r>
      <m:oMath>
        <m:r>
          <w:rPr>
            <w:rFonts w:ascii="Cambria Math" w:hAnsi="Cambria Math"/>
          </w:rPr>
          <m:t>G</m:t>
        </m:r>
        <m:r>
          <m:rPr>
            <m:sty m:val="p"/>
          </m:rPr>
          <w:rPr>
            <w:rFonts w:ascii="Cambria Math" w:hAnsi="Cambria Math"/>
          </w:rPr>
          <m:t>ReLU</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e>
        </m:d>
        <m:r>
          <m:rPr>
            <m:nor/>
          </m:rPr>
          <m:t>.</m:t>
        </m:r>
      </m:oMath>
      <w:r>
        <w:t xml:space="preserve"> Odd nonlinearities can respect scalar sign changes, but oddness alone does not imply covariance under arbitrary orthogonal mixing. Normalisation, learned map prediction and decoding also belong in a whole-network frame test. These observations concern the declared symmetry, not a demand that all architectures use the largest possible gauge group.</w:t>
      </w:r>
    </w:p>
    <w:p w14:paraId="263F4826" w14:textId="77777777" w:rsidR="00C415D1" w:rsidRDefault="00000000" w:rsidP="005A464C">
      <w:pPr>
        <w:pStyle w:val="Heading11"/>
        <w:jc w:val="both"/>
      </w:pPr>
      <w:bookmarkStart w:id="5" w:name="X32ea1be23ca62209add6f75f957c5a5d2d8b8ae"/>
      <w:bookmarkEnd w:id="4"/>
      <w:r>
        <w:t>5 Preserving sections is weaker than local naturality</w:t>
      </w:r>
    </w:p>
    <w:p w14:paraId="64BFAD59" w14:textId="77777777" w:rsidR="00C415D1" w:rsidRDefault="00000000" w:rsidP="005A464C">
      <w:pPr>
        <w:pStyle w:val="FirstParagraph"/>
        <w:jc w:val="both"/>
      </w:pPr>
      <w:r>
        <w:t xml:space="preserve">Let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be linear and keep the horizontal model fixed. A tempting test asks only whether </w:t>
      </w:r>
      <m:oMath>
        <m:r>
          <w:rPr>
            <w:rFonts w:ascii="Cambria Math" w:hAnsi="Cambria Math"/>
          </w:rPr>
          <m:t>T</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V</m:t>
        </m:r>
        <m:r>
          <m:rPr>
            <m:nor/>
          </m:rPr>
          <m:t>.</m:t>
        </m:r>
      </m:oMath>
      <w:r>
        <w:t xml:space="preserve"> The following result shows exactly what that test certifies.</w:t>
      </w:r>
    </w:p>
    <w:p w14:paraId="286A1D7A" w14:textId="77777777" w:rsidR="00C415D1" w:rsidRDefault="00000000" w:rsidP="005A464C">
      <w:pPr>
        <w:pStyle w:val="BodyText"/>
        <w:keepNext/>
        <w:jc w:val="both"/>
      </w:pPr>
      <w:r>
        <w:rPr>
          <w:b/>
          <w:bCs/>
        </w:rPr>
        <w:t>Theorem 5.1 — Section preservation and global factorisation.</w:t>
      </w:r>
      <w:r>
        <w:t xml:space="preserve"> In finite dimensions,</w:t>
      </w:r>
    </w:p>
    <w:p w14:paraId="09F9AB9D" w14:textId="77777777" w:rsidR="00C415D1" w:rsidRDefault="00000000" w:rsidP="005A464C">
      <w:pPr>
        <w:pStyle w:val="Equation"/>
        <w:jc w:val="both"/>
      </w:pPr>
      <w:r>
        <w:tab/>
      </w:r>
      <m:oMath>
        <m:r>
          <w:rPr>
            <w:rFonts w:ascii="Cambria Math" w:hAnsi="Cambria Math"/>
          </w:rPr>
          <m:t>T</m:t>
        </m:r>
        <m:d>
          <m:dPr>
            <m:ctrlPr>
              <w:rPr>
                <w:rFonts w:ascii="Cambria Math" w:hAnsi="Cambria Math"/>
              </w:rPr>
            </m:ctrlPr>
          </m:dPr>
          <m:e>
            <m:r>
              <m:rPr>
                <m:sty m:val="p"/>
              </m:rPr>
              <w:rPr>
                <w:rFonts w:ascii="Cambria Math" w:hAnsi="Cambria Math"/>
              </w:rPr>
              <m:t>ker</m:t>
            </m:r>
            <m:r>
              <w:rPr>
                <w:rFonts w:ascii="Cambria Math" w:hAnsi="Cambria Math"/>
              </w:rPr>
              <m:t>δ</m:t>
            </m:r>
          </m:e>
        </m:d>
        <m:r>
          <m:rPr>
            <m:sty m:val="p"/>
          </m:rPr>
          <w:rPr>
            <w:rFonts w:ascii="Cambria Math" w:hAnsi="Cambria Math"/>
          </w:rPr>
          <m:t>⊆ker</m:t>
        </m:r>
        <m:r>
          <w:rPr>
            <w:rFonts w:ascii="Cambria Math" w:hAnsi="Cambria Math"/>
          </w:rPr>
          <m:t>δ </m:t>
        </m:r>
        <m:r>
          <m:rPr>
            <m:sty m:val="p"/>
          </m:rPr>
          <w:rPr>
            <w:rFonts w:ascii="Cambria Math" w:hAnsi="Cambria Math"/>
          </w:rPr>
          <m:t>⇔</m:t>
        </m:r>
        <m:r>
          <w:rPr>
            <w:rFonts w:ascii="Cambria Math" w:hAnsi="Cambria Math"/>
          </w:rPr>
          <m:t> δT</m:t>
        </m:r>
        <m:r>
          <m:rPr>
            <m:sty m:val="p"/>
          </m:rPr>
          <w:rPr>
            <w:rFonts w:ascii="Cambria Math" w:hAnsi="Cambria Math"/>
          </w:rPr>
          <m:t>=</m:t>
        </m:r>
        <m:r>
          <w:rPr>
            <w:rFonts w:ascii="Cambria Math" w:hAnsi="Cambria Math"/>
          </w:rPr>
          <m:t>Sδ</m:t>
        </m:r>
        <m:r>
          <m:rPr>
            <m:nor/>
          </m:rPr>
          <m:t xml:space="preserve"> for some linear </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oMath>
      <w:r>
        <w:tab/>
        <w:t>(6)</w:t>
      </w:r>
    </w:p>
    <w:p w14:paraId="4A3954CA" w14:textId="77777777" w:rsidR="00C415D1" w:rsidRDefault="00000000" w:rsidP="005A464C">
      <w:pPr>
        <w:pStyle w:val="BodyText"/>
        <w:jc w:val="both"/>
      </w:pPr>
      <w:r>
        <w:t xml:space="preserve">The edge map </w:t>
      </w:r>
      <m:oMath>
        <m:r>
          <w:rPr>
            <w:rFonts w:ascii="Cambria Math" w:hAnsi="Cambria Math"/>
          </w:rPr>
          <m:t>S</m:t>
        </m:r>
      </m:oMath>
      <w:r>
        <w:t xml:space="preserve"> in this statement need not preserve individual edge spaces or any incidence locality.</w:t>
      </w:r>
    </w:p>
    <w:p w14:paraId="1476B06A" w14:textId="77777777" w:rsidR="00C415D1" w:rsidRDefault="00000000" w:rsidP="005A464C">
      <w:pPr>
        <w:pStyle w:val="BodyText"/>
        <w:jc w:val="both"/>
      </w:pPr>
      <w:r>
        <w:rPr>
          <w:i/>
          <w:iCs/>
        </w:rPr>
        <w:lastRenderedPageBreak/>
        <w:t>Proof.</w:t>
      </w:r>
      <w:r>
        <w:t xml:space="preserve"> A factorisation immediately sends a vector in </w:t>
      </w:r>
      <m:oMath>
        <m:r>
          <m:rPr>
            <m:sty m:val="p"/>
          </m:rPr>
          <w:rPr>
            <w:rFonts w:ascii="Cambria Math" w:hAnsi="Cambria Math"/>
          </w:rPr>
          <m:t>ker</m:t>
        </m:r>
        <m:r>
          <w:rPr>
            <w:rFonts w:ascii="Cambria Math" w:hAnsi="Cambria Math"/>
          </w:rPr>
          <m:t>δ</m:t>
        </m:r>
      </m:oMath>
      <w:r>
        <w:t xml:space="preserve"> back to that kernel. Conversely, define </w:t>
      </w:r>
      <m:oMath>
        <m:r>
          <w:rPr>
            <w:rFonts w:ascii="Cambria Math" w:hAnsi="Cambria Math"/>
          </w:rPr>
          <m:t>S</m:t>
        </m:r>
        <m:d>
          <m:dPr>
            <m:ctrlPr>
              <w:rPr>
                <w:rFonts w:ascii="Cambria Math" w:hAnsi="Cambria Math"/>
              </w:rPr>
            </m:ctrlPr>
          </m:dPr>
          <m:e>
            <m:r>
              <w:rPr>
                <w:rFonts w:ascii="Cambria Math" w:hAnsi="Cambria Math"/>
              </w:rPr>
              <m:t>δx</m:t>
            </m:r>
          </m:e>
        </m:d>
        <m:r>
          <m:rPr>
            <m:sty m:val="p"/>
          </m:rPr>
          <w:rPr>
            <w:rFonts w:ascii="Cambria Math" w:hAnsi="Cambria Math"/>
          </w:rPr>
          <m:t>=</m:t>
        </m:r>
        <m:r>
          <w:rPr>
            <w:rFonts w:ascii="Cambria Math" w:hAnsi="Cambria Math"/>
          </w:rPr>
          <m:t>δTx</m:t>
        </m:r>
      </m:oMath>
      <w:r>
        <w:t xml:space="preserve"> on </w:t>
      </w:r>
      <m:oMath>
        <m:r>
          <m:rPr>
            <m:sty m:val="p"/>
          </m:rPr>
          <w:rPr>
            <w:rFonts w:ascii="Cambria Math" w:hAnsi="Cambria Math"/>
          </w:rPr>
          <m:t>im</m:t>
        </m:r>
        <m:r>
          <w:rPr>
            <w:rFonts w:ascii="Cambria Math" w:hAnsi="Cambria Math"/>
          </w:rPr>
          <m:t>δ</m:t>
        </m:r>
        <m:r>
          <m:rPr>
            <m:nor/>
          </m:rPr>
          <m:t>.</m:t>
        </m:r>
      </m:oMath>
      <w:r>
        <w:t xml:space="preserve"> If </w:t>
      </w:r>
      <m:oMath>
        <m:r>
          <w:rPr>
            <w:rFonts w:ascii="Cambria Math" w:hAnsi="Cambria Math"/>
          </w:rPr>
          <m:t>δx</m:t>
        </m:r>
        <m:r>
          <m:rPr>
            <m:sty m:val="p"/>
          </m:rPr>
          <w:rPr>
            <w:rFonts w:ascii="Cambria Math" w:hAnsi="Cambria Math"/>
          </w:rPr>
          <m:t>=</m:t>
        </m:r>
        <m:r>
          <w:rPr>
            <w:rFonts w:ascii="Cambria Math" w:hAnsi="Cambria Math"/>
          </w:rPr>
          <m:t>δy</m:t>
        </m:r>
        <m:r>
          <m:rPr>
            <m:nor/>
          </m:rPr>
          <m:t>,</m:t>
        </m:r>
      </m:oMath>
      <w:r>
        <w:t xml:space="preserve"> then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∈ker</m:t>
        </m:r>
        <m:r>
          <w:rPr>
            <w:rFonts w:ascii="Cambria Math" w:hAnsi="Cambria Math"/>
          </w:rPr>
          <m:t>δ</m:t>
        </m:r>
      </m:oMath>
      <w:r>
        <w:t xml:space="preserve"> and the assumed preservation gives </w:t>
      </w:r>
      <m:oMath>
        <m:r>
          <w:rPr>
            <w:rFonts w:ascii="Cambria Math" w:hAnsi="Cambria Math"/>
          </w:rPr>
          <m:t>δTx</m:t>
        </m:r>
        <m:r>
          <m:rPr>
            <m:sty m:val="p"/>
          </m:rPr>
          <w:rPr>
            <w:rFonts w:ascii="Cambria Math" w:hAnsi="Cambria Math"/>
          </w:rPr>
          <m:t>=</m:t>
        </m:r>
        <m:r>
          <w:rPr>
            <w:rFonts w:ascii="Cambria Math" w:hAnsi="Cambria Math"/>
          </w:rPr>
          <m:t>δTy</m:t>
        </m:r>
        <m:r>
          <m:rPr>
            <m:nor/>
          </m:rPr>
          <m:t>.</m:t>
        </m:r>
      </m:oMath>
      <w:r>
        <w:t xml:space="preserve"> Thus the definition is well-defined and linear. Extend it linearly to a complement of </w:t>
      </w:r>
      <m:oMath>
        <m:r>
          <m:rPr>
            <m:sty m:val="p"/>
          </m:rPr>
          <w:rPr>
            <w:rFonts w:ascii="Cambria Math" w:hAnsi="Cambria Math"/>
          </w:rPr>
          <m:t>im</m:t>
        </m:r>
        <m:r>
          <w:rPr>
            <w:rFonts w:ascii="Cambria Math" w:hAnsi="Cambria Math"/>
          </w:rPr>
          <m:t>δ</m:t>
        </m:r>
      </m:oMath>
      <w:r>
        <w:t xml:space="preserve"> in </w:t>
      </w:r>
      <m:oMath>
        <m:sSup>
          <m:sSupPr>
            <m:ctrlPr>
              <w:rPr>
                <w:rFonts w:ascii="Cambria Math" w:hAnsi="Cambria Math"/>
              </w:rPr>
            </m:ctrlPr>
          </m:sSupPr>
          <m:e>
            <m:r>
              <w:rPr>
                <w:rFonts w:ascii="Cambria Math" w:hAnsi="Cambria Math"/>
              </w:rPr>
              <m:t>C</m:t>
            </m:r>
          </m:e>
          <m:sup>
            <m:r>
              <w:rPr>
                <w:rFonts w:ascii="Cambria Math" w:hAnsi="Cambria Math"/>
              </w:rPr>
              <m:t>1</m:t>
            </m:r>
          </m:sup>
        </m:sSup>
        <m:r>
          <m:rPr>
            <m:nor/>
          </m:rPr>
          <m:t>.</m:t>
        </m:r>
      </m:oMath>
      <w:r>
        <w:t xml:space="preserve"> </w:t>
      </w:r>
      <m:oMath>
        <m:r>
          <m:rPr>
            <m:sty m:val="p"/>
          </m:rPr>
          <w:rPr>
            <w:rFonts w:ascii="Cambria Math" w:hAnsi="Cambria Math"/>
          </w:rPr>
          <m:t>▫</m:t>
        </m:r>
      </m:oMath>
    </w:p>
    <w:p w14:paraId="285A7C9F" w14:textId="77777777" w:rsidR="00C415D1" w:rsidRDefault="00000000" w:rsidP="005A464C">
      <w:pPr>
        <w:pStyle w:val="BodyText"/>
        <w:jc w:val="both"/>
      </w:pPr>
      <w:r>
        <w:t xml:space="preserve">An unrestricted factorisation therefore adds nothing to linear section preservation. A local sheaf morphism is more specific. It supplies maps </w:t>
      </w:r>
      <m:oMath>
        <m:sSub>
          <m:sSubPr>
            <m:ctrlPr>
              <w:rPr>
                <w:rFonts w:ascii="Cambria Math" w:hAnsi="Cambria Math"/>
              </w:rPr>
            </m:ctrlPr>
          </m:sSubPr>
          <m:e>
            <m:r>
              <w:rPr>
                <w:rFonts w:ascii="Cambria Math" w:hAnsi="Cambria Math"/>
              </w:rPr>
              <m:t>T</m:t>
            </m:r>
          </m:e>
          <m:sub>
            <m:r>
              <w:rPr>
                <w:rFonts w:ascii="Cambria Math" w:hAnsi="Cambria Math"/>
              </w:rPr>
              <m:t>v</m:t>
            </m:r>
          </m:sub>
        </m:sSub>
      </m:oMath>
      <w:r>
        <w:t xml:space="preserve"> on vertex data spaces and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on edge spaces satisfying each incidence square,</w:t>
      </w:r>
    </w:p>
    <w:p w14:paraId="326B9663" w14:textId="77777777" w:rsidR="00C415D1" w:rsidRDefault="00000000" w:rsidP="005A464C">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oMath>
      <w:r>
        <w:tab/>
        <w:t>(7)</w:t>
      </w:r>
    </w:p>
    <w:p w14:paraId="64751766" w14:textId="77777777" w:rsidR="00C415D1" w:rsidRDefault="00000000" w:rsidP="005A464C">
      <w:pPr>
        <w:pStyle w:val="BodyText"/>
        <w:jc w:val="both"/>
      </w:pPr>
      <w:r>
        <w:t xml:space="preserve">For changing coefficients the restrictions on the two sides belong to the appropriate layers. For a changing base with continuous map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nor/>
          </m:rPr>
          <m:t>,</m:t>
        </m:r>
      </m:oMath>
      <w:r>
        <w:t xml:space="preserve"> the typed comparison is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nor/>
          </m:rPr>
          <m:t>.</m:t>
        </m:r>
      </m:oMath>
      <w:r>
        <w:t xml:space="preserve"> These declarations cannot be replaced by a factorisation of two large matrices.</w:t>
      </w:r>
    </w:p>
    <w:p w14:paraId="7B0F902C" w14:textId="77777777" w:rsidR="00C415D1" w:rsidRDefault="00000000" w:rsidP="005A464C">
      <w:pPr>
        <w:pStyle w:val="BodyText"/>
        <w:keepNext/>
        <w:jc w:val="both"/>
      </w:pPr>
      <w:r>
        <w:rPr>
          <w:b/>
          <w:bCs/>
        </w:rPr>
        <w:t>Example 5.2 — A nonzero compatible space without local naturality.</w:t>
      </w:r>
      <w:r>
        <w:t xml:space="preserve"> On a three-cycle take two coordinates at every vertex. The first has identity transport on all edges. The second has signs </w:t>
      </w:r>
      <m:oMath>
        <m:r>
          <m:rPr>
            <m:sty m:val="p"/>
          </m:rPr>
          <w:rPr>
            <w:rFonts w:ascii="Cambria Math" w:hAnsi="Cambria Math"/>
          </w:rPr>
          <m:t>+,+,-</m:t>
        </m:r>
        <m:r>
          <m:rPr>
            <m:nor/>
          </m:rPr>
          <m:t>.</m:t>
        </m:r>
      </m:oMath>
      <w:r>
        <w:t xml:space="preserve"> The compatible assignments are exactly </w:t>
      </w:r>
      <m:oMath>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0</m:t>
            </m:r>
          </m:e>
        </m:d>
        <m:r>
          <m:rPr>
            <m:nor/>
          </m:rPr>
          <m:t>,</m:t>
        </m:r>
      </m:oMath>
      <w:r>
        <w:t xml:space="preserve"> with one common scalar </w:t>
      </w:r>
      <m:oMath>
        <m:r>
          <w:rPr>
            <w:rFonts w:ascii="Cambria Math" w:hAnsi="Cambria Math"/>
          </w:rPr>
          <m:t>c</m:t>
        </m:r>
        <m:r>
          <m:rPr>
            <m:nor/>
          </m:rPr>
          <m:t>.</m:t>
        </m:r>
      </m:oMath>
      <w:r>
        <w:t xml:space="preserve"> Let</w:t>
      </w:r>
    </w:p>
    <w:p w14:paraId="1F1AEC4F" w14:textId="77777777" w:rsidR="00C415D1" w:rsidRDefault="00000000" w:rsidP="005A464C">
      <w:pPr>
        <w:pStyle w:val="Equation"/>
        <w:jc w:val="both"/>
      </w:pPr>
      <w:r>
        <w:tab/>
      </w:r>
      <m:oMath>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e>
        </m:d>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r>
          <m:rPr>
            <m:sty m:val="p"/>
          </m:rPr>
          <w:rPr>
            <w:rFonts w:ascii="Cambria Math" w:hAnsi="Cambria Math"/>
          </w:rPr>
          <m:t>.</m:t>
        </m:r>
      </m:oMath>
      <w:r>
        <w:tab/>
        <w:t>(8)</w:t>
      </w:r>
    </w:p>
    <w:p w14:paraId="66E86425" w14:textId="77777777" w:rsidR="00C415D1" w:rsidRDefault="00000000" w:rsidP="005A464C">
      <w:pPr>
        <w:pStyle w:val="BodyText"/>
        <w:jc w:val="both"/>
      </w:pPr>
      <w:r>
        <w:t xml:space="preserve">This preserves the nonzero compatible space. However, every edge restriction is invertible. Its two incidence identities would require the edge map to equal the corresponding conjugates of both endpoint maps. Those have different second diagonal entries, so no such edge map exists. Minimising the sum of squared Frobenius square defects independently over edge maps gives </w:t>
      </w:r>
      <m:oMath>
        <m:f>
          <m:fPr>
            <m:type m:val="lin"/>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e>
              <m:sup>
                <m:r>
                  <w:rPr>
                    <w:rFonts w:ascii="Cambria Math" w:hAnsi="Cambria Math"/>
                  </w:rPr>
                  <m:t>2</m:t>
                </m:r>
              </m:sup>
            </m:sSup>
          </m:e>
        </m:d>
        <m:r>
          <m:rPr>
            <m:sty m:val="p"/>
          </m:rPr>
          <w:rPr>
            <w:rFonts w:ascii="Cambria Math" w:hAnsi="Cambria Math"/>
          </w:rPr>
          <m:t>=</m:t>
        </m:r>
        <m:r>
          <w:rPr>
            <w:rFonts w:ascii="Cambria Math" w:hAnsi="Cambria Math"/>
          </w:rPr>
          <m:t>3</m:t>
        </m:r>
        <m:r>
          <m:rPr>
            <m:nor/>
          </m:rPr>
          <m:t>.</m:t>
        </m:r>
      </m:oMath>
      <w:r>
        <w:t xml:space="preserve"> This is not a vacuous preservation example with </w:t>
      </w:r>
      <m:oMath>
        <m:r>
          <w:rPr>
            <w:rFonts w:ascii="Cambria Math" w:hAnsi="Cambria Math"/>
          </w:rPr>
          <m:t>V</m:t>
        </m:r>
        <m:r>
          <m:rPr>
            <m:sty m:val="p"/>
          </m:rPr>
          <w:rPr>
            <w:rFonts w:ascii="Cambria Math" w:hAnsi="Cambria Math"/>
          </w:rPr>
          <m:t>=</m:t>
        </m:r>
        <m:r>
          <w:rPr>
            <w:rFonts w:ascii="Cambria Math" w:hAnsi="Cambria Math"/>
          </w:rPr>
          <m:t>0</m:t>
        </m:r>
        <m:r>
          <m:rPr>
            <m:nor/>
          </m:rPr>
          <m:t>.</m:t>
        </m:r>
      </m:oMath>
    </w:p>
    <w:p w14:paraId="7C56CA49" w14:textId="77777777" w:rsidR="00C415D1" w:rsidRDefault="00000000" w:rsidP="005A464C">
      <w:pPr>
        <w:pStyle w:val="BodyText"/>
        <w:jc w:val="both"/>
      </w:pPr>
      <w:r>
        <w:t xml:space="preserve">There is an important converse caution: sheaf diffusion need not be a stalkwise sheaf morphism. Heat transfers information between vertices. Its action on </w:t>
      </w:r>
      <m:oMath>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is generally not block diagonal. Requiring a vertex-local morphism at every computational step would exclude ordinary message passing, including valid sheaf-assembled heat flow.</w:t>
      </w:r>
    </w:p>
    <w:p w14:paraId="289B5379" w14:textId="77777777" w:rsidR="00C415D1" w:rsidRDefault="00000000" w:rsidP="005A464C">
      <w:pPr>
        <w:pStyle w:val="BodyText"/>
        <w:keepNext/>
        <w:jc w:val="both"/>
      </w:pPr>
      <w:r>
        <w:rPr>
          <w:b/>
          <w:bCs/>
        </w:rPr>
        <w:t>Proposition 5.3 — Heat has a cochain intertwiner.</w:t>
      </w:r>
      <w:r>
        <w:t xml:space="preserve"> In whitened edge coordinates,</w:t>
      </w:r>
    </w:p>
    <w:p w14:paraId="69DE13A9" w14:textId="77777777" w:rsidR="00C415D1" w:rsidRDefault="00000000" w:rsidP="005A464C">
      <w:pPr>
        <w:pStyle w:val="Equation"/>
        <w:jc w:val="both"/>
      </w:pPr>
      <w:r>
        <w:tab/>
      </w:r>
      <m:oMath>
        <m:r>
          <w:rPr>
            <w:rFonts w:ascii="Cambria Math" w:hAnsi="Cambria Math"/>
          </w:rPr>
          <m:t>B</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up>
        </m:sSup>
        <m:r>
          <w:rPr>
            <w:rFonts w:ascii="Cambria Math" w:hAnsi="Cambria Math"/>
          </w:rPr>
          <m:t>B</m:t>
        </m:r>
        <m:r>
          <m:rPr>
            <m:sty m:val="p"/>
          </m:rPr>
          <w:rPr>
            <w:rFonts w:ascii="Cambria Math" w:hAnsi="Cambria Math"/>
          </w:rPr>
          <m:t>.</m:t>
        </m:r>
      </m:oMath>
      <w:r>
        <w:tab/>
        <w:t>(9)</w:t>
      </w:r>
    </w:p>
    <w:p w14:paraId="07A517E9" w14:textId="77777777" w:rsidR="00C415D1" w:rsidRDefault="00000000" w:rsidP="005A464C">
      <w:pPr>
        <w:pStyle w:val="BodyText"/>
        <w:jc w:val="both"/>
      </w:pPr>
      <w:r>
        <w:rPr>
          <w:i/>
          <w:iCs/>
        </w:rPr>
        <w:t>Proof.</w:t>
      </w:r>
      <w:r>
        <w:t xml:space="preserve"> The identity </w:t>
      </w:r>
      <m:oMath>
        <m:r>
          <w:rPr>
            <w:rFonts w:ascii="Cambria Math" w:hAnsi="Cambria Math"/>
          </w:rPr>
          <m:t>B</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e>
            </m:d>
          </m:e>
          <m:sup>
            <m:r>
              <w:rPr>
                <w:rFonts w:ascii="Cambria Math" w:hAnsi="Cambria Math"/>
              </w:rPr>
              <m:t>k</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e>
            </m:d>
          </m:e>
          <m:sup>
            <m:r>
              <w:rPr>
                <w:rFonts w:ascii="Cambria Math" w:hAnsi="Cambria Math"/>
              </w:rPr>
              <m:t>k</m:t>
            </m:r>
          </m:sup>
        </m:sSup>
        <m:r>
          <w:rPr>
            <w:rFonts w:ascii="Cambria Math" w:hAnsi="Cambria Math"/>
          </w:rPr>
          <m:t>B</m:t>
        </m:r>
      </m:oMath>
      <w:r>
        <w:t xml:space="preserve"> holds by induction for every integer </w:t>
      </w:r>
      <m:oMath>
        <m:r>
          <w:rPr>
            <w:rFonts w:ascii="Cambria Math" w:hAnsi="Cambria Math"/>
          </w:rPr>
          <m:t>k</m:t>
        </m:r>
        <m:r>
          <m:rPr>
            <m:sty m:val="p"/>
          </m:rPr>
          <w:rPr>
            <w:rFonts w:ascii="Cambria Math" w:hAnsi="Cambria Math"/>
          </w:rPr>
          <m:t>≥</m:t>
        </m:r>
        <m:r>
          <w:rPr>
            <w:rFonts w:ascii="Cambria Math" w:hAnsi="Cambria Math"/>
          </w:rPr>
          <m:t>0</m:t>
        </m:r>
        <m:r>
          <m:rPr>
            <m:nor/>
          </m:rPr>
          <m:t>.</m:t>
        </m:r>
      </m:oMath>
      <w:r>
        <w:t xml:space="preserve"> Sum the convergent exponential series. </w:t>
      </w:r>
      <m:oMath>
        <m:r>
          <m:rPr>
            <m:sty m:val="p"/>
          </m:rPr>
          <w:rPr>
            <w:rFonts w:ascii="Cambria Math" w:hAnsi="Cambria Math"/>
          </w:rPr>
          <m:t>▫</m:t>
        </m:r>
      </m:oMath>
    </w:p>
    <w:p w14:paraId="6392ED21" w14:textId="77777777" w:rsidR="00C415D1" w:rsidRDefault="00000000" w:rsidP="005A464C">
      <w:pPr>
        <w:pStyle w:val="BodyText"/>
        <w:jc w:val="both"/>
      </w:pPr>
      <w:r>
        <w:t>This gives a global cochain map and proves section preservation. It is not generally a local sheaf morphism. Accordingly, an algorithm can be genuinely assembled from a sheaf without satisfying a different, unclaimed locality condition. A comparison should distinguish these achievements rather than treating the strongest-looking diagram as compulsory.</w:t>
      </w:r>
    </w:p>
    <w:p w14:paraId="16A000A1" w14:textId="77777777" w:rsidR="00C415D1" w:rsidRDefault="00000000" w:rsidP="005A464C">
      <w:pPr>
        <w:pStyle w:val="Heading11"/>
        <w:jc w:val="both"/>
      </w:pPr>
      <w:bookmarkStart w:id="6" w:name="hard-compatibility-can-forget-geometry"/>
      <w:bookmarkEnd w:id="5"/>
      <w:r>
        <w:t>6 Hard compatibility can forget geometry</w:t>
      </w:r>
    </w:p>
    <w:p w14:paraId="1344DAB6" w14:textId="77777777" w:rsidR="00C415D1" w:rsidRDefault="00000000" w:rsidP="005A464C">
      <w:pPr>
        <w:pStyle w:val="FirstParagraph"/>
        <w:jc w:val="both"/>
      </w:pPr>
      <w:r>
        <w:t xml:space="preserve">This section keeps </w:t>
      </w:r>
      <m:oMath>
        <m:r>
          <w:rPr>
            <w:rFonts w:ascii="Cambria Math" w:hAnsi="Cambria Math"/>
          </w:rPr>
          <m:t>L</m:t>
        </m:r>
        <m:r>
          <m:rPr>
            <m:sty m:val="p"/>
          </m:rPr>
          <w:rPr>
            <w:rFonts w:ascii="Cambria Math" w:hAnsi="Cambria Math"/>
          </w:rPr>
          <m:t>≽</m:t>
        </m:r>
        <m:r>
          <w:rPr>
            <w:rFonts w:ascii="Cambria Math" w:hAnsi="Cambria Math"/>
          </w:rPr>
          <m:t>0</m:t>
        </m:r>
      </m:oMath>
      <w:r>
        <w:t xml:space="preserve"> fixed unless a perturbation is explicitly introduced. Let </w:t>
      </w:r>
      <m:oMath>
        <m:r>
          <w:rPr>
            <w:rFonts w:ascii="Cambria Math" w:hAnsi="Cambria Math"/>
          </w:rPr>
          <m:t>Π</m:t>
        </m:r>
      </m:oMath>
      <w:r>
        <w:t xml:space="preserve"> be orthogonal projection onto </w:t>
      </w:r>
      <m:oMath>
        <m:r>
          <w:rPr>
            <w:rFonts w:ascii="Cambria Math" w:hAnsi="Cambria Math"/>
          </w:rPr>
          <m:t>V</m:t>
        </m:r>
        <m:r>
          <m:rPr>
            <m:sty m:val="p"/>
          </m:rPr>
          <w:rPr>
            <w:rFonts w:ascii="Cambria Math" w:hAnsi="Cambria Math"/>
          </w:rPr>
          <m:t>=ker</m:t>
        </m:r>
        <m:r>
          <w:rPr>
            <w:rFonts w:ascii="Cambria Math" w:hAnsi="Cambria Math"/>
          </w:rPr>
          <m:t>L</m:t>
        </m:r>
        <m:r>
          <m:rPr>
            <m:nor/>
          </m:rPr>
          <m:t>,</m:t>
        </m:r>
      </m:oMath>
      <w:r>
        <w:t xml:space="preserve"> and assume there is at least one positive eigenvalue. Denote the smallest positive eigenvalue by </w:t>
      </w:r>
      <m:oMath>
        <m:sSub>
          <m:sSubPr>
            <m:ctrlPr>
              <w:rPr>
                <w:rFonts w:ascii="Cambria Math" w:hAnsi="Cambria Math"/>
              </w:rPr>
            </m:ctrlPr>
          </m:sSubPr>
          <m:e>
            <m:r>
              <w:rPr>
                <w:rFonts w:ascii="Cambria Math" w:hAnsi="Cambria Math"/>
              </w:rPr>
              <m:t>λ</m:t>
            </m:r>
          </m:e>
          <m:sub>
            <m:r>
              <m:rPr>
                <m:sty m:val="p"/>
              </m:rPr>
              <w:rPr>
                <w:rFonts w:ascii="Cambria Math" w:hAnsi="Cambria Math"/>
              </w:rPr>
              <m:t>+</m:t>
            </m:r>
          </m:sub>
        </m:sSub>
        <m:r>
          <m:rPr>
            <m:nor/>
          </m:rPr>
          <m:t>.</m:t>
        </m:r>
      </m:oMath>
    </w:p>
    <w:p w14:paraId="538730C3" w14:textId="77777777" w:rsidR="00C415D1" w:rsidRDefault="00000000" w:rsidP="005A464C">
      <w:pPr>
        <w:pStyle w:val="BodyText"/>
        <w:keepNext/>
        <w:jc w:val="both"/>
      </w:pPr>
      <w:r>
        <w:rPr>
          <w:b/>
          <w:bCs/>
        </w:rPr>
        <w:t>Theorem 6.1 — Spectral information lost in the hard limit.</w:t>
      </w:r>
      <w:r>
        <w:t xml:space="preserve"> For </w:t>
      </w:r>
      <m:oMath>
        <m:r>
          <w:rPr>
            <w:rFonts w:ascii="Cambria Math" w:hAnsi="Cambria Math"/>
          </w:rPr>
          <m:t>p</m:t>
        </m:r>
        <m:r>
          <m:rPr>
            <m:sty m:val="p"/>
          </m:rPr>
          <w:rPr>
            <w:rFonts w:ascii="Cambria Math" w:hAnsi="Cambria Math"/>
          </w:rPr>
          <m:t>&gt;</m:t>
        </m:r>
        <m:r>
          <w:rPr>
            <w:rFonts w:ascii="Cambria Math" w:hAnsi="Cambria Math"/>
          </w:rPr>
          <m:t>0</m:t>
        </m:r>
      </m:oMath>
      <w:r>
        <w:t xml:space="preserve"> and </w:t>
      </w:r>
      <m:oMath>
        <m:r>
          <w:rPr>
            <w:rFonts w:ascii="Cambria Math" w:hAnsi="Cambria Math"/>
          </w:rPr>
          <m:t>β</m:t>
        </m:r>
        <m:r>
          <m:rPr>
            <m:sty m:val="p"/>
          </m:rPr>
          <w:rPr>
            <w:rFonts w:ascii="Cambria Math" w:hAnsi="Cambria Math"/>
          </w:rPr>
          <m:t>&gt;</m:t>
        </m:r>
        <m:r>
          <w:rPr>
            <w:rFonts w:ascii="Cambria Math" w:hAnsi="Cambria Math"/>
          </w:rPr>
          <m:t>0</m:t>
        </m:r>
        <m:r>
          <m:rPr>
            <m:nor/>
          </m:rPr>
          <m:t>,</m:t>
        </m:r>
      </m:oMath>
    </w:p>
    <w:p w14:paraId="04668EF9" w14:textId="77777777" w:rsidR="00C415D1" w:rsidRDefault="00000000" w:rsidP="005A464C">
      <w:pPr>
        <w:pStyle w:val="Equation"/>
        <w:jc w:val="both"/>
      </w:pPr>
      <w:r>
        <w:tab/>
      </w:r>
      <m:oMath>
        <m:limLow>
          <m:limLowPr>
            <m:ctrlPr>
              <w:rPr>
                <w:rFonts w:ascii="Cambria Math" w:hAnsi="Cambria Math"/>
              </w:rPr>
            </m:ctrlPr>
          </m:limLowPr>
          <m:e>
            <m:r>
              <m:rPr>
                <m:nor/>
              </m:rPr>
              <m:t>lim</m:t>
            </m:r>
          </m:e>
          <m:lim>
            <m:r>
              <w:rPr>
                <w:rFonts w:ascii="Cambria Math" w:hAnsi="Cambria Math"/>
              </w:rPr>
              <m:t>t</m:t>
            </m:r>
            <m:r>
              <m:rPr>
                <m:sty m:val="p"/>
              </m:rPr>
              <w:rPr>
                <w:rFonts w:ascii="Cambria Math" w:hAnsi="Cambria Math"/>
              </w:rPr>
              <m:t>→∞</m:t>
            </m:r>
          </m:lim>
        </m:limLow>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tL</m:t>
            </m:r>
          </m:sup>
        </m:sSup>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tL</m:t>
            </m:r>
          </m:sup>
        </m:sSup>
        <m:r>
          <m:rPr>
            <m:sty m:val="p"/>
          </m:rPr>
          <w:rPr>
            <w:rFonts w:ascii="Cambria Math" w:hAnsi="Cambria Math"/>
          </w:rPr>
          <m:t>-</m:t>
        </m:r>
        <m:r>
          <w:rPr>
            <w:rFonts w:ascii="Cambria Math" w:hAnsi="Cambria Math"/>
          </w:rPr>
          <m:t>Π</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sup>
        </m:sSup>
        <m:r>
          <m:rPr>
            <m:sty m:val="p"/>
          </m:rPr>
          <w:rPr>
            <w:rFonts w:ascii="Cambria Math" w:hAnsi="Cambria Math"/>
          </w:rPr>
          <m:t>,</m:t>
        </m:r>
      </m:oMath>
      <w:r>
        <w:tab/>
        <w:t>(10)</w:t>
      </w:r>
    </w:p>
    <w:p w14:paraId="6D8789AC" w14:textId="77777777" w:rsidR="00C415D1" w:rsidRDefault="00000000" w:rsidP="005A464C">
      <w:pPr>
        <w:pStyle w:val="Equation"/>
        <w:jc w:val="both"/>
      </w:pPr>
      <w:r>
        <w:tab/>
      </w:r>
      <m:oMath>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lim>
        </m:limLow>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r>
          <w:rPr>
            <w:rFonts w:ascii="Cambria Math" w:hAnsi="Cambria Math"/>
          </w:rPr>
          <m:t>Π</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r>
          <w:rPr>
            <w:rFonts w:ascii="Cambria Math" w:hAnsi="Cambria Math"/>
          </w:rPr>
          <m:t>Π</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m:rPr>
                    <m:sty m:val="p"/>
                  </m:rPr>
                  <w:rPr>
                    <w:rFonts w:ascii="Cambria Math" w:hAnsi="Cambria Math"/>
                  </w:rPr>
                  <m:t>+</m:t>
                </m:r>
              </m:sub>
            </m:sSub>
          </m:den>
        </m:f>
        <m:r>
          <m:rPr>
            <m:sty m:val="p"/>
          </m:rPr>
          <w:rPr>
            <w:rFonts w:ascii="Cambria Math" w:hAnsi="Cambria Math"/>
          </w:rPr>
          <m:t>.</m:t>
        </m:r>
      </m:oMath>
      <w:r>
        <w:tab/>
        <w:t>(11)</w:t>
      </w:r>
    </w:p>
    <w:p w14:paraId="03B97390" w14:textId="77777777" w:rsidR="00C415D1" w:rsidRDefault="00000000" w:rsidP="005A464C">
      <w:pPr>
        <w:pStyle w:val="BodyText"/>
        <w:jc w:val="both"/>
      </w:pPr>
      <w:r>
        <w:lastRenderedPageBreak/>
        <w:t>Consequently, two operators with the same kernel but different positive spectra have identical limiting heat projectors and hard Gaussian covariances.</w:t>
      </w:r>
    </w:p>
    <w:p w14:paraId="7C931A53" w14:textId="77777777" w:rsidR="00C415D1" w:rsidRDefault="00000000" w:rsidP="005A464C">
      <w:pPr>
        <w:pStyle w:val="BodyText"/>
        <w:jc w:val="both"/>
      </w:pPr>
      <w:r>
        <w:rPr>
          <w:i/>
          <w:iCs/>
        </w:rPr>
        <w:t>Proof.</w:t>
      </w:r>
      <w:r>
        <w:t xml:space="preserve"> Diagonalise </w:t>
      </w:r>
      <m:oMath>
        <m:r>
          <w:rPr>
            <w:rFonts w:ascii="Cambria Math" w:hAnsi="Cambria Math"/>
          </w:rPr>
          <m:t>L</m:t>
        </m:r>
      </m:oMath>
      <w:r>
        <w:t xml:space="preserve"> in an orthonormal eigenbasis. Heat has gain one on zero eigenvalues and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tλ</m:t>
            </m:r>
          </m:sup>
        </m:sSup>
      </m:oMath>
      <w:r>
        <w:t xml:space="preserve"> on positive ones. The Gaussian covariance has gains </w:t>
      </w:r>
      <m:oMath>
        <m:r>
          <w:rPr>
            <w:rFonts w:ascii="Cambria Math" w:hAnsi="Cambria Math"/>
          </w:rPr>
          <m:t>1</m:t>
        </m:r>
        <m:r>
          <m:rPr>
            <m:sty m:val="p"/>
          </m:rPr>
          <w:rPr>
            <w:rFonts w:ascii="Cambria Math" w:hAnsi="Cambria Math"/>
          </w:rPr>
          <m:t>/</m:t>
        </m:r>
        <m:r>
          <w:rPr>
            <w:rFonts w:ascii="Cambria Math" w:hAnsi="Cambria Math"/>
          </w:rPr>
          <m:t>p</m:t>
        </m:r>
      </m:oMath>
      <w:r>
        <w:t xml:space="preserve"> and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βλ</m:t>
            </m:r>
          </m:e>
        </m:d>
        <m:r>
          <m:rPr>
            <m:nor/>
          </m:rPr>
          <m:t>.</m:t>
        </m:r>
      </m:oMath>
      <w:r>
        <w:t xml:space="preserve"> Taking limits and the largest remaining gain proves all claims. </w:t>
      </w:r>
      <m:oMath>
        <m:r>
          <m:rPr>
            <m:sty m:val="p"/>
          </m:rPr>
          <w:rPr>
            <w:rFonts w:ascii="Cambria Math" w:hAnsi="Cambria Math"/>
          </w:rPr>
          <m:t>▫</m:t>
        </m:r>
      </m:oMath>
    </w:p>
    <w:p w14:paraId="3265D924" w14:textId="77777777" w:rsidR="00C415D1" w:rsidRDefault="00000000" w:rsidP="005A464C">
      <w:pPr>
        <w:pStyle w:val="BodyText"/>
        <w:jc w:val="both"/>
      </w:pPr>
      <w:r>
        <w:t xml:space="preserve">For example, the path Laplacians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and </w:t>
      </w:r>
      <m:oMath>
        <m:r>
          <w:rPr>
            <w:rFonts w:ascii="Cambria Math" w:hAnsi="Cambria Math"/>
          </w:rPr>
          <m:t>4</m:t>
        </m:r>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have the same compatible space but different finite heat operators. Their hard limits agree. An intrinsic sampler that uses only </w:t>
      </w:r>
      <m:oMath>
        <m:r>
          <w:rPr>
            <w:rFonts w:ascii="Cambria Math" w:hAnsi="Cambria Math"/>
          </w:rPr>
          <m:t>Π</m:t>
        </m:r>
      </m:oMath>
      <w:r>
        <w:t xml:space="preserve"> and the same intrinsic clean distribution is equally unable to distinguish them. The qualification about the clean distribution matters: an algorithm can still retain coefficient information elsewhere, such as in learned factors or its decoder.</w:t>
      </w:r>
    </w:p>
    <w:p w14:paraId="0847FEA4" w14:textId="77777777" w:rsidR="00C415D1" w:rsidRDefault="00000000" w:rsidP="005A464C">
      <w:pPr>
        <w:pStyle w:val="BodyText"/>
        <w:jc w:val="both"/>
      </w:pPr>
      <w:r>
        <w:t xml:space="preserve">A soft Gaussian target retains more operator information. Let </w:t>
      </w:r>
      <m:oMath>
        <m:r>
          <w:rPr>
            <w:rFonts w:ascii="Cambria Math" w:hAnsi="Cambria Math"/>
          </w:rPr>
          <m:t>Y</m:t>
        </m:r>
        <m:r>
          <m:rPr>
            <m:scr m:val="script"/>
            <m:sty m:val="p"/>
          </m:rP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C</m:t>
            </m:r>
          </m:e>
        </m:d>
      </m:oMath>
      <w:r>
        <w:t xml:space="preserve"> with </w:t>
      </w:r>
      <m:oMath>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r>
          <m:rPr>
            <m:nor/>
          </m:rPr>
          <m:t>,</m:t>
        </m:r>
      </m:oMath>
      <w:r>
        <w:t xml:space="preserve"> and corrupt it by </w:t>
      </w:r>
      <m:oMath>
        <m:r>
          <w:rPr>
            <w:rFonts w:ascii="Cambria Math" w:hAnsi="Cambria Math"/>
          </w:rPr>
          <m:t>X</m:t>
        </m:r>
        <m:r>
          <m:rPr>
            <m:sty m:val="p"/>
          </m:rPr>
          <w:rPr>
            <w:rFonts w:ascii="Cambria Math" w:hAnsi="Cambria Math"/>
          </w:rPr>
          <m:t>=</m:t>
        </m:r>
        <m:r>
          <w:rPr>
            <w:rFonts w:ascii="Cambria Math" w:hAnsi="Cambria Math"/>
          </w:rPr>
          <m:t>aY</m:t>
        </m:r>
        <m:r>
          <m:rPr>
            <m:sty m:val="p"/>
          </m:rPr>
          <w:rPr>
            <w:rFonts w:ascii="Cambria Math" w:hAnsi="Cambria Math"/>
          </w:rPr>
          <m:t>+</m:t>
        </m:r>
        <m:r>
          <w:rPr>
            <w:rFonts w:ascii="Cambria Math" w:hAnsi="Cambria Math"/>
          </w:rPr>
          <m:t>sϵ</m:t>
        </m:r>
        <m:r>
          <m:rPr>
            <m:nor/>
          </m:rPr>
          <m:t>.</m:t>
        </m:r>
      </m:oMath>
      <w:r>
        <w:t xml:space="preserve"> Its covariance is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r>
          <m:rPr>
            <m:nor/>
          </m:rPr>
          <m:t>.</m:t>
        </m:r>
      </m:oMath>
    </w:p>
    <w:p w14:paraId="4D0094C5" w14:textId="77777777" w:rsidR="00C415D1" w:rsidRDefault="00000000" w:rsidP="005A464C">
      <w:pPr>
        <w:pStyle w:val="BodyText"/>
        <w:keepNext/>
        <w:jc w:val="both"/>
      </w:pPr>
      <w:r>
        <w:rPr>
          <w:b/>
          <w:bCs/>
        </w:rPr>
        <w:t>Proposition 6.2 — A known positive-signal Gaussian law identifies the vertex operator.</w:t>
      </w:r>
      <w:r>
        <w:t xml:space="preserve"> If </w:t>
      </w:r>
      <m:oMath>
        <m:r>
          <w:rPr>
            <w:rFonts w:ascii="Cambria Math" w:hAnsi="Cambria Math"/>
          </w:rPr>
          <m:t>p</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oMath>
      <w:r>
        <w:t xml:space="preserve"> are known, </w:t>
      </w:r>
      <m:oMath>
        <m:r>
          <w:rPr>
            <w:rFonts w:ascii="Cambria Math" w:hAnsi="Cambria Math"/>
          </w:rPr>
          <m:t>β</m:t>
        </m:r>
        <m:r>
          <m:rPr>
            <m:sty m:val="p"/>
          </m:rPr>
          <w:rPr>
            <w:rFonts w:ascii="Cambria Math" w:hAnsi="Cambria Math"/>
          </w:rPr>
          <m:t>&gt;</m:t>
        </m:r>
        <m:r>
          <w:rPr>
            <w:rFonts w:ascii="Cambria Math" w:hAnsi="Cambria Math"/>
          </w:rPr>
          <m:t>0</m:t>
        </m:r>
      </m:oMath>
      <w:r>
        <w:t xml:space="preserve"> and </w:t>
      </w:r>
      <m:oMath>
        <m:r>
          <w:rPr>
            <w:rFonts w:ascii="Cambria Math" w:hAnsi="Cambria Math"/>
          </w:rPr>
          <m:t>a</m:t>
        </m:r>
        <m:r>
          <m:rPr>
            <m:sty m:val="p"/>
          </m:rPr>
          <w:rPr>
            <w:rFonts w:ascii="Cambria Math" w:hAnsi="Cambria Math"/>
          </w:rPr>
          <m:t>≠</m:t>
        </m:r>
        <m:r>
          <w:rPr>
            <w:rFonts w:ascii="Cambria Math" w:hAnsi="Cambria Math"/>
          </w:rPr>
          <m:t>0</m:t>
        </m:r>
        <m:r>
          <m:rPr>
            <m:nor/>
          </m:rPr>
          <m:t>,</m:t>
        </m:r>
      </m:oMath>
      <w:r>
        <w:t xml:space="preserve"> exact knowledge of </w:t>
      </w:r>
      <m:oMath>
        <m:r>
          <w:rPr>
            <w:rFonts w:ascii="Cambria Math" w:hAnsi="Cambria Math"/>
          </w:rPr>
          <m:t>S</m:t>
        </m:r>
      </m:oMath>
      <w:r>
        <w:t xml:space="preserve"> determines</w:t>
      </w:r>
    </w:p>
    <w:p w14:paraId="2A583670" w14:textId="77777777" w:rsidR="00C415D1" w:rsidRDefault="00000000" w:rsidP="005A464C">
      <w:pPr>
        <w:pStyle w:val="Equation"/>
        <w:jc w:val="both"/>
      </w:pPr>
      <w:r>
        <w:tab/>
      </w: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num>
                      <m:den>
                        <m:sSup>
                          <m:sSupPr>
                            <m:ctrlPr>
                              <w:rPr>
                                <w:rFonts w:ascii="Cambria Math" w:hAnsi="Cambria Math"/>
                              </w:rPr>
                            </m:ctrlPr>
                          </m:sSupPr>
                          <m:e>
                            <m:r>
                              <w:rPr>
                                <w:rFonts w:ascii="Cambria Math" w:hAnsi="Cambria Math"/>
                              </w:rPr>
                              <m:t>a</m:t>
                            </m:r>
                          </m:e>
                          <m:sup>
                            <m:r>
                              <w:rPr>
                                <w:rFonts w:ascii="Cambria Math" w:hAnsi="Cambria Math"/>
                              </w:rPr>
                              <m:t>2</m:t>
                            </m:r>
                          </m:sup>
                        </m:sSup>
                      </m:den>
                    </m:f>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pI</m:t>
            </m:r>
          </m:e>
        </m:d>
        <m:r>
          <m:rPr>
            <m:sty m:val="p"/>
          </m:rPr>
          <w:rPr>
            <w:rFonts w:ascii="Cambria Math" w:hAnsi="Cambria Math"/>
          </w:rPr>
          <m:t>.</m:t>
        </m:r>
      </m:oMath>
      <w:r>
        <w:tab/>
        <w:t>(12)</w:t>
      </w:r>
    </w:p>
    <w:p w14:paraId="152D3D9B" w14:textId="77777777" w:rsidR="00C415D1" w:rsidRDefault="00000000" w:rsidP="005A464C">
      <w:pPr>
        <w:pStyle w:val="BodyText"/>
        <w:jc w:val="both"/>
      </w:pPr>
      <w:r>
        <w:rPr>
          <w:i/>
          <w:iCs/>
        </w:rPr>
        <w:t>Proof.</w:t>
      </w:r>
      <w:r>
        <w:t xml:space="preserve"> Subtract the known noise covariance, divide by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to recover </w:t>
      </w:r>
      <m:oMath>
        <m:r>
          <w:rPr>
            <w:rFonts w:ascii="Cambria Math" w:hAnsi="Cambria Math"/>
          </w:rPr>
          <m:t>C</m:t>
        </m:r>
        <m:r>
          <m:rPr>
            <m:nor/>
          </m:rPr>
          <m:t>,</m:t>
        </m:r>
      </m:oMath>
      <w:r>
        <w:t xml:space="preserve"> and invert the clean precision formula. </w:t>
      </w:r>
      <m:oMath>
        <m:r>
          <m:rPr>
            <m:sty m:val="p"/>
          </m:rPr>
          <w:rPr>
            <w:rFonts w:ascii="Cambria Math" w:hAnsi="Cambria Math"/>
          </w:rPr>
          <m:t>▫</m:t>
        </m:r>
      </m:oMath>
    </w:p>
    <w:p w14:paraId="03A131C3" w14:textId="77777777" w:rsidR="00C415D1" w:rsidRDefault="00000000" w:rsidP="005A464C">
      <w:pPr>
        <w:pStyle w:val="BodyText"/>
        <w:jc w:val="both"/>
      </w:pPr>
      <w:r>
        <w:t xml:space="preserve">This identifies </w:t>
      </w:r>
      <m:oMath>
        <m:r>
          <w:rPr>
            <w:rFonts w:ascii="Cambria Math" w:hAnsi="Cambria Math"/>
          </w:rPr>
          <m:t>L</m:t>
        </m:r>
        <m:r>
          <m:rPr>
            <m:nor/>
          </m:rPr>
          <m:t>,</m:t>
        </m:r>
      </m:oMath>
      <w:r>
        <w:t xml:space="preserve"> not the full restriction diagram, by Theorem 3.1. It also fails at pure noise </w:t>
      </w:r>
      <m:oMath>
        <m:r>
          <w:rPr>
            <w:rFonts w:ascii="Cambria Math" w:hAnsi="Cambria Math"/>
          </w:rPr>
          <m:t>a</m:t>
        </m:r>
        <m:r>
          <m:rPr>
            <m:sty m:val="p"/>
          </m:rPr>
          <w:rPr>
            <w:rFonts w:ascii="Cambria Math" w:hAnsi="Cambria Math"/>
          </w:rPr>
          <m:t>=</m:t>
        </m:r>
        <m:r>
          <w:rPr>
            <w:rFonts w:ascii="Cambria Math" w:hAnsi="Cambria Math"/>
          </w:rPr>
          <m:t>0</m:t>
        </m:r>
        <m:r>
          <m:rPr>
            <m:nor/>
          </m:rPr>
          <m:t>,</m:t>
        </m:r>
      </m:oMath>
      <w:r>
        <w:t xml:space="preserve"> and it is not a stable finite-sample identification guarantee. Subtraction by </w:t>
      </w:r>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r>
          <m:rPr>
            <m:nor/>
          </m:rPr>
          <m:t>,</m:t>
        </m:r>
      </m:oMath>
      <w:r>
        <w:t xml:space="preserve"> division by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and covariance inversion can amplify estimation errors. The proposition concerns exact distributions under a known model.</w:t>
      </w:r>
    </w:p>
    <w:p w14:paraId="59FEC022" w14:textId="77777777" w:rsidR="00C415D1" w:rsidRDefault="00000000" w:rsidP="005A464C">
      <w:pPr>
        <w:pStyle w:val="Heading21"/>
        <w:jc w:val="both"/>
      </w:pPr>
      <w:bookmarkStart w:id="7" w:name="X0705dc8d008ce61f1a29c8751b5979e214527ed"/>
      <w:r>
        <w:t>6.1 A small holonomy can make a hard discontinuity</w:t>
      </w:r>
    </w:p>
    <w:p w14:paraId="1D1DBE55" w14:textId="77777777" w:rsidR="00C415D1" w:rsidRDefault="00000000" w:rsidP="005A464C">
      <w:pPr>
        <w:pStyle w:val="FirstParagraph"/>
        <w:jc w:val="both"/>
      </w:pPr>
      <w:r>
        <w:t xml:space="preserve">Consider a three-cycle with two-dimensional orthogonal transport. Two edges have identity transport and the third has the planar rotation </w:t>
      </w:r>
      <m:oMath>
        <m:sSub>
          <m:sSubPr>
            <m:ctrlPr>
              <w:rPr>
                <w:rFonts w:ascii="Cambria Math" w:hAnsi="Cambria Math"/>
              </w:rPr>
            </m:ctrlPr>
          </m:sSubPr>
          <m:e>
            <m:r>
              <w:rPr>
                <w:rFonts w:ascii="Cambria Math" w:hAnsi="Cambria Math"/>
              </w:rPr>
              <m:t>R</m:t>
            </m:r>
          </m:e>
          <m:sub>
            <m:r>
              <w:rPr>
                <w:rFonts w:ascii="Cambria Math" w:hAnsi="Cambria Math"/>
              </w:rPr>
              <m:t>ε</m:t>
            </m:r>
          </m:sub>
        </m:sSub>
        <m:r>
          <m:rPr>
            <m:nor/>
          </m:rPr>
          <m:t>.</m:t>
        </m:r>
      </m:oMath>
      <w:r>
        <w:t xml:space="preserve"> Let </w:t>
      </w:r>
      <m:oMath>
        <m:sSub>
          <m:sSubPr>
            <m:ctrlPr>
              <w:rPr>
                <w:rFonts w:ascii="Cambria Math" w:hAnsi="Cambria Math"/>
              </w:rPr>
            </m:ctrlPr>
          </m:sSubPr>
          <m:e>
            <m:r>
              <w:rPr>
                <w:rFonts w:ascii="Cambria Math" w:hAnsi="Cambria Math"/>
              </w:rPr>
              <m:t>L</m:t>
            </m:r>
          </m:e>
          <m:sub>
            <m:r>
              <w:rPr>
                <w:rFonts w:ascii="Cambria Math" w:hAnsi="Cambria Math"/>
              </w:rPr>
              <m:t>ε</m:t>
            </m:r>
          </m:sub>
        </m:sSub>
      </m:oMath>
      <w:r>
        <w:t xml:space="preserve"> be its vertex Laplacian. At </w:t>
      </w:r>
      <m:oMath>
        <m:r>
          <w:rPr>
            <w:rFonts w:ascii="Cambria Math" w:hAnsi="Cambria Math"/>
          </w:rPr>
          <m:t>ε</m:t>
        </m:r>
        <m:r>
          <m:rPr>
            <m:sty m:val="p"/>
          </m:rPr>
          <w:rPr>
            <w:rFonts w:ascii="Cambria Math" w:hAnsi="Cambria Math"/>
          </w:rPr>
          <m:t>=</m:t>
        </m:r>
        <m:r>
          <w:rPr>
            <w:rFonts w:ascii="Cambria Math" w:hAnsi="Cambria Math"/>
          </w:rPr>
          <m:t>0</m:t>
        </m:r>
        <m:r>
          <m:rPr>
            <m:nor/>
          </m:rPr>
          <m:t>,</m:t>
        </m:r>
      </m:oMath>
      <w:r>
        <w:t xml:space="preserve"> compatible assignments have a common arbitrary vector, so the kernel has dimension two. At any </w:t>
      </w:r>
      <m:oMath>
        <m:r>
          <w:rPr>
            <w:rFonts w:ascii="Cambria Math" w:hAnsi="Cambria Math"/>
          </w:rPr>
          <m:t>0</m:t>
        </m:r>
        <m:r>
          <m:rPr>
            <m:sty m:val="p"/>
          </m:rPr>
          <w:rPr>
            <w:rFonts w:ascii="Cambria Math" w:hAnsi="Cambria Math"/>
          </w:rPr>
          <m:t>&lt;</m:t>
        </m:r>
        <m:d>
          <m:dPr>
            <m:begChr m:val="|"/>
            <m:endChr m:val="|"/>
            <m:ctrlPr>
              <w:rPr>
                <w:rFonts w:ascii="Cambria Math" w:hAnsi="Cambria Math"/>
              </w:rPr>
            </m:ctrlPr>
          </m:dPr>
          <m:e>
            <m:r>
              <w:rPr>
                <w:rFonts w:ascii="Cambria Math" w:hAnsi="Cambria Math"/>
              </w:rPr>
              <m:t>ε</m:t>
            </m:r>
          </m:e>
        </m:d>
        <m:r>
          <m:rPr>
            <m:sty m:val="p"/>
          </m:rPr>
          <w:rPr>
            <w:rFonts w:ascii="Cambria Math" w:hAnsi="Cambria Math"/>
          </w:rPr>
          <m:t>&lt;</m:t>
        </m:r>
        <m:r>
          <w:rPr>
            <w:rFonts w:ascii="Cambria Math" w:hAnsi="Cambria Math"/>
          </w:rPr>
          <m:t>π</m:t>
        </m:r>
        <m:r>
          <m:rPr>
            <m:nor/>
          </m:rPr>
          <m:t>,</m:t>
        </m:r>
      </m:oMath>
      <w:r>
        <w:t xml:space="preserve"> a compatible root vector must be fixed by a nontrivial planar rotation and is therefore zero.</w:t>
      </w:r>
    </w:p>
    <w:p w14:paraId="191B7E86" w14:textId="77777777" w:rsidR="00C415D1" w:rsidRDefault="00000000" w:rsidP="005A464C">
      <w:pPr>
        <w:pStyle w:val="BodyText"/>
        <w:keepNext/>
        <w:jc w:val="both"/>
      </w:pPr>
      <w:r>
        <w:rPr>
          <w:b/>
          <w:bCs/>
        </w:rPr>
        <w:t>Theorem 6.3 — The zero-holonomy and hard-diffusion limits do not commute.</w:t>
      </w:r>
      <w:r>
        <w:t xml:space="preserve"> For this fixed-base family,</w:t>
      </w:r>
    </w:p>
    <w:p w14:paraId="4ED1A4A2" w14:textId="77777777" w:rsidR="00C415D1" w:rsidRDefault="00000000" w:rsidP="005A464C">
      <w:pPr>
        <w:pStyle w:val="Equation"/>
        <w:keepNext/>
        <w:jc w:val="both"/>
      </w:pPr>
      <w:r>
        <w:tab/>
      </w:r>
      <m:oMath>
        <m:limLow>
          <m:limLowPr>
            <m:ctrlPr>
              <w:rPr>
                <w:rFonts w:ascii="Cambria Math" w:hAnsi="Cambria Math"/>
              </w:rPr>
            </m:ctrlPr>
          </m:limLowPr>
          <m:e>
            <m:r>
              <m:rPr>
                <m:nor/>
              </m:rPr>
              <m:t>lim</m:t>
            </m:r>
          </m:e>
          <m:lim>
            <m:r>
              <w:rPr>
                <w:rFonts w:ascii="Cambria Math" w:hAnsi="Cambria Math"/>
              </w:rPr>
              <m:t>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ε</m:t>
            </m:r>
            <m:r>
              <m:rPr>
                <m:sty m:val="p"/>
              </m:rPr>
              <w:rPr>
                <w:rFonts w:ascii="Cambria Math" w:hAnsi="Cambria Math"/>
              </w:rPr>
              <m:t>≠</m:t>
            </m:r>
            <m:r>
              <w:rPr>
                <w:rFonts w:ascii="Cambria Math" w:hAnsi="Cambria Math"/>
              </w:rPr>
              <m:t>0</m:t>
            </m:r>
          </m:lim>
        </m:limLow>
        <m:d>
          <m:dPr>
            <m:ctrlPr>
              <w:rPr>
                <w:rFonts w:ascii="Cambria Math" w:hAnsi="Cambria Math"/>
              </w:rPr>
            </m:ctrlPr>
          </m:dPr>
          <m:e>
            <m:limLow>
              <m:limLowPr>
                <m:ctrlPr>
                  <w:rPr>
                    <w:rFonts w:ascii="Cambria Math" w:hAnsi="Cambria Math"/>
                  </w:rPr>
                </m:ctrlPr>
              </m:limLowPr>
              <m:e>
                <m:r>
                  <m:rPr>
                    <m:nor/>
                  </m:rPr>
                  <m:t>lim</m:t>
                </m:r>
              </m:e>
              <m:lim>
                <m:r>
                  <w:rPr>
                    <w:rFonts w:ascii="Cambria Math" w:hAnsi="Cambria Math"/>
                  </w:rPr>
                  <m:t>t</m:t>
                </m:r>
                <m:r>
                  <m:rPr>
                    <m:sty m:val="p"/>
                  </m:rPr>
                  <w:rPr>
                    <w:rFonts w:ascii="Cambria Math" w:hAnsi="Cambria Math"/>
                  </w:rPr>
                  <m:t>→∞</m:t>
                </m:r>
              </m:lim>
            </m:limLow>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ε</m:t>
                    </m:r>
                  </m:sub>
                </m:sSub>
              </m:sup>
            </m:sSup>
          </m:e>
        </m:d>
        <m:r>
          <m:rPr>
            <m:sty m:val="p"/>
          </m:rPr>
          <w:rPr>
            <w:rFonts w:ascii="Cambria Math" w:hAnsi="Cambria Math"/>
          </w:rPr>
          <m:t>=</m:t>
        </m:r>
        <m:r>
          <w:rPr>
            <w:rFonts w:ascii="Cambria Math" w:hAnsi="Cambria Math"/>
          </w:rPr>
          <m:t>0</m:t>
        </m:r>
        <m:r>
          <m:rPr>
            <m:sty m:val="p"/>
          </m:rPr>
          <w:rPr>
            <w:rFonts w:ascii="Cambria Math" w:hAnsi="Cambria Math"/>
          </w:rPr>
          <m:t>,</m:t>
        </m:r>
      </m:oMath>
    </w:p>
    <w:p w14:paraId="5BA5BF67" w14:textId="77777777" w:rsidR="00C415D1" w:rsidRDefault="00000000" w:rsidP="005A464C">
      <w:pPr>
        <w:pStyle w:val="Equation"/>
        <w:jc w:val="both"/>
      </w:pPr>
      <w:r>
        <w:tab/>
      </w:r>
      <m:oMath>
        <m:limLow>
          <m:limLowPr>
            <m:ctrlPr>
              <w:rPr>
                <w:rFonts w:ascii="Cambria Math" w:hAnsi="Cambria Math"/>
              </w:rPr>
            </m:ctrlPr>
          </m:limLowPr>
          <m:e>
            <m:r>
              <m:rPr>
                <m:nor/>
              </m:rPr>
              <m:t>lim</m:t>
            </m:r>
          </m:e>
          <m:lim>
            <m:r>
              <w:rPr>
                <w:rFonts w:ascii="Cambria Math" w:hAnsi="Cambria Math"/>
              </w:rPr>
              <m:t>t</m:t>
            </m:r>
            <m:r>
              <m:rPr>
                <m:sty m:val="p"/>
              </m:rPr>
              <w:rPr>
                <w:rFonts w:ascii="Cambria Math" w:hAnsi="Cambria Math"/>
              </w:rPr>
              <m:t>→∞</m:t>
            </m:r>
          </m:lim>
        </m:limLow>
        <m:d>
          <m:dPr>
            <m:ctrlPr>
              <w:rPr>
                <w:rFonts w:ascii="Cambria Math" w:hAnsi="Cambria Math"/>
              </w:rPr>
            </m:ctrlPr>
          </m:dPr>
          <m:e>
            <m:limLow>
              <m:limLowPr>
                <m:ctrlPr>
                  <w:rPr>
                    <w:rFonts w:ascii="Cambria Math" w:hAnsi="Cambria Math"/>
                  </w:rPr>
                </m:ctrlPr>
              </m:limLowPr>
              <m:e>
                <m:r>
                  <m:rPr>
                    <m:nor/>
                  </m:rPr>
                  <m:t>lim</m:t>
                </m:r>
              </m:e>
              <m:lim>
                <m:r>
                  <w:rPr>
                    <w:rFonts w:ascii="Cambria Math" w:hAnsi="Cambria Math"/>
                  </w:rPr>
                  <m:t>ε</m:t>
                </m:r>
                <m:r>
                  <m:rPr>
                    <m:sty m:val="p"/>
                  </m:rPr>
                  <w:rPr>
                    <w:rFonts w:ascii="Cambria Math" w:hAnsi="Cambria Math"/>
                  </w:rPr>
                  <m:t>→</m:t>
                </m:r>
                <m:r>
                  <w:rPr>
                    <w:rFonts w:ascii="Cambria Math" w:hAnsi="Cambria Math"/>
                  </w:rPr>
                  <m:t>0</m:t>
                </m:r>
              </m:lim>
            </m:limLow>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ε</m:t>
                    </m:r>
                  </m:sub>
                </m:sSub>
              </m:sup>
            </m:sSup>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oMath>
      <w:r>
        <w:tab/>
        <w:t>(13)</w:t>
      </w:r>
    </w:p>
    <w:p w14:paraId="00ACC97C" w14:textId="77777777" w:rsidR="00C415D1" w:rsidRDefault="00000000" w:rsidP="005A464C">
      <w:pPr>
        <w:pStyle w:val="BodyText"/>
        <w:jc w:val="both"/>
      </w:pPr>
      <w:r>
        <w:t xml:space="preserve">For </w:t>
      </w:r>
      <m:oMath>
        <m:d>
          <m:dPr>
            <m:begChr m:val="|"/>
            <m:endChr m:val="|"/>
            <m:ctrlPr>
              <w:rPr>
                <w:rFonts w:ascii="Cambria Math" w:hAnsi="Cambria Math"/>
              </w:rPr>
            </m:ctrlPr>
          </m:dPr>
          <m:e>
            <m:r>
              <w:rPr>
                <w:rFonts w:ascii="Cambria Math" w:hAnsi="Cambria Math"/>
              </w:rPr>
              <m:t>ε</m:t>
            </m:r>
          </m:e>
        </m:d>
        <m:r>
          <m:rPr>
            <m:sty m:val="p"/>
          </m:rPr>
          <w:rPr>
            <w:rFonts w:ascii="Cambria Math" w:hAnsi="Cambria Math"/>
          </w:rPr>
          <m:t>&lt;</m:t>
        </m:r>
        <m:r>
          <w:rPr>
            <w:rFonts w:ascii="Cambria Math" w:hAnsi="Cambria Math"/>
          </w:rPr>
          <m:t>π</m:t>
        </m:r>
        <m:r>
          <m:rPr>
            <m:nor/>
          </m:rPr>
          <m:t>,</m:t>
        </m:r>
      </m:oMath>
      <w:r>
        <w:t xml:space="preserve"> the smallest eigenvalue is</w:t>
      </w:r>
    </w:p>
    <w:p w14:paraId="7FBA3F35" w14:textId="77777777" w:rsidR="00C415D1" w:rsidRDefault="00000000" w:rsidP="005A464C">
      <w:pPr>
        <w:pStyle w:val="Equation"/>
        <w:jc w:val="both"/>
      </w:pPr>
      <w:r>
        <w:tab/>
      </w:r>
      <m:oMath>
        <m:sSub>
          <m:sSubPr>
            <m:ctrlPr>
              <w:rPr>
                <w:rFonts w:ascii="Cambria Math" w:hAnsi="Cambria Math"/>
              </w:rPr>
            </m:ctrlPr>
          </m:sSubPr>
          <m:e>
            <m:r>
              <w:rPr>
                <w:rFonts w:ascii="Cambria Math" w:hAnsi="Cambria Math"/>
              </w:rPr>
              <m:t>λ</m:t>
            </m:r>
          </m:e>
          <m:sub>
            <m:r>
              <m:rPr>
                <m:sty m:val="p"/>
              </m:rPr>
              <w:rPr>
                <w:rFonts w:ascii="Cambria Math" w:hAnsi="Cambria Math"/>
              </w:rPr>
              <m:t>min</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ε</m:t>
                </m:r>
              </m:sub>
            </m:sSub>
          </m:e>
        </m:d>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6</m:t>
            </m:r>
          </m:e>
        </m:d>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r>
          <m:rPr>
            <m:sty m:val="p"/>
          </m:rPr>
          <w:rPr>
            <w:rFonts w:ascii="Cambria Math" w:hAnsi="Cambria Math"/>
          </w:rPr>
          <m:t>/</m:t>
        </m:r>
        <m:r>
          <w:rPr>
            <w:rFonts w:ascii="Cambria Math" w:hAnsi="Cambria Math"/>
          </w:rPr>
          <m:t>9</m:t>
        </m:r>
        <m:r>
          <m:rPr>
            <m:sty m:val="p"/>
          </m:rPr>
          <w:rPr>
            <w:rFonts w:ascii="Cambria Math" w:hAnsi="Cambria Math"/>
          </w:rPr>
          <m:t>.</m:t>
        </m:r>
      </m:oMath>
      <w:r>
        <w:tab/>
        <w:t>(14)</w:t>
      </w:r>
    </w:p>
    <w:p w14:paraId="2717D80E" w14:textId="77777777" w:rsidR="00C415D1" w:rsidRDefault="00000000" w:rsidP="005A464C">
      <w:pPr>
        <w:pStyle w:val="BodyText"/>
        <w:jc w:val="both"/>
      </w:pPr>
      <w:r>
        <w:rPr>
          <w:i/>
          <w:iCs/>
        </w:rPr>
        <w:t>Proof.</w:t>
      </w:r>
      <w:r>
        <w:t xml:space="preserve"> The kernel statement gives the first iterated limit. Since the entries of </w:t>
      </w:r>
      <m:oMath>
        <m:sSub>
          <m:sSubPr>
            <m:ctrlPr>
              <w:rPr>
                <w:rFonts w:ascii="Cambria Math" w:hAnsi="Cambria Math"/>
              </w:rPr>
            </m:ctrlPr>
          </m:sSubPr>
          <m:e>
            <m:r>
              <w:rPr>
                <w:rFonts w:ascii="Cambria Math" w:hAnsi="Cambria Math"/>
              </w:rPr>
              <m:t>L</m:t>
            </m:r>
          </m:e>
          <m:sub>
            <m:r>
              <w:rPr>
                <w:rFonts w:ascii="Cambria Math" w:hAnsi="Cambria Math"/>
              </w:rPr>
              <m:t>ε</m:t>
            </m:r>
          </m:sub>
        </m:sSub>
      </m:oMath>
      <w:r>
        <w:t xml:space="preserve"> vary continuously, matrix exponentiation at fixed finite </w:t>
      </w:r>
      <m:oMath>
        <m:r>
          <w:rPr>
            <w:rFonts w:ascii="Cambria Math" w:hAnsi="Cambria Math"/>
          </w:rPr>
          <m:t>t</m:t>
        </m:r>
      </m:oMath>
      <w:r>
        <w:t xml:space="preserve"> converges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0</m:t>
                </m:r>
              </m:sub>
            </m:sSub>
          </m:sup>
        </m:sSup>
        <m:r>
          <m:rPr>
            <m:nor/>
          </m:rPr>
          <m:t>,</m:t>
        </m:r>
      </m:oMath>
      <w:r>
        <w:t xml:space="preserve"> giving the second. For the gap, distribute the rotation equally around the cycle by local frames and identify the plane with the complex numbers. The cyclic Fourier modes have eigenvalues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cos</m:t>
        </m:r>
        <m:d>
          <m:dPr>
            <m:begChr m:val="["/>
            <m:endChr m:val="]"/>
            <m:ctrlPr>
              <w:rPr>
                <w:rFonts w:ascii="Cambria Math" w:hAnsi="Cambria Math"/>
              </w:rPr>
            </m:ctrlPr>
          </m:dPr>
          <m:e>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2πk</m:t>
                </m:r>
              </m:e>
            </m:d>
            <m:r>
              <m:rPr>
                <m:sty m:val="p"/>
              </m:rPr>
              <w:rPr>
                <w:rFonts w:ascii="Cambria Math" w:hAnsi="Cambria Math"/>
              </w:rPr>
              <m:t>/</m:t>
            </m:r>
            <m:r>
              <w:rPr>
                <w:rFonts w:ascii="Cambria Math" w:hAnsi="Cambria Math"/>
              </w:rPr>
              <m:t>3</m:t>
            </m:r>
          </m:e>
        </m:d>
        <m:r>
          <m:rPr>
            <m:nor/>
          </m:rPr>
          <m:t>,</m:t>
        </m:r>
      </m:oMath>
      <w:r>
        <w:t xml:space="preserve"> </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nor/>
          </m:rPr>
          <m:t>,</m:t>
        </m:r>
      </m:oMath>
      <w:r>
        <w:t xml:space="preserve"> each appearing twice over the real coordinates. In the stated interval the smallest is the </w:t>
      </w:r>
      <m:oMath>
        <m:r>
          <w:rPr>
            <w:rFonts w:ascii="Cambria Math" w:hAnsi="Cambria Math"/>
          </w:rPr>
          <m:t>k</m:t>
        </m:r>
        <m:r>
          <m:rPr>
            <m:sty m:val="p"/>
          </m:rPr>
          <w:rPr>
            <w:rFonts w:ascii="Cambria Math" w:hAnsi="Cambria Math"/>
          </w:rPr>
          <m:t>=</m:t>
        </m:r>
        <m:r>
          <w:rPr>
            <w:rFonts w:ascii="Cambria Math" w:hAnsi="Cambria Math"/>
          </w:rPr>
          <m:t>0</m:t>
        </m:r>
      </m:oMath>
      <w:r>
        <w:t xml:space="preserve"> value, which equals (14). </w:t>
      </w:r>
      <m:oMath>
        <m:r>
          <m:rPr>
            <m:sty m:val="p"/>
          </m:rPr>
          <w:rPr>
            <w:rFonts w:ascii="Cambria Math" w:hAnsi="Cambria Math"/>
          </w:rPr>
          <m:t>▫</m:t>
        </m:r>
      </m:oMath>
    </w:p>
    <w:p w14:paraId="58C86395" w14:textId="77777777" w:rsidR="00C415D1" w:rsidRDefault="00000000" w:rsidP="005A464C">
      <w:pPr>
        <w:pStyle w:val="BodyText"/>
        <w:jc w:val="both"/>
      </w:pPr>
      <w:r>
        <w:t xml:space="preserve">The compatible projectors differ in operator norm by one, however small the nonzero angle is. The corresponding hard Gaussian covariance limits are zero for nonzero angle and </w:t>
      </w:r>
      <m:oMath>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Π</m:t>
            </m:r>
          </m:e>
          <m:sub>
            <m:r>
              <w:rPr>
                <w:rFonts w:ascii="Cambria Math" w:hAnsi="Cambria Math"/>
              </w:rPr>
              <m:t>0</m:t>
            </m:r>
          </m:sub>
        </m:sSub>
      </m:oMath>
      <w:r>
        <w:t xml:space="preserve"> at zero. Yet the finite-time heat is continuous. Its slowest decay time grows like </w:t>
      </w:r>
      <m:oMath>
        <m:r>
          <w:rPr>
            <w:rFonts w:ascii="Cambria Math" w:hAnsi="Cambria Math"/>
          </w:rPr>
          <m:t>9</m:t>
        </m:r>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r>
          <m:rPr>
            <m:nor/>
          </m:rPr>
          <m:t>.</m:t>
        </m:r>
      </m:oMath>
      <w:r>
        <w:t xml:space="preserve"> A model can therefore look almost compatible over every practical finite depth and still have a qualitatively different infinite-depth limit.</w:t>
      </w:r>
    </w:p>
    <w:p w14:paraId="1AA12472" w14:textId="77777777" w:rsidR="00C415D1" w:rsidRDefault="00000000" w:rsidP="005A464C">
      <w:pPr>
        <w:pStyle w:val="BodyText"/>
        <w:jc w:val="both"/>
      </w:pPr>
      <w:r>
        <w:lastRenderedPageBreak/>
        <w:t>This is a precise reason to avoid equating a stronger agreement constraint with a better architecture. An exact hard constraint is sensitive to whether a nearly closed transport cycle closes exactly. Learning error, calibration error and numerical rank thresholds can decide which compatible space is used. Reporting that choice is part of the model, not a minor implementation detail.</w:t>
      </w:r>
    </w:p>
    <w:p w14:paraId="32FFF0AC" w14:textId="77777777" w:rsidR="00C415D1" w:rsidRDefault="00000000" w:rsidP="005A464C">
      <w:pPr>
        <w:pStyle w:val="CaptionedFigure"/>
        <w:jc w:val="both"/>
      </w:pPr>
      <w:r>
        <w:rPr>
          <w:noProof/>
        </w:rPr>
        <w:drawing>
          <wp:inline distT="0" distB="0" distL="0" distR="0" wp14:anchorId="2CBE983A" wp14:editId="26E2BD24">
            <wp:extent cx="6337300" cy="2102277"/>
            <wp:effectExtent l="0" t="0" r="0" b="0"/>
            <wp:docPr id="30" name="Picture" descr="Analytic finite heat and soft Gaussian covariance on a cycle with zero and nonzero rotation holonomy."/>
            <wp:cNvGraphicFramePr/>
            <a:graphic xmlns:a="http://schemas.openxmlformats.org/drawingml/2006/main">
              <a:graphicData uri="http://schemas.openxmlformats.org/drawingml/2006/picture">
                <pic:pic xmlns:pic="http://schemas.openxmlformats.org/drawingml/2006/picture">
                  <pic:nvPicPr>
                    <pic:cNvPr id="31" name="Picture" descr="fig/holonomy_limits.png"/>
                    <pic:cNvPicPr>
                      <a:picLocks noChangeAspect="1" noChangeArrowheads="1"/>
                    </pic:cNvPicPr>
                  </pic:nvPicPr>
                  <pic:blipFill>
                    <a:blip r:embed="rId8"/>
                    <a:stretch>
                      <a:fillRect/>
                    </a:stretch>
                  </pic:blipFill>
                  <pic:spPr bwMode="auto">
                    <a:xfrm>
                      <a:off x="0" y="0"/>
                      <a:ext cx="6337300" cy="2102277"/>
                    </a:xfrm>
                    <a:prstGeom prst="rect">
                      <a:avLst/>
                    </a:prstGeom>
                    <a:noFill/>
                    <a:ln w="9525">
                      <a:noFill/>
                      <a:headEnd/>
                      <a:tailEnd/>
                    </a:ln>
                  </pic:spPr>
                </pic:pic>
              </a:graphicData>
            </a:graphic>
          </wp:inline>
        </w:drawing>
      </w:r>
    </w:p>
    <w:p w14:paraId="1FC0C65C" w14:textId="77777777" w:rsidR="00C415D1" w:rsidRDefault="00000000" w:rsidP="005A464C">
      <w:pPr>
        <w:pStyle w:val="ImageCaption"/>
        <w:keepLines/>
        <w:jc w:val="both"/>
      </w:pPr>
      <w:r>
        <w:t xml:space="preserve">Figure 2. Finite heat and hard collapse on the rotation cycle. The left panel plots the heat operator norm, which is one at zero holonomy and decays as </w:t>
      </w:r>
      <m:oMath>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4t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6</m:t>
                </m:r>
              </m:e>
            </m:d>
          </m:e>
        </m:d>
      </m:oMath>
      <w:r>
        <w:t xml:space="preserve"> for nonzero angles. Decreasing the angle delays collapse but does not change its infinite-time endpoint. The right panel plots the corresponding soft Gaussian covariance norm for </w:t>
      </w:r>
      <m:oMath>
        <m:r>
          <w:rPr>
            <w:rFonts w:ascii="Cambria Math" w:hAnsi="Cambria Math"/>
          </w:rPr>
          <m:t>p</m:t>
        </m:r>
        <m:r>
          <m:rPr>
            <m:sty m:val="p"/>
          </m:rPr>
          <w:rPr>
            <w:rFonts w:ascii="Cambria Math" w:hAnsi="Cambria Math"/>
          </w:rPr>
          <m:t>=</m:t>
        </m:r>
        <m:r>
          <w:rPr>
            <w:rFonts w:ascii="Cambria Math" w:hAnsi="Cambria Math"/>
          </w:rPr>
          <m:t>1</m:t>
        </m:r>
        <m:r>
          <m:rPr>
            <m:nor/>
          </m:rPr>
          <m:t>.</m:t>
        </m:r>
      </m:oMath>
      <w:r>
        <w:t xml:space="preserve"> The curves are analytic evaluations, not learned-model measurements.</w:t>
      </w:r>
    </w:p>
    <w:p w14:paraId="41868306" w14:textId="77777777" w:rsidR="00C415D1" w:rsidRDefault="00000000" w:rsidP="005A464C">
      <w:pPr>
        <w:pStyle w:val="Heading21"/>
        <w:jc w:val="both"/>
      </w:pPr>
      <w:bookmarkStart w:id="8" w:name="Xdf9e96b1466d4ca421b78744ddcf7ea4ea940c6"/>
      <w:bookmarkEnd w:id="7"/>
      <w:r>
        <w:t>6.2 Finite operators have perturbation certificates</w:t>
      </w:r>
    </w:p>
    <w:p w14:paraId="605D6195" w14:textId="77777777" w:rsidR="00C415D1" w:rsidRDefault="00000000" w:rsidP="005A464C">
      <w:pPr>
        <w:pStyle w:val="FirstParagraph"/>
        <w:keepNext/>
        <w:jc w:val="both"/>
      </w:pPr>
      <w:r>
        <w:rPr>
          <w:b/>
          <w:bCs/>
        </w:rPr>
        <w:t>Proposition 6.4 — Stability before the hard limit.</w:t>
      </w:r>
      <w:r>
        <w:t xml:space="preserve"> For any two whitened coboundaries </w:t>
      </w:r>
      <m:oMath>
        <m:r>
          <w:rPr>
            <w:rFonts w:ascii="Cambria Math" w:hAnsi="Cambria Math"/>
          </w:rPr>
          <m:t>B</m:t>
        </m:r>
        <m:r>
          <m:rPr>
            <m:sty m:val="p"/>
          </m:rPr>
          <w:rPr>
            <w:rFonts w:ascii="Cambria Math" w:hAnsi="Cambria Math"/>
          </w:rPr>
          <m:t>,</m:t>
        </m:r>
        <m:acc>
          <m:accPr>
            <m:ctrlPr>
              <w:rPr>
                <w:rFonts w:ascii="Cambria Math" w:hAnsi="Cambria Math"/>
              </w:rPr>
            </m:ctrlPr>
          </m:accPr>
          <m:e>
            <m:r>
              <w:rPr>
                <w:rFonts w:ascii="Cambria Math" w:hAnsi="Cambria Math"/>
              </w:rPr>
              <m:t>B</m:t>
            </m:r>
          </m:e>
        </m:acc>
      </m:oMath>
      <w:r>
        <w:t xml:space="preserve"> on the same declared coordinate spaces, let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oMath>
      <w:r>
        <w:t xml:space="preserve"> and </w:t>
      </w:r>
      <m:oMath>
        <m:acc>
          <m:accPr>
            <m:ctrlPr>
              <w:rPr>
                <w:rFonts w:ascii="Cambria Math" w:hAnsi="Cambria Math"/>
              </w:rPr>
            </m:ctrlPr>
          </m:accPr>
          <m:e>
            <m:r>
              <w:rPr>
                <w:rFonts w:ascii="Cambria Math" w:hAnsi="Cambria Math"/>
              </w:rPr>
              <m:t>L</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B</m:t>
                </m:r>
              </m:e>
            </m:acc>
          </m:e>
          <m:sup>
            <m:r>
              <m:rPr>
                <m:sty m:val="p"/>
              </m:rPr>
              <w:rPr>
                <w:rFonts w:ascii="Cambria Math" w:hAnsi="Cambria Math"/>
              </w:rPr>
              <m:t>⊤</m:t>
            </m:r>
          </m:sup>
        </m:sSup>
        <m:acc>
          <m:accPr>
            <m:ctrlPr>
              <w:rPr>
                <w:rFonts w:ascii="Cambria Math" w:hAnsi="Cambria Math"/>
              </w:rPr>
            </m:ctrlPr>
          </m:accPr>
          <m:e>
            <m:r>
              <w:rPr>
                <w:rFonts w:ascii="Cambria Math" w:hAnsi="Cambria Math"/>
              </w:rPr>
              <m:t>B</m:t>
            </m:r>
          </m:e>
        </m:acc>
        <m:r>
          <m:rPr>
            <m:nor/>
          </m:rPr>
          <m:t>.</m:t>
        </m:r>
      </m:oMath>
      <w:r>
        <w:t xml:space="preserve"> Then</w:t>
      </w:r>
    </w:p>
    <w:p w14:paraId="79757A40" w14:textId="77777777" w:rsidR="00C415D1" w:rsidRDefault="00000000" w:rsidP="005A464C">
      <w:pPr>
        <w:pStyle w:val="Equation"/>
        <w:jc w:val="both"/>
      </w:pPr>
      <w:r>
        <w:tab/>
      </w:r>
      <m:oMath>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B</m:t>
                </m:r>
              </m:e>
            </m:acc>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e>
        </m:d>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w:r>
        <w:tab/>
        <w:t>(15)</w:t>
      </w:r>
    </w:p>
    <w:p w14:paraId="2ADFE362" w14:textId="77777777" w:rsidR="00C415D1" w:rsidRDefault="00000000" w:rsidP="005A464C">
      <w:pPr>
        <w:pStyle w:val="Equation"/>
        <w:jc w:val="both"/>
      </w:pPr>
      <w:r>
        <w:tab/>
      </w:r>
      <m:oMath>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acc>
              <m:accPr>
                <m:ctrlPr>
                  <w:rPr>
                    <w:rFonts w:ascii="Cambria Math" w:hAnsi="Cambria Math"/>
                  </w:rPr>
                </m:ctrlPr>
              </m:accPr>
              <m:e>
                <m:r>
                  <w:rPr>
                    <w:rFonts w:ascii="Cambria Math" w:hAnsi="Cambria Math"/>
                  </w:rPr>
                  <m:t>L</m:t>
                </m:r>
              </m:e>
            </m:acc>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tL</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w:r>
        <w:tab/>
        <w:t>(16)</w:t>
      </w:r>
    </w:p>
    <w:p w14:paraId="6A23036F" w14:textId="77777777" w:rsidR="00C415D1" w:rsidRDefault="00000000" w:rsidP="005A464C">
      <w:pPr>
        <w:pStyle w:val="Equation"/>
        <w:jc w:val="both"/>
      </w:pPr>
      <w:r>
        <w:tab/>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m:t>
                </m:r>
                <m:acc>
                  <m:accPr>
                    <m:ctrlPr>
                      <w:rPr>
                        <w:rFonts w:ascii="Cambria Math" w:hAnsi="Cambria Math"/>
                      </w:rPr>
                    </m:ctrlPr>
                  </m:accPr>
                  <m:e>
                    <m:r>
                      <w:rPr>
                        <w:rFonts w:ascii="Cambria Math" w:hAnsi="Cambria Math"/>
                      </w:rPr>
                      <m:t>L</m:t>
                    </m:r>
                  </m:e>
                </m:acc>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β</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w:r>
        <w:tab/>
        <w:t>(17)</w:t>
      </w:r>
    </w:p>
    <w:p w14:paraId="5C47BB8C" w14:textId="77777777" w:rsidR="00C415D1" w:rsidRDefault="00000000" w:rsidP="005A464C">
      <w:pPr>
        <w:pStyle w:val="BodyText"/>
        <w:jc w:val="both"/>
      </w:pPr>
      <w:r>
        <w:rPr>
          <w:i/>
          <w:iCs/>
        </w:rPr>
        <w:t>Proof.</w:t>
      </w:r>
      <w:r>
        <w:t xml:space="preserve"> Expand the Gram difference as </w:t>
      </w:r>
      <m:oMath>
        <m:sSup>
          <m:sSupPr>
            <m:ctrlPr>
              <w:rPr>
                <w:rFonts w:ascii="Cambria Math" w:hAnsi="Cambria Math"/>
              </w:rPr>
            </m:ctrlPr>
          </m:sSupPr>
          <m:e>
            <m:acc>
              <m:accPr>
                <m:ctrlPr>
                  <w:rPr>
                    <w:rFonts w:ascii="Cambria Math" w:hAnsi="Cambria Math"/>
                  </w:rPr>
                </m:ctrlPr>
              </m:accPr>
              <m:e>
                <m:r>
                  <w:rPr>
                    <w:rFonts w:ascii="Cambria Math" w:hAnsi="Cambria Math"/>
                  </w:rPr>
                  <m:t>B</m:t>
                </m:r>
              </m:e>
            </m:acc>
          </m:e>
          <m:sup>
            <m:r>
              <m:rPr>
                <m:sty m:val="p"/>
              </m:rPr>
              <w:rPr>
                <w:rFonts w:ascii="Cambria Math" w:hAnsi="Cambria Math"/>
              </w:rPr>
              <m:t>⊤</m:t>
            </m:r>
          </m:sup>
        </m:sSup>
        <m:d>
          <m:dPr>
            <m:ctrlPr>
              <w:rPr>
                <w:rFonts w:ascii="Cambria Math" w:hAnsi="Cambria Math"/>
              </w:rPr>
            </m:ctrlPr>
          </m:dPr>
          <m:e>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e>
            </m:d>
          </m:e>
          <m:sup>
            <m:r>
              <m:rPr>
                <m:sty m:val="p"/>
              </m:rPr>
              <w:rPr>
                <w:rFonts w:ascii="Cambria Math" w:hAnsi="Cambria Math"/>
              </w:rPr>
              <m:t>⊤</m:t>
            </m:r>
          </m:sup>
        </m:sSup>
        <m:r>
          <w:rPr>
            <w:rFonts w:ascii="Cambria Math" w:hAnsi="Cambria Math"/>
          </w:rPr>
          <m:t>B</m:t>
        </m:r>
      </m:oMath>
      <w:r>
        <w:t xml:space="preserve"> and apply submultiplicativity. For heat, the Duhamel difference formula is an integral of two positive-semidefinite heat contractions around </w:t>
      </w:r>
      <m:oMath>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r>
          <m:rPr>
            <m:nor/>
          </m:rPr>
          <m:t>;</m:t>
        </m:r>
      </m:oMath>
      <w:r>
        <w:t xml:space="preserve"> its norm is bounded by the integration length </w:t>
      </w:r>
      <m:oMath>
        <m:r>
          <w:rPr>
            <w:rFonts w:ascii="Cambria Math" w:hAnsi="Cambria Math"/>
          </w:rPr>
          <m:t>t</m:t>
        </m:r>
      </m:oMath>
      <w:r>
        <w:t xml:space="preserve"> times that difference. For the final inequality use the resolvent identity and the bound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t xml:space="preserve"> at both ends. </w:t>
      </w:r>
      <m:oMath>
        <m:r>
          <m:rPr>
            <m:sty m:val="p"/>
          </m:rPr>
          <w:rPr>
            <w:rFonts w:ascii="Cambria Math" w:hAnsi="Cambria Math"/>
          </w:rPr>
          <m:t>▫</m:t>
        </m:r>
      </m:oMath>
    </w:p>
    <w:p w14:paraId="46F2DE39" w14:textId="77777777" w:rsidR="00C415D1" w:rsidRDefault="00000000" w:rsidP="005A464C">
      <w:pPr>
        <w:pStyle w:val="BodyText"/>
        <w:jc w:val="both"/>
      </w:pPr>
      <w:r>
        <w:t xml:space="preserve">These bounds do not certify robustness of every nonlinear learned layer. They quantify the frozen linear or Gaussian component. Their dependence on </w:t>
      </w:r>
      <m:oMath>
        <m:r>
          <w:rPr>
            <w:rFonts w:ascii="Cambria Math" w:hAnsi="Cambria Math"/>
          </w:rPr>
          <m:t>t</m:t>
        </m:r>
      </m:oMath>
      <w:r>
        <w:t xml:space="preserve"> and </w:t>
      </w:r>
      <m:oMath>
        <m:r>
          <w:rPr>
            <w:rFonts w:ascii="Cambria Math" w:hAnsi="Cambria Math"/>
          </w:rPr>
          <m:t>β</m:t>
        </m:r>
      </m:oMath>
      <w:r>
        <w:t xml:space="preserve"> also explains why they do not imply continuity of the hard limits in Theorem 6.3. A gap assumption is needed for a stable kernel comparison. When estimated restrictions change with the state, derivatives of that estimation rule enter tangent analysis as well.</w:t>
      </w:r>
    </w:p>
    <w:p w14:paraId="6E440DEA" w14:textId="77777777" w:rsidR="00C415D1" w:rsidRDefault="00000000" w:rsidP="005A464C">
      <w:pPr>
        <w:pStyle w:val="Heading11"/>
        <w:jc w:val="both"/>
      </w:pPr>
      <w:bookmarkStart w:id="9" w:name="X94866a7f727c8a3d9756f9d6d65e360f5cc1b2f"/>
      <w:bookmarkEnd w:id="6"/>
      <w:bookmarkEnd w:id="8"/>
      <w:r>
        <w:t>7 A probability law requires its own certificate</w:t>
      </w:r>
    </w:p>
    <w:p w14:paraId="43D6C8B6" w14:textId="77777777" w:rsidR="00C415D1" w:rsidRDefault="00000000" w:rsidP="005A464C">
      <w:pPr>
        <w:pStyle w:val="FirstParagraph"/>
        <w:jc w:val="both"/>
      </w:pPr>
      <w:r>
        <w:t>The phrase diffusion refers both to smoothing a signal on a relational structure and to reversing a specified stochastic corruption process. These operations can be combined, but one does not certify the other. DDPM, DDIM and score-based models require a declared data law and a relationship between its noisy marginals and the reverse dynamics [4–6]. A sheaf Laplacian can be an architectural ingredient without being that marginal score.</w:t>
      </w:r>
    </w:p>
    <w:p w14:paraId="21DECDF4" w14:textId="77777777" w:rsidR="00C415D1" w:rsidRDefault="00000000" w:rsidP="005A464C">
      <w:pPr>
        <w:pStyle w:val="Heading21"/>
        <w:jc w:val="both"/>
      </w:pPr>
      <w:bookmarkStart w:id="10" w:name="Xa24c8edf2946324b772f23fe1ff65d65d20d969"/>
      <w:r>
        <w:lastRenderedPageBreak/>
        <w:t>7.1 Exact compatibility and unit marginal noise can conflict</w:t>
      </w:r>
    </w:p>
    <w:p w14:paraId="7B8FC954" w14:textId="77777777" w:rsidR="00C415D1" w:rsidRDefault="00000000" w:rsidP="005A464C">
      <w:pPr>
        <w:pStyle w:val="FirstParagraph"/>
        <w:keepNext/>
        <w:jc w:val="both"/>
      </w:pPr>
      <w:r>
        <w:rPr>
          <w:b/>
          <w:bCs/>
        </w:rPr>
        <w:t>Theorem 7.1 — Full unit marginal covariance requires trivial holonomy.</w:t>
      </w:r>
      <w:r>
        <w:t xml:space="preserve"> On a connected orthogonal local system with </w:t>
      </w:r>
      <m:oMath>
        <m:r>
          <w:rPr>
            <w:rFonts w:ascii="Cambria Math" w:hAnsi="Cambria Math"/>
          </w:rPr>
          <m:t>d</m:t>
        </m:r>
      </m:oMath>
      <w:r>
        <w:t xml:space="preserve">-dimensional vertex spaces, there exists a jointly Gaussian assignment </w:t>
      </w:r>
      <m:oMath>
        <m:r>
          <w:rPr>
            <w:rFonts w:ascii="Cambria Math" w:hAnsi="Cambria Math"/>
          </w:rPr>
          <m:t>Ξ</m:t>
        </m:r>
      </m:oMath>
      <w:r>
        <w:t xml:space="preserve"> that is almost surely compatible and has </w:t>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v</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at every vertex if and only if all cycle holonomies are identity. In that case a compatible zero-mean Gaussian with these marginals has cross-covariance</w:t>
      </w:r>
    </w:p>
    <w:p w14:paraId="562B847D" w14:textId="77777777" w:rsidR="00C415D1" w:rsidRDefault="00000000" w:rsidP="005A464C">
      <w:pPr>
        <w:pStyle w:val="Equation"/>
        <w:jc w:val="both"/>
      </w:pPr>
      <w:r>
        <w:tab/>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w</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sSubSup>
          <m:sSubSupPr>
            <m:ctrlPr>
              <w:rPr>
                <w:rFonts w:ascii="Cambria Math" w:hAnsi="Cambria Math"/>
              </w:rPr>
            </m:ctrlPr>
          </m:sSubSupPr>
          <m:e>
            <m:r>
              <w:rPr>
                <w:rFonts w:ascii="Cambria Math" w:hAnsi="Cambria Math"/>
              </w:rPr>
              <m:t>P</m:t>
            </m:r>
          </m:e>
          <m:sub>
            <m:r>
              <w:rPr>
                <w:rFonts w:ascii="Cambria Math" w:hAnsi="Cambria Math"/>
              </w:rPr>
              <m:t>w</m:t>
            </m:r>
          </m:sub>
          <m:sup>
            <m:r>
              <m:rPr>
                <m:sty m:val="p"/>
              </m:rPr>
              <w:rPr>
                <w:rFonts w:ascii="Cambria Math" w:hAnsi="Cambria Math"/>
              </w:rPr>
              <m:t>⊤</m:t>
            </m:r>
          </m:sup>
        </m:sSubSup>
        <m:r>
          <m:rPr>
            <m:sty m:val="p"/>
          </m:rPr>
          <w:rPr>
            <w:rFonts w:ascii="Cambria Math" w:hAnsi="Cambria Math"/>
          </w:rPr>
          <m:t>,</m:t>
        </m:r>
      </m:oMath>
      <w:r>
        <w:tab/>
        <w:t>(18)</w:t>
      </w:r>
    </w:p>
    <w:p w14:paraId="5E869BAE" w14:textId="77777777" w:rsidR="00C415D1" w:rsidRDefault="00000000" w:rsidP="005A464C">
      <w:pPr>
        <w:pStyle w:val="BodyText"/>
        <w:jc w:val="bot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transports from a root to </w:t>
      </w:r>
      <m:oMath>
        <m:r>
          <w:rPr>
            <w:rFonts w:ascii="Cambria Math" w:hAnsi="Cambria Math"/>
          </w:rPr>
          <m:t>v</m:t>
        </m:r>
        <m:r>
          <m:rPr>
            <m:nor/>
          </m:rPr>
          <m:t>.</m:t>
        </m:r>
      </m:oMath>
      <w:r>
        <w:t xml:space="preserve"> Its joint covariance has rank </w:t>
      </w:r>
      <m:oMath>
        <m:r>
          <w:rPr>
            <w:rFonts w:ascii="Cambria Math" w:hAnsi="Cambria Math"/>
          </w:rPr>
          <m:t>d</m:t>
        </m:r>
        <m:r>
          <m:rPr>
            <m:nor/>
          </m:rPr>
          <m:t>.</m:t>
        </m:r>
      </m:oMath>
    </w:p>
    <w:p w14:paraId="6D0F4E1B" w14:textId="77777777" w:rsidR="00C415D1" w:rsidRDefault="00000000" w:rsidP="005A464C">
      <w:pPr>
        <w:pStyle w:val="BodyText"/>
        <w:jc w:val="both"/>
      </w:pPr>
      <w:r>
        <w:rPr>
          <w:i/>
          <w:iCs/>
        </w:rPr>
        <w:t>Proof.</w:t>
      </w:r>
      <w:r>
        <w:t xml:space="preserve"> Compatibility expresses every vertex value as </w:t>
      </w:r>
      <m:oMath>
        <m:sSub>
          <m:sSubPr>
            <m:ctrlPr>
              <w:rPr>
                <w:rFonts w:ascii="Cambria Math" w:hAnsi="Cambria Math"/>
              </w:rPr>
            </m:ctrlPr>
          </m:sSubPr>
          <m:e>
            <m:r>
              <w:rPr>
                <w:rFonts w:ascii="Cambria Math" w:hAnsi="Cambria Math"/>
              </w:rPr>
              <m:t>P</m:t>
            </m:r>
          </m:e>
          <m:sub>
            <m:r>
              <w:rPr>
                <w:rFonts w:ascii="Cambria Math" w:hAnsi="Cambria Math"/>
              </w:rPr>
              <m:t>v</m:t>
            </m:r>
          </m:sub>
        </m:sSub>
        <m:sSub>
          <m:sSubPr>
            <m:ctrlPr>
              <w:rPr>
                <w:rFonts w:ascii="Cambria Math" w:hAnsi="Cambria Math"/>
              </w:rPr>
            </m:ctrlPr>
          </m:sSubPr>
          <m:e>
            <m:r>
              <w:rPr>
                <w:rFonts w:ascii="Cambria Math" w:hAnsi="Cambria Math"/>
              </w:rPr>
              <m:t>Ξ</m:t>
            </m:r>
          </m:e>
          <m:sub>
            <m:r>
              <w:rPr>
                <w:rFonts w:ascii="Cambria Math" w:hAnsi="Cambria Math"/>
              </w:rPr>
              <m:t>o</m:t>
            </m:r>
          </m:sub>
        </m:sSub>
        <m:r>
          <m:rPr>
            <m:nor/>
          </m:rPr>
          <m:t>.</m:t>
        </m:r>
      </m:oMath>
      <w:r>
        <w:t xml:space="preserve"> For every root holonomy </w:t>
      </w:r>
      <m:oMath>
        <m:r>
          <w:rPr>
            <w:rFonts w:ascii="Cambria Math" w:hAnsi="Cambria Math"/>
          </w:rPr>
          <m:t>H</m:t>
        </m:r>
        <m:r>
          <m:rPr>
            <m:nor/>
          </m:rPr>
          <m:t>,</m:t>
        </m:r>
      </m:oMath>
      <w:r>
        <w:t xml:space="preserve"> it also gives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I</m:t>
            </m:r>
          </m:e>
        </m:d>
        <m:sSub>
          <m:sSubPr>
            <m:ctrlPr>
              <w:rPr>
                <w:rFonts w:ascii="Cambria Math" w:hAnsi="Cambria Math"/>
              </w:rPr>
            </m:ctrlPr>
          </m:sSubPr>
          <m:e>
            <m:r>
              <w:rPr>
                <w:rFonts w:ascii="Cambria Math" w:hAnsi="Cambria Math"/>
              </w:rPr>
              <m:t>Ξ</m:t>
            </m:r>
          </m:e>
          <m:sub>
            <m:r>
              <w:rPr>
                <w:rFonts w:ascii="Cambria Math" w:hAnsi="Cambria Math"/>
              </w:rPr>
              <m:t>o</m:t>
            </m:r>
          </m:sub>
        </m:sSub>
        <m:r>
          <m:rPr>
            <m:sty m:val="p"/>
          </m:rPr>
          <w:rPr>
            <w:rFonts w:ascii="Cambria Math" w:hAnsi="Cambria Math"/>
          </w:rPr>
          <m:t>=</m:t>
        </m:r>
        <m:r>
          <w:rPr>
            <w:rFonts w:ascii="Cambria Math" w:hAnsi="Cambria Math"/>
          </w:rPr>
          <m:t>0</m:t>
        </m:r>
      </m:oMath>
      <w:r>
        <w:t xml:space="preserve"> almost surely. Taking the covariance and using </w:t>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o</m:t>
                </m:r>
              </m:sub>
            </m:sSub>
          </m:e>
        </m:d>
        <m:r>
          <m:rPr>
            <m:sty m:val="p"/>
          </m:rPr>
          <w:rPr>
            <w:rFonts w:ascii="Cambria Math" w:hAnsi="Cambria Math"/>
          </w:rPr>
          <m:t>=</m:t>
        </m:r>
        <m:r>
          <w:rPr>
            <w:rFonts w:ascii="Cambria Math" w:hAnsi="Cambria Math"/>
          </w:rPr>
          <m:t>I</m:t>
        </m:r>
      </m:oMath>
      <w:r>
        <w:t xml:space="preserve"> yields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I</m:t>
            </m:r>
          </m:e>
        </m:d>
        <m:sSup>
          <m:sSupPr>
            <m:ctrlPr>
              <w:rPr>
                <w:rFonts w:ascii="Cambria Math" w:hAnsi="Cambria Math"/>
              </w:rPr>
            </m:ctrlPr>
          </m:sSupPr>
          <m:e>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I</m:t>
                </m:r>
              </m:e>
            </m:d>
          </m:e>
          <m:sup>
            <m:r>
              <m:rPr>
                <m:sty m:val="p"/>
              </m:rPr>
              <w:rPr>
                <w:rFonts w:ascii="Cambria Math" w:hAnsi="Cambria Math"/>
              </w:rPr>
              <m:t>⊤</m:t>
            </m:r>
          </m:sup>
        </m:sSup>
        <m:r>
          <m:rPr>
            <m:sty m:val="p"/>
          </m:rPr>
          <w:rPr>
            <w:rFonts w:ascii="Cambria Math" w:hAnsi="Cambria Math"/>
          </w:rPr>
          <m:t>=</m:t>
        </m:r>
        <m:r>
          <w:rPr>
            <w:rFonts w:ascii="Cambria Math" w:hAnsi="Cambria Math"/>
          </w:rPr>
          <m:t>0</m:t>
        </m:r>
        <m:r>
          <m:rPr>
            <m:nor/>
          </m:rPr>
          <m:t>,</m:t>
        </m:r>
      </m:oMath>
      <w:r>
        <w:t xml:space="preserve"> so </w:t>
      </w:r>
      <m:oMath>
        <m:r>
          <w:rPr>
            <w:rFonts w:ascii="Cambria Math" w:hAnsi="Cambria Math"/>
          </w:rPr>
          <m:t>H</m:t>
        </m:r>
        <m:r>
          <m:rPr>
            <m:sty m:val="p"/>
          </m:rPr>
          <w:rPr>
            <w:rFonts w:ascii="Cambria Math" w:hAnsi="Cambria Math"/>
          </w:rPr>
          <m:t>=</m:t>
        </m:r>
        <m:r>
          <w:rPr>
            <w:rFonts w:ascii="Cambria Math" w:hAnsi="Cambria Math"/>
          </w:rPr>
          <m:t>I</m:t>
        </m:r>
        <m:r>
          <m:rPr>
            <m:nor/>
          </m:rPr>
          <m:t>.</m:t>
        </m:r>
      </m:oMath>
      <w:r>
        <w:t xml:space="preserve"> Conversely, when the system is flat, let </w:t>
      </w:r>
      <m:oMath>
        <m:r>
          <w:rPr>
            <w:rFonts w:ascii="Cambria Math" w:hAnsi="Cambria Math"/>
          </w:rPr>
          <m:t>Z</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and set </w:t>
      </w:r>
      <m:oMath>
        <m:sSub>
          <m:sSubPr>
            <m:ctrlPr>
              <w:rPr>
                <w:rFonts w:ascii="Cambria Math" w:hAnsi="Cambria Math"/>
              </w:rPr>
            </m:ctrlPr>
          </m:sSubPr>
          <m:e>
            <m:r>
              <w:rPr>
                <w:rFonts w:ascii="Cambria Math" w:hAnsi="Cambria Math"/>
              </w:rPr>
              <m:t>Ξ</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Z</m:t>
        </m:r>
        <m:r>
          <m:rPr>
            <m:nor/>
          </m:rPr>
          <m:t>.</m:t>
        </m:r>
      </m:oMath>
      <w:r>
        <w:t xml:space="preserve"> Path independence gives compatibility, orthogonality gives unit marginal covariance, and the common root gives (18) and joint rank </w:t>
      </w:r>
      <m:oMath>
        <m:r>
          <w:rPr>
            <w:rFonts w:ascii="Cambria Math" w:hAnsi="Cambria Math"/>
          </w:rPr>
          <m:t>d</m:t>
        </m:r>
        <m:r>
          <m:rPr>
            <m:nor/>
          </m:rPr>
          <m:t>.</m:t>
        </m:r>
      </m:oMath>
      <w:r>
        <w:t xml:space="preserve"> </w:t>
      </w:r>
      <m:oMath>
        <m:r>
          <m:rPr>
            <m:sty m:val="p"/>
          </m:rPr>
          <w:rPr>
            <w:rFonts w:ascii="Cambria Math" w:hAnsi="Cambria Math"/>
          </w:rPr>
          <m:t>▫</m:t>
        </m:r>
      </m:oMath>
    </w:p>
    <w:p w14:paraId="7F345139" w14:textId="77777777" w:rsidR="00C415D1" w:rsidRDefault="00000000" w:rsidP="005A464C">
      <w:pPr>
        <w:pStyle w:val="BodyText"/>
        <w:jc w:val="both"/>
      </w:pPr>
      <w:r>
        <w:t xml:space="preserve">The necessity actually uses only finite second moments, not Gaussianity. The theorem is restricted to full orthogonal transports. With partial observation maps, private vertex directions can carry additional noise. General feasibility is a covariance problem: find </w:t>
      </w:r>
      <m:oMath>
        <m:r>
          <w:rPr>
            <w:rFonts w:ascii="Cambria Math" w:hAnsi="Cambria Math"/>
          </w:rPr>
          <m:t>Q</m:t>
        </m:r>
        <m:r>
          <m:rPr>
            <m:sty m:val="p"/>
          </m:rPr>
          <w:rPr>
            <w:rFonts w:ascii="Cambria Math" w:hAnsi="Cambria Math"/>
          </w:rPr>
          <m:t>≽</m:t>
        </m:r>
        <m:r>
          <w:rPr>
            <w:rFonts w:ascii="Cambria Math" w:hAnsi="Cambria Math"/>
          </w:rPr>
          <m:t>0</m:t>
        </m:r>
      </m:oMath>
      <w:r>
        <w:t xml:space="preserve"> with </w:t>
      </w:r>
      <m:oMath>
        <m:r>
          <w:rPr>
            <w:rFonts w:ascii="Cambria Math" w:hAnsi="Cambria Math"/>
          </w:rPr>
          <m:t>δQ</m:t>
        </m:r>
        <m:r>
          <m:rPr>
            <m:sty m:val="p"/>
          </m:rPr>
          <w:rPr>
            <w:rFonts w:ascii="Cambria Math" w:hAnsi="Cambria Math"/>
          </w:rPr>
          <m:t>=</m:t>
        </m:r>
        <m:r>
          <w:rPr>
            <w:rFonts w:ascii="Cambria Math" w:hAnsi="Cambria Math"/>
          </w:rPr>
          <m:t>0</m:t>
        </m:r>
      </m:oMath>
      <w:r>
        <w:t xml:space="preserve"> and specified diagonal blocks. It is not solved merely by choosing a graph or normalising its adjacency.</w:t>
      </w:r>
    </w:p>
    <w:p w14:paraId="151CFBCF" w14:textId="77777777" w:rsidR="00C415D1" w:rsidRDefault="00000000" w:rsidP="005A464C">
      <w:pPr>
        <w:pStyle w:val="BodyText"/>
        <w:jc w:val="both"/>
      </w:pPr>
      <w:r>
        <w:t>Now form the normalised heat covariance</w:t>
      </w:r>
    </w:p>
    <w:p w14:paraId="13F4F0AB" w14:textId="77777777" w:rsidR="00C415D1" w:rsidRDefault="00000000" w:rsidP="005A464C">
      <w:pPr>
        <w:pStyle w:val="Equation"/>
        <w:jc w:val="both"/>
      </w:pPr>
      <w:r>
        <w:tab/>
      </w:r>
      <m:oMath>
        <m:sSub>
          <m:sSubPr>
            <m:ctrlPr>
              <w:rPr>
                <w:rFonts w:ascii="Cambria Math" w:hAnsi="Cambria Math"/>
              </w:rPr>
            </m:ctrlPr>
          </m:sSubPr>
          <m:e>
            <m:r>
              <w:rPr>
                <w:rFonts w:ascii="Cambria Math" w:hAnsi="Cambria Math"/>
              </w:rPr>
              <m:t>K</m:t>
            </m:r>
          </m:e>
          <m:sub>
            <m:r>
              <w:rPr>
                <w:rFonts w:ascii="Cambria Math" w:hAnsi="Cambria Math"/>
              </w:rPr>
              <m:t>τ</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τ</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τL</m:t>
            </m:r>
          </m:sup>
        </m:sSup>
        <m:sSubSup>
          <m:sSubSupPr>
            <m:ctrlPr>
              <w:rPr>
                <w:rFonts w:ascii="Cambria Math" w:hAnsi="Cambria Math"/>
              </w:rPr>
            </m:ctrlPr>
          </m:sSubSupPr>
          <m:e>
            <m:r>
              <w:rPr>
                <w:rFonts w:ascii="Cambria Math" w:hAnsi="Cambria Math"/>
              </w:rPr>
              <m:t>D</m:t>
            </m:r>
          </m:e>
          <m:sub>
            <m:r>
              <w:rPr>
                <w:rFonts w:ascii="Cambria Math" w:hAnsi="Cambria Math"/>
              </w:rPr>
              <m:t>τ</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blockdiag</m:t>
            </m:r>
          </m:e>
          <m:sub>
            <m:r>
              <w:rPr>
                <w:rFonts w:ascii="Cambria Math" w:hAnsi="Cambria Math"/>
              </w:rPr>
              <m:t>v</m:t>
            </m:r>
          </m:sub>
        </m:sSub>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τL</m:t>
                    </m:r>
                  </m:sup>
                </m:sSup>
              </m:e>
            </m:d>
          </m:e>
          <m:sub>
            <m:r>
              <w:rPr>
                <w:rFonts w:ascii="Cambria Math" w:hAnsi="Cambria Math"/>
              </w:rPr>
              <m:t>vv</m:t>
            </m:r>
          </m:sub>
        </m:sSub>
        <m:r>
          <m:rPr>
            <m:sty m:val="p"/>
          </m:rPr>
          <w:rPr>
            <w:rFonts w:ascii="Cambria Math" w:hAnsi="Cambria Math"/>
          </w:rPr>
          <m:t>.</m:t>
        </m:r>
      </m:oMath>
      <w:r>
        <w:tab/>
        <w:t>(19)</w:t>
      </w:r>
    </w:p>
    <w:p w14:paraId="36C19A00" w14:textId="77777777" w:rsidR="00C415D1" w:rsidRDefault="00000000" w:rsidP="005A464C">
      <w:pPr>
        <w:pStyle w:val="BodyText"/>
        <w:jc w:val="both"/>
      </w:pPr>
      <w:r>
        <w:t xml:space="preserve">For finite </w:t>
      </w:r>
      <m:oMath>
        <m:r>
          <w:rPr>
            <w:rFonts w:ascii="Cambria Math" w:hAnsi="Cambria Math"/>
          </w:rPr>
          <m:t>τ</m:t>
        </m:r>
        <m:r>
          <m:rPr>
            <m:nor/>
          </m:rPr>
          <m:t>,</m:t>
        </m:r>
      </m:oMath>
      <w:r>
        <w:t xml:space="preserve"> the heat matrix and its diagonal blocks are positive definite, so </w:t>
      </w:r>
      <m:oMath>
        <m:sSub>
          <m:sSubPr>
            <m:ctrlPr>
              <w:rPr>
                <w:rFonts w:ascii="Cambria Math" w:hAnsi="Cambria Math"/>
              </w:rPr>
            </m:ctrlPr>
          </m:sSubPr>
          <m:e>
            <m:r>
              <w:rPr>
                <w:rFonts w:ascii="Cambria Math" w:hAnsi="Cambria Math"/>
              </w:rPr>
              <m:t>K</m:t>
            </m:r>
          </m:e>
          <m:sub>
            <m:r>
              <w:rPr>
                <w:rFonts w:ascii="Cambria Math" w:hAnsi="Cambria Math"/>
              </w:rPr>
              <m:t>τ</m:t>
            </m:r>
          </m:sub>
        </m:sSub>
      </m:oMath>
      <w:r>
        <w:t xml:space="preserve"> is positive definite with identity diagonal blocks. If </w:t>
      </w:r>
      <m:oMath>
        <m:r>
          <w:rPr>
            <w:rFonts w:ascii="Cambria Math" w:hAnsi="Cambria Math"/>
          </w:rPr>
          <m:t>δ</m:t>
        </m:r>
        <m:r>
          <m:rPr>
            <m:sty m:val="p"/>
          </m:rPr>
          <w:rPr>
            <w:rFonts w:ascii="Cambria Math" w:hAnsi="Cambria Math"/>
          </w:rPr>
          <m:t>≠</m:t>
        </m:r>
        <m:r>
          <w:rPr>
            <w:rFonts w:ascii="Cambria Math" w:hAnsi="Cambria Math"/>
          </w:rPr>
          <m:t>0</m:t>
        </m:r>
        <m:r>
          <m:rPr>
            <m:nor/>
          </m:rPr>
          <m:t>,</m:t>
        </m:r>
      </m:oMath>
      <w:r>
        <w:t xml:space="preserve"> it cannot be supported on </w:t>
      </w:r>
      <m:oMath>
        <m:r>
          <m:rPr>
            <m:sty m:val="p"/>
          </m:rPr>
          <w:rPr>
            <w:rFonts w:ascii="Cambria Math" w:hAnsi="Cambria Math"/>
          </w:rPr>
          <m:t>ker</m:t>
        </m:r>
        <m:r>
          <w:rPr>
            <w:rFonts w:ascii="Cambria Math" w:hAnsi="Cambria Math"/>
          </w:rPr>
          <m:t>δ</m:t>
        </m:r>
        <m:r>
          <m:rPr>
            <m:nor/>
          </m:rPr>
          <m:t>:</m:t>
        </m:r>
      </m:oMath>
      <w:r>
        <w:t xml:space="preserve"> </w:t>
      </w:r>
      <m:oMath>
        <m:r>
          <m:rPr>
            <m:sty m:val="p"/>
          </m:rPr>
          <w:rPr>
            <w:rFonts w:ascii="Cambria Math" w:hAnsi="Cambria Math"/>
          </w:rPr>
          <m:t>tr</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τ</m:t>
                </m:r>
              </m:sub>
            </m:sSub>
            <m:sSup>
              <m:sSupPr>
                <m:ctrlPr>
                  <w:rPr>
                    <w:rFonts w:ascii="Cambria Math" w:hAnsi="Cambria Math"/>
                  </w:rPr>
                </m:ctrlPr>
              </m:sSupPr>
              <m:e>
                <m:r>
                  <w:rPr>
                    <w:rFonts w:ascii="Cambria Math" w:hAnsi="Cambria Math"/>
                  </w:rPr>
                  <m:t>δ</m:t>
                </m:r>
              </m:e>
              <m:sup>
                <m:r>
                  <m:rPr>
                    <m:sty m:val="p"/>
                  </m:rPr>
                  <w:rPr>
                    <w:rFonts w:ascii="Cambria Math" w:hAnsi="Cambria Math"/>
                  </w:rPr>
                  <m:t>⊤</m:t>
                </m:r>
              </m:sup>
            </m:sSup>
          </m:e>
        </m:d>
        <m:r>
          <m:rPr>
            <m:sty m:val="p"/>
          </m:rPr>
          <w:rPr>
            <w:rFonts w:ascii="Cambria Math" w:hAnsi="Cambria Math"/>
          </w:rPr>
          <m:t>&gt;</m:t>
        </m:r>
        <m:r>
          <w:rPr>
            <w:rFonts w:ascii="Cambria Math" w:hAnsi="Cambria Math"/>
          </w:rPr>
          <m:t>0</m:t>
        </m:r>
        <m:r>
          <m:rPr>
            <m:nor/>
          </m:rPr>
          <m:t>.</m:t>
        </m:r>
      </m:oMath>
      <w:r>
        <w:t xml:space="preserve"> Thus exact unit marginals obtained this way do not imply exact agreement. The frustrated sign-cycle check gives expected squared residual 3.903308 despite diagonal error </w:t>
      </w:r>
      <m:oMath>
        <m:r>
          <w:rPr>
            <w:rFonts w:ascii="Cambria Math" w:hAnsi="Cambria Math"/>
          </w:rPr>
          <m:t>1.11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p>
    <w:p w14:paraId="3C3DCF96" w14:textId="77777777" w:rsidR="00C415D1" w:rsidRDefault="00000000" w:rsidP="005A464C">
      <w:pPr>
        <w:pStyle w:val="BodyText"/>
        <w:jc w:val="both"/>
      </w:pPr>
      <w:r>
        <w:t>Correlating the terminal draws and fresh innovations of separable baseline samplers can preserve each copy’s baseline path law. A state-adaptive covariance also works when it is chosen from past information and each fresh conditional diagonal block is identity [7]. This is a certificate about marginal laws. It neither makes the outputs compatible nor guarantees more diverse batches. If a denoiser couples different samples, the separable-sampler argument no longer applies.</w:t>
      </w:r>
    </w:p>
    <w:p w14:paraId="2A518250" w14:textId="77777777" w:rsidR="00C415D1" w:rsidRDefault="00000000" w:rsidP="005A464C">
      <w:pPr>
        <w:pStyle w:val="Heading21"/>
        <w:jc w:val="both"/>
      </w:pPr>
      <w:bookmarkStart w:id="11" w:name="Xd97f2ba96d0ab856b833aa5b63f1ce337faa85d"/>
      <w:bookmarkEnd w:id="10"/>
      <w:r>
        <w:t>7.2 A coupled target and a sheaf architecture are different interventions</w:t>
      </w:r>
    </w:p>
    <w:p w14:paraId="14010238" w14:textId="77777777" w:rsidR="00C415D1" w:rsidRDefault="00000000" w:rsidP="005A464C">
      <w:pPr>
        <w:pStyle w:val="FirstParagraph"/>
        <w:jc w:val="both"/>
      </w:pPr>
      <w:r>
        <w:t xml:space="preserve">An explicit soft target is </w:t>
      </w:r>
      <m:oMath>
        <m:r>
          <w:rPr>
            <w:rFonts w:ascii="Cambria Math" w:hAnsi="Cambria Math"/>
          </w:rPr>
          <m:t>Y</m:t>
        </m:r>
        <m:r>
          <m:rPr>
            <m:scr m:val="script"/>
            <m:sty m:val="p"/>
          </m:rP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e>
        </m:d>
        <m:r>
          <m:rPr>
            <m:nor/>
          </m:rPr>
          <m:t>.</m:t>
        </m:r>
      </m:oMath>
      <w:r>
        <w:t xml:space="preserve"> Under independent corruption </w:t>
      </w:r>
      <m:oMath>
        <m:r>
          <w:rPr>
            <w:rFonts w:ascii="Cambria Math" w:hAnsi="Cambria Math"/>
          </w:rPr>
          <m:t>X</m:t>
        </m:r>
        <m:r>
          <m:rPr>
            <m:sty m:val="p"/>
          </m:rPr>
          <w:rPr>
            <w:rFonts w:ascii="Cambria Math" w:hAnsi="Cambria Math"/>
          </w:rPr>
          <m:t>=</m:t>
        </m:r>
        <m:r>
          <w:rPr>
            <w:rFonts w:ascii="Cambria Math" w:hAnsi="Cambria Math"/>
          </w:rPr>
          <m:t>aY</m:t>
        </m:r>
        <m:r>
          <m:rPr>
            <m:sty m:val="p"/>
          </m:rPr>
          <w:rPr>
            <w:rFonts w:ascii="Cambria Math" w:hAnsi="Cambria Math"/>
          </w:rPr>
          <m:t>+</m:t>
        </m:r>
        <m:r>
          <w:rPr>
            <w:rFonts w:ascii="Cambria Math" w:hAnsi="Cambria Math"/>
          </w:rPr>
          <m:t>sϵ</m:t>
        </m:r>
        <m:r>
          <m:rPr>
            <m:nor/>
          </m:rPr>
          <m:t>,</m:t>
        </m:r>
      </m:oMath>
      <w:r>
        <w:t xml:space="preserve"> its exact clean posterior mean is</w:t>
      </w:r>
    </w:p>
    <w:p w14:paraId="05BED8F1" w14:textId="77777777" w:rsidR="00C415D1" w:rsidRDefault="00000000" w:rsidP="005A464C">
      <w:pPr>
        <w:pStyle w:val="Equation"/>
        <w:jc w:val="both"/>
      </w:pPr>
      <w:r>
        <w:tab/>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r>
              <w:rPr>
                <w:rFonts w:ascii="Cambria Math" w:hAnsi="Cambria Math"/>
              </w:rPr>
              <m:t>a</m:t>
            </m:r>
          </m:num>
          <m:den>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s</m:t>
                </m:r>
              </m:e>
              <m:sup>
                <m:r>
                  <w:rPr>
                    <w:rFonts w:ascii="Cambria Math" w:hAnsi="Cambria Math"/>
                  </w:rPr>
                  <m:t>2</m:t>
                </m:r>
              </m:sup>
            </m:sSup>
          </m:den>
        </m:f>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hL</m:t>
                </m:r>
              </m:e>
            </m:d>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aμ</m:t>
            </m:r>
          </m:e>
        </m:d>
        <m:r>
          <m:rPr>
            <m:sty m:val="p"/>
          </m:rPr>
          <w:rPr>
            <w:rFonts w:ascii="Cambria Math" w:hAnsi="Cambria Math"/>
          </w:rPr>
          <m:t>,</m:t>
        </m:r>
        <m:r>
          <w:rPr>
            <w:rFonts w:ascii="Cambria Math" w:hAnsi="Cambria Math"/>
          </w:rPr>
          <m:t>  h</m:t>
        </m:r>
        <m:r>
          <m:rPr>
            <m:sty m:val="p"/>
          </m:rPr>
          <w:rPr>
            <w:rFonts w:ascii="Cambria Math" w:hAnsi="Cambria Math"/>
          </w:rPr>
          <m:t>=</m:t>
        </m:r>
        <m:f>
          <m:fPr>
            <m:ctrlPr>
              <w:rPr>
                <w:rFonts w:ascii="Cambria Math" w:hAnsi="Cambria Math"/>
              </w:rPr>
            </m:ctrlPr>
          </m:fPr>
          <m:num>
            <m:r>
              <w:rPr>
                <w:rFonts w:ascii="Cambria Math" w:hAnsi="Cambria Math"/>
              </w:rPr>
              <m:t>β</m:t>
            </m:r>
            <m:sSup>
              <m:sSupPr>
                <m:ctrlPr>
                  <w:rPr>
                    <w:rFonts w:ascii="Cambria Math" w:hAnsi="Cambria Math"/>
                  </w:rPr>
                </m:ctrlPr>
              </m:sSupPr>
              <m:e>
                <m:r>
                  <w:rPr>
                    <w:rFonts w:ascii="Cambria Math" w:hAnsi="Cambria Math"/>
                  </w:rPr>
                  <m:t>s</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s</m:t>
                </m:r>
              </m:e>
              <m:sup>
                <m:r>
                  <w:rPr>
                    <w:rFonts w:ascii="Cambria Math" w:hAnsi="Cambria Math"/>
                  </w:rPr>
                  <m:t>2</m:t>
                </m:r>
              </m:sup>
            </m:sSup>
          </m:den>
        </m:f>
        <m:r>
          <m:rPr>
            <m:sty m:val="p"/>
          </m:rPr>
          <w:rPr>
            <w:rFonts w:ascii="Cambria Math" w:hAnsi="Cambria Math"/>
          </w:rPr>
          <m:t>.</m:t>
        </m:r>
      </m:oMath>
      <w:r>
        <w:tab/>
        <w:t>(20)</w:t>
      </w:r>
    </w:p>
    <w:p w14:paraId="05954AAE" w14:textId="77777777" w:rsidR="00C415D1" w:rsidRDefault="00000000" w:rsidP="005A464C">
      <w:pPr>
        <w:pStyle w:val="BodyText"/>
        <w:jc w:val="both"/>
      </w:pPr>
      <w:r>
        <w:t xml:space="preserve">This is a scalar times a sheaf resolvent on the centred noisy state. The linear gain commutes with heat, but the full affine map need not: its offset must be compatible for that commutation. Applying the resolvent to an arbitrary clean prediction instead does not inherit this Gaussian posterior formula. Also, copying the clean force </w:t>
      </w:r>
      <m:oMath>
        <m:r>
          <m:rPr>
            <m:sty m:val="p"/>
          </m:rPr>
          <w:rPr>
            <w:rFonts w:ascii="Cambria Math" w:hAnsi="Cambria Math"/>
          </w:rPr>
          <m:t>-</m:t>
        </m:r>
        <m:r>
          <w:rPr>
            <w:rFonts w:ascii="Cambria Math" w:hAnsi="Cambria Math"/>
          </w:rPr>
          <m:t>βLx</m:t>
        </m:r>
      </m:oMath>
      <w:r>
        <w:t xml:space="preserve"> to every noisy score is generally incorrect; the clean coupling must be propagated through the corruption [7].</w:t>
      </w:r>
    </w:p>
    <w:p w14:paraId="4B5EA05F" w14:textId="77777777" w:rsidR="00C415D1" w:rsidRDefault="00000000" w:rsidP="005A464C">
      <w:pPr>
        <w:pStyle w:val="BodyText"/>
        <w:jc w:val="both"/>
      </w:pPr>
      <w:r>
        <w:t>A model using sheaf message passing inside a denoiser can still learn the score of an uncoupled data law. A model with an explicit coupled target can compute its exact score with ordinary linear algebra. The first is an architectural commitment; the second is a probabilistic commitment. Neither description exhausts the other.</w:t>
      </w:r>
    </w:p>
    <w:p w14:paraId="083B27F8" w14:textId="77777777" w:rsidR="00C415D1" w:rsidRDefault="00000000" w:rsidP="005A464C">
      <w:pPr>
        <w:pStyle w:val="Heading21"/>
        <w:jc w:val="both"/>
      </w:pPr>
      <w:bookmarkStart w:id="12" w:name="X2c81098be47913eb11b5d4369cd4fdf780f5dc0"/>
      <w:bookmarkEnd w:id="11"/>
      <w:r>
        <w:lastRenderedPageBreak/>
        <w:t>7.3 Gluing support does not determine frequencies</w:t>
      </w:r>
    </w:p>
    <w:p w14:paraId="60790532" w14:textId="77777777" w:rsidR="00C415D1" w:rsidRDefault="00000000" w:rsidP="005A464C">
      <w:pPr>
        <w:pStyle w:val="FirstParagraph"/>
        <w:jc w:val="both"/>
      </w:pPr>
      <w:r>
        <w:t xml:space="preserve">Local agreements need not admit a probability distribution with all the proposed context laws. For three binary signs, let the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and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oMath>
      <w:r>
        <w:t xml:space="preserve"> laws be uniform on equal pairs, and the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A</m:t>
            </m:r>
          </m:e>
        </m:d>
      </m:oMath>
      <w:r>
        <w:t xml:space="preserve"> law uniform on unequal pairs. Every singleton marginal is uniform, but no global assignment satisfies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and </w:t>
      </w:r>
      <m:oMath>
        <m:r>
          <w:rPr>
            <w:rFonts w:ascii="Cambria Math" w:hAnsi="Cambria Math"/>
          </w:rPr>
          <m:t>C</m:t>
        </m:r>
        <m:r>
          <m:rPr>
            <m:sty m:val="p"/>
          </m:rPr>
          <w:rPr>
            <w:rFonts w:ascii="Cambria Math" w:hAnsi="Cambria Math"/>
          </w:rPr>
          <m:t>≠</m:t>
        </m:r>
        <m:r>
          <w:rPr>
            <w:rFonts w:ascii="Cambria Math" w:hAnsi="Cambria Math"/>
          </w:rPr>
          <m:t>A</m:t>
        </m:r>
        <m:r>
          <m:rPr>
            <m:nor/>
          </m:rPr>
          <m:t>.</m:t>
        </m:r>
      </m:oMath>
      <w:r>
        <w:t xml:space="preserve"> This elementary obstruction belongs to the marginal-extension question studied in sheaf-theoretic contextuality [9]. It is not inferred just from the numerical value of a linear </w:t>
      </w:r>
      <m:oMath>
        <m:sSup>
          <m:sSupPr>
            <m:ctrlPr>
              <w:rPr>
                <w:rFonts w:ascii="Cambria Math" w:hAnsi="Cambria Math"/>
              </w:rPr>
            </m:ctrlPr>
          </m:sSupPr>
          <m:e>
            <m:r>
              <w:rPr>
                <w:rFonts w:ascii="Cambria Math" w:hAnsi="Cambria Math"/>
              </w:rPr>
              <m:t>H</m:t>
            </m:r>
          </m:e>
          <m:sup>
            <m:r>
              <w:rPr>
                <w:rFonts w:ascii="Cambria Math" w:hAnsi="Cambria Math"/>
              </w:rPr>
              <m:t>1</m:t>
            </m:r>
          </m:sup>
        </m:sSup>
        <m:r>
          <m:rPr>
            <m:nor/>
          </m:rPr>
          <m:t>.</m:t>
        </m:r>
      </m:oMath>
    </w:p>
    <w:p w14:paraId="1DC94088" w14:textId="77777777" w:rsidR="00C415D1" w:rsidRDefault="00000000" w:rsidP="005A464C">
      <w:pPr>
        <w:pStyle w:val="BodyText"/>
        <w:jc w:val="both"/>
      </w:pPr>
      <w:r>
        <w:t>One constructive alternative declares a proper clean law on compatible finite assignments:</w:t>
      </w:r>
    </w:p>
    <w:p w14:paraId="4CBD746D" w14:textId="77777777" w:rsidR="00C415D1" w:rsidRDefault="00000000" w:rsidP="005A464C">
      <w:pPr>
        <w:pStyle w:val="Equation"/>
        <w:jc w:val="both"/>
      </w:pPr>
      <w:r>
        <w:tab/>
      </w:r>
      <m:oMath>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m:rPr>
                <m:sty m:val="p"/>
              </m:rPr>
              <w:rPr>
                <w:rFonts w:ascii="Cambria Math" w:hAnsi="Cambria Math"/>
              </w:rPr>
              <m:t>-</m:t>
            </m:r>
            <m:r>
              <w:rPr>
                <w:rFonts w:ascii="Cambria Math" w:hAnsi="Cambria Math"/>
              </w:rPr>
              <m:t>1</m:t>
            </m:r>
          </m:sup>
        </m:sSubSup>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ψ</m:t>
                </m:r>
              </m:e>
              <m:sub>
                <m:r>
                  <w:rPr>
                    <w:rFonts w:ascii="Cambria Math" w:hAnsi="Cambria Math"/>
                  </w:rPr>
                  <m:t>p</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U</m:t>
                    </m:r>
                  </m:e>
                  <m:sub>
                    <m:r>
                      <w:rPr>
                        <w:rFonts w:ascii="Cambria Math" w:hAnsi="Cambria Math"/>
                      </w:rPr>
                      <m:t>p</m:t>
                    </m:r>
                  </m:sub>
                </m:sSub>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oMath>
      <w:r>
        <w:tab/>
        <w:t>(21)</w:t>
      </w:r>
    </w:p>
    <w:p w14:paraId="1B285D54" w14:textId="77777777" w:rsidR="00C415D1" w:rsidRDefault="00000000" w:rsidP="005A464C">
      <w:pPr>
        <w:pStyle w:val="BodyText"/>
        <w:jc w:val="both"/>
      </w:pPr>
      <w:r>
        <w:t>Zeros in the factors define forbidden local patterns. The resulting joint law need not have the empirical patch marginals used to choose those factors; it is a model whose frequencies require calibration. Gaussian corruption of this one law gives a legitimate posterior mean and score,</w:t>
      </w:r>
    </w:p>
    <w:p w14:paraId="76913049" w14:textId="77777777" w:rsidR="00C415D1" w:rsidRDefault="00000000" w:rsidP="005A464C">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  </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r>
          <m:rPr>
            <m:sty m:val="p"/>
          </m:rPr>
          <w:rPr>
            <w:rFonts w:ascii="Cambria Math" w:hAnsi="Cambria Math"/>
          </w:rPr>
          <m:t>.</m:t>
        </m:r>
      </m:oMath>
      <w:r>
        <w:tab/>
        <w:t>(22)</w:t>
      </w:r>
    </w:p>
    <w:p w14:paraId="3AF65961" w14:textId="77777777" w:rsidR="00C415D1" w:rsidRDefault="00000000" w:rsidP="005A464C">
      <w:pPr>
        <w:pStyle w:val="BodyText"/>
        <w:jc w:val="both"/>
      </w:pPr>
      <w:r>
        <w:t>For chain or ring contexts, exact finite-state inference supplies a reference [10]. The ASE diffusion manuscript develops this construction and compares it with independent local centre reads [7]. Local patch generation has an established analytic account in convolutional diffusion [8]; describing its vocabulary as a gluing problem does not by itself turn its assembled local predictions into one joint posterior.</w:t>
      </w:r>
    </w:p>
    <w:p w14:paraId="17CFB7A1" w14:textId="77777777" w:rsidR="00C415D1" w:rsidRDefault="00000000" w:rsidP="005A464C">
      <w:pPr>
        <w:pStyle w:val="BodyText"/>
        <w:jc w:val="both"/>
      </w:pPr>
      <w:r>
        <w:t>This construction explicitly changes the clean target from archived records to compatible combinations. Its posterior mean stays in the convex hull of the enlarged support. A posterior draw respects the discrete support, while the mean may lie between allowed assignments. A last DDIM mean step therefore does not automatically produce a support-valued sample. Finite integration, terminal approximation and the zero-noise endpoint remain separate issues even when the denoiser is exact.</w:t>
      </w:r>
    </w:p>
    <w:p w14:paraId="16C469B7" w14:textId="77777777" w:rsidR="00C415D1" w:rsidRDefault="00000000" w:rsidP="005A464C">
      <w:pPr>
        <w:pStyle w:val="Heading11"/>
        <w:jc w:val="both"/>
      </w:pPr>
      <w:bookmarkStart w:id="13" w:name="X8f3d1c660fdb14e9f8d150de2834c94596f2b98"/>
      <w:bookmarkEnd w:id="9"/>
      <w:bookmarkEnd w:id="12"/>
      <w:r>
        <w:t>8 Comparing algorithms without awarding a single score</w:t>
      </w:r>
    </w:p>
    <w:p w14:paraId="08185D3D" w14:textId="77777777" w:rsidR="00C415D1" w:rsidRDefault="00000000" w:rsidP="005A464C">
      <w:pPr>
        <w:pStyle w:val="FirstParagraph"/>
        <w:jc w:val="both"/>
      </w:pPr>
      <w:r>
        <w:t>Table 2 compares declared constructions, not implementations whose full details have not been inspected. The neural rows identify their published operator mechanisms. The other rows are explicit reference models. An empty probability obligation for a classifier is not evidence against its structural validity.</w:t>
      </w:r>
    </w:p>
    <w:p w14:paraId="29BD92C7" w14:textId="77777777" w:rsidR="00C415D1" w:rsidRDefault="00000000" w:rsidP="005A464C">
      <w:pPr>
        <w:pStyle w:val="TableCaption"/>
        <w:jc w:val="both"/>
      </w:pPr>
      <w:r>
        <w:rPr>
          <w:b/>
          <w:bCs/>
        </w:rPr>
        <w:t>Table 2.</w:t>
      </w:r>
      <w:r>
        <w:t xml:space="preserve"> Distinct uses of sheaf structure. Each row needs the evidence named in its final column.</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344"/>
        <w:gridCol w:w="2416"/>
        <w:gridCol w:w="2929"/>
        <w:gridCol w:w="2475"/>
      </w:tblGrid>
      <w:tr w:rsidR="00C415D1" w14:paraId="03C7E62A" w14:textId="77777777">
        <w:trPr>
          <w:cnfStyle w:val="100000000000" w:firstRow="1" w:lastRow="0" w:firstColumn="0" w:lastColumn="0" w:oddVBand="0" w:evenVBand="0" w:oddHBand="0" w:evenHBand="0" w:firstRowFirstColumn="0" w:firstRowLastColumn="0" w:lastRowFirstColumn="0" w:lastRowLastColumn="0"/>
          <w:cantSplit/>
          <w:tblHeader/>
        </w:trPr>
        <w:tc>
          <w:tcPr>
            <w:tcW w:w="2304" w:type="dxa"/>
            <w:shd w:val="clear" w:color="auto" w:fill="E7EBEF"/>
            <w:tcMar>
              <w:top w:w="85" w:type="dxa"/>
              <w:left w:w="85" w:type="dxa"/>
              <w:bottom w:w="85" w:type="dxa"/>
              <w:right w:w="85" w:type="dxa"/>
            </w:tcMar>
            <w:vAlign w:val="center"/>
          </w:tcPr>
          <w:p w14:paraId="68B496CF" w14:textId="77777777" w:rsidR="00C415D1" w:rsidRDefault="00000000" w:rsidP="005A464C">
            <w:pPr>
              <w:pStyle w:val="Compact"/>
              <w:spacing w:before="20" w:after="40" w:line="259" w:lineRule="auto"/>
              <w:jc w:val="both"/>
            </w:pPr>
            <w:r>
              <w:rPr>
                <w:sz w:val="20"/>
              </w:rPr>
              <w:t>Construction</w:t>
            </w:r>
          </w:p>
        </w:tc>
        <w:tc>
          <w:tcPr>
            <w:tcW w:w="2376" w:type="dxa"/>
            <w:shd w:val="clear" w:color="auto" w:fill="E7EBEF"/>
            <w:tcMar>
              <w:top w:w="85" w:type="dxa"/>
              <w:left w:w="85" w:type="dxa"/>
              <w:bottom w:w="85" w:type="dxa"/>
              <w:right w:w="85" w:type="dxa"/>
            </w:tcMar>
            <w:vAlign w:val="center"/>
          </w:tcPr>
          <w:p w14:paraId="730A7E14" w14:textId="77777777" w:rsidR="00C415D1" w:rsidRDefault="00000000" w:rsidP="005A464C">
            <w:pPr>
              <w:pStyle w:val="Compact"/>
              <w:spacing w:before="20" w:after="40" w:line="259" w:lineRule="auto"/>
              <w:jc w:val="both"/>
            </w:pPr>
            <w:r>
              <w:rPr>
                <w:sz w:val="20"/>
              </w:rPr>
              <w:t>Structural interface</w:t>
            </w:r>
          </w:p>
        </w:tc>
        <w:tc>
          <w:tcPr>
            <w:tcW w:w="2880" w:type="dxa"/>
            <w:shd w:val="clear" w:color="auto" w:fill="E7EBEF"/>
            <w:tcMar>
              <w:top w:w="85" w:type="dxa"/>
              <w:left w:w="85" w:type="dxa"/>
              <w:bottom w:w="85" w:type="dxa"/>
              <w:right w:w="85" w:type="dxa"/>
            </w:tcMar>
            <w:vAlign w:val="center"/>
          </w:tcPr>
          <w:p w14:paraId="7493C145" w14:textId="77777777" w:rsidR="00C415D1" w:rsidRDefault="00000000" w:rsidP="005A464C">
            <w:pPr>
              <w:pStyle w:val="Compact"/>
              <w:spacing w:before="20" w:after="40" w:line="259" w:lineRule="auto"/>
              <w:jc w:val="both"/>
            </w:pPr>
            <w:r>
              <w:rPr>
                <w:sz w:val="20"/>
              </w:rPr>
              <w:t>Agreement or probability claim</w:t>
            </w:r>
          </w:p>
        </w:tc>
        <w:tc>
          <w:tcPr>
            <w:tcW w:w="2434" w:type="dxa"/>
            <w:shd w:val="clear" w:color="auto" w:fill="E7EBEF"/>
            <w:tcMar>
              <w:top w:w="85" w:type="dxa"/>
              <w:left w:w="85" w:type="dxa"/>
              <w:bottom w:w="85" w:type="dxa"/>
              <w:right w:w="85" w:type="dxa"/>
            </w:tcMar>
            <w:vAlign w:val="center"/>
          </w:tcPr>
          <w:p w14:paraId="636A6595" w14:textId="77777777" w:rsidR="00C415D1" w:rsidRDefault="00000000" w:rsidP="005A464C">
            <w:pPr>
              <w:pStyle w:val="Compact"/>
              <w:spacing w:before="20" w:after="40" w:line="259" w:lineRule="auto"/>
              <w:jc w:val="both"/>
            </w:pPr>
            <w:r>
              <w:rPr>
                <w:sz w:val="20"/>
              </w:rPr>
              <w:t>Necessary evidence</w:t>
            </w:r>
          </w:p>
        </w:tc>
      </w:tr>
      <w:tr w:rsidR="00C415D1" w14:paraId="500C979E" w14:textId="77777777">
        <w:trPr>
          <w:cantSplit/>
        </w:trPr>
        <w:tc>
          <w:tcPr>
            <w:tcW w:w="2304" w:type="dxa"/>
            <w:shd w:val="clear" w:color="auto" w:fill="FFFFFF"/>
            <w:tcMar>
              <w:top w:w="85" w:type="dxa"/>
              <w:left w:w="85" w:type="dxa"/>
              <w:bottom w:w="85" w:type="dxa"/>
              <w:right w:w="85" w:type="dxa"/>
            </w:tcMar>
            <w:vAlign w:val="center"/>
          </w:tcPr>
          <w:p w14:paraId="26D5955A" w14:textId="77777777" w:rsidR="00C415D1" w:rsidRDefault="00000000" w:rsidP="005A464C">
            <w:pPr>
              <w:pStyle w:val="Compact"/>
              <w:spacing w:before="20" w:after="40" w:line="259" w:lineRule="auto"/>
              <w:jc w:val="both"/>
            </w:pPr>
            <w:r>
              <w:rPr>
                <w:sz w:val="20"/>
              </w:rPr>
              <w:t>Constant-sheaf graph heat</w:t>
            </w:r>
          </w:p>
        </w:tc>
        <w:tc>
          <w:tcPr>
            <w:tcW w:w="2376" w:type="dxa"/>
            <w:shd w:val="clear" w:color="auto" w:fill="FFFFFF"/>
            <w:tcMar>
              <w:top w:w="85" w:type="dxa"/>
              <w:left w:w="85" w:type="dxa"/>
              <w:bottom w:w="85" w:type="dxa"/>
              <w:right w:w="85" w:type="dxa"/>
            </w:tcMar>
            <w:vAlign w:val="center"/>
          </w:tcPr>
          <w:p w14:paraId="6ACF6B18" w14:textId="77777777" w:rsidR="00C415D1" w:rsidRDefault="00000000" w:rsidP="005A464C">
            <w:pPr>
              <w:pStyle w:val="Compact"/>
              <w:spacing w:before="20" w:after="40" w:line="259" w:lineRule="auto"/>
              <w:jc w:val="both"/>
            </w:pPr>
            <w:r>
              <w:rPr>
                <w:sz w:val="20"/>
              </w:rPr>
              <w:t>Identity restrictions and graph Laplacian</w:t>
            </w:r>
          </w:p>
        </w:tc>
        <w:tc>
          <w:tcPr>
            <w:tcW w:w="2880" w:type="dxa"/>
            <w:shd w:val="clear" w:color="auto" w:fill="FFFFFF"/>
            <w:tcMar>
              <w:top w:w="85" w:type="dxa"/>
              <w:left w:w="85" w:type="dxa"/>
              <w:bottom w:w="85" w:type="dxa"/>
              <w:right w:w="85" w:type="dxa"/>
            </w:tcMar>
            <w:vAlign w:val="center"/>
          </w:tcPr>
          <w:p w14:paraId="324C69E9" w14:textId="77777777" w:rsidR="00C415D1" w:rsidRDefault="00000000" w:rsidP="005A464C">
            <w:pPr>
              <w:pStyle w:val="Compact"/>
              <w:spacing w:before="20" w:after="40" w:line="259" w:lineRule="auto"/>
              <w:jc w:val="both"/>
            </w:pPr>
            <w:r>
              <w:rPr>
                <w:sz w:val="20"/>
              </w:rPr>
              <w:t>Preserves existing consensus sections</w:t>
            </w:r>
          </w:p>
        </w:tc>
        <w:tc>
          <w:tcPr>
            <w:tcW w:w="2434" w:type="dxa"/>
            <w:shd w:val="clear" w:color="auto" w:fill="FFFFFF"/>
            <w:tcMar>
              <w:top w:w="85" w:type="dxa"/>
              <w:left w:w="85" w:type="dxa"/>
              <w:bottom w:w="85" w:type="dxa"/>
              <w:right w:w="85" w:type="dxa"/>
            </w:tcMar>
            <w:vAlign w:val="center"/>
          </w:tcPr>
          <w:p w14:paraId="3887E297" w14:textId="77777777" w:rsidR="00C415D1" w:rsidRDefault="00000000" w:rsidP="005A464C">
            <w:pPr>
              <w:pStyle w:val="Compact"/>
              <w:spacing w:before="20" w:after="40" w:line="259" w:lineRule="auto"/>
              <w:jc w:val="both"/>
            </w:pPr>
            <w:r>
              <w:rPr>
                <w:sz w:val="20"/>
              </w:rPr>
              <w:t>Graph and metric declaration</w:t>
            </w:r>
          </w:p>
        </w:tc>
      </w:tr>
      <w:tr w:rsidR="00C415D1" w14:paraId="00C48726" w14:textId="77777777">
        <w:trPr>
          <w:cantSplit/>
        </w:trPr>
        <w:tc>
          <w:tcPr>
            <w:tcW w:w="2304" w:type="dxa"/>
            <w:shd w:val="clear" w:color="auto" w:fill="F7F8F9"/>
            <w:tcMar>
              <w:top w:w="85" w:type="dxa"/>
              <w:left w:w="85" w:type="dxa"/>
              <w:bottom w:w="85" w:type="dxa"/>
              <w:right w:w="85" w:type="dxa"/>
            </w:tcMar>
            <w:vAlign w:val="center"/>
          </w:tcPr>
          <w:p w14:paraId="0E215D4C" w14:textId="77777777" w:rsidR="00C415D1" w:rsidRDefault="00000000" w:rsidP="005A464C">
            <w:pPr>
              <w:pStyle w:val="Compact"/>
              <w:spacing w:before="20" w:after="40" w:line="259" w:lineRule="auto"/>
              <w:jc w:val="both"/>
            </w:pPr>
            <w:r>
              <w:rPr>
                <w:sz w:val="20"/>
              </w:rPr>
              <w:t>Neural Sheaf Diffusion [2]</w:t>
            </w:r>
          </w:p>
        </w:tc>
        <w:tc>
          <w:tcPr>
            <w:tcW w:w="2376" w:type="dxa"/>
            <w:shd w:val="clear" w:color="auto" w:fill="F7F8F9"/>
            <w:tcMar>
              <w:top w:w="85" w:type="dxa"/>
              <w:left w:w="85" w:type="dxa"/>
              <w:bottom w:w="85" w:type="dxa"/>
              <w:right w:w="85" w:type="dxa"/>
            </w:tcMar>
            <w:vAlign w:val="center"/>
          </w:tcPr>
          <w:p w14:paraId="3104D85E" w14:textId="77777777" w:rsidR="00C415D1" w:rsidRDefault="00000000" w:rsidP="005A464C">
            <w:pPr>
              <w:pStyle w:val="Compact"/>
              <w:spacing w:before="20" w:after="40" w:line="259" w:lineRule="auto"/>
              <w:jc w:val="both"/>
            </w:pPr>
            <w:r>
              <w:rPr>
                <w:sz w:val="20"/>
              </w:rPr>
              <w:t>Learned restrictions and sheaf Laplacian</w:t>
            </w:r>
          </w:p>
        </w:tc>
        <w:tc>
          <w:tcPr>
            <w:tcW w:w="2880" w:type="dxa"/>
            <w:shd w:val="clear" w:color="auto" w:fill="F7F8F9"/>
            <w:tcMar>
              <w:top w:w="85" w:type="dxa"/>
              <w:left w:w="85" w:type="dxa"/>
              <w:bottom w:w="85" w:type="dxa"/>
              <w:right w:w="85" w:type="dxa"/>
            </w:tcMar>
            <w:vAlign w:val="center"/>
          </w:tcPr>
          <w:p w14:paraId="21ED6AFD" w14:textId="77777777" w:rsidR="00C415D1" w:rsidRDefault="00000000" w:rsidP="005A464C">
            <w:pPr>
              <w:pStyle w:val="Compact"/>
              <w:spacing w:before="20" w:after="40" w:line="259" w:lineRule="auto"/>
              <w:jc w:val="both"/>
            </w:pPr>
            <w:r>
              <w:rPr>
                <w:sz w:val="20"/>
              </w:rPr>
              <w:t>Relational representation learning</w:t>
            </w:r>
          </w:p>
        </w:tc>
        <w:tc>
          <w:tcPr>
            <w:tcW w:w="2434" w:type="dxa"/>
            <w:shd w:val="clear" w:color="auto" w:fill="F7F8F9"/>
            <w:tcMar>
              <w:top w:w="85" w:type="dxa"/>
              <w:left w:w="85" w:type="dxa"/>
              <w:bottom w:w="85" w:type="dxa"/>
              <w:right w:w="85" w:type="dxa"/>
            </w:tcMar>
            <w:vAlign w:val="center"/>
          </w:tcPr>
          <w:p w14:paraId="2C2E2169" w14:textId="77777777" w:rsidR="00C415D1" w:rsidRDefault="00000000" w:rsidP="005A464C">
            <w:pPr>
              <w:pStyle w:val="Compact"/>
              <w:spacing w:before="20" w:after="40" w:line="259" w:lineRule="auto"/>
              <w:jc w:val="both"/>
            </w:pPr>
            <w:r>
              <w:rPr>
                <w:sz w:val="20"/>
              </w:rPr>
              <w:t>Restriction learning and matched graph controls</w:t>
            </w:r>
          </w:p>
        </w:tc>
      </w:tr>
      <w:tr w:rsidR="00C415D1" w14:paraId="42AC4B57" w14:textId="77777777">
        <w:trPr>
          <w:cantSplit/>
        </w:trPr>
        <w:tc>
          <w:tcPr>
            <w:tcW w:w="2304" w:type="dxa"/>
            <w:shd w:val="clear" w:color="auto" w:fill="FFFFFF"/>
            <w:tcMar>
              <w:top w:w="85" w:type="dxa"/>
              <w:left w:w="85" w:type="dxa"/>
              <w:bottom w:w="85" w:type="dxa"/>
              <w:right w:w="85" w:type="dxa"/>
            </w:tcMar>
            <w:vAlign w:val="center"/>
          </w:tcPr>
          <w:p w14:paraId="0E8173A8" w14:textId="77777777" w:rsidR="00C415D1" w:rsidRDefault="00000000" w:rsidP="005A464C">
            <w:pPr>
              <w:pStyle w:val="Compact"/>
              <w:spacing w:before="20" w:after="40" w:line="259" w:lineRule="auto"/>
              <w:jc w:val="both"/>
            </w:pPr>
            <w:r>
              <w:rPr>
                <w:sz w:val="20"/>
              </w:rPr>
              <w:t>Deep Neural Sheaf Diffusion [3]</w:t>
            </w:r>
          </w:p>
        </w:tc>
        <w:tc>
          <w:tcPr>
            <w:tcW w:w="2376" w:type="dxa"/>
            <w:shd w:val="clear" w:color="auto" w:fill="FFFFFF"/>
            <w:tcMar>
              <w:top w:w="85" w:type="dxa"/>
              <w:left w:w="85" w:type="dxa"/>
              <w:bottom w:w="85" w:type="dxa"/>
              <w:right w:w="85" w:type="dxa"/>
            </w:tcMar>
            <w:vAlign w:val="center"/>
          </w:tcPr>
          <w:p w14:paraId="173EA603" w14:textId="77777777" w:rsidR="00C415D1" w:rsidRDefault="00000000" w:rsidP="005A464C">
            <w:pPr>
              <w:pStyle w:val="Compact"/>
              <w:spacing w:before="20" w:after="40" w:line="259" w:lineRule="auto"/>
              <w:jc w:val="both"/>
            </w:pPr>
            <w:r>
              <w:rPr>
                <w:sz w:val="20"/>
              </w:rPr>
              <w:t>Learned sheaf adjacency and nonlinear architecture</w:t>
            </w:r>
          </w:p>
        </w:tc>
        <w:tc>
          <w:tcPr>
            <w:tcW w:w="2880" w:type="dxa"/>
            <w:shd w:val="clear" w:color="auto" w:fill="FFFFFF"/>
            <w:tcMar>
              <w:top w:w="85" w:type="dxa"/>
              <w:left w:w="85" w:type="dxa"/>
              <w:bottom w:w="85" w:type="dxa"/>
              <w:right w:w="85" w:type="dxa"/>
            </w:tcMar>
            <w:vAlign w:val="center"/>
          </w:tcPr>
          <w:p w14:paraId="597385FC" w14:textId="77777777" w:rsidR="00C415D1" w:rsidRDefault="00000000" w:rsidP="005A464C">
            <w:pPr>
              <w:pStyle w:val="Compact"/>
              <w:spacing w:before="20" w:after="40" w:line="259" w:lineRule="auto"/>
              <w:jc w:val="both"/>
            </w:pPr>
            <w:r>
              <w:rPr>
                <w:sz w:val="20"/>
              </w:rPr>
              <w:t>Modified propagation at depth</w:t>
            </w:r>
          </w:p>
        </w:tc>
        <w:tc>
          <w:tcPr>
            <w:tcW w:w="2434" w:type="dxa"/>
            <w:shd w:val="clear" w:color="auto" w:fill="FFFFFF"/>
            <w:tcMar>
              <w:top w:w="85" w:type="dxa"/>
              <w:left w:w="85" w:type="dxa"/>
              <w:bottom w:w="85" w:type="dxa"/>
              <w:right w:w="85" w:type="dxa"/>
            </w:tcMar>
            <w:vAlign w:val="center"/>
          </w:tcPr>
          <w:p w14:paraId="3FE80248" w14:textId="77777777" w:rsidR="00C415D1" w:rsidRDefault="00000000" w:rsidP="005A464C">
            <w:pPr>
              <w:pStyle w:val="Compact"/>
              <w:spacing w:before="20" w:after="40" w:line="259" w:lineRule="auto"/>
              <w:jc w:val="both"/>
            </w:pPr>
            <w:r>
              <w:rPr>
                <w:sz w:val="20"/>
              </w:rPr>
              <w:t>Architecture-specific depth and map ablations</w:t>
            </w:r>
          </w:p>
        </w:tc>
      </w:tr>
      <w:tr w:rsidR="00C415D1" w14:paraId="62D12A60" w14:textId="77777777">
        <w:trPr>
          <w:cantSplit/>
        </w:trPr>
        <w:tc>
          <w:tcPr>
            <w:tcW w:w="2304" w:type="dxa"/>
            <w:shd w:val="clear" w:color="auto" w:fill="F7F8F9"/>
            <w:tcMar>
              <w:top w:w="85" w:type="dxa"/>
              <w:left w:w="85" w:type="dxa"/>
              <w:bottom w:w="85" w:type="dxa"/>
              <w:right w:w="85" w:type="dxa"/>
            </w:tcMar>
            <w:vAlign w:val="center"/>
          </w:tcPr>
          <w:p w14:paraId="66D31182" w14:textId="77777777" w:rsidR="00C415D1" w:rsidRDefault="00000000" w:rsidP="005A464C">
            <w:pPr>
              <w:pStyle w:val="Compact"/>
              <w:spacing w:before="20" w:after="40" w:line="259" w:lineRule="auto"/>
              <w:jc w:val="both"/>
            </w:pPr>
            <w:r>
              <w:rPr>
                <w:sz w:val="20"/>
              </w:rPr>
              <w:t>Frozen sheaf heat or resolvent</w:t>
            </w:r>
          </w:p>
        </w:tc>
        <w:tc>
          <w:tcPr>
            <w:tcW w:w="2376" w:type="dxa"/>
            <w:shd w:val="clear" w:color="auto" w:fill="F7F8F9"/>
            <w:tcMar>
              <w:top w:w="85" w:type="dxa"/>
              <w:left w:w="85" w:type="dxa"/>
              <w:bottom w:w="85" w:type="dxa"/>
              <w:right w:w="85" w:type="dxa"/>
            </w:tcMar>
            <w:vAlign w:val="center"/>
          </w:tcPr>
          <w:p w14:paraId="4A539E50" w14:textId="77777777" w:rsidR="00C415D1" w:rsidRDefault="00000000" w:rsidP="005A464C">
            <w:pPr>
              <w:pStyle w:val="Compact"/>
              <w:spacing w:before="20" w:after="40" w:line="259" w:lineRule="auto"/>
              <w:jc w:val="both"/>
            </w:pPr>
            <m:oMath>
              <m:r>
                <w:rPr>
                  <w:rFonts w:ascii="Cambria Math" w:hAnsi="Cambria Math"/>
                </w:rPr>
                <m:t>L</m:t>
              </m:r>
            </m:oMath>
            <w:r>
              <w:rPr>
                <w:sz w:val="20"/>
              </w:rPr>
              <w:t xml:space="preserve"> assembled from typed maps</w:t>
            </w:r>
          </w:p>
        </w:tc>
        <w:tc>
          <w:tcPr>
            <w:tcW w:w="2880" w:type="dxa"/>
            <w:shd w:val="clear" w:color="auto" w:fill="F7F8F9"/>
            <w:tcMar>
              <w:top w:w="85" w:type="dxa"/>
              <w:left w:w="85" w:type="dxa"/>
              <w:bottom w:w="85" w:type="dxa"/>
              <w:right w:w="85" w:type="dxa"/>
            </w:tcMar>
            <w:vAlign w:val="center"/>
          </w:tcPr>
          <w:p w14:paraId="04ED4718" w14:textId="77777777" w:rsidR="00C415D1" w:rsidRDefault="00000000" w:rsidP="005A464C">
            <w:pPr>
              <w:pStyle w:val="Compact"/>
              <w:spacing w:before="20" w:after="40" w:line="259" w:lineRule="auto"/>
              <w:jc w:val="both"/>
            </w:pPr>
            <w:r>
              <w:rPr>
                <w:sz w:val="20"/>
              </w:rPr>
              <w:t>Operator response and kernel preservation</w:t>
            </w:r>
          </w:p>
        </w:tc>
        <w:tc>
          <w:tcPr>
            <w:tcW w:w="2434" w:type="dxa"/>
            <w:shd w:val="clear" w:color="auto" w:fill="F7F8F9"/>
            <w:tcMar>
              <w:top w:w="85" w:type="dxa"/>
              <w:left w:w="85" w:type="dxa"/>
              <w:bottom w:w="85" w:type="dxa"/>
              <w:right w:w="85" w:type="dxa"/>
            </w:tcMar>
            <w:vAlign w:val="center"/>
          </w:tcPr>
          <w:p w14:paraId="1DCD2A01" w14:textId="77777777" w:rsidR="00C415D1" w:rsidRDefault="00000000" w:rsidP="005A464C">
            <w:pPr>
              <w:pStyle w:val="Compact"/>
              <w:spacing w:before="20" w:after="40" w:line="259" w:lineRule="auto"/>
              <w:jc w:val="both"/>
            </w:pPr>
            <w:r>
              <w:rPr>
                <w:sz w:val="20"/>
              </w:rPr>
              <w:t>Gram assembly and coefficient sensitivity</w:t>
            </w:r>
          </w:p>
        </w:tc>
      </w:tr>
      <w:tr w:rsidR="00C415D1" w14:paraId="4A0552E6" w14:textId="77777777">
        <w:trPr>
          <w:cantSplit/>
        </w:trPr>
        <w:tc>
          <w:tcPr>
            <w:tcW w:w="2304" w:type="dxa"/>
            <w:shd w:val="clear" w:color="auto" w:fill="FFFFFF"/>
            <w:tcMar>
              <w:top w:w="85" w:type="dxa"/>
              <w:left w:w="85" w:type="dxa"/>
              <w:bottom w:w="85" w:type="dxa"/>
              <w:right w:w="85" w:type="dxa"/>
            </w:tcMar>
            <w:vAlign w:val="center"/>
          </w:tcPr>
          <w:p w14:paraId="0D537FB1" w14:textId="77777777" w:rsidR="00C415D1" w:rsidRDefault="00000000" w:rsidP="005A464C">
            <w:pPr>
              <w:pStyle w:val="Compact"/>
              <w:spacing w:before="20" w:after="40" w:line="259" w:lineRule="auto"/>
              <w:jc w:val="both"/>
            </w:pPr>
            <w:r>
              <w:rPr>
                <w:sz w:val="20"/>
              </w:rPr>
              <w:t>ADE empirical example star</w:t>
            </w:r>
          </w:p>
        </w:tc>
        <w:tc>
          <w:tcPr>
            <w:tcW w:w="2376" w:type="dxa"/>
            <w:shd w:val="clear" w:color="auto" w:fill="FFFFFF"/>
            <w:tcMar>
              <w:top w:w="85" w:type="dxa"/>
              <w:left w:w="85" w:type="dxa"/>
              <w:bottom w:w="85" w:type="dxa"/>
              <w:right w:w="85" w:type="dxa"/>
            </w:tcMar>
            <w:vAlign w:val="center"/>
          </w:tcPr>
          <w:p w14:paraId="57566278" w14:textId="77777777" w:rsidR="00C415D1" w:rsidRDefault="00000000" w:rsidP="005A464C">
            <w:pPr>
              <w:pStyle w:val="Compact"/>
              <w:spacing w:before="20" w:after="40" w:line="259" w:lineRule="auto"/>
              <w:jc w:val="both"/>
            </w:pPr>
            <w:r>
              <w:rPr>
                <w:sz w:val="20"/>
              </w:rPr>
              <w:t>Identity-map record reads</w:t>
            </w:r>
          </w:p>
        </w:tc>
        <w:tc>
          <w:tcPr>
            <w:tcW w:w="2880" w:type="dxa"/>
            <w:shd w:val="clear" w:color="auto" w:fill="FFFFFF"/>
            <w:tcMar>
              <w:top w:w="85" w:type="dxa"/>
              <w:left w:w="85" w:type="dxa"/>
              <w:bottom w:w="85" w:type="dxa"/>
              <w:right w:w="85" w:type="dxa"/>
            </w:tcMar>
            <w:vAlign w:val="center"/>
          </w:tcPr>
          <w:p w14:paraId="280C8623" w14:textId="77777777" w:rsidR="00C415D1" w:rsidRDefault="00000000" w:rsidP="005A464C">
            <w:pPr>
              <w:pStyle w:val="Compact"/>
              <w:spacing w:before="20" w:after="40" w:line="259" w:lineRule="auto"/>
              <w:jc w:val="both"/>
            </w:pPr>
            <w:r>
              <w:rPr>
                <w:sz w:val="20"/>
              </w:rPr>
              <w:t>Exact empirical posterior mean</w:t>
            </w:r>
          </w:p>
        </w:tc>
        <w:tc>
          <w:tcPr>
            <w:tcW w:w="2434" w:type="dxa"/>
            <w:shd w:val="clear" w:color="auto" w:fill="FFFFFF"/>
            <w:tcMar>
              <w:top w:w="85" w:type="dxa"/>
              <w:left w:w="85" w:type="dxa"/>
              <w:bottom w:w="85" w:type="dxa"/>
              <w:right w:w="85" w:type="dxa"/>
            </w:tcMar>
            <w:vAlign w:val="center"/>
          </w:tcPr>
          <w:p w14:paraId="0382BFD0" w14:textId="77777777" w:rsidR="00C415D1" w:rsidRDefault="00000000" w:rsidP="005A464C">
            <w:pPr>
              <w:pStyle w:val="Compact"/>
              <w:spacing w:before="20" w:after="40" w:line="259" w:lineRule="auto"/>
              <w:jc w:val="both"/>
            </w:pPr>
            <w:r>
              <w:rPr>
                <w:sz w:val="20"/>
              </w:rPr>
              <w:t>Fixed record law and sampler qualifications</w:t>
            </w:r>
          </w:p>
        </w:tc>
      </w:tr>
      <w:tr w:rsidR="00C415D1" w14:paraId="4F663E36" w14:textId="77777777">
        <w:trPr>
          <w:cantSplit/>
        </w:trPr>
        <w:tc>
          <w:tcPr>
            <w:tcW w:w="2304" w:type="dxa"/>
            <w:shd w:val="clear" w:color="auto" w:fill="F7F8F9"/>
            <w:tcMar>
              <w:top w:w="85" w:type="dxa"/>
              <w:left w:w="85" w:type="dxa"/>
              <w:bottom w:w="85" w:type="dxa"/>
              <w:right w:w="85" w:type="dxa"/>
            </w:tcMar>
            <w:vAlign w:val="center"/>
          </w:tcPr>
          <w:p w14:paraId="494A0E35" w14:textId="77777777" w:rsidR="00C415D1" w:rsidRDefault="00000000" w:rsidP="005A464C">
            <w:pPr>
              <w:pStyle w:val="Compact"/>
              <w:spacing w:before="20" w:after="40" w:line="259" w:lineRule="auto"/>
              <w:jc w:val="both"/>
            </w:pPr>
            <w:r>
              <w:rPr>
                <w:sz w:val="20"/>
              </w:rPr>
              <w:lastRenderedPageBreak/>
              <w:t>ASE partial-observation read</w:t>
            </w:r>
          </w:p>
        </w:tc>
        <w:tc>
          <w:tcPr>
            <w:tcW w:w="2376" w:type="dxa"/>
            <w:shd w:val="clear" w:color="auto" w:fill="F7F8F9"/>
            <w:tcMar>
              <w:top w:w="85" w:type="dxa"/>
              <w:left w:w="85" w:type="dxa"/>
              <w:bottom w:w="85" w:type="dxa"/>
              <w:right w:w="85" w:type="dxa"/>
            </w:tcMar>
            <w:vAlign w:val="center"/>
          </w:tcPr>
          <w:p w14:paraId="390FDA20" w14:textId="77777777" w:rsidR="00C415D1" w:rsidRDefault="00000000" w:rsidP="005A464C">
            <w:pPr>
              <w:pStyle w:val="Compact"/>
              <w:spacing w:before="20" w:after="40" w:line="259" w:lineRule="auto"/>
              <w:jc w:val="both"/>
            </w:pPr>
            <w:r>
              <w:rPr>
                <w:sz w:val="20"/>
              </w:rPr>
              <w:t>Calibrated maps and normal equations</w:t>
            </w:r>
          </w:p>
        </w:tc>
        <w:tc>
          <w:tcPr>
            <w:tcW w:w="2880" w:type="dxa"/>
            <w:shd w:val="clear" w:color="auto" w:fill="F7F8F9"/>
            <w:tcMar>
              <w:top w:w="85" w:type="dxa"/>
              <w:left w:w="85" w:type="dxa"/>
              <w:bottom w:w="85" w:type="dxa"/>
              <w:right w:w="85" w:type="dxa"/>
            </w:tcMar>
            <w:vAlign w:val="center"/>
          </w:tcPr>
          <w:p w14:paraId="302FD36B" w14:textId="77777777" w:rsidR="00C415D1" w:rsidRDefault="00000000" w:rsidP="005A464C">
            <w:pPr>
              <w:pStyle w:val="Compact"/>
              <w:spacing w:before="20" w:after="40" w:line="259" w:lineRule="auto"/>
              <w:jc w:val="both"/>
            </w:pPr>
            <w:r>
              <w:rPr>
                <w:sz w:val="20"/>
              </w:rPr>
              <w:t>Structured proposal or energy descent</w:t>
            </w:r>
          </w:p>
        </w:tc>
        <w:tc>
          <w:tcPr>
            <w:tcW w:w="2434" w:type="dxa"/>
            <w:shd w:val="clear" w:color="auto" w:fill="F7F8F9"/>
            <w:tcMar>
              <w:top w:w="85" w:type="dxa"/>
              <w:left w:w="85" w:type="dxa"/>
              <w:bottom w:w="85" w:type="dxa"/>
              <w:right w:w="85" w:type="dxa"/>
            </w:tcMar>
            <w:vAlign w:val="center"/>
          </w:tcPr>
          <w:p w14:paraId="35CE88E3" w14:textId="77777777" w:rsidR="00C415D1" w:rsidRDefault="00000000" w:rsidP="005A464C">
            <w:pPr>
              <w:pStyle w:val="Compact"/>
              <w:spacing w:before="20" w:after="40" w:line="259" w:lineRule="auto"/>
              <w:jc w:val="both"/>
            </w:pPr>
            <w:r>
              <w:rPr>
                <w:sz w:val="20"/>
              </w:rPr>
              <w:t>Observability and score interpretation</w:t>
            </w:r>
          </w:p>
        </w:tc>
      </w:tr>
      <w:tr w:rsidR="00C415D1" w14:paraId="068C1953" w14:textId="77777777">
        <w:trPr>
          <w:cantSplit/>
        </w:trPr>
        <w:tc>
          <w:tcPr>
            <w:tcW w:w="2304" w:type="dxa"/>
            <w:shd w:val="clear" w:color="auto" w:fill="FFFFFF"/>
            <w:tcMar>
              <w:top w:w="85" w:type="dxa"/>
              <w:left w:w="85" w:type="dxa"/>
              <w:bottom w:w="85" w:type="dxa"/>
              <w:right w:w="85" w:type="dxa"/>
            </w:tcMar>
            <w:vAlign w:val="center"/>
          </w:tcPr>
          <w:p w14:paraId="206D7DFA" w14:textId="77777777" w:rsidR="00C415D1" w:rsidRDefault="00000000" w:rsidP="005A464C">
            <w:pPr>
              <w:pStyle w:val="Compact"/>
              <w:spacing w:before="20" w:after="40" w:line="259" w:lineRule="auto"/>
              <w:jc w:val="both"/>
            </w:pPr>
            <w:r>
              <w:rPr>
                <w:sz w:val="20"/>
              </w:rPr>
              <w:t>Correlated baseline noise</w:t>
            </w:r>
          </w:p>
        </w:tc>
        <w:tc>
          <w:tcPr>
            <w:tcW w:w="2376" w:type="dxa"/>
            <w:shd w:val="clear" w:color="auto" w:fill="FFFFFF"/>
            <w:tcMar>
              <w:top w:w="85" w:type="dxa"/>
              <w:left w:w="85" w:type="dxa"/>
              <w:bottom w:w="85" w:type="dxa"/>
              <w:right w:w="85" w:type="dxa"/>
            </w:tcMar>
            <w:vAlign w:val="center"/>
          </w:tcPr>
          <w:p w14:paraId="2386A9ED" w14:textId="77777777" w:rsidR="00C415D1" w:rsidRDefault="00000000" w:rsidP="005A464C">
            <w:pPr>
              <w:pStyle w:val="Compact"/>
              <w:spacing w:before="20" w:after="40" w:line="259" w:lineRule="auto"/>
              <w:jc w:val="both"/>
            </w:pPr>
            <w:r>
              <w:rPr>
                <w:sz w:val="20"/>
              </w:rPr>
              <w:t>Block correlation such as (19)</w:t>
            </w:r>
          </w:p>
        </w:tc>
        <w:tc>
          <w:tcPr>
            <w:tcW w:w="2880" w:type="dxa"/>
            <w:shd w:val="clear" w:color="auto" w:fill="FFFFFF"/>
            <w:tcMar>
              <w:top w:w="85" w:type="dxa"/>
              <w:left w:w="85" w:type="dxa"/>
              <w:bottom w:w="85" w:type="dxa"/>
              <w:right w:w="85" w:type="dxa"/>
            </w:tcMar>
            <w:vAlign w:val="center"/>
          </w:tcPr>
          <w:p w14:paraId="0031B53B" w14:textId="77777777" w:rsidR="00C415D1" w:rsidRDefault="00000000" w:rsidP="005A464C">
            <w:pPr>
              <w:pStyle w:val="Compact"/>
              <w:spacing w:before="20" w:after="40" w:line="259" w:lineRule="auto"/>
              <w:jc w:val="both"/>
            </w:pPr>
            <w:r>
              <w:rPr>
                <w:sz w:val="20"/>
              </w:rPr>
              <w:t>Unchanged per-copy baseline law</w:t>
            </w:r>
          </w:p>
        </w:tc>
        <w:tc>
          <w:tcPr>
            <w:tcW w:w="2434" w:type="dxa"/>
            <w:shd w:val="clear" w:color="auto" w:fill="FFFFFF"/>
            <w:tcMar>
              <w:top w:w="85" w:type="dxa"/>
              <w:left w:w="85" w:type="dxa"/>
              <w:bottom w:w="85" w:type="dxa"/>
              <w:right w:w="85" w:type="dxa"/>
            </w:tcMar>
            <w:vAlign w:val="center"/>
          </w:tcPr>
          <w:p w14:paraId="0E023A88" w14:textId="77777777" w:rsidR="00C415D1" w:rsidRDefault="00000000" w:rsidP="005A464C">
            <w:pPr>
              <w:pStyle w:val="Compact"/>
              <w:spacing w:before="20" w:after="40" w:line="259" w:lineRule="auto"/>
              <w:jc w:val="both"/>
            </w:pPr>
            <w:r>
              <w:rPr>
                <w:sz w:val="20"/>
              </w:rPr>
              <w:t>Conditional noise law and separability</w:t>
            </w:r>
          </w:p>
        </w:tc>
      </w:tr>
      <w:tr w:rsidR="00C415D1" w14:paraId="4B8389A5" w14:textId="77777777">
        <w:trPr>
          <w:cantSplit/>
        </w:trPr>
        <w:tc>
          <w:tcPr>
            <w:tcW w:w="2304" w:type="dxa"/>
            <w:shd w:val="clear" w:color="auto" w:fill="F7F8F9"/>
            <w:tcMar>
              <w:top w:w="85" w:type="dxa"/>
              <w:left w:w="85" w:type="dxa"/>
              <w:bottom w:w="85" w:type="dxa"/>
              <w:right w:w="85" w:type="dxa"/>
            </w:tcMar>
            <w:vAlign w:val="center"/>
          </w:tcPr>
          <w:p w14:paraId="47B4438C" w14:textId="77777777" w:rsidR="00C415D1" w:rsidRDefault="00000000" w:rsidP="005A464C">
            <w:pPr>
              <w:pStyle w:val="Compact"/>
              <w:spacing w:before="20" w:after="40" w:line="259" w:lineRule="auto"/>
              <w:jc w:val="both"/>
            </w:pPr>
            <w:r>
              <w:rPr>
                <w:sz w:val="20"/>
              </w:rPr>
              <w:t>Soft coupled Gaussian target</w:t>
            </w:r>
          </w:p>
        </w:tc>
        <w:tc>
          <w:tcPr>
            <w:tcW w:w="2376" w:type="dxa"/>
            <w:shd w:val="clear" w:color="auto" w:fill="F7F8F9"/>
            <w:tcMar>
              <w:top w:w="85" w:type="dxa"/>
              <w:left w:w="85" w:type="dxa"/>
              <w:bottom w:w="85" w:type="dxa"/>
              <w:right w:w="85" w:type="dxa"/>
            </w:tcMar>
            <w:vAlign w:val="center"/>
          </w:tcPr>
          <w:p w14:paraId="69903F4F" w14:textId="77777777" w:rsidR="00C415D1" w:rsidRDefault="00000000" w:rsidP="005A464C">
            <w:pPr>
              <w:pStyle w:val="Compact"/>
              <w:spacing w:before="20" w:after="40" w:line="259" w:lineRule="auto"/>
              <w:jc w:val="both"/>
            </w:pPr>
            <m:oMathPara>
              <m:oMath>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oMath>
            </m:oMathPara>
          </w:p>
        </w:tc>
        <w:tc>
          <w:tcPr>
            <w:tcW w:w="2880" w:type="dxa"/>
            <w:shd w:val="clear" w:color="auto" w:fill="F7F8F9"/>
            <w:tcMar>
              <w:top w:w="85" w:type="dxa"/>
              <w:left w:w="85" w:type="dxa"/>
              <w:bottom w:w="85" w:type="dxa"/>
              <w:right w:w="85" w:type="dxa"/>
            </w:tcMar>
            <w:vAlign w:val="center"/>
          </w:tcPr>
          <w:p w14:paraId="5DD9A9DE" w14:textId="77777777" w:rsidR="00C415D1" w:rsidRDefault="00000000" w:rsidP="005A464C">
            <w:pPr>
              <w:pStyle w:val="Compact"/>
              <w:spacing w:before="20" w:after="40" w:line="259" w:lineRule="auto"/>
              <w:jc w:val="both"/>
            </w:pPr>
            <w:r>
              <w:rPr>
                <w:sz w:val="20"/>
              </w:rPr>
              <w:t>Declared joint Gaussian clean law</w:t>
            </w:r>
          </w:p>
        </w:tc>
        <w:tc>
          <w:tcPr>
            <w:tcW w:w="2434" w:type="dxa"/>
            <w:shd w:val="clear" w:color="auto" w:fill="F7F8F9"/>
            <w:tcMar>
              <w:top w:w="85" w:type="dxa"/>
              <w:left w:w="85" w:type="dxa"/>
              <w:bottom w:w="85" w:type="dxa"/>
              <w:right w:w="85" w:type="dxa"/>
            </w:tcMar>
            <w:vAlign w:val="center"/>
          </w:tcPr>
          <w:p w14:paraId="02568045" w14:textId="77777777" w:rsidR="00C415D1" w:rsidRDefault="00000000" w:rsidP="005A464C">
            <w:pPr>
              <w:pStyle w:val="Compact"/>
              <w:spacing w:before="20" w:after="40" w:line="259" w:lineRule="auto"/>
              <w:jc w:val="both"/>
            </w:pPr>
            <w:r>
              <w:rPr>
                <w:sz w:val="20"/>
              </w:rPr>
              <w:t>Correct noised mean, covariance and score</w:t>
            </w:r>
          </w:p>
        </w:tc>
      </w:tr>
      <w:tr w:rsidR="00C415D1" w14:paraId="6514570F" w14:textId="77777777">
        <w:trPr>
          <w:cantSplit/>
        </w:trPr>
        <w:tc>
          <w:tcPr>
            <w:tcW w:w="2304" w:type="dxa"/>
            <w:shd w:val="clear" w:color="auto" w:fill="FFFFFF"/>
            <w:tcMar>
              <w:top w:w="85" w:type="dxa"/>
              <w:left w:w="85" w:type="dxa"/>
              <w:bottom w:w="85" w:type="dxa"/>
              <w:right w:w="85" w:type="dxa"/>
            </w:tcMar>
            <w:vAlign w:val="center"/>
          </w:tcPr>
          <w:p w14:paraId="104449BA" w14:textId="77777777" w:rsidR="00C415D1" w:rsidRDefault="00000000" w:rsidP="005A464C">
            <w:pPr>
              <w:pStyle w:val="Compact"/>
              <w:spacing w:before="20" w:after="40" w:line="259" w:lineRule="auto"/>
              <w:jc w:val="both"/>
            </w:pPr>
            <w:r>
              <w:rPr>
                <w:sz w:val="20"/>
              </w:rPr>
              <w:t>Intrinsic compatible diffusion</w:t>
            </w:r>
          </w:p>
        </w:tc>
        <w:tc>
          <w:tcPr>
            <w:tcW w:w="2376" w:type="dxa"/>
            <w:shd w:val="clear" w:color="auto" w:fill="FFFFFF"/>
            <w:tcMar>
              <w:top w:w="85" w:type="dxa"/>
              <w:left w:w="85" w:type="dxa"/>
              <w:bottom w:w="85" w:type="dxa"/>
              <w:right w:w="85" w:type="dxa"/>
            </w:tcMar>
            <w:vAlign w:val="center"/>
          </w:tcPr>
          <w:p w14:paraId="26CD1354" w14:textId="77777777" w:rsidR="00C415D1" w:rsidRDefault="00000000" w:rsidP="005A464C">
            <w:pPr>
              <w:pStyle w:val="Compact"/>
              <w:spacing w:before="20" w:after="40" w:line="259" w:lineRule="auto"/>
              <w:jc w:val="both"/>
            </w:pPr>
            <w:r>
              <w:rPr>
                <w:sz w:val="20"/>
              </w:rPr>
              <w:t>Compatible basis or projector</w:t>
            </w:r>
          </w:p>
        </w:tc>
        <w:tc>
          <w:tcPr>
            <w:tcW w:w="2880" w:type="dxa"/>
            <w:shd w:val="clear" w:color="auto" w:fill="FFFFFF"/>
            <w:tcMar>
              <w:top w:w="85" w:type="dxa"/>
              <w:left w:w="85" w:type="dxa"/>
              <w:bottom w:w="85" w:type="dxa"/>
              <w:right w:w="85" w:type="dxa"/>
            </w:tcMar>
            <w:vAlign w:val="center"/>
          </w:tcPr>
          <w:p w14:paraId="246B3E2E" w14:textId="77777777" w:rsidR="00C415D1" w:rsidRDefault="00000000" w:rsidP="005A464C">
            <w:pPr>
              <w:pStyle w:val="Compact"/>
              <w:spacing w:before="20" w:after="40" w:line="259" w:lineRule="auto"/>
              <w:jc w:val="both"/>
            </w:pPr>
            <w:r>
              <w:rPr>
                <w:sz w:val="20"/>
              </w:rPr>
              <w:t xml:space="preserve">Trajectories in </w:t>
            </w:r>
            <m:oMath>
              <m:r>
                <m:rPr>
                  <m:sty m:val="p"/>
                </m:rPr>
                <w:rPr>
                  <w:rFonts w:ascii="Cambria Math" w:hAnsi="Cambria Math"/>
                </w:rPr>
                <m:t>ker</m:t>
              </m:r>
              <m:r>
                <w:rPr>
                  <w:rFonts w:ascii="Cambria Math" w:hAnsi="Cambria Math"/>
                </w:rPr>
                <m:t>δ</m:t>
              </m:r>
            </m:oMath>
          </w:p>
        </w:tc>
        <w:tc>
          <w:tcPr>
            <w:tcW w:w="2434" w:type="dxa"/>
            <w:shd w:val="clear" w:color="auto" w:fill="FFFFFF"/>
            <w:tcMar>
              <w:top w:w="85" w:type="dxa"/>
              <w:left w:w="85" w:type="dxa"/>
              <w:bottom w:w="85" w:type="dxa"/>
              <w:right w:w="85" w:type="dxa"/>
            </w:tcMar>
            <w:vAlign w:val="center"/>
          </w:tcPr>
          <w:p w14:paraId="413D3B2F" w14:textId="77777777" w:rsidR="00C415D1" w:rsidRDefault="00000000" w:rsidP="005A464C">
            <w:pPr>
              <w:pStyle w:val="Compact"/>
              <w:spacing w:before="20" w:after="40" w:line="259" w:lineRule="auto"/>
              <w:jc w:val="both"/>
            </w:pPr>
            <w:r>
              <w:rPr>
                <w:sz w:val="20"/>
              </w:rPr>
              <w:t>Forward covariance, retained dimensions and target</w:t>
            </w:r>
          </w:p>
        </w:tc>
      </w:tr>
      <w:tr w:rsidR="00C415D1" w14:paraId="32A63673" w14:textId="77777777">
        <w:trPr>
          <w:cantSplit/>
        </w:trPr>
        <w:tc>
          <w:tcPr>
            <w:tcW w:w="2304" w:type="dxa"/>
            <w:shd w:val="clear" w:color="auto" w:fill="F7F8F9"/>
            <w:tcMar>
              <w:top w:w="85" w:type="dxa"/>
              <w:left w:w="85" w:type="dxa"/>
              <w:bottom w:w="85" w:type="dxa"/>
              <w:right w:w="85" w:type="dxa"/>
            </w:tcMar>
            <w:vAlign w:val="center"/>
          </w:tcPr>
          <w:p w14:paraId="585CC43F" w14:textId="77777777" w:rsidR="00C415D1" w:rsidRDefault="00000000" w:rsidP="005A464C">
            <w:pPr>
              <w:pStyle w:val="Compact"/>
              <w:spacing w:before="20" w:after="40" w:line="259" w:lineRule="auto"/>
              <w:jc w:val="both"/>
            </w:pPr>
            <w:r>
              <w:rPr>
                <w:sz w:val="20"/>
              </w:rPr>
              <w:t>Probabilistic gluing</w:t>
            </w:r>
          </w:p>
        </w:tc>
        <w:tc>
          <w:tcPr>
            <w:tcW w:w="2376" w:type="dxa"/>
            <w:shd w:val="clear" w:color="auto" w:fill="F7F8F9"/>
            <w:tcMar>
              <w:top w:w="85" w:type="dxa"/>
              <w:left w:w="85" w:type="dxa"/>
              <w:bottom w:w="85" w:type="dxa"/>
              <w:right w:w="85" w:type="dxa"/>
            </w:tcMar>
            <w:vAlign w:val="center"/>
          </w:tcPr>
          <w:p w14:paraId="79E19101" w14:textId="77777777" w:rsidR="00C415D1" w:rsidRDefault="00000000" w:rsidP="005A464C">
            <w:pPr>
              <w:pStyle w:val="Compact"/>
              <w:spacing w:before="20" w:after="40" w:line="259" w:lineRule="auto"/>
              <w:jc w:val="both"/>
            </w:pPr>
            <w:r>
              <w:rPr>
                <w:sz w:val="20"/>
              </w:rPr>
              <w:t>Set-valued context support and joint factors</w:t>
            </w:r>
          </w:p>
        </w:tc>
        <w:tc>
          <w:tcPr>
            <w:tcW w:w="2880" w:type="dxa"/>
            <w:shd w:val="clear" w:color="auto" w:fill="F7F8F9"/>
            <w:tcMar>
              <w:top w:w="85" w:type="dxa"/>
              <w:left w:w="85" w:type="dxa"/>
              <w:bottom w:w="85" w:type="dxa"/>
              <w:right w:w="85" w:type="dxa"/>
            </w:tcMar>
            <w:vAlign w:val="center"/>
          </w:tcPr>
          <w:p w14:paraId="5D84D7AF" w14:textId="77777777" w:rsidR="00C415D1" w:rsidRDefault="00000000" w:rsidP="005A464C">
            <w:pPr>
              <w:pStyle w:val="Compact"/>
              <w:spacing w:before="20" w:after="40" w:line="259" w:lineRule="auto"/>
              <w:jc w:val="both"/>
            </w:pPr>
            <w:r>
              <w:rPr>
                <w:sz w:val="20"/>
              </w:rPr>
              <w:t>Clean law on compatible combinations</w:t>
            </w:r>
          </w:p>
        </w:tc>
        <w:tc>
          <w:tcPr>
            <w:tcW w:w="2434" w:type="dxa"/>
            <w:shd w:val="clear" w:color="auto" w:fill="F7F8F9"/>
            <w:tcMar>
              <w:top w:w="85" w:type="dxa"/>
              <w:left w:w="85" w:type="dxa"/>
              <w:bottom w:w="85" w:type="dxa"/>
              <w:right w:w="85" w:type="dxa"/>
            </w:tcMar>
            <w:vAlign w:val="center"/>
          </w:tcPr>
          <w:p w14:paraId="4C534C62" w14:textId="77777777" w:rsidR="00C415D1" w:rsidRDefault="00000000" w:rsidP="005A464C">
            <w:pPr>
              <w:pStyle w:val="Compact"/>
              <w:spacing w:before="20" w:after="40" w:line="259" w:lineRule="auto"/>
              <w:jc w:val="both"/>
            </w:pPr>
            <w:r>
              <w:rPr>
                <w:sz w:val="20"/>
              </w:rPr>
              <w:t>Nonempty support, normalisation and inference</w:t>
            </w:r>
          </w:p>
        </w:tc>
      </w:tr>
    </w:tbl>
    <w:p w14:paraId="2D83B45E" w14:textId="77777777" w:rsidR="00C415D1" w:rsidRDefault="00000000" w:rsidP="005A464C">
      <w:pPr>
        <w:pStyle w:val="BodyText"/>
        <w:spacing w:before="140"/>
        <w:jc w:val="both"/>
      </w:pPr>
      <w:r>
        <w:t>Two comparisons follow immediately. Frozen heat depends on positive spectral information but does not send every arbitrary input into the compatible space at finite time. An intrinsic sampler can enforce exact compatibility while retaining only the kernel interface. These constructions are incomparable by the operator and support certificates. Similarly, a correlated-noise sampler can preserve every baseline marginal while violating horizontal agreement, whereas a hard compatible sampler changes those marginals unless the required covariance conditions hold.</w:t>
      </w:r>
    </w:p>
    <w:p w14:paraId="30AB44C7" w14:textId="77777777" w:rsidR="00C415D1" w:rsidRDefault="00000000" w:rsidP="005A464C">
      <w:pPr>
        <w:pStyle w:val="BodyText"/>
        <w:jc w:val="both"/>
      </w:pPr>
      <w:r>
        <w:t>The published NSD and DNSD models should not be ordered by whether they look more like classical heat. DNSD’s adjacency-based mechanism retains learned relational maps while changing the propagation objective [3]. It may have a different energy behaviour from a Laplacian update. Whether that change improves a task is an architectural and empirical question. Local naturality and generative exactness would require additional claims, not an assumption based on either model’s name.</w:t>
      </w:r>
    </w:p>
    <w:p w14:paraId="357A5CD6" w14:textId="77777777" w:rsidR="00C415D1" w:rsidRDefault="00000000" w:rsidP="005A464C">
      <w:pPr>
        <w:pStyle w:val="BodyText"/>
        <w:jc w:val="both"/>
      </w:pPr>
      <w:r>
        <w:t xml:space="preserve">There is one implication the comparison does establish. If an implementation erases the typed map factorisation and exposes only </w:t>
      </w:r>
      <m:oMath>
        <m:r>
          <w:rPr>
            <w:rFonts w:ascii="Cambria Math" w:hAnsi="Cambria Math"/>
          </w:rPr>
          <m:t>L</m:t>
        </m:r>
        <m:r>
          <m:rPr>
            <m:nor/>
          </m:rPr>
          <m:t>,</m:t>
        </m:r>
      </m:oMath>
      <w:r>
        <w:t xml:space="preserve"> it cannot subsequently support distinctions invisible to </w:t>
      </w:r>
      <m:oMath>
        <m:r>
          <w:rPr>
            <w:rFonts w:ascii="Cambria Math" w:hAnsi="Cambria Math"/>
          </w:rPr>
          <m:t>L</m:t>
        </m:r>
      </m:oMath>
      <w:r>
        <w:t xml:space="preserve"> without additional metadata. If it further exposes only </w:t>
      </w:r>
      <m:oMath>
        <m:r>
          <w:rPr>
            <w:rFonts w:ascii="Cambria Math" w:hAnsi="Cambria Math"/>
          </w:rPr>
          <m:t>Π</m:t>
        </m:r>
        <m:r>
          <m:rPr>
            <m:nor/>
          </m:rPr>
          <m:t>,</m:t>
        </m:r>
      </m:oMath>
      <w:r>
        <w:t xml:space="preserve"> it cannot distinguish different positive spectra. Those are provable limits on an interface, rather than judgements about the usefulness of its outputs.</w:t>
      </w:r>
    </w:p>
    <w:p w14:paraId="32484FB7" w14:textId="77777777" w:rsidR="00C415D1" w:rsidRDefault="00000000" w:rsidP="005A464C">
      <w:pPr>
        <w:pStyle w:val="Heading11"/>
        <w:jc w:val="both"/>
      </w:pPr>
      <w:bookmarkStart w:id="14" w:name="X67dce78d7e75792ab8bd570d3abd0f085ed9e51"/>
      <w:bookmarkEnd w:id="13"/>
      <w:r>
        <w:t>9 An engineering evaluation that could change the design</w:t>
      </w:r>
    </w:p>
    <w:p w14:paraId="1B26EE62" w14:textId="77777777" w:rsidR="00C415D1" w:rsidRDefault="00000000" w:rsidP="005A464C">
      <w:pPr>
        <w:pStyle w:val="FirstParagraph"/>
        <w:jc w:val="both"/>
      </w:pPr>
      <w:r>
        <w:t>The first evaluation should use a chain or small cycle of substructures with calibrated shared degrees of freedom. Give each region a local frame, a private variable and an interface variable. Choose the clean target explicitly. This can be a known Gaussian reference or a finite factor model whose feasible assignments can be enumerated. An arbitrary archive read should be described as a proposal algorithm until its target law has been derived.</w:t>
      </w:r>
    </w:p>
    <w:p w14:paraId="3F93E358" w14:textId="77777777" w:rsidR="00C415D1" w:rsidRDefault="00000000" w:rsidP="005A464C">
      <w:pPr>
        <w:pStyle w:val="BodyText"/>
        <w:jc w:val="both"/>
      </w:pPr>
      <w:r>
        <w:t>Three conditions isolate the mechanisms. A tree with consistent rotations tests whether frame-aware assembly helps when all transports are gauge-flattenable. A cycle with known holonomy tests a structural distinction that cannot be removed by local frames. A near-flat cycle tests whether hard constraints discard useful dimensions under calibration error. These conditions keep physical coordinate transformations separate from genuine model misspecification.</w:t>
      </w:r>
    </w:p>
    <w:p w14:paraId="27857439" w14:textId="77777777" w:rsidR="00C415D1" w:rsidRDefault="00000000" w:rsidP="005A464C">
      <w:pPr>
        <w:pStyle w:val="BodyText"/>
        <w:jc w:val="both"/>
      </w:pPr>
      <w:r>
        <w:t xml:space="preserve">Use an identity-map graph control, a gauge-transformed implementation of the same model, a matched block-matrix model, and a factor-aware inference baseline. Match access to constraints, target information, evaluations </w:t>
      </w:r>
      <w:r>
        <w:lastRenderedPageBreak/>
        <w:t>and compute. Give every method the same noise schedule when comparing samplers. Do not attribute an advantage from extra known equations solely to sheaf topology.</w:t>
      </w:r>
    </w:p>
    <w:p w14:paraId="45C86C99" w14:textId="77777777" w:rsidR="00C415D1" w:rsidRDefault="00000000" w:rsidP="005A464C">
      <w:pPr>
        <w:pStyle w:val="BodyText"/>
        <w:jc w:val="both"/>
      </w:pPr>
      <w:r>
        <w:t>The following predictions are concrete enough to reject.</w:t>
      </w:r>
    </w:p>
    <w:p w14:paraId="34FB04C5" w14:textId="77777777" w:rsidR="00C415D1" w:rsidRDefault="00000000" w:rsidP="005A464C">
      <w:pPr>
        <w:pStyle w:val="BodyText"/>
        <w:jc w:val="both"/>
      </w:pPr>
      <w:r>
        <w:rPr>
          <w:b/>
          <w:bCs/>
        </w:rPr>
        <w:t>P1 — Coordinate complexity is not intrinsic complexity.</w:t>
      </w:r>
      <w:r>
        <w:t xml:space="preserve"> On the flat tree, an implementation claiming local orthogonal frame covariance should give transformed outputs that agree after the inverse frame transformation. A discrepancy exceeding its numerical tolerance refutes that covariance claim. A general coordinatewise nonlinearity is expected to need an adapted rule or a smaller symmetry group.</w:t>
      </w:r>
    </w:p>
    <w:p w14:paraId="1CF2D595" w14:textId="77777777" w:rsidR="00C415D1" w:rsidRDefault="00000000" w:rsidP="005A464C">
      <w:pPr>
        <w:pStyle w:val="BodyText"/>
        <w:jc w:val="both"/>
      </w:pPr>
      <w:r>
        <w:rPr>
          <w:b/>
          <w:bCs/>
        </w:rPr>
        <w:t>P2 — Finite operator sensitivity survives a kernel match.</w:t>
      </w:r>
      <w:r>
        <w:t xml:space="preserve"> With the same initial state, the frozen heat operators for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and </w:t>
      </w:r>
      <m:oMath>
        <m:r>
          <w:rPr>
            <w:rFonts w:ascii="Cambria Math" w:hAnsi="Cambria Math"/>
          </w:rPr>
          <m:t>4</m:t>
        </m:r>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should differ at finite positive time and agree in their limiting projector. A test that observes only the limiting compatible state cannot establish positive-spectrum sensitivity. This follows from Theorem 6.1 rather than from a learned-model hypothesis.</w:t>
      </w:r>
    </w:p>
    <w:p w14:paraId="2AF86AB4" w14:textId="77777777" w:rsidR="00C415D1" w:rsidRDefault="00000000" w:rsidP="005A464C">
      <w:pPr>
        <w:pStyle w:val="BodyText"/>
        <w:jc w:val="both"/>
      </w:pPr>
      <w:r>
        <w:rPr>
          <w:b/>
          <w:bCs/>
        </w:rPr>
        <w:t>P3 — Soft models are preferable when exact holonomy is uncertain.</w:t>
      </w:r>
      <w:r>
        <w:t xml:space="preserve"> Under bounded map error, a preregistered finite-time or finite-coupling design should retain useful variation and achieve lower held-out task loss than a hard-kernel model near the rank change. This is a performance hypothesis, not a consequence of the perturbation bounds. Reject it if the paired task-loss interval does not favour the soft model at matched constraint-violation tolerance and compute. Report retained dimensions so that collapse cannot masquerade as agreement.</w:t>
      </w:r>
    </w:p>
    <w:p w14:paraId="1722505D" w14:textId="77777777" w:rsidR="00C415D1" w:rsidRDefault="00000000" w:rsidP="005A464C">
      <w:pPr>
        <w:pStyle w:val="BodyText"/>
        <w:jc w:val="both"/>
      </w:pPr>
      <w:r>
        <w:rPr>
          <w:b/>
          <w:bCs/>
        </w:rPr>
        <w:t>P4 — A probability certificate improves calibration only when implemented.</w:t>
      </w:r>
      <w:r>
        <w:t xml:space="preserve"> On a known finite factor target, a matched reverse sampler using its exact posterior should approach that target as integration is refined on positive cutoff intervals. An uncalibrated local read need not do so after rejecting support defects. Freeze a distributional distance and endpoint policy. Failure of the reference to converge within solver tolerances refutes the implementation claim; a search-quality advantage needs a separate objective experiment.</w:t>
      </w:r>
    </w:p>
    <w:p w14:paraId="1A71B284" w14:textId="77777777" w:rsidR="00C415D1" w:rsidRDefault="00000000" w:rsidP="005A464C">
      <w:pPr>
        <w:pStyle w:val="TableCaption"/>
        <w:jc w:val="both"/>
      </w:pPr>
      <w:r>
        <w:rPr>
          <w:b/>
          <w:bCs/>
        </w:rPr>
        <w:t>Table 3.</w:t>
      </w:r>
      <w:r>
        <w:t xml:space="preserve"> Measurements with distinct meanings. No weighted sum is proposed.</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02"/>
        <w:gridCol w:w="3295"/>
        <w:gridCol w:w="3867"/>
      </w:tblGrid>
      <w:tr w:rsidR="00C415D1" w14:paraId="05DF33B6" w14:textId="77777777">
        <w:trPr>
          <w:cnfStyle w:val="100000000000" w:firstRow="1" w:lastRow="0" w:firstColumn="0" w:lastColumn="0" w:oddVBand="0" w:evenVBand="0" w:oddHBand="0" w:evenHBand="0" w:firstRowFirstColumn="0" w:firstRowLastColumn="0" w:lastRowFirstColumn="0" w:lastRowLastColumn="0"/>
          <w:cantSplit/>
          <w:tblHeader/>
        </w:trPr>
        <w:tc>
          <w:tcPr>
            <w:tcW w:w="2952" w:type="dxa"/>
            <w:shd w:val="clear" w:color="auto" w:fill="E7EBEF"/>
            <w:tcMar>
              <w:top w:w="85" w:type="dxa"/>
              <w:left w:w="85" w:type="dxa"/>
              <w:bottom w:w="85" w:type="dxa"/>
              <w:right w:w="85" w:type="dxa"/>
            </w:tcMar>
            <w:vAlign w:val="center"/>
          </w:tcPr>
          <w:p w14:paraId="16DA244F" w14:textId="77777777" w:rsidR="00C415D1" w:rsidRDefault="00000000" w:rsidP="005A464C">
            <w:pPr>
              <w:pStyle w:val="Compact"/>
              <w:spacing w:before="20" w:after="40" w:line="259" w:lineRule="auto"/>
              <w:jc w:val="both"/>
            </w:pPr>
            <w:r>
              <w:rPr>
                <w:sz w:val="20"/>
              </w:rPr>
              <w:t>Measurement</w:t>
            </w:r>
          </w:p>
        </w:tc>
        <w:tc>
          <w:tcPr>
            <w:tcW w:w="3240" w:type="dxa"/>
            <w:shd w:val="clear" w:color="auto" w:fill="E7EBEF"/>
            <w:tcMar>
              <w:top w:w="85" w:type="dxa"/>
              <w:left w:w="85" w:type="dxa"/>
              <w:bottom w:w="85" w:type="dxa"/>
              <w:right w:w="85" w:type="dxa"/>
            </w:tcMar>
            <w:vAlign w:val="center"/>
          </w:tcPr>
          <w:p w14:paraId="49AFA093" w14:textId="77777777" w:rsidR="00C415D1" w:rsidRDefault="00000000" w:rsidP="005A464C">
            <w:pPr>
              <w:pStyle w:val="Compact"/>
              <w:spacing w:before="20" w:after="40" w:line="259" w:lineRule="auto"/>
              <w:jc w:val="both"/>
            </w:pPr>
            <w:r>
              <w:rPr>
                <w:sz w:val="20"/>
              </w:rPr>
              <w:t>Interpretation</w:t>
            </w:r>
          </w:p>
        </w:tc>
        <w:tc>
          <w:tcPr>
            <w:tcW w:w="3802" w:type="dxa"/>
            <w:shd w:val="clear" w:color="auto" w:fill="E7EBEF"/>
            <w:tcMar>
              <w:top w:w="85" w:type="dxa"/>
              <w:left w:w="85" w:type="dxa"/>
              <w:bottom w:w="85" w:type="dxa"/>
              <w:right w:w="85" w:type="dxa"/>
            </w:tcMar>
            <w:vAlign w:val="center"/>
          </w:tcPr>
          <w:p w14:paraId="71AFF1E1" w14:textId="77777777" w:rsidR="00C415D1" w:rsidRDefault="00000000" w:rsidP="005A464C">
            <w:pPr>
              <w:pStyle w:val="Compact"/>
              <w:spacing w:before="20" w:after="40" w:line="259" w:lineRule="auto"/>
              <w:jc w:val="both"/>
            </w:pPr>
            <w:r>
              <w:rPr>
                <w:sz w:val="20"/>
              </w:rPr>
              <w:t>Main confound to control</w:t>
            </w:r>
          </w:p>
        </w:tc>
      </w:tr>
      <w:tr w:rsidR="00C415D1" w14:paraId="7DC35FC8" w14:textId="77777777">
        <w:trPr>
          <w:cantSplit/>
        </w:trPr>
        <w:tc>
          <w:tcPr>
            <w:tcW w:w="2952" w:type="dxa"/>
            <w:shd w:val="clear" w:color="auto" w:fill="FFFFFF"/>
            <w:tcMar>
              <w:top w:w="85" w:type="dxa"/>
              <w:left w:w="85" w:type="dxa"/>
              <w:bottom w:w="85" w:type="dxa"/>
              <w:right w:w="85" w:type="dxa"/>
            </w:tcMar>
            <w:vAlign w:val="center"/>
          </w:tcPr>
          <w:p w14:paraId="5ECF810A" w14:textId="77777777" w:rsidR="00C415D1" w:rsidRDefault="00000000" w:rsidP="005A464C">
            <w:pPr>
              <w:pStyle w:val="Compact"/>
              <w:spacing w:before="20" w:after="40" w:line="259" w:lineRule="auto"/>
              <w:jc w:val="both"/>
            </w:pPr>
            <w:r>
              <w:rPr>
                <w:sz w:val="20"/>
              </w:rPr>
              <w:t>Output change under admissible maps</w:t>
            </w:r>
          </w:p>
        </w:tc>
        <w:tc>
          <w:tcPr>
            <w:tcW w:w="3240" w:type="dxa"/>
            <w:shd w:val="clear" w:color="auto" w:fill="FFFFFF"/>
            <w:tcMar>
              <w:top w:w="85" w:type="dxa"/>
              <w:left w:w="85" w:type="dxa"/>
              <w:bottom w:w="85" w:type="dxa"/>
              <w:right w:w="85" w:type="dxa"/>
            </w:tcMar>
            <w:vAlign w:val="center"/>
          </w:tcPr>
          <w:p w14:paraId="5996581D" w14:textId="77777777" w:rsidR="00C415D1" w:rsidRDefault="00000000" w:rsidP="005A464C">
            <w:pPr>
              <w:pStyle w:val="Compact"/>
              <w:spacing w:before="20" w:after="40" w:line="259" w:lineRule="auto"/>
              <w:jc w:val="both"/>
            </w:pPr>
            <w:r>
              <w:rPr>
                <w:sz w:val="20"/>
              </w:rPr>
              <w:t>Sensitivity of a declared interface</w:t>
            </w:r>
          </w:p>
        </w:tc>
        <w:tc>
          <w:tcPr>
            <w:tcW w:w="3802" w:type="dxa"/>
            <w:shd w:val="clear" w:color="auto" w:fill="FFFFFF"/>
            <w:tcMar>
              <w:top w:w="85" w:type="dxa"/>
              <w:left w:w="85" w:type="dxa"/>
              <w:bottom w:w="85" w:type="dxa"/>
              <w:right w:w="85" w:type="dxa"/>
            </w:tcMar>
            <w:vAlign w:val="center"/>
          </w:tcPr>
          <w:p w14:paraId="77BF378F" w14:textId="77777777" w:rsidR="00C415D1" w:rsidRDefault="00000000" w:rsidP="005A464C">
            <w:pPr>
              <w:pStyle w:val="Compact"/>
              <w:spacing w:before="20" w:after="40" w:line="259" w:lineRule="auto"/>
              <w:jc w:val="both"/>
            </w:pPr>
            <w:r>
              <w:rPr>
                <w:sz w:val="20"/>
              </w:rPr>
              <w:t>Changed input information or coordinates</w:t>
            </w:r>
          </w:p>
        </w:tc>
      </w:tr>
      <w:tr w:rsidR="00C415D1" w14:paraId="04E1B9B7" w14:textId="77777777">
        <w:trPr>
          <w:cantSplit/>
        </w:trPr>
        <w:tc>
          <w:tcPr>
            <w:tcW w:w="2952" w:type="dxa"/>
            <w:shd w:val="clear" w:color="auto" w:fill="F7F8F9"/>
            <w:tcMar>
              <w:top w:w="85" w:type="dxa"/>
              <w:left w:w="85" w:type="dxa"/>
              <w:bottom w:w="85" w:type="dxa"/>
              <w:right w:w="85" w:type="dxa"/>
            </w:tcMar>
            <w:vAlign w:val="center"/>
          </w:tcPr>
          <w:p w14:paraId="4B3E7F28" w14:textId="77777777" w:rsidR="00C415D1" w:rsidRDefault="00000000" w:rsidP="005A464C">
            <w:pPr>
              <w:pStyle w:val="Compact"/>
              <w:spacing w:before="20" w:after="40" w:line="259" w:lineRule="auto"/>
              <w:jc w:val="both"/>
            </w:pPr>
            <w:r>
              <w:rPr>
                <w:sz w:val="20"/>
              </w:rPr>
              <w:t>Frame transformation defect</w:t>
            </w:r>
          </w:p>
        </w:tc>
        <w:tc>
          <w:tcPr>
            <w:tcW w:w="3240" w:type="dxa"/>
            <w:shd w:val="clear" w:color="auto" w:fill="F7F8F9"/>
            <w:tcMar>
              <w:top w:w="85" w:type="dxa"/>
              <w:left w:w="85" w:type="dxa"/>
              <w:bottom w:w="85" w:type="dxa"/>
              <w:right w:w="85" w:type="dxa"/>
            </w:tcMar>
            <w:vAlign w:val="center"/>
          </w:tcPr>
          <w:p w14:paraId="37A0F2FB" w14:textId="77777777" w:rsidR="00C415D1" w:rsidRDefault="00000000" w:rsidP="005A464C">
            <w:pPr>
              <w:pStyle w:val="Compact"/>
              <w:spacing w:before="20" w:after="40" w:line="259" w:lineRule="auto"/>
              <w:jc w:val="both"/>
            </w:pPr>
            <w:r>
              <w:rPr>
                <w:sz w:val="20"/>
              </w:rPr>
              <w:t>Complete-model covariance</w:t>
            </w:r>
          </w:p>
        </w:tc>
        <w:tc>
          <w:tcPr>
            <w:tcW w:w="3802" w:type="dxa"/>
            <w:shd w:val="clear" w:color="auto" w:fill="F7F8F9"/>
            <w:tcMar>
              <w:top w:w="85" w:type="dxa"/>
              <w:left w:w="85" w:type="dxa"/>
              <w:bottom w:w="85" w:type="dxa"/>
              <w:right w:w="85" w:type="dxa"/>
            </w:tcMar>
            <w:vAlign w:val="center"/>
          </w:tcPr>
          <w:p w14:paraId="34964BAB" w14:textId="77777777" w:rsidR="00C415D1" w:rsidRDefault="00000000" w:rsidP="005A464C">
            <w:pPr>
              <w:pStyle w:val="Compact"/>
              <w:spacing w:before="20" w:after="40" w:line="259" w:lineRule="auto"/>
              <w:jc w:val="both"/>
            </w:pPr>
            <w:r>
              <w:rPr>
                <w:sz w:val="20"/>
              </w:rPr>
              <w:t>Frozen rather than transformed decoder</w:t>
            </w:r>
          </w:p>
        </w:tc>
      </w:tr>
      <w:tr w:rsidR="00C415D1" w14:paraId="5A0FB35F" w14:textId="77777777">
        <w:trPr>
          <w:cantSplit/>
        </w:trPr>
        <w:tc>
          <w:tcPr>
            <w:tcW w:w="2952" w:type="dxa"/>
            <w:shd w:val="clear" w:color="auto" w:fill="FFFFFF"/>
            <w:tcMar>
              <w:top w:w="85" w:type="dxa"/>
              <w:left w:w="85" w:type="dxa"/>
              <w:bottom w:w="85" w:type="dxa"/>
              <w:right w:w="85" w:type="dxa"/>
            </w:tcMar>
            <w:vAlign w:val="center"/>
          </w:tcPr>
          <w:p w14:paraId="629E45BE" w14:textId="77777777" w:rsidR="00C415D1" w:rsidRDefault="00000000" w:rsidP="005A464C">
            <w:pPr>
              <w:pStyle w:val="Compact"/>
              <w:spacing w:before="20" w:after="40" w:line="259" w:lineRule="auto"/>
              <w:jc w:val="both"/>
            </w:pPr>
            <w:r>
              <w:rPr>
                <w:sz w:val="20"/>
              </w:rPr>
              <w:t>Incidence square defect</w:t>
            </w:r>
          </w:p>
        </w:tc>
        <w:tc>
          <w:tcPr>
            <w:tcW w:w="3240" w:type="dxa"/>
            <w:shd w:val="clear" w:color="auto" w:fill="FFFFFF"/>
            <w:tcMar>
              <w:top w:w="85" w:type="dxa"/>
              <w:left w:w="85" w:type="dxa"/>
              <w:bottom w:w="85" w:type="dxa"/>
              <w:right w:w="85" w:type="dxa"/>
            </w:tcMar>
            <w:vAlign w:val="center"/>
          </w:tcPr>
          <w:p w14:paraId="6CE686ED" w14:textId="77777777" w:rsidR="00C415D1" w:rsidRDefault="00000000" w:rsidP="005A464C">
            <w:pPr>
              <w:pStyle w:val="Compact"/>
              <w:spacing w:before="20" w:after="40" w:line="259" w:lineRule="auto"/>
              <w:jc w:val="both"/>
            </w:pPr>
            <w:r>
              <w:rPr>
                <w:sz w:val="20"/>
              </w:rPr>
              <w:t>Local naturality</w:t>
            </w:r>
          </w:p>
        </w:tc>
        <w:tc>
          <w:tcPr>
            <w:tcW w:w="3802" w:type="dxa"/>
            <w:shd w:val="clear" w:color="auto" w:fill="FFFFFF"/>
            <w:tcMar>
              <w:top w:w="85" w:type="dxa"/>
              <w:left w:w="85" w:type="dxa"/>
              <w:bottom w:w="85" w:type="dxa"/>
              <w:right w:w="85" w:type="dxa"/>
            </w:tcMar>
            <w:vAlign w:val="center"/>
          </w:tcPr>
          <w:p w14:paraId="62D32A6E" w14:textId="77777777" w:rsidR="00C415D1" w:rsidRDefault="00000000" w:rsidP="005A464C">
            <w:pPr>
              <w:pStyle w:val="Compact"/>
              <w:spacing w:before="20" w:after="40" w:line="259" w:lineRule="auto"/>
              <w:jc w:val="both"/>
            </w:pPr>
            <w:r>
              <w:rPr>
                <w:sz w:val="20"/>
              </w:rPr>
              <w:t>Substitution of a global edge map</w:t>
            </w:r>
          </w:p>
        </w:tc>
      </w:tr>
      <w:tr w:rsidR="00C415D1" w14:paraId="0C784FDB" w14:textId="77777777">
        <w:trPr>
          <w:cantSplit/>
        </w:trPr>
        <w:tc>
          <w:tcPr>
            <w:tcW w:w="2952" w:type="dxa"/>
            <w:shd w:val="clear" w:color="auto" w:fill="F7F8F9"/>
            <w:tcMar>
              <w:top w:w="85" w:type="dxa"/>
              <w:left w:w="85" w:type="dxa"/>
              <w:bottom w:w="85" w:type="dxa"/>
              <w:right w:w="85" w:type="dxa"/>
            </w:tcMar>
            <w:vAlign w:val="center"/>
          </w:tcPr>
          <w:p w14:paraId="2761358E" w14:textId="77777777" w:rsidR="00C415D1" w:rsidRDefault="00000000" w:rsidP="005A464C">
            <w:pPr>
              <w:pStyle w:val="Compact"/>
              <w:spacing w:before="20" w:after="40" w:line="259" w:lineRule="auto"/>
              <w:jc w:val="both"/>
            </w:pPr>
            <w:r>
              <w:rPr>
                <w:sz w:val="20"/>
              </w:rPr>
              <w:t>Agreement residual and retained dimension</w:t>
            </w:r>
          </w:p>
        </w:tc>
        <w:tc>
          <w:tcPr>
            <w:tcW w:w="3240" w:type="dxa"/>
            <w:shd w:val="clear" w:color="auto" w:fill="F7F8F9"/>
            <w:tcMar>
              <w:top w:w="85" w:type="dxa"/>
              <w:left w:w="85" w:type="dxa"/>
              <w:bottom w:w="85" w:type="dxa"/>
              <w:right w:w="85" w:type="dxa"/>
            </w:tcMar>
            <w:vAlign w:val="center"/>
          </w:tcPr>
          <w:p w14:paraId="57504D98" w14:textId="77777777" w:rsidR="00C415D1" w:rsidRDefault="00000000" w:rsidP="005A464C">
            <w:pPr>
              <w:pStyle w:val="Compact"/>
              <w:spacing w:before="20" w:after="40" w:line="259" w:lineRule="auto"/>
              <w:jc w:val="both"/>
            </w:pPr>
            <w:r>
              <w:rPr>
                <w:sz w:val="20"/>
              </w:rPr>
              <w:t>Compatibility and possible collapse</w:t>
            </w:r>
          </w:p>
        </w:tc>
        <w:tc>
          <w:tcPr>
            <w:tcW w:w="3802" w:type="dxa"/>
            <w:shd w:val="clear" w:color="auto" w:fill="F7F8F9"/>
            <w:tcMar>
              <w:top w:w="85" w:type="dxa"/>
              <w:left w:w="85" w:type="dxa"/>
              <w:bottom w:w="85" w:type="dxa"/>
              <w:right w:w="85" w:type="dxa"/>
            </w:tcMar>
            <w:vAlign w:val="center"/>
          </w:tcPr>
          <w:p w14:paraId="3EBDA539" w14:textId="77777777" w:rsidR="00C415D1" w:rsidRDefault="00000000" w:rsidP="005A464C">
            <w:pPr>
              <w:pStyle w:val="Compact"/>
              <w:spacing w:before="20" w:after="40" w:line="259" w:lineRule="auto"/>
              <w:jc w:val="both"/>
            </w:pPr>
            <w:r>
              <w:rPr>
                <w:sz w:val="20"/>
              </w:rPr>
              <w:t>Units, noise scale and rank policy</w:t>
            </w:r>
          </w:p>
        </w:tc>
      </w:tr>
      <w:tr w:rsidR="00C415D1" w14:paraId="58C069D2" w14:textId="77777777">
        <w:trPr>
          <w:cantSplit/>
        </w:trPr>
        <w:tc>
          <w:tcPr>
            <w:tcW w:w="2952" w:type="dxa"/>
            <w:shd w:val="clear" w:color="auto" w:fill="FFFFFF"/>
            <w:tcMar>
              <w:top w:w="85" w:type="dxa"/>
              <w:left w:w="85" w:type="dxa"/>
              <w:bottom w:w="85" w:type="dxa"/>
              <w:right w:w="85" w:type="dxa"/>
            </w:tcMar>
            <w:vAlign w:val="center"/>
          </w:tcPr>
          <w:p w14:paraId="7E9C375B" w14:textId="77777777" w:rsidR="00C415D1" w:rsidRDefault="00000000" w:rsidP="005A464C">
            <w:pPr>
              <w:pStyle w:val="Compact"/>
              <w:spacing w:before="20" w:after="40" w:line="259" w:lineRule="auto"/>
              <w:jc w:val="both"/>
            </w:pPr>
            <w:r>
              <w:rPr>
                <w:sz w:val="20"/>
              </w:rPr>
              <w:t>Joint and marginal distribution distances</w:t>
            </w:r>
          </w:p>
        </w:tc>
        <w:tc>
          <w:tcPr>
            <w:tcW w:w="3240" w:type="dxa"/>
            <w:shd w:val="clear" w:color="auto" w:fill="FFFFFF"/>
            <w:tcMar>
              <w:top w:w="85" w:type="dxa"/>
              <w:left w:w="85" w:type="dxa"/>
              <w:bottom w:w="85" w:type="dxa"/>
              <w:right w:w="85" w:type="dxa"/>
            </w:tcMar>
            <w:vAlign w:val="center"/>
          </w:tcPr>
          <w:p w14:paraId="4A04A41B" w14:textId="77777777" w:rsidR="00C415D1" w:rsidRDefault="00000000" w:rsidP="005A464C">
            <w:pPr>
              <w:pStyle w:val="Compact"/>
              <w:spacing w:before="20" w:after="40" w:line="259" w:lineRule="auto"/>
              <w:jc w:val="both"/>
            </w:pPr>
            <w:r>
              <w:rPr>
                <w:sz w:val="20"/>
              </w:rPr>
              <w:t>Target fidelity and batch dependence</w:t>
            </w:r>
          </w:p>
        </w:tc>
        <w:tc>
          <w:tcPr>
            <w:tcW w:w="3802" w:type="dxa"/>
            <w:shd w:val="clear" w:color="auto" w:fill="FFFFFF"/>
            <w:tcMar>
              <w:top w:w="85" w:type="dxa"/>
              <w:left w:w="85" w:type="dxa"/>
              <w:bottom w:w="85" w:type="dxa"/>
              <w:right w:w="85" w:type="dxa"/>
            </w:tcMar>
            <w:vAlign w:val="center"/>
          </w:tcPr>
          <w:p w14:paraId="2F187800" w14:textId="77777777" w:rsidR="00C415D1" w:rsidRDefault="00000000" w:rsidP="005A464C">
            <w:pPr>
              <w:pStyle w:val="Compact"/>
              <w:spacing w:before="20" w:after="40" w:line="259" w:lineRule="auto"/>
              <w:jc w:val="both"/>
            </w:pPr>
            <w:r>
              <w:rPr>
                <w:sz w:val="20"/>
              </w:rPr>
              <w:t>Terminal law, cutoff and integration error</w:t>
            </w:r>
          </w:p>
        </w:tc>
      </w:tr>
      <w:tr w:rsidR="00C415D1" w14:paraId="0C64BBBF" w14:textId="77777777">
        <w:trPr>
          <w:cantSplit/>
        </w:trPr>
        <w:tc>
          <w:tcPr>
            <w:tcW w:w="2952" w:type="dxa"/>
            <w:shd w:val="clear" w:color="auto" w:fill="F7F8F9"/>
            <w:tcMar>
              <w:top w:w="85" w:type="dxa"/>
              <w:left w:w="85" w:type="dxa"/>
              <w:bottom w:w="85" w:type="dxa"/>
              <w:right w:w="85" w:type="dxa"/>
            </w:tcMar>
            <w:vAlign w:val="center"/>
          </w:tcPr>
          <w:p w14:paraId="68A8849D" w14:textId="77777777" w:rsidR="00C415D1" w:rsidRDefault="00000000" w:rsidP="005A464C">
            <w:pPr>
              <w:pStyle w:val="Compact"/>
              <w:spacing w:before="20" w:after="40" w:line="259" w:lineRule="auto"/>
              <w:jc w:val="both"/>
            </w:pPr>
            <w:r>
              <w:rPr>
                <w:sz w:val="20"/>
              </w:rPr>
              <w:t>Task loss and total compute</w:t>
            </w:r>
          </w:p>
        </w:tc>
        <w:tc>
          <w:tcPr>
            <w:tcW w:w="3240" w:type="dxa"/>
            <w:shd w:val="clear" w:color="auto" w:fill="F7F8F9"/>
            <w:tcMar>
              <w:top w:w="85" w:type="dxa"/>
              <w:left w:w="85" w:type="dxa"/>
              <w:bottom w:w="85" w:type="dxa"/>
              <w:right w:w="85" w:type="dxa"/>
            </w:tcMar>
            <w:vAlign w:val="center"/>
          </w:tcPr>
          <w:p w14:paraId="23F46762" w14:textId="77777777" w:rsidR="00C415D1" w:rsidRDefault="00000000" w:rsidP="005A464C">
            <w:pPr>
              <w:pStyle w:val="Compact"/>
              <w:spacing w:before="20" w:after="40" w:line="259" w:lineRule="auto"/>
              <w:jc w:val="both"/>
            </w:pPr>
            <w:r>
              <w:rPr>
                <w:sz w:val="20"/>
              </w:rPr>
              <w:t>Practical value</w:t>
            </w:r>
          </w:p>
        </w:tc>
        <w:tc>
          <w:tcPr>
            <w:tcW w:w="3802" w:type="dxa"/>
            <w:shd w:val="clear" w:color="auto" w:fill="F7F8F9"/>
            <w:tcMar>
              <w:top w:w="85" w:type="dxa"/>
              <w:left w:w="85" w:type="dxa"/>
              <w:bottom w:w="85" w:type="dxa"/>
              <w:right w:w="85" w:type="dxa"/>
            </w:tcMar>
            <w:vAlign w:val="center"/>
          </w:tcPr>
          <w:p w14:paraId="722EE71A" w14:textId="77777777" w:rsidR="00C415D1" w:rsidRDefault="00000000" w:rsidP="005A464C">
            <w:pPr>
              <w:pStyle w:val="Compact"/>
              <w:spacing w:before="20" w:after="40" w:line="259" w:lineRule="auto"/>
              <w:jc w:val="both"/>
            </w:pPr>
            <w:r>
              <w:rPr>
                <w:sz w:val="20"/>
              </w:rPr>
              <w:t>Unequal constraints, retrieval or basis cost</w:t>
            </w:r>
          </w:p>
        </w:tc>
      </w:tr>
    </w:tbl>
    <w:p w14:paraId="0F834610" w14:textId="77777777" w:rsidR="00C415D1" w:rsidRDefault="00000000" w:rsidP="005A464C">
      <w:pPr>
        <w:pStyle w:val="Heading21"/>
        <w:jc w:val="both"/>
      </w:pPr>
      <w:bookmarkStart w:id="15" w:name="small-mathematical-checks"/>
      <w:r>
        <w:t>9.1 Small mathematical checks</w:t>
      </w:r>
    </w:p>
    <w:p w14:paraId="3A2385B7" w14:textId="77777777" w:rsidR="00C415D1" w:rsidRDefault="00000000" w:rsidP="005A464C">
      <w:pPr>
        <w:pStyle w:val="FirstParagraph"/>
        <w:jc w:val="both"/>
      </w:pPr>
      <w:r>
        <w:t xml:space="preserve">The companion script records 17 deterministic checks, all passing in its saved runtime. They illustrate the exact examples and bounds, not learned-model performance. The same-Gram example has first-cohomology dimensions 0 and 1. The tree gauge residual is </w:t>
      </w:r>
      <m:oMath>
        <m:r>
          <w:rPr>
            <w:rFonts w:ascii="Cambria Math" w:hAnsi="Cambria Math"/>
          </w:rPr>
          <m:t>4.99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r>
        <w:t xml:space="preserve"> In Example 5.2 the best local squared square defect is 3 while the unrestricted edge factorisation residual is </w:t>
      </w:r>
      <m:oMath>
        <m:r>
          <w:rPr>
            <w:rFonts w:ascii="Cambria Math" w:hAnsi="Cambria Math"/>
          </w:rPr>
          <m:t>2.63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nor/>
          </m:rPr>
          <m:t>.</m:t>
        </m:r>
      </m:oMath>
      <w:r>
        <w:t xml:space="preserve"> These are different tests of the same section-preserving vertex map.</w:t>
      </w:r>
    </w:p>
    <w:p w14:paraId="7FCD9644" w14:textId="77777777" w:rsidR="00C415D1" w:rsidRDefault="00000000" w:rsidP="005A464C">
      <w:pPr>
        <w:pStyle w:val="BodyText"/>
        <w:jc w:val="both"/>
      </w:pPr>
      <w:r>
        <w:lastRenderedPageBreak/>
        <w:t xml:space="preserve">For the path example, the finite heat difference at time one is 0.349564, despite identical compatible projectors. The Gaussian reconstruction (12) has discrepancy </w:t>
      </w:r>
      <m:oMath>
        <m:r>
          <w:rPr>
            <w:rFonts w:ascii="Cambria Math" w:hAnsi="Cambria Math"/>
          </w:rPr>
          <m:t>1.85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nor/>
          </m:rPr>
          <m:t>.</m:t>
        </m:r>
      </m:oMath>
      <w:r>
        <w:t xml:space="preserve"> For the rotation cycle at </w:t>
      </w:r>
      <m:oMath>
        <m:r>
          <w:rPr>
            <w:rFonts w:ascii="Cambria Math" w:hAnsi="Cambria Math"/>
          </w:rPr>
          <m:t>ε</m:t>
        </m:r>
        <m:r>
          <m:rPr>
            <m:sty m:val="p"/>
          </m:rPr>
          <w:rPr>
            <w:rFonts w:ascii="Cambria Math" w:hAnsi="Cambria Math"/>
          </w:rPr>
          <m:t>=</m:t>
        </m:r>
        <m:r>
          <w:rPr>
            <w:rFonts w:ascii="Cambria Math" w:hAnsi="Cambria Math"/>
          </w:rPr>
          <m:t>0.003</m:t>
        </m:r>
      </m:oMath>
      <w:r>
        <w:t xml:space="preserve"> radians, the smallest eigenvalue is </w:t>
      </w:r>
      <m:oMath>
        <m:r>
          <w:rPr>
            <w:rFonts w:ascii="Cambria Math" w:hAnsi="Cambria Math"/>
          </w:rPr>
          <m:t>1.00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m:rPr>
            <m:nor/>
          </m:rPr>
          <m:t>;</m:t>
        </m:r>
      </m:oMath>
      <w:r>
        <w:t xml:space="preserve"> its discrepancy from (14) is </w:t>
      </w:r>
      <m:oMath>
        <m:r>
          <w:rPr>
            <w:rFonts w:ascii="Cambria Math" w:hAnsi="Cambria Math"/>
          </w:rPr>
          <m:t>4.97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r>
        <w:t xml:space="preserve"> The script also checks the three perturbation bounds on one fixed finite perturbation, the noise-covariance distinction, the nonlinear frame counterexample and the context-cycle obstruction.</w:t>
      </w:r>
    </w:p>
    <w:p w14:paraId="0D0AB846" w14:textId="77777777" w:rsidR="00C415D1" w:rsidRDefault="00000000" w:rsidP="005A464C">
      <w:pPr>
        <w:pStyle w:val="BodyText"/>
        <w:jc w:val="both"/>
      </w:pPr>
      <w:r>
        <w:t>All displayed numerical residuals are read from the result file. No statistics from the earlier 80-check diffusion manuscript are relabelled as new evidence here. The paper’s main findings are proved statements about finite-dimensional interfaces and explicit limiting examples.</w:t>
      </w:r>
    </w:p>
    <w:p w14:paraId="6F4C1BC9" w14:textId="77777777" w:rsidR="00C415D1" w:rsidRDefault="00000000" w:rsidP="005A464C">
      <w:pPr>
        <w:pStyle w:val="Heading11"/>
        <w:jc w:val="both"/>
      </w:pPr>
      <w:bookmarkStart w:id="16" w:name="what-should-count-as-more-sheaf"/>
      <w:bookmarkEnd w:id="14"/>
      <w:bookmarkEnd w:id="15"/>
      <w:r>
        <w:t>10 What should count as more sheaf</w:t>
      </w:r>
    </w:p>
    <w:p w14:paraId="55D2DD5D" w14:textId="77777777" w:rsidR="00C415D1" w:rsidRDefault="00000000" w:rsidP="005A464C">
      <w:pPr>
        <w:pStyle w:val="FirstParagraph"/>
        <w:jc w:val="both"/>
      </w:pPr>
      <w:r>
        <w:t>A claim that an algorithm is more sheaf-based should name the additional structural commitment. Does it retain calibrated edge comparisons that a Gram-only interface hides? Does it respect an allowed change of local frame? Does it provide local naturality where that is actually required? Does it preserve compatible support? Does it sample a declared law on that support? Each question has a different mathematical witness.</w:t>
      </w:r>
    </w:p>
    <w:p w14:paraId="15830FA1" w14:textId="77777777" w:rsidR="00C415D1" w:rsidRDefault="00000000" w:rsidP="005A464C">
      <w:pPr>
        <w:pStyle w:val="BodyText"/>
        <w:jc w:val="both"/>
      </w:pPr>
      <w:r>
        <w:t>The strongest conclusion is that enforcing more agreement can retain less geometry. Infinite-time heat and hard Gaussian coupling collapse the operator to its kernel. That kernel can change discontinuously under an arbitrarily small nontrivial holonomy, even though finite diffusion remains continuous. Soft and hard constructions therefore address different needs rather than occupying successive levels of one quality ladder.</w:t>
      </w:r>
    </w:p>
    <w:p w14:paraId="5FFB5AF8" w14:textId="77777777" w:rsidR="00C415D1" w:rsidRDefault="00000000" w:rsidP="005A464C">
      <w:pPr>
        <w:pStyle w:val="BodyText"/>
        <w:jc w:val="both"/>
      </w:pPr>
      <w:r>
        <w:t>For ASE and its diffusion ancestry, the useful next step is to make these interfaces explicit in code and compare them under a known target. The sheaf specifies the local comparisons. The algorithm chooses which information to retain. The probability model determines which generation claims follow. Task performance decides which commitment is worth its cost.</w:t>
      </w:r>
    </w:p>
    <w:p w14:paraId="48DDC0DF" w14:textId="77777777" w:rsidR="00C415D1" w:rsidRDefault="00000000" w:rsidP="005A464C">
      <w:pPr>
        <w:pStyle w:val="Heading11"/>
        <w:pageBreakBefore/>
        <w:jc w:val="both"/>
      </w:pPr>
      <w:bookmarkStart w:id="17" w:name="references"/>
      <w:bookmarkEnd w:id="16"/>
      <w:r>
        <w:lastRenderedPageBreak/>
        <w:t>References</w:t>
      </w:r>
    </w:p>
    <w:p w14:paraId="17FF0BA4" w14:textId="1300167F" w:rsidR="00864B3D" w:rsidRDefault="00864B3D" w:rsidP="00864B3D">
      <w:pPr>
        <w:pStyle w:val="Bibliography"/>
        <w:jc w:val="center"/>
      </w:pPr>
      <w:r w:rsidRPr="00864B3D">
        <w:t>https://github.com/debiprasadghosh/ResearchOverFlow/tree/main/October2026/SheafFarm</w:t>
      </w:r>
    </w:p>
    <w:p w14:paraId="7E3D109C" w14:textId="4621C13D" w:rsidR="00C415D1" w:rsidRDefault="00000000" w:rsidP="005A464C">
      <w:pPr>
        <w:pStyle w:val="Bibliography"/>
        <w:jc w:val="both"/>
      </w:pPr>
      <w:r>
        <w:t xml:space="preserve">[1] Hansen, J. and Ghrist, R. (2019). Toward a Spectral Theory of Cellular Sheaves. </w:t>
      </w:r>
      <w:r>
        <w:rPr>
          <w:i/>
          <w:iCs/>
        </w:rPr>
        <w:t>Journal of Applied and Computational Topology</w:t>
      </w:r>
      <w:r>
        <w:t xml:space="preserve"> 3, 315–358. https://arxiv.org/abs/1808.01513</w:t>
      </w:r>
    </w:p>
    <w:p w14:paraId="07B33C91" w14:textId="77777777" w:rsidR="00C415D1" w:rsidRDefault="00000000" w:rsidP="005A464C">
      <w:pPr>
        <w:pStyle w:val="Bibliography"/>
        <w:jc w:val="both"/>
      </w:pPr>
      <w:r>
        <w:t xml:space="preserve">[2] Bodnar, C., Di Giovanni, F., Chamberlain, B. P., Liò, P. and Bronstein, M. M. (2022). Neural Sheaf Diffusion: A Topological Perspective on Heterophily and Oversmoothing in GNNs. </w:t>
      </w:r>
      <w:r>
        <w:rPr>
          <w:i/>
          <w:iCs/>
        </w:rPr>
        <w:t>Advances in Neural Information Processing Systems</w:t>
      </w:r>
      <w:r>
        <w:t xml:space="preserve"> 35. https://arxiv.org/abs/2202.04579</w:t>
      </w:r>
    </w:p>
    <w:p w14:paraId="02273EF3" w14:textId="77777777" w:rsidR="00C415D1" w:rsidRDefault="00000000" w:rsidP="005A464C">
      <w:pPr>
        <w:pStyle w:val="Bibliography"/>
        <w:jc w:val="both"/>
      </w:pPr>
      <w:r>
        <w:t>[3] Bourgerie, R., Girdzijauskas, Š. and Fodor, V. (2026). Deep Neural Sheaf Diffusion. arXiv:2605.19021v2. ICML 2026 Workshop on Graph Foundation Models. https://arxiv.org/abs/2605.19021v2</w:t>
      </w:r>
    </w:p>
    <w:p w14:paraId="36A6B390" w14:textId="77777777" w:rsidR="00C415D1" w:rsidRDefault="00000000" w:rsidP="005A464C">
      <w:pPr>
        <w:pStyle w:val="Bibliography"/>
        <w:jc w:val="both"/>
      </w:pPr>
      <w:r>
        <w:t xml:space="preserve">[4] Ho, J., Jain, A. and Abbeel, P. (2020). Denoising Diffusion Probabilistic Models. </w:t>
      </w:r>
      <w:r>
        <w:rPr>
          <w:i/>
          <w:iCs/>
        </w:rPr>
        <w:t>Advances in Neural Information Processing Systems</w:t>
      </w:r>
      <w:r>
        <w:t xml:space="preserve"> 33. https://arxiv.org/abs/2006.11239</w:t>
      </w:r>
    </w:p>
    <w:p w14:paraId="34437980" w14:textId="77777777" w:rsidR="00C415D1" w:rsidRDefault="00000000" w:rsidP="005A464C">
      <w:pPr>
        <w:pStyle w:val="Bibliography"/>
        <w:jc w:val="both"/>
      </w:pPr>
      <w:r>
        <w:t xml:space="preserve">[5] Song, J., Meng, C. and Ermon, S. (2021). Denoising Diffusion Implicit Models. </w:t>
      </w:r>
      <w:r>
        <w:rPr>
          <w:i/>
          <w:iCs/>
        </w:rPr>
        <w:t>International Conference on Learning Representations</w:t>
      </w:r>
      <w:r>
        <w:t>. https://arxiv.org/abs/2010.02502</w:t>
      </w:r>
    </w:p>
    <w:p w14:paraId="1B98FA58" w14:textId="77777777" w:rsidR="00C415D1" w:rsidRDefault="00000000" w:rsidP="005A464C">
      <w:pPr>
        <w:pStyle w:val="Bibliography"/>
        <w:jc w:val="both"/>
      </w:pPr>
      <w:r>
        <w:t xml:space="preserve">[6] Song, Y., Sohl-Dickstein, J., Kingma, D. P., Kumar, A., Ermon, S. and Poole, B. (2021). Score-Based Generative Modeling through Stochastic Differential Equations. </w:t>
      </w:r>
      <w:r>
        <w:rPr>
          <w:i/>
          <w:iCs/>
        </w:rPr>
        <w:t>International Conference on Learning Representations</w:t>
      </w:r>
      <w:r>
        <w:t>. https://arxiv.org/abs/2011.13456</w:t>
      </w:r>
    </w:p>
    <w:p w14:paraId="56C8C973" w14:textId="3F5AB16C" w:rsidR="00C415D1" w:rsidRDefault="00000000" w:rsidP="005A464C">
      <w:pPr>
        <w:pStyle w:val="Bibliography"/>
        <w:jc w:val="both"/>
      </w:pPr>
      <w:r>
        <w:t xml:space="preserve">[7] Ghosh, D. P. (2026). Sheaf Structured Generative Diffusion. Version 3, 19 October 2026. </w:t>
      </w:r>
      <w:r w:rsidR="001723E8" w:rsidRPr="001723E8">
        <w:t>https://github.com/debiprasadghosh/ResearchOverFlow/tree/main/October2026/SheafDiffusion</w:t>
      </w:r>
    </w:p>
    <w:p w14:paraId="6FE5258E" w14:textId="77777777" w:rsidR="00C415D1" w:rsidRDefault="00000000" w:rsidP="005A464C">
      <w:pPr>
        <w:pStyle w:val="Bibliography"/>
        <w:jc w:val="both"/>
      </w:pPr>
      <w:r>
        <w:t xml:space="preserve">[8] Kamb, M. and Ganguli, S. (2025). An analytic theory of creativity in convolutional diffusion models. </w:t>
      </w:r>
      <w:r>
        <w:rPr>
          <w:i/>
          <w:iCs/>
        </w:rPr>
        <w:t>International Conference on Machine Learning</w:t>
      </w:r>
      <w:r>
        <w:t>. https://arxiv.org/abs/2412.20292</w:t>
      </w:r>
    </w:p>
    <w:p w14:paraId="44DE9E30" w14:textId="77777777" w:rsidR="00C415D1" w:rsidRDefault="00000000" w:rsidP="005A464C">
      <w:pPr>
        <w:pStyle w:val="Bibliography"/>
        <w:jc w:val="both"/>
      </w:pPr>
      <w:r>
        <w:t xml:space="preserve">[9] Abramsky, S. and Brandenburger, A. (2011). The Sheaf-Theoretic Structure of Non-Locality and Contextuality. </w:t>
      </w:r>
      <w:r>
        <w:rPr>
          <w:i/>
          <w:iCs/>
        </w:rPr>
        <w:t>New Journal of Physics</w:t>
      </w:r>
      <w:r>
        <w:t xml:space="preserve"> 13, 113036. https://arxiv.org/abs/1102.0264</w:t>
      </w:r>
    </w:p>
    <w:p w14:paraId="2B677CF8" w14:textId="77777777" w:rsidR="00C415D1" w:rsidRDefault="00000000" w:rsidP="005A464C">
      <w:pPr>
        <w:pStyle w:val="Bibliography"/>
        <w:jc w:val="both"/>
      </w:pPr>
      <w:r>
        <w:t xml:space="preserve">[10] Kschischang, F. R., Frey, B. J. and Loeliger, H.-A. (2001). Factor graphs and the sum-product algorithm. </w:t>
      </w:r>
      <w:r>
        <w:rPr>
          <w:i/>
          <w:iCs/>
        </w:rPr>
        <w:t>IEEE Transactions on Information Theory</w:t>
      </w:r>
      <w:r>
        <w:t xml:space="preserve"> 47(2), 498–519. https://doi.org/10.1109/18.910572</w:t>
      </w:r>
    </w:p>
    <w:p w14:paraId="3C31EE4A" w14:textId="77777777" w:rsidR="00C415D1" w:rsidRDefault="00000000" w:rsidP="005A464C">
      <w:pPr>
        <w:pStyle w:val="Bibliography"/>
        <w:jc w:val="both"/>
      </w:pPr>
      <w:r>
        <w:t xml:space="preserve">[11] Zhang, Y., Hartl, B., Hazan, H. and Levin, M. (2025). Diffusion Models are Evolutionary Algorithms. </w:t>
      </w:r>
      <w:r>
        <w:rPr>
          <w:i/>
          <w:iCs/>
        </w:rPr>
        <w:t>International Conference on Learning Representations</w:t>
      </w:r>
      <w:r>
        <w:t>. arXiv:2410.02543v3. https://arxiv.org/abs/2410.02543v3</w:t>
      </w:r>
      <w:bookmarkEnd w:id="17"/>
    </w:p>
    <w:sectPr w:rsidR="00C415D1">
      <w:headerReference w:type="even" r:id="rId9"/>
      <w:headerReference w:type="default" r:id="rId10"/>
      <w:footerReference w:type="even" r:id="rId11"/>
      <w:footerReference w:type="default" r:id="rId12"/>
      <w:headerReference w:type="first" r:id="rId13"/>
      <w:footerReference w:type="first" r:id="rId14"/>
      <w:pgSz w:w="12240" w:h="15840"/>
      <w:pgMar w:top="1008" w:right="1123" w:bottom="1008" w:left="1123"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F9AA0" w14:textId="77777777" w:rsidR="008849ED" w:rsidRDefault="008849ED">
      <w:pPr>
        <w:spacing w:after="0" w:line="240" w:lineRule="auto"/>
      </w:pPr>
      <w:r>
        <w:separator/>
      </w:r>
    </w:p>
  </w:endnote>
  <w:endnote w:type="continuationSeparator" w:id="0">
    <w:p w14:paraId="1753A7A4" w14:textId="77777777" w:rsidR="008849ED" w:rsidRDefault="00884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DejaVu Sans Mono">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3307" w14:textId="77777777" w:rsidR="00C415D1" w:rsidRDefault="00C415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352C" w14:textId="77777777" w:rsidR="00C415D1" w:rsidRDefault="00000000">
    <w:pPr>
      <w:jc w:val="center"/>
    </w:pPr>
    <w:r>
      <w:fldChar w:fldCharType="begin"/>
    </w:r>
    <w:r>
      <w:instrText>PAGE</w:instrText>
    </w:r>
    <w:r>
      <w:fldChar w:fldCharType="separate"/>
    </w:r>
    <w:r w:rsidR="005A46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3E14" w14:textId="77777777" w:rsidR="00C415D1" w:rsidRDefault="00C415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20DF2" w14:textId="77777777" w:rsidR="008849ED" w:rsidRDefault="008849ED">
      <w:r>
        <w:separator/>
      </w:r>
    </w:p>
  </w:footnote>
  <w:footnote w:type="continuationSeparator" w:id="0">
    <w:p w14:paraId="3ACC22A4" w14:textId="77777777" w:rsidR="008849ED" w:rsidRDefault="008849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EA1EF" w14:textId="77777777" w:rsidR="00C415D1" w:rsidRDefault="00C415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832F4" w14:textId="77777777" w:rsidR="00C415D1" w:rsidRDefault="00C415D1">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BC46A" w14:textId="77777777" w:rsidR="00C415D1" w:rsidRDefault="00C415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7634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98317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5D1"/>
    <w:rsid w:val="000D6071"/>
    <w:rsid w:val="001723E8"/>
    <w:rsid w:val="005A464C"/>
    <w:rsid w:val="00864B3D"/>
    <w:rsid w:val="008849ED"/>
    <w:rsid w:val="0088597C"/>
    <w:rsid w:val="00BB4C77"/>
    <w:rsid w:val="00C415D1"/>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406CC"/>
  <w15:docId w15:val="{39BB36DC-CAB6-4EE4-89FE-C5B3321CB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74" w:lineRule="auto"/>
    </w:pPr>
    <w:rPr>
      <w:rFonts w:ascii="Liberation Serif" w:eastAsia="Liberation Serif" w:hAnsi="Liberation Serif" w:cs="Liberation Serif"/>
      <w:color w:val="000000"/>
      <w:sz w:val="22"/>
    </w:rPr>
  </w:style>
  <w:style w:type="paragraph" w:styleId="Heading1">
    <w:name w:val="heading 1"/>
    <w:basedOn w:val="Normal"/>
    <w:next w:val="BodyText"/>
    <w:uiPriority w:val="9"/>
    <w:qFormat/>
    <w:pPr>
      <w:keepNext/>
      <w:keepLines/>
      <w:spacing w:before="480" w:after="0"/>
      <w:outlineLvl w:val="0"/>
    </w:pPr>
    <w:rPr>
      <w:b/>
      <w:bCs/>
      <w:sz w:val="32"/>
      <w:szCs w:val="32"/>
    </w:rPr>
  </w:style>
  <w:style w:type="paragraph" w:styleId="Heading2">
    <w:name w:val="heading 2"/>
    <w:basedOn w:val="Normal"/>
    <w:next w:val="BodyText"/>
    <w:uiPriority w:val="9"/>
    <w:unhideWhenUsed/>
    <w:qFormat/>
    <w:pPr>
      <w:keepNext/>
      <w:keepLines/>
      <w:spacing w:before="200" w:after="0"/>
      <w:outlineLvl w:val="1"/>
    </w:pPr>
    <w:rPr>
      <w:b/>
      <w:bCs/>
      <w:sz w:val="28"/>
      <w:szCs w:val="28"/>
    </w:rPr>
  </w:style>
  <w:style w:type="paragraph" w:styleId="Heading3">
    <w:name w:val="heading 3"/>
    <w:basedOn w:val="Normal"/>
    <w:next w:val="BodyText"/>
    <w:uiPriority w:val="9"/>
    <w:unhideWhenUsed/>
    <w:qFormat/>
    <w:pPr>
      <w:keepNext/>
      <w:keepLines/>
      <w:spacing w:before="200" w:after="0"/>
      <w:outlineLvl w:val="2"/>
    </w:pPr>
    <w:rPr>
      <w:b/>
      <w:bCs/>
      <w:sz w:val="24"/>
    </w:rPr>
  </w:style>
  <w:style w:type="paragraph" w:styleId="Heading4">
    <w:name w:val="heading 4"/>
    <w:basedOn w:val="Normal"/>
    <w:next w:val="BodyText"/>
    <w:uiPriority w:val="9"/>
    <w:unhideWhenUsed/>
    <w:qFormat/>
    <w:pPr>
      <w:keepNext/>
      <w:keepLines/>
      <w:spacing w:before="200" w:after="0"/>
      <w:outlineLvl w:val="3"/>
    </w:pPr>
    <w:rPr>
      <w:bCs/>
      <w:i/>
      <w:sz w:val="24"/>
    </w:rPr>
  </w:style>
  <w:style w:type="paragraph" w:styleId="Heading5">
    <w:name w:val="heading 5"/>
    <w:basedOn w:val="Normal"/>
    <w:next w:val="BodyText"/>
    <w:uiPriority w:val="9"/>
    <w:unhideWhenUsed/>
    <w:qFormat/>
    <w:pPr>
      <w:keepNext/>
      <w:keepLines/>
      <w:spacing w:before="200" w:after="0"/>
      <w:outlineLvl w:val="4"/>
    </w:pPr>
    <w:rPr>
      <w:iCs/>
      <w:sz w:val="24"/>
    </w:rPr>
  </w:style>
  <w:style w:type="paragraph" w:styleId="Heading6">
    <w:name w:val="heading 6"/>
    <w:basedOn w:val="Normal"/>
    <w:next w:val="BodyText"/>
    <w:uiPriority w:val="9"/>
    <w:unhideWhenUsed/>
    <w:qFormat/>
    <w:pPr>
      <w:keepNext/>
      <w:keepLines/>
      <w:spacing w:before="200" w:after="0"/>
      <w:outlineLvl w:val="5"/>
    </w:pPr>
    <w:rPr>
      <w:sz w:val="24"/>
    </w:rPr>
  </w:style>
  <w:style w:type="paragraph" w:styleId="Heading7">
    <w:name w:val="heading 7"/>
    <w:basedOn w:val="Normal"/>
    <w:next w:val="BodyText"/>
    <w:uiPriority w:val="9"/>
    <w:unhideWhenUsed/>
    <w:qFormat/>
    <w:pPr>
      <w:keepNext/>
      <w:keepLines/>
      <w:spacing w:before="200" w:after="0"/>
      <w:outlineLvl w:val="6"/>
    </w:pPr>
    <w:rPr>
      <w:sz w:val="24"/>
    </w:rPr>
  </w:style>
  <w:style w:type="paragraph" w:styleId="Heading8">
    <w:name w:val="heading 8"/>
    <w:basedOn w:val="Normal"/>
    <w:next w:val="BodyText"/>
    <w:uiPriority w:val="9"/>
    <w:unhideWhenUsed/>
    <w:qFormat/>
    <w:pPr>
      <w:keepNext/>
      <w:keepLines/>
      <w:spacing w:before="200" w:after="0"/>
      <w:outlineLvl w:val="7"/>
    </w:pPr>
    <w:rPr>
      <w:sz w:val="24"/>
    </w:rPr>
  </w:style>
  <w:style w:type="paragraph" w:styleId="Heading9">
    <w:name w:val="heading 9"/>
    <w:basedOn w:val="Normal"/>
    <w:next w:val="BodyText"/>
    <w:uiPriority w:val="9"/>
    <w:unhideWhenUsed/>
    <w:qFormat/>
    <w:pPr>
      <w:keepNext/>
      <w:keepLines/>
      <w:spacing w:before="200" w:after="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spacing w:after="200" w:line="240" w:lineRule="auto"/>
      <w:jc w:val="center"/>
    </w:pPr>
    <w:rPr>
      <w:rFonts w:ascii="Liberation Sans" w:hAnsi="Liberation Sans"/>
      <w:b/>
      <w:bCs/>
      <w:sz w:val="48"/>
      <w:szCs w:val="36"/>
    </w:rPr>
  </w:style>
  <w:style w:type="paragraph" w:styleId="Subtitle">
    <w:name w:val="Subtitle"/>
    <w:basedOn w:val="Title"/>
    <w:next w:val="BodyText"/>
    <w:qFormat/>
    <w:rPr>
      <w:rFonts w:ascii="Liberation Serif" w:hAnsi="Liberation Serif"/>
      <w:b w:val="0"/>
      <w:i/>
      <w:sz w:val="24"/>
      <w:szCs w:val="30"/>
    </w:rPr>
  </w:style>
  <w:style w:type="paragraph" w:customStyle="1" w:styleId="Author">
    <w:name w:val="Author"/>
    <w:next w:val="BodyText"/>
    <w:qFormat/>
    <w:pPr>
      <w:keepNext/>
      <w:spacing w:after="40"/>
      <w:jc w:val="center"/>
    </w:pPr>
    <w:rPr>
      <w:rFonts w:ascii="Liberation Serif" w:eastAsia="Liberation Serif" w:hAnsi="Liberation Serif" w:cs="Liberation Serif"/>
      <w:color w:val="000000"/>
      <w:sz w:val="21"/>
    </w:rPr>
  </w:style>
  <w:style w:type="paragraph" w:styleId="Date">
    <w:name w:val="Date"/>
    <w:next w:val="BodyText"/>
    <w:qFormat/>
    <w:pPr>
      <w:keepNext/>
      <w:spacing w:after="300"/>
      <w:jc w:val="center"/>
    </w:pPr>
    <w:rPr>
      <w:rFonts w:ascii="Liberation Serif" w:eastAsia="Liberation Serif" w:hAnsi="Liberation Serif" w:cs="Liberation Serif"/>
      <w:color w:val="000000"/>
      <w:sz w:val="19"/>
    </w:rPr>
  </w:style>
  <w:style w:type="paragraph" w:customStyle="1" w:styleId="AbstractTitle">
    <w:name w:val="Abstract Title"/>
    <w:basedOn w:val="Normal"/>
    <w:next w:val="Abstract"/>
    <w:qFormat/>
    <w:pPr>
      <w:keepNext/>
      <w:spacing w:before="80" w:after="100" w:line="269" w:lineRule="auto"/>
    </w:pPr>
    <w:rPr>
      <w:rFonts w:ascii="Liberation Sans" w:hAnsi="Liberation Sans"/>
      <w:b/>
      <w:szCs w:val="20"/>
    </w:rPr>
  </w:style>
  <w:style w:type="paragraph" w:customStyle="1" w:styleId="Abstract">
    <w:name w:val="Abstract"/>
    <w:basedOn w:val="Normal"/>
    <w:next w:val="BodyText"/>
    <w:qFormat/>
    <w:pPr>
      <w:spacing w:after="100" w:line="257" w:lineRule="auto"/>
    </w:pPr>
    <w:rPr>
      <w:sz w:val="20"/>
      <w:szCs w:val="20"/>
    </w:rPr>
  </w:style>
  <w:style w:type="paragraph" w:styleId="Bibliography">
    <w:name w:val="Bibliography"/>
    <w:basedOn w:val="Normal"/>
    <w:qFormat/>
    <w:pPr>
      <w:spacing w:line="250" w:lineRule="auto"/>
    </w:pPr>
    <w:rPr>
      <w:sz w:val="20"/>
    </w:rPr>
  </w:style>
  <w:style w:type="paragraph" w:styleId="BlockText">
    <w:name w:val="Block Text"/>
    <w:basedOn w:val="BodyText"/>
    <w:next w:val="BodyText"/>
    <w:uiPriority w:val="9"/>
    <w:unhideWhenUsed/>
    <w:qFormat/>
    <w:pPr>
      <w:spacing w:before="40" w:after="160"/>
      <w:ind w:left="400" w:right="400"/>
      <w:jc w:val="both"/>
    </w:pPr>
    <w:rPr>
      <w:i/>
      <w:sz w:val="21"/>
    </w:rPr>
  </w:style>
  <w:style w:type="paragraph" w:styleId="FootnoteText">
    <w:name w:val="footnote text"/>
    <w:basedOn w:val="Normal"/>
    <w:uiPriority w:val="9"/>
    <w:unhideWhenUsed/>
    <w:qFormat/>
  </w:style>
  <w:style w:type="table" w:customStyle="1" w:styleId="Table">
    <w:name w:val="Table"/>
    <w:semiHidden/>
    <w:unhideWhenUsed/>
    <w:qFormat/>
    <w:rPr>
      <w:sz w:val="19"/>
      <w:szCs w:val="20"/>
      <w:lang w:val="en-IN" w:eastAsia="en-IN" w:bidi="bn-I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200" w:line="252" w:lineRule="auto"/>
    </w:pPr>
    <w:rPr>
      <w:sz w:val="19"/>
    </w:rPr>
  </w:style>
  <w:style w:type="paragraph" w:customStyle="1" w:styleId="TableCaption">
    <w:name w:val="Table Caption"/>
    <w:basedOn w:val="Caption"/>
    <w:pPr>
      <w:keepNext/>
      <w:spacing w:after="180"/>
    </w:pPr>
  </w:style>
  <w:style w:type="paragraph" w:customStyle="1" w:styleId="ImageCaption">
    <w:name w:val="Image Caption"/>
    <w:basedOn w:val="Caption"/>
  </w:style>
  <w:style w:type="paragraph" w:customStyle="1" w:styleId="Figure">
    <w:name w:val="Figure"/>
    <w:basedOn w:val="Normal"/>
    <w:pPr>
      <w:keepNext/>
      <w:spacing w:before="100" w:after="60"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Consolas" w:hAnsi="DejaVu Sans Mono"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Heading11">
    <w:name w:val="Heading 11"/>
    <w:pPr>
      <w:keepNext/>
      <w:spacing w:before="260" w:after="120"/>
    </w:pPr>
    <w:rPr>
      <w:rFonts w:ascii="Liberation Sans" w:eastAsia="Liberation Serif" w:hAnsi="Liberation Sans" w:cs="Liberation Serif"/>
      <w:b/>
      <w:color w:val="000000"/>
      <w:sz w:val="30"/>
    </w:rPr>
  </w:style>
  <w:style w:type="paragraph" w:customStyle="1" w:styleId="Heading21">
    <w:name w:val="Heading 21"/>
    <w:pPr>
      <w:keepNext/>
      <w:spacing w:before="200" w:after="120"/>
    </w:pPr>
    <w:rPr>
      <w:rFonts w:ascii="Liberation Sans" w:eastAsia="Liberation Serif" w:hAnsi="Liberation Sans" w:cs="Liberation Serif"/>
      <w:b/>
      <w:color w:val="000000"/>
    </w:rPr>
  </w:style>
  <w:style w:type="paragraph" w:customStyle="1" w:styleId="Heading31">
    <w:name w:val="Heading 31"/>
    <w:pPr>
      <w:keepNext/>
      <w:spacing w:before="200" w:after="120"/>
    </w:pPr>
    <w:rPr>
      <w:rFonts w:ascii="Liberation Sans" w:eastAsia="Liberation Serif" w:hAnsi="Liberation Sans" w:cs="Liberation Serif"/>
      <w:b/>
      <w:color w:val="000000"/>
      <w:sz w:val="22"/>
    </w:rPr>
  </w:style>
  <w:style w:type="paragraph" w:customStyle="1" w:styleId="SourceCode">
    <w:name w:val="Source Code"/>
    <w:basedOn w:val="Normal"/>
    <w:pPr>
      <w:spacing w:line="240" w:lineRule="auto"/>
    </w:pPr>
    <w:rPr>
      <w:rFonts w:ascii="DejaVu Sans Mono" w:hAnsi="DejaVu Sans Mono"/>
      <w:sz w:val="15"/>
    </w:rPr>
  </w:style>
  <w:style w:type="paragraph" w:customStyle="1" w:styleId="Statement">
    <w:name w:val="Statement"/>
    <w:basedOn w:val="BodyText"/>
  </w:style>
  <w:style w:type="paragraph" w:customStyle="1" w:styleId="StatementTag">
    <w:name w:val="Statement Tag"/>
    <w:basedOn w:val="Statement"/>
    <w:pPr>
      <w:spacing w:line="240" w:lineRule="auto"/>
    </w:pPr>
    <w:rPr>
      <w:i/>
      <w:sz w:val="18"/>
    </w:rPr>
  </w:style>
  <w:style w:type="paragraph" w:customStyle="1" w:styleId="Gap">
    <w:name w:val="Gap"/>
    <w:basedOn w:val="Normal"/>
    <w:pPr>
      <w:spacing w:after="0" w:line="240" w:lineRule="auto"/>
    </w:pPr>
    <w:rPr>
      <w:sz w:val="2"/>
    </w:rPr>
  </w:style>
  <w:style w:type="paragraph" w:customStyle="1" w:styleId="Check">
    <w:name w:val="Check"/>
    <w:basedOn w:val="BodyText"/>
    <w:pPr>
      <w:spacing w:line="257" w:lineRule="auto"/>
    </w:pPr>
    <w:rPr>
      <w:sz w:val="20"/>
    </w:rPr>
  </w:style>
  <w:style w:type="paragraph" w:customStyle="1" w:styleId="Summary">
    <w:name w:val="Summary"/>
    <w:basedOn w:val="BodyText"/>
    <w:pPr>
      <w:spacing w:after="80" w:line="264" w:lineRule="auto"/>
      <w:ind w:left="120" w:right="120"/>
      <w:jc w:val="both"/>
    </w:pPr>
    <w:rPr>
      <w:sz w:val="21"/>
    </w:rPr>
  </w:style>
  <w:style w:type="paragraph" w:customStyle="1" w:styleId="Equation">
    <w:name w:val="Equation"/>
    <w:basedOn w:val="BodyText"/>
    <w:pPr>
      <w:keepLines/>
      <w:tabs>
        <w:tab w:val="center" w:pos="4997"/>
        <w:tab w:val="right" w:pos="9994"/>
      </w:tabs>
      <w:spacing w:before="80" w:after="180" w:line="240" w:lineRule="auto"/>
    </w:pPr>
    <w:rPr>
      <w:sz w:val="21"/>
    </w:rPr>
  </w:style>
  <w:style w:type="paragraph" w:customStyle="1" w:styleId="StatementEquation">
    <w:name w:val="Statement Equation"/>
    <w:basedOn w:val="Statement"/>
    <w:pPr>
      <w:keepLines/>
      <w:tabs>
        <w:tab w:val="center" w:pos="4997"/>
        <w:tab w:val="right" w:pos="9994"/>
      </w:tabs>
      <w:spacing w:before="80" w:after="18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14</Pages>
  <Words>6442</Words>
  <Characters>36726</Characters>
  <Application>Microsoft Office Word</Application>
  <DocSecurity>0</DocSecurity>
  <Lines>306</Lines>
  <Paragraphs>86</Paragraphs>
  <ScaleCrop>false</ScaleCrop>
  <Company/>
  <LinksUpToDate>false</LinksUpToDate>
  <CharactersWithSpaces>43082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Some Sheaf-Diffusion Algorithms are More Sheaf Than Others</dc:title>
  <dc:subject>Operator geometry compatibility and generative law</dc:subject>
  <dc:creator>Debi Prasad Ghosh</dc:creator>
  <cp:keywords>sheaf diffusion; holonomy; naturality; global sections; identifiability</cp:keywords>
  <cp:lastModifiedBy>Debiprasad Ghosh</cp:lastModifiedBy>
  <cp:revision>5</cp:revision>
  <dcterms:created xsi:type="dcterms:W3CDTF">2026-10-20T11:52:00Z</dcterms:created>
  <dcterms:modified xsi:type="dcterms:W3CDTF">2026-10-20T12:05:00Z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vt:lpwstr>
  </property>
  <property fmtid="{D5CDD505-2E9C-101B-9397-08002B2CF9AE}" pid="3" name="subtitle">
    <vt:lpwstr>Distinguishing operator geometry compatibility and generative law</vt:lpwstr>
  </property>
</Properties>
</file>