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06EEE" w14:textId="77777777" w:rsidR="000A5C6C" w:rsidRPr="00D05D66" w:rsidRDefault="00000000">
      <w:pPr>
        <w:pStyle w:val="Title"/>
        <w:rPr>
          <w:rFonts w:hint="eastAsia"/>
          <w:sz w:val="74"/>
          <w:szCs w:val="340"/>
        </w:rPr>
      </w:pPr>
      <w:r w:rsidRPr="00D05D66">
        <w:rPr>
          <w:sz w:val="74"/>
          <w:szCs w:val="340"/>
        </w:rPr>
        <w:t>Niches Strength and Memory</w:t>
      </w:r>
    </w:p>
    <w:p w14:paraId="5D2C8E61" w14:textId="77777777" w:rsidR="000A5C6C" w:rsidRPr="00D05D66" w:rsidRDefault="00000000">
      <w:pPr>
        <w:pStyle w:val="Subtitle"/>
        <w:rPr>
          <w:rFonts w:hint="eastAsia"/>
          <w:sz w:val="22"/>
          <w:szCs w:val="22"/>
        </w:rPr>
      </w:pPr>
      <w:r w:rsidRPr="00D05D66">
        <w:rPr>
          <w:color w:val="00B0F0"/>
          <w:sz w:val="22"/>
          <w:szCs w:val="22"/>
        </w:rPr>
        <w:t>Rigorous archive selection and retrieval for multi objective ADE and engineering harnesses</w:t>
      </w:r>
    </w:p>
    <w:p w14:paraId="115F0AFD" w14:textId="77777777" w:rsidR="000A5C6C" w:rsidRDefault="00000000">
      <w:pPr>
        <w:pStyle w:val="Author"/>
        <w:keepLines/>
        <w:rPr>
          <w:rFonts w:hint="eastAsia"/>
        </w:rPr>
      </w:pPr>
      <w:r>
        <w:t>Debi Prasad Ghosh</w:t>
      </w:r>
      <w:r>
        <w:br/>
        <w:t>Founder and Principal Engineer</w:t>
      </w:r>
      <w:r>
        <w:br/>
        <w:t>Debias Parametric Guru, Kolkata, India</w:t>
      </w:r>
    </w:p>
    <w:p w14:paraId="06354708" w14:textId="77777777" w:rsidR="000A5C6C" w:rsidRDefault="00000000">
      <w:pPr>
        <w:pStyle w:val="Date1"/>
        <w:rPr>
          <w:rFonts w:hint="eastAsia"/>
        </w:rPr>
      </w:pPr>
      <w:r>
        <w:t>Revised 17 October 2026</w:t>
      </w:r>
    </w:p>
    <w:p w14:paraId="44F2BD72" w14:textId="77777777" w:rsidR="000A5C6C" w:rsidRDefault="00000000">
      <w:pPr>
        <w:pStyle w:val="Heading1"/>
        <w:spacing w:before="240"/>
        <w:rPr>
          <w:rFonts w:hint="eastAsia"/>
        </w:rPr>
      </w:pPr>
      <w:bookmarkStart w:id="0" w:name="abstract"/>
      <w:r>
        <w:t>Abstract</w:t>
      </w:r>
    </w:p>
    <w:p w14:paraId="2F5A9974" w14:textId="77777777" w:rsidR="000A5C6C" w:rsidRDefault="00000000">
      <w:pPr>
        <w:pStyle w:val="FirstParagraph"/>
        <w:rPr>
          <w:rFonts w:hint="eastAsia"/>
        </w:rPr>
      </w:pPr>
      <w:r>
        <w:t>Multi-objective Autoregressive Diffusion Evolution (ADE) retrieves evaluated designs through an objective-dependent attention bias. This paper develops a rigorous account of reference-direction queries, strength fitness, and bounded working memory. It separates three stores: a complete probability and provenance log, a bounded proposal archive, and a verified reporting archive. We prove the finite-archive ordering properties of SPEA2 strength and density, state the coefficient needed for primary-score preservation, and distinguish that ordering from the stronger temperature conditions required for asymptotic lexicographic retrieval. Reference-ray geometry is defined with explicit normalization and tie rules. Archive truncation can guide proposals without invalidating estimation when the actual conditional sampling laws remain known and defensive. Deterministic elitist retention generally changes an estimator, whereas exact weighted merging preserves it; random retention can support a different probability contract. A quantitative compression bound shows why an archive adequate at a broad retrieval scale can become inaccurate as the kernel narrows. A defensive exploration theorem gives an explicit hitting-time bound and clarifies the difference between slow escape and a truly absorbing state. Existing benchmark means are retained as reported evidence, with no claim of superiority over the strongest reported standard configurations. New executable checks validate the mathematical identities and counterexamples. Recent human single-neuron evidence, mouse engram experiments, and a computational model of hippocampo-neocortical retrieval support carefully limited memory analogies. An engineering agent harness keeps backbone weights fixed while runtime state, tools, archives, and verification coordinate construction design and evaluated harness revisions.</w:t>
      </w:r>
    </w:p>
    <w:p w14:paraId="41BDC537" w14:textId="77777777" w:rsidR="000A5C6C" w:rsidRDefault="00000000">
      <w:pPr>
        <w:pStyle w:val="BodyText"/>
        <w:rPr>
          <w:rFonts w:hint="eastAsia"/>
        </w:rPr>
      </w:pPr>
      <w:r>
        <w:rPr>
          <w:b/>
          <w:bCs/>
        </w:rPr>
        <w:t>Keywords:</w:t>
      </w:r>
      <w:r>
        <w:t xml:space="preserve"> ADE; NSGA-III; SPEA2; multi-objective optimization; niche queries; archive selection; importance sampling; memory compression; neuroscience; AI harness; construction engineering.</w:t>
      </w:r>
    </w:p>
    <w:p w14:paraId="2843B329" w14:textId="77777777" w:rsidR="000A5C6C" w:rsidRDefault="00000000">
      <w:pPr>
        <w:pStyle w:val="Heading1"/>
        <w:rPr>
          <w:rFonts w:hint="eastAsia"/>
        </w:rPr>
      </w:pPr>
      <w:bookmarkStart w:id="1" w:name="introduction"/>
      <w:bookmarkEnd w:id="0"/>
      <w:r>
        <w:t>1 Introduction</w:t>
      </w:r>
    </w:p>
    <w:p w14:paraId="483D001D" w14:textId="77777777" w:rsidR="000A5C6C" w:rsidRDefault="00000000">
      <w:pPr>
        <w:pStyle w:val="FirstParagraph"/>
        <w:rPr>
          <w:rFonts w:hint="eastAsia"/>
        </w:rPr>
      </w:pPr>
      <w:r>
        <w:t>A multi-objective optimizer needs both pressure toward better designs and a way to retain useful alternatives. These are different tasks. A strength score can distinguish convergence quality, a reference direction can emphasize a region of objective space, and a bounded archive can reduce retrieval cost. None of these operations automatically preserves the probability distribution represented by the complete evaluation history.</w:t>
      </w:r>
    </w:p>
    <w:p w14:paraId="673A38AB" w14:textId="77777777" w:rsidR="000A5C6C" w:rsidRDefault="00000000">
      <w:pPr>
        <w:pStyle w:val="BodyText"/>
        <w:rPr>
          <w:rFonts w:hint="eastAsia"/>
        </w:rPr>
      </w:pPr>
      <w:r>
        <w:t>The supplied ADE study [1] combines ideas from NSGA-III [2, 5] and SPEA2 [3, 5]. NSGA-III supplies reference-direction geometry; SPEA2 supplies strength-based fitness and distance-based archive reduction. ADE uses these ingredients inside a sequential attention decoder rather than the original algorithms’ full generational selection procedures. The relationship is an adaptation of components, not an equivalence of algorithms.</w:t>
      </w:r>
    </w:p>
    <w:p w14:paraId="3F9CD3AF" w14:textId="77777777" w:rsidR="000A5C6C" w:rsidRDefault="00000000">
      <w:pPr>
        <w:pStyle w:val="BodyText"/>
        <w:rPr>
          <w:rFonts w:hint="eastAsia"/>
        </w:rPr>
      </w:pPr>
      <w:r>
        <w:lastRenderedPageBreak/>
        <w:t>This paper makes the contracts of those components explicit. It analyzes finite-archive order, probabilistically correct history reuse, compression, and exploration separately. The computational section distinguishes reported ADE benchmark summaries from newly executed mathematical checks. Neuroscience motivates testable memory mechanisms, while an AI harness provides the executable framework for prompts, tools, memory, workspace, reasoning, action, observation, evaluation, and verification in construction tasks.</w:t>
      </w:r>
    </w:p>
    <w:p w14:paraId="7E71B910" w14:textId="77777777" w:rsidR="000A5C6C" w:rsidRDefault="00000000">
      <w:pPr>
        <w:pStyle w:val="Heading1"/>
        <w:rPr>
          <w:rFonts w:hint="eastAsia"/>
        </w:rPr>
      </w:pPr>
      <w:bookmarkStart w:id="2" w:name="setting-and-three-stores"/>
      <w:bookmarkEnd w:id="1"/>
      <w:r>
        <w:t>2 Setting and three stores</w:t>
      </w:r>
    </w:p>
    <w:p w14:paraId="6BD58881" w14:textId="77777777" w:rsidR="000A5C6C" w:rsidRDefault="00000000">
      <w:pPr>
        <w:pStyle w:val="Heading2"/>
        <w:rPr>
          <w:rFonts w:hint="eastAsia"/>
        </w:rPr>
      </w:pPr>
      <w:bookmarkStart w:id="3" w:name="designs-objectives-and-retrieval"/>
      <w:r>
        <w:t>2.1 Designs objectives and retrieval</w:t>
      </w:r>
    </w:p>
    <w:p w14:paraId="79E2BA11" w14:textId="77777777" w:rsidR="000A5C6C" w:rsidRDefault="00000000">
      <w:pPr>
        <w:pStyle w:val="FirstParagraph"/>
        <w:rPr>
          <w:rFonts w:hint="eastAsia"/>
        </w:rPr>
      </w:pPr>
      <w:r>
        <w:t xml:space="preserve">Let </w:t>
      </w:r>
      <m:oMath>
        <m:r>
          <m:rPr>
            <m:scr m:val="script"/>
            <m:sty m:val="p"/>
          </m:rPr>
          <w:rPr>
            <w:rFonts w:ascii="Cambria Math" w:hAnsi="Cambria Math"/>
          </w:rPr>
          <m:t>X</m:t>
        </m:r>
      </m:oMath>
      <w:r>
        <w:t xml:space="preserve"> be a standard Borel design space and </w:t>
      </w:r>
      <m:oMath>
        <m:r>
          <m:rPr>
            <m:scr m:val="script"/>
            <m:sty m:val="p"/>
          </m:rPr>
          <w:rPr>
            <w:rFonts w:ascii="Cambria Math" w:hAnsi="Cambria Math"/>
          </w:rPr>
          <m:t>C⊆X</m:t>
        </m:r>
      </m:oMath>
      <w:r>
        <w:t xml:space="preserve"> a measurable feasible set. All </w:t>
      </w:r>
      <m:oMath>
        <m:r>
          <w:rPr>
            <w:rFonts w:ascii="Cambria Math" w:hAnsi="Cambria Math"/>
          </w:rPr>
          <m:t>m</m:t>
        </m:r>
      </m:oMath>
      <w:r>
        <w:t xml:space="preserve"> objectives </w:t>
      </w:r>
      <m:oMath>
        <m:r>
          <w:rPr>
            <w:rFonts w:ascii="Cambria Math" w:hAnsi="Cambria Math"/>
          </w:rPr>
          <m:t>F</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sub>
            </m:sSub>
          </m:e>
        </m:d>
      </m:oMath>
      <w:r>
        <w:t xml:space="preserve"> are minimized over </w:t>
      </w:r>
      <m:oMath>
        <m:r>
          <m:rPr>
            <m:scr m:val="script"/>
            <m:sty m:val="p"/>
          </m:rPr>
          <w:rPr>
            <w:rFonts w:ascii="Cambria Math" w:hAnsi="Cambria Math"/>
          </w:rPr>
          <m:t>C</m:t>
        </m:r>
      </m:oMath>
      <w:r>
        <w:t xml:space="preserve">. Write </w:t>
      </w:r>
      <m:oMath>
        <m:r>
          <w:rPr>
            <w:rFonts w:ascii="Cambria Math" w:hAnsi="Cambria Math"/>
          </w:rPr>
          <m:t>u</m:t>
        </m:r>
        <m:r>
          <m:rPr>
            <m:sty m:val="p"/>
          </m:rPr>
          <w:rPr>
            <w:rFonts w:ascii="Cambria Math" w:hAnsi="Cambria Math"/>
          </w:rPr>
          <m:t>≺</m:t>
        </m:r>
        <m:r>
          <w:rPr>
            <w:rFonts w:ascii="Cambria Math" w:hAnsi="Cambria Math"/>
          </w:rPr>
          <m:t>v</m:t>
        </m:r>
      </m:oMath>
      <w:r>
        <w:t xml:space="preserve"> when </w:t>
      </w:r>
      <m:oMath>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oMath>
      <w:r>
        <w:t xml:space="preserve"> for every </w:t>
      </w:r>
      <m:oMath>
        <m:r>
          <w:rPr>
            <w:rFonts w:ascii="Cambria Math" w:hAnsi="Cambria Math"/>
          </w:rPr>
          <m:t>j</m:t>
        </m:r>
      </m:oMath>
      <w:r>
        <w:t xml:space="preserve"> and at least one inequality is strict. A design is Pareto efficient if no feasible design dominates it. Weak efficiency excludes only designs that are strictly improved in every objective and can therefore include dominated points.</w:t>
      </w:r>
    </w:p>
    <w:p w14:paraId="0A090C19" w14:textId="77777777" w:rsidR="000A5C6C" w:rsidRDefault="00000000">
      <w:pPr>
        <w:pStyle w:val="BodyText"/>
        <w:keepNext/>
        <w:rPr>
          <w:rFonts w:hint="eastAsia"/>
        </w:rPr>
      </w:pPr>
      <w:r>
        <w:t xml:space="preserve">A reference probability </w:t>
      </w:r>
      <m:oMath>
        <m:r>
          <w:rPr>
            <w:rFonts w:ascii="Cambria Math" w:hAnsi="Cambria Math"/>
          </w:rPr>
          <m:t>μ</m:t>
        </m:r>
      </m:oMath>
      <w:r>
        <w:t xml:space="preserve"> can have continuous and discrete coordinates. The numerical retrieval analysis uses origins </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a query </w:t>
      </w:r>
      <m:oMath>
        <m:r>
          <w:rPr>
            <w:rFonts w:ascii="Cambria Math" w:hAnsi="Cambria Math"/>
          </w:rPr>
          <m:t>q</m:t>
        </m:r>
      </m:oMath>
      <w:r>
        <w:t xml:space="preserve">, and </w:t>
      </w:r>
      <m:oMath>
        <m:r>
          <w:rPr>
            <w:rFonts w:ascii="Cambria Math" w:hAnsi="Cambria Math"/>
          </w:rPr>
          <m:t>0</m:t>
        </m:r>
        <m:r>
          <m:rPr>
            <m:sty m:val="p"/>
          </m:rPr>
          <w:rPr>
            <w:rFonts w:ascii="Cambria Math" w:hAnsi="Cambria Math"/>
          </w:rPr>
          <m:t>&lt;</m:t>
        </m:r>
        <m:r>
          <w:rPr>
            <w:rFonts w:ascii="Cambria Math" w:hAnsi="Cambria Math"/>
          </w:rPr>
          <m:t>a</m:t>
        </m:r>
        <m:r>
          <m:rPr>
            <m:sty m:val="p"/>
          </m:rPr>
          <w:rPr>
            <w:rFonts w:ascii="Cambria Math" w:hAnsi="Cambria Math"/>
          </w:rPr>
          <m:t>&lt;</m:t>
        </m:r>
        <m:r>
          <w:rPr>
            <w:rFonts w:ascii="Cambria Math" w:hAnsi="Cambria Math"/>
          </w:rPr>
          <m:t>1</m:t>
        </m:r>
      </m:oMath>
      <w:r>
        <w:t xml:space="preserve">. On a fixed finite proposal archive </w:t>
      </w:r>
      <m:oMath>
        <m:r>
          <w:rPr>
            <w:rFonts w:ascii="Cambria Math" w:hAnsi="Cambria Math"/>
          </w:rPr>
          <m:t>A</m:t>
        </m:r>
      </m:oMath>
      <w:r>
        <w:t>, define</w:t>
      </w:r>
    </w:p>
    <w:p w14:paraId="1821E08B" w14:textId="77777777" w:rsidR="000A5C6C"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q</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r>
                <m:rPr>
                  <m:nor/>
                </m:rPr>
                <m:t>    </m:t>
              </m:r>
              <m:r>
                <w:rPr>
                  <w:rFonts w:ascii="Cambria Math" w:hAnsi="Cambria Math"/>
                </w:rPr>
                <m:t>y</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r>
                <w:rPr>
                  <w:rFonts w:ascii="Cambria Math" w:hAnsi="Cambria Math"/>
                </w:rPr>
                <m:t>I</m:t>
              </m:r>
            </m:e>
          </m:d>
          <m:r>
            <m:rPr>
              <m:sty m:val="p"/>
            </m:rPr>
            <w:rPr>
              <w:rFonts w:ascii="Cambria Math" w:hAnsi="Cambria Math"/>
            </w:rPr>
            <m:t>,</m:t>
          </m:r>
          <m:r>
            <m:rPr>
              <m:nor/>
            </m:rPr>
            <m:t>    </m:t>
          </m:r>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rPr>
              </m:ctrlPr>
            </m:dPr>
            <m:e>
              <m:r>
                <w:rPr>
                  <w:rFonts w:ascii="Cambria Math" w:hAnsi="Cambria Math"/>
                </w:rPr>
                <m:t>q</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i</m:t>
                  </m:r>
                </m:sub>
              </m:sSub>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C</m:t>
                      </m:r>
                    </m:e>
                    <m:sub>
                      <m:r>
                        <w:rPr>
                          <w:rFonts w:ascii="Cambria Math" w:hAnsi="Cambria Math"/>
                        </w:rPr>
                        <m:t>i</m:t>
                      </m:r>
                    </m:sub>
                  </m:sSub>
                </m:sup>
              </m:sSup>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num>
            <m:den>
              <m:nary>
                <m:naryPr>
                  <m:chr m:val="∑"/>
                  <m:limLoc m:val="undOvr"/>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A</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r</m:t>
                      </m:r>
                    </m:sub>
                  </m:sSub>
                </m:e>
              </m:nary>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C</m:t>
                      </m:r>
                    </m:e>
                    <m:sub>
                      <m:r>
                        <w:rPr>
                          <w:rFonts w:ascii="Cambria Math" w:hAnsi="Cambria Math"/>
                        </w:rPr>
                        <m:t>r</m:t>
                      </m:r>
                    </m:sub>
                  </m:sSub>
                </m:sup>
              </m:sSup>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r</m:t>
                      </m:r>
                    </m:sub>
                  </m:sSub>
                </m:e>
              </m:d>
            </m:den>
          </m:f>
          <m:r>
            <m:rPr>
              <m:sty m:val="p"/>
            </m:rPr>
            <w:rPr>
              <w:rFonts w:ascii="Cambria Math" w:hAnsi="Cambria Math"/>
            </w:rPr>
            <m:t>,</m:t>
          </m:r>
          <m:r>
            <m:rPr>
              <m:nor/>
            </m:rPr>
            <m:t>    </m:t>
          </m:r>
          <m:sSub>
            <m:sSubPr>
              <m:ctrlPr>
                <w:rPr>
                  <w:rFonts w:ascii="Cambria Math" w:hAnsi="Cambria Math"/>
                </w:rPr>
              </m:ctrlPr>
            </m:sSubPr>
            <m:e>
              <m:r>
                <w:rPr>
                  <w:rFonts w:ascii="Cambria Math" w:hAnsi="Cambria Math"/>
                </w:rPr>
                <m:t>m</m:t>
              </m:r>
            </m:e>
            <m:sub>
              <m:r>
                <w:rPr>
                  <w:rFonts w:ascii="Cambria Math" w:hAnsi="Cambria Math"/>
                </w:rPr>
                <m:t>A</m:t>
              </m:r>
            </m:sub>
          </m:sSub>
          <m:d>
            <m:dPr>
              <m:ctrlPr>
                <w:rPr>
                  <w:rFonts w:ascii="Cambria Math" w:hAnsi="Cambria Math"/>
                </w:rPr>
              </m:ctrlPr>
            </m:dPr>
            <m:e>
              <m:r>
                <w:rPr>
                  <w:rFonts w:ascii="Cambria Math" w:hAnsi="Cambria Math"/>
                </w:rPr>
                <m:t>q</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A</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m:t>
                  </m:r>
                </m:sub>
              </m:sSub>
            </m:e>
          </m:nary>
          <m:d>
            <m:dPr>
              <m:ctrlPr>
                <w:rPr>
                  <w:rFonts w:ascii="Cambria Math" w:hAnsi="Cambria Math"/>
                </w:rPr>
              </m:ctrlPr>
            </m:dPr>
            <m:e>
              <m:r>
                <w:rPr>
                  <w:rFonts w:ascii="Cambria Math" w:hAnsi="Cambria Math"/>
                </w:rPr>
                <m:t>q</m:t>
              </m:r>
            </m:e>
          </m:d>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m:rPr>
              <m:nor/>
            </m:rPr>
            <m:t>    (1)</m:t>
          </m:r>
        </m:oMath>
      </m:oMathPara>
    </w:p>
    <w:p w14:paraId="66AFF695" w14:textId="77777777" w:rsidR="000A5C6C" w:rsidRDefault="00000000">
      <w:pPr>
        <w:pStyle w:val="FirstParagraph"/>
        <w:rPr>
          <w:rFonts w:hint="eastAsia"/>
        </w:rPr>
      </w:pPr>
      <w:r>
        <w:t xml:space="preserve">Here </w:t>
      </w:r>
      <m:oMath>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&gt;</m:t>
        </m:r>
        <m:r>
          <w:rPr>
            <w:rFonts w:ascii="Cambria Math" w:hAnsi="Cambria Math"/>
          </w:rPr>
          <m:t>0</m:t>
        </m:r>
      </m:oMath>
      <w:r>
        <w:t xml:space="preserve"> is a declared base mass,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is the search score, and </w:t>
      </w:r>
      <m:oMath>
        <m:r>
          <w:rPr>
            <w:rFonts w:ascii="Cambria Math" w:hAnsi="Cambria Math"/>
          </w:rPr>
          <m:t>β</m:t>
        </m:r>
        <m:r>
          <m:rPr>
            <m:sty m:val="p"/>
          </m:rPr>
          <w:rPr>
            <w:rFonts w:ascii="Cambria Math" w:hAnsi="Cambria Math"/>
          </w:rPr>
          <m:t>≥</m:t>
        </m:r>
        <m:r>
          <w:rPr>
            <w:rFonts w:ascii="Cambria Math" w:hAnsi="Cambria Math"/>
          </w:rPr>
          <m:t>0</m:t>
        </m:r>
      </m:oMath>
      <w:r>
        <w:t xml:space="preserve"> controls its influence. Uniform </w:t>
      </w:r>
      <m:oMath>
        <m:sSub>
          <m:sSubPr>
            <m:ctrlPr>
              <w:rPr>
                <w:rFonts w:ascii="Cambria Math" w:hAnsi="Cambria Math"/>
              </w:rPr>
            </m:ctrlPr>
          </m:sSubPr>
          <m:e>
            <m:r>
              <w:rPr>
                <w:rFonts w:ascii="Cambria Math" w:hAnsi="Cambria Math"/>
              </w:rPr>
              <m:t>α</m:t>
            </m:r>
          </m:e>
          <m:sub>
            <m:r>
              <w:rPr>
                <w:rFonts w:ascii="Cambria Math" w:hAnsi="Cambria Math"/>
              </w:rPr>
              <m:t>i</m:t>
            </m:r>
          </m:sub>
        </m:sSub>
      </m:oMath>
      <w:r>
        <w:t xml:space="preserve"> gives the usual empirical attention. Target importance weights give another reading when their probability contract is established. A posterior-mean identity does not establish that a finite sequence of decoder updates samples a desired population target.</w:t>
      </w:r>
    </w:p>
    <w:p w14:paraId="079393EA" w14:textId="77777777" w:rsidR="000A5C6C" w:rsidRDefault="00000000">
      <w:pPr>
        <w:pStyle w:val="Heading2"/>
        <w:rPr>
          <w:rFonts w:hint="eastAsia"/>
        </w:rPr>
      </w:pPr>
      <w:bookmarkStart w:id="4" w:name="distinct-storage-responsibilities"/>
      <w:bookmarkEnd w:id="3"/>
      <w:r>
        <w:t>2.2 Distinct storage responsibilities</w:t>
      </w:r>
    </w:p>
    <w:p w14:paraId="439E2D0F" w14:textId="77777777" w:rsidR="000A5C6C" w:rsidRDefault="00000000">
      <w:pPr>
        <w:pStyle w:val="Caption"/>
        <w:keepNext/>
        <w:rPr>
          <w:rFonts w:hint="eastAsia"/>
        </w:rPr>
      </w:pPr>
      <w:r>
        <w:t>Table 1. The three stores share immutable records but have different membership policies.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12"/>
        <w:gridCol w:w="2952"/>
        <w:gridCol w:w="2448"/>
        <w:gridCol w:w="3024"/>
      </w:tblGrid>
      <w:tr w:rsidR="000A5C6C" w14:paraId="1964C3D7" w14:textId="77777777">
        <w:trPr>
          <w:cantSplit/>
          <w:tblHeader/>
          <w:jc w:val="center"/>
        </w:trPr>
        <w:tc>
          <w:tcPr>
            <w:tcW w:w="1512" w:type="dxa"/>
            <w:shd w:val="clear" w:color="auto" w:fill="EAEAEA"/>
            <w:tcMar>
              <w:top w:w="80" w:type="dxa"/>
              <w:left w:w="85" w:type="dxa"/>
              <w:bottom w:w="80" w:type="dxa"/>
              <w:right w:w="85" w:type="dxa"/>
            </w:tcMar>
            <w:vAlign w:val="center"/>
          </w:tcPr>
          <w:p w14:paraId="26336301" w14:textId="77777777" w:rsidR="000A5C6C" w:rsidRDefault="00000000">
            <w:pPr>
              <w:keepNext/>
              <w:keepLines/>
              <w:spacing w:after="0" w:line="247" w:lineRule="auto"/>
              <w:jc w:val="left"/>
              <w:rPr>
                <w:rFonts w:hint="eastAsia"/>
              </w:rPr>
            </w:pPr>
            <w:r>
              <w:rPr>
                <w:b/>
                <w:sz w:val="21"/>
              </w:rPr>
              <w:t>Store</w:t>
            </w:r>
          </w:p>
        </w:tc>
        <w:tc>
          <w:tcPr>
            <w:tcW w:w="2952" w:type="dxa"/>
            <w:shd w:val="clear" w:color="auto" w:fill="EAEAEA"/>
            <w:tcMar>
              <w:top w:w="80" w:type="dxa"/>
              <w:left w:w="85" w:type="dxa"/>
              <w:bottom w:w="80" w:type="dxa"/>
              <w:right w:w="85" w:type="dxa"/>
            </w:tcMar>
            <w:vAlign w:val="center"/>
          </w:tcPr>
          <w:p w14:paraId="1C69ECF1" w14:textId="77777777" w:rsidR="000A5C6C" w:rsidRDefault="00000000">
            <w:pPr>
              <w:keepNext/>
              <w:keepLines/>
              <w:spacing w:after="0" w:line="247" w:lineRule="auto"/>
              <w:jc w:val="left"/>
              <w:rPr>
                <w:rFonts w:hint="eastAsia"/>
              </w:rPr>
            </w:pPr>
            <w:r>
              <w:rPr>
                <w:b/>
                <w:sz w:val="21"/>
              </w:rPr>
              <w:t>What it contains</w:t>
            </w:r>
          </w:p>
        </w:tc>
        <w:tc>
          <w:tcPr>
            <w:tcW w:w="2448" w:type="dxa"/>
            <w:shd w:val="clear" w:color="auto" w:fill="EAEAEA"/>
            <w:tcMar>
              <w:top w:w="80" w:type="dxa"/>
              <w:left w:w="85" w:type="dxa"/>
              <w:bottom w:w="80" w:type="dxa"/>
              <w:right w:w="85" w:type="dxa"/>
            </w:tcMar>
            <w:vAlign w:val="center"/>
          </w:tcPr>
          <w:p w14:paraId="26B38948" w14:textId="77777777" w:rsidR="000A5C6C" w:rsidRDefault="00000000">
            <w:pPr>
              <w:keepNext/>
              <w:keepLines/>
              <w:spacing w:after="0" w:line="247" w:lineRule="auto"/>
              <w:jc w:val="left"/>
              <w:rPr>
                <w:rFonts w:hint="eastAsia"/>
              </w:rPr>
            </w:pPr>
            <w:r>
              <w:rPr>
                <w:b/>
                <w:sz w:val="21"/>
              </w:rPr>
              <w:t>How it changes</w:t>
            </w:r>
          </w:p>
        </w:tc>
        <w:tc>
          <w:tcPr>
            <w:tcW w:w="3024" w:type="dxa"/>
            <w:shd w:val="clear" w:color="auto" w:fill="EAEAEA"/>
            <w:tcMar>
              <w:top w:w="80" w:type="dxa"/>
              <w:left w:w="85" w:type="dxa"/>
              <w:bottom w:w="80" w:type="dxa"/>
              <w:right w:w="85" w:type="dxa"/>
            </w:tcMar>
            <w:vAlign w:val="center"/>
          </w:tcPr>
          <w:p w14:paraId="50A65DAE" w14:textId="77777777" w:rsidR="000A5C6C" w:rsidRDefault="00000000">
            <w:pPr>
              <w:keepNext/>
              <w:keepLines/>
              <w:spacing w:after="0" w:line="247" w:lineRule="auto"/>
              <w:jc w:val="left"/>
              <w:rPr>
                <w:rFonts w:hint="eastAsia"/>
              </w:rPr>
            </w:pPr>
            <w:r>
              <w:rPr>
                <w:b/>
                <w:sz w:val="21"/>
              </w:rPr>
              <w:t>What it supports</w:t>
            </w:r>
          </w:p>
        </w:tc>
      </w:tr>
      <w:tr w:rsidR="000A5C6C" w14:paraId="68A021D3" w14:textId="77777777">
        <w:trPr>
          <w:cantSplit/>
          <w:jc w:val="center"/>
        </w:trPr>
        <w:tc>
          <w:tcPr>
            <w:tcW w:w="1512" w:type="dxa"/>
            <w:shd w:val="clear" w:color="auto" w:fill="FFFFFF"/>
            <w:tcMar>
              <w:top w:w="80" w:type="dxa"/>
              <w:left w:w="85" w:type="dxa"/>
              <w:bottom w:w="80" w:type="dxa"/>
              <w:right w:w="85" w:type="dxa"/>
            </w:tcMar>
            <w:vAlign w:val="center"/>
          </w:tcPr>
          <w:p w14:paraId="49B9CA99" w14:textId="77777777" w:rsidR="000A5C6C" w:rsidRDefault="00000000">
            <w:pPr>
              <w:keepNext/>
              <w:keepLines/>
              <w:spacing w:after="0" w:line="247" w:lineRule="auto"/>
              <w:jc w:val="left"/>
              <w:rPr>
                <w:rFonts w:hint="eastAsia"/>
              </w:rPr>
            </w:pPr>
            <w:r>
              <w:rPr>
                <w:sz w:val="21"/>
              </w:rPr>
              <w:t xml:space="preserve">Evaluation log </w:t>
            </w:r>
            <m:oMath>
              <m:sSub>
                <m:sSubPr>
                  <m:ctrlPr>
                    <w:rPr>
                      <w:rFonts w:ascii="Cambria Math" w:hAnsi="Cambria Math"/>
                    </w:rPr>
                  </m:ctrlPr>
                </m:sSubPr>
                <m:e>
                  <m:r>
                    <w:rPr>
                      <w:rFonts w:ascii="Cambria Math" w:hAnsi="Cambria Math"/>
                    </w:rPr>
                    <m:t>L</m:t>
                  </m:r>
                </m:e>
                <m:sub>
                  <m:r>
                    <w:rPr>
                      <w:rFonts w:ascii="Cambria Math" w:hAnsi="Cambria Math"/>
                    </w:rPr>
                    <m:t>n</m:t>
                  </m:r>
                </m:sub>
              </m:sSub>
            </m:oMath>
          </w:p>
        </w:tc>
        <w:tc>
          <w:tcPr>
            <w:tcW w:w="2952" w:type="dxa"/>
            <w:shd w:val="clear" w:color="auto" w:fill="FFFFFF"/>
            <w:tcMar>
              <w:top w:w="80" w:type="dxa"/>
              <w:left w:w="85" w:type="dxa"/>
              <w:bottom w:w="80" w:type="dxa"/>
              <w:right w:w="85" w:type="dxa"/>
            </w:tcMar>
            <w:vAlign w:val="center"/>
          </w:tcPr>
          <w:p w14:paraId="779E31F6" w14:textId="77777777" w:rsidR="000A5C6C" w:rsidRDefault="00000000">
            <w:pPr>
              <w:keepNext/>
              <w:keepLines/>
              <w:spacing w:after="0" w:line="247" w:lineRule="auto"/>
              <w:jc w:val="left"/>
              <w:rPr>
                <w:rFonts w:hint="eastAsia"/>
              </w:rPr>
            </w:pPr>
            <w:r>
              <w:rPr>
                <w:sz w:val="21"/>
              </w:rPr>
              <w:t>Attempt identifiers, evaluated responses, sampling probabilities, versions, provenance</w:t>
            </w:r>
          </w:p>
        </w:tc>
        <w:tc>
          <w:tcPr>
            <w:tcW w:w="2448" w:type="dxa"/>
            <w:shd w:val="clear" w:color="auto" w:fill="FFFFFF"/>
            <w:tcMar>
              <w:top w:w="80" w:type="dxa"/>
              <w:left w:w="85" w:type="dxa"/>
              <w:bottom w:w="80" w:type="dxa"/>
              <w:right w:w="85" w:type="dxa"/>
            </w:tcMar>
            <w:vAlign w:val="center"/>
          </w:tcPr>
          <w:p w14:paraId="0AEF972B" w14:textId="77777777" w:rsidR="000A5C6C" w:rsidRDefault="00000000">
            <w:pPr>
              <w:keepNext/>
              <w:keepLines/>
              <w:spacing w:after="0" w:line="247" w:lineRule="auto"/>
              <w:jc w:val="left"/>
              <w:rPr>
                <w:rFonts w:hint="eastAsia"/>
              </w:rPr>
            </w:pPr>
            <w:r>
              <w:rPr>
                <w:sz w:val="21"/>
              </w:rPr>
              <w:t>Append records or preserve an exactly equivalent weighted representation</w:t>
            </w:r>
          </w:p>
        </w:tc>
        <w:tc>
          <w:tcPr>
            <w:tcW w:w="3024" w:type="dxa"/>
            <w:shd w:val="clear" w:color="auto" w:fill="FFFFFF"/>
            <w:tcMar>
              <w:top w:w="80" w:type="dxa"/>
              <w:left w:w="85" w:type="dxa"/>
              <w:bottom w:w="80" w:type="dxa"/>
              <w:right w:w="85" w:type="dxa"/>
            </w:tcMar>
            <w:vAlign w:val="center"/>
          </w:tcPr>
          <w:p w14:paraId="2486F635" w14:textId="77777777" w:rsidR="000A5C6C" w:rsidRDefault="00000000">
            <w:pPr>
              <w:keepNext/>
              <w:keepLines/>
              <w:spacing w:after="0" w:line="247" w:lineRule="auto"/>
              <w:jc w:val="left"/>
              <w:rPr>
                <w:rFonts w:hint="eastAsia"/>
              </w:rPr>
            </w:pPr>
            <w:r>
              <w:rPr>
                <w:sz w:val="21"/>
              </w:rPr>
              <w:t>Estimation, replay, and audit</w:t>
            </w:r>
          </w:p>
        </w:tc>
      </w:tr>
      <w:tr w:rsidR="000A5C6C" w14:paraId="6F60464C" w14:textId="77777777">
        <w:trPr>
          <w:cantSplit/>
          <w:jc w:val="center"/>
        </w:trPr>
        <w:tc>
          <w:tcPr>
            <w:tcW w:w="1512" w:type="dxa"/>
            <w:shd w:val="clear" w:color="auto" w:fill="FFFFFF"/>
            <w:tcMar>
              <w:top w:w="80" w:type="dxa"/>
              <w:left w:w="85" w:type="dxa"/>
              <w:bottom w:w="80" w:type="dxa"/>
              <w:right w:w="85" w:type="dxa"/>
            </w:tcMar>
            <w:vAlign w:val="center"/>
          </w:tcPr>
          <w:p w14:paraId="623E7BEF" w14:textId="77777777" w:rsidR="000A5C6C" w:rsidRDefault="00000000">
            <w:pPr>
              <w:keepNext/>
              <w:keepLines/>
              <w:spacing w:after="0" w:line="247" w:lineRule="auto"/>
              <w:jc w:val="left"/>
              <w:rPr>
                <w:rFonts w:hint="eastAsia"/>
              </w:rPr>
            </w:pPr>
            <w:r>
              <w:rPr>
                <w:sz w:val="21"/>
              </w:rPr>
              <w:t xml:space="preserve">Proposal archive </w:t>
            </w:r>
            <m:oMath>
              <m:sSub>
                <m:sSubPr>
                  <m:ctrlPr>
                    <w:rPr>
                      <w:rFonts w:ascii="Cambria Math" w:hAnsi="Cambria Math"/>
                    </w:rPr>
                  </m:ctrlPr>
                </m:sSubPr>
                <m:e>
                  <m:r>
                    <w:rPr>
                      <w:rFonts w:ascii="Cambria Math" w:hAnsi="Cambria Math"/>
                    </w:rPr>
                    <m:t>A</m:t>
                  </m:r>
                </m:e>
                <m:sub>
                  <m:r>
                    <w:rPr>
                      <w:rFonts w:ascii="Cambria Math" w:hAnsi="Cambria Math"/>
                    </w:rPr>
                    <m:t>n</m:t>
                  </m:r>
                </m:sub>
              </m:sSub>
            </m:oMath>
          </w:p>
        </w:tc>
        <w:tc>
          <w:tcPr>
            <w:tcW w:w="2952" w:type="dxa"/>
            <w:shd w:val="clear" w:color="auto" w:fill="FFFFFF"/>
            <w:tcMar>
              <w:top w:w="80" w:type="dxa"/>
              <w:left w:w="85" w:type="dxa"/>
              <w:bottom w:w="80" w:type="dxa"/>
              <w:right w:w="85" w:type="dxa"/>
            </w:tcMar>
            <w:vAlign w:val="center"/>
          </w:tcPr>
          <w:p w14:paraId="12256954" w14:textId="77777777" w:rsidR="000A5C6C" w:rsidRDefault="00000000">
            <w:pPr>
              <w:keepNext/>
              <w:keepLines/>
              <w:spacing w:after="0" w:line="247" w:lineRule="auto"/>
              <w:jc w:val="left"/>
              <w:rPr>
                <w:rFonts w:hint="eastAsia"/>
              </w:rPr>
            </w:pPr>
            <w:r>
              <w:rPr>
                <w:sz w:val="21"/>
              </w:rPr>
              <w:t xml:space="preserve">At most </w:t>
            </w:r>
            <m:oMath>
              <m:r>
                <w:rPr>
                  <w:rFonts w:ascii="Cambria Math" w:hAnsi="Cambria Math"/>
                </w:rPr>
                <m:t>K</m:t>
              </m:r>
            </m:oMath>
            <w:r>
              <w:rPr>
                <w:sz w:val="21"/>
              </w:rPr>
              <w:t xml:space="preserve"> selected records or representatives</w:t>
            </w:r>
          </w:p>
        </w:tc>
        <w:tc>
          <w:tcPr>
            <w:tcW w:w="2448" w:type="dxa"/>
            <w:shd w:val="clear" w:color="auto" w:fill="FFFFFF"/>
            <w:tcMar>
              <w:top w:w="80" w:type="dxa"/>
              <w:left w:w="85" w:type="dxa"/>
              <w:bottom w:w="80" w:type="dxa"/>
              <w:right w:w="85" w:type="dxa"/>
            </w:tcMar>
            <w:vAlign w:val="center"/>
          </w:tcPr>
          <w:p w14:paraId="40466567" w14:textId="77777777" w:rsidR="000A5C6C" w:rsidRDefault="00000000">
            <w:pPr>
              <w:keepNext/>
              <w:keepLines/>
              <w:spacing w:after="0" w:line="247" w:lineRule="auto"/>
              <w:jc w:val="left"/>
              <w:rPr>
                <w:rFonts w:hint="eastAsia"/>
              </w:rPr>
            </w:pPr>
            <w:r>
              <w:rPr>
                <w:sz w:val="21"/>
              </w:rPr>
              <w:t>Environmental selection, truncation, or controlled compression</w:t>
            </w:r>
          </w:p>
        </w:tc>
        <w:tc>
          <w:tcPr>
            <w:tcW w:w="3024" w:type="dxa"/>
            <w:shd w:val="clear" w:color="auto" w:fill="FFFFFF"/>
            <w:tcMar>
              <w:top w:w="80" w:type="dxa"/>
              <w:left w:w="85" w:type="dxa"/>
              <w:bottom w:w="80" w:type="dxa"/>
              <w:right w:w="85" w:type="dxa"/>
            </w:tcMar>
            <w:vAlign w:val="center"/>
          </w:tcPr>
          <w:p w14:paraId="67ACE87F" w14:textId="77777777" w:rsidR="000A5C6C" w:rsidRDefault="00000000">
            <w:pPr>
              <w:keepNext/>
              <w:keepLines/>
              <w:spacing w:after="0" w:line="247" w:lineRule="auto"/>
              <w:jc w:val="left"/>
              <w:rPr>
                <w:rFonts w:hint="eastAsia"/>
              </w:rPr>
            </w:pPr>
            <w:r>
              <w:rPr>
                <w:sz w:val="21"/>
              </w:rPr>
              <w:t>Fast numerical retrieval and search diversity</w:t>
            </w:r>
          </w:p>
        </w:tc>
      </w:tr>
      <w:tr w:rsidR="000A5C6C" w14:paraId="01213417" w14:textId="77777777">
        <w:trPr>
          <w:cantSplit/>
          <w:jc w:val="center"/>
        </w:trPr>
        <w:tc>
          <w:tcPr>
            <w:tcW w:w="1512" w:type="dxa"/>
            <w:shd w:val="clear" w:color="auto" w:fill="FFFFFF"/>
            <w:tcMar>
              <w:top w:w="80" w:type="dxa"/>
              <w:left w:w="85" w:type="dxa"/>
              <w:bottom w:w="80" w:type="dxa"/>
              <w:right w:w="85" w:type="dxa"/>
            </w:tcMar>
            <w:vAlign w:val="center"/>
          </w:tcPr>
          <w:p w14:paraId="5B75BC9B" w14:textId="77777777" w:rsidR="000A5C6C" w:rsidRDefault="00000000">
            <w:pPr>
              <w:keepLines/>
              <w:spacing w:after="0" w:line="247" w:lineRule="auto"/>
              <w:jc w:val="left"/>
              <w:rPr>
                <w:rFonts w:hint="eastAsia"/>
              </w:rPr>
            </w:pPr>
            <w:r>
              <w:rPr>
                <w:sz w:val="21"/>
              </w:rPr>
              <w:t xml:space="preserve">Reporting archive </w:t>
            </w:r>
            <m:oMath>
              <m:sSub>
                <m:sSubPr>
                  <m:ctrlPr>
                    <w:rPr>
                      <w:rFonts w:ascii="Cambria Math" w:hAnsi="Cambria Math"/>
                    </w:rPr>
                  </m:ctrlPr>
                </m:sSubPr>
                <m:e>
                  <m:r>
                    <w:rPr>
                      <w:rFonts w:ascii="Cambria Math" w:hAnsi="Cambria Math"/>
                    </w:rPr>
                    <m:t>R</m:t>
                  </m:r>
                </m:e>
                <m:sub>
                  <m:r>
                    <w:rPr>
                      <w:rFonts w:ascii="Cambria Math" w:hAnsi="Cambria Math"/>
                    </w:rPr>
                    <m:t>n</m:t>
                  </m:r>
                </m:sub>
              </m:sSub>
            </m:oMath>
          </w:p>
        </w:tc>
        <w:tc>
          <w:tcPr>
            <w:tcW w:w="2952" w:type="dxa"/>
            <w:shd w:val="clear" w:color="auto" w:fill="FFFFFF"/>
            <w:tcMar>
              <w:top w:w="80" w:type="dxa"/>
              <w:left w:w="85" w:type="dxa"/>
              <w:bottom w:w="80" w:type="dxa"/>
              <w:right w:w="85" w:type="dxa"/>
            </w:tcMar>
            <w:vAlign w:val="center"/>
          </w:tcPr>
          <w:p w14:paraId="4ED16ED5" w14:textId="77777777" w:rsidR="000A5C6C" w:rsidRDefault="00000000">
            <w:pPr>
              <w:keepLines/>
              <w:spacing w:after="0" w:line="247" w:lineRule="auto"/>
              <w:jc w:val="left"/>
              <w:rPr>
                <w:rFonts w:hint="eastAsia"/>
              </w:rPr>
            </w:pPr>
            <w:r>
              <w:rPr>
                <w:sz w:val="21"/>
              </w:rPr>
              <w:t>Verified feasible nondominated evaluated artifacts under one declared problem version</w:t>
            </w:r>
          </w:p>
        </w:tc>
        <w:tc>
          <w:tcPr>
            <w:tcW w:w="2448" w:type="dxa"/>
            <w:shd w:val="clear" w:color="auto" w:fill="FFFFFF"/>
            <w:tcMar>
              <w:top w:w="80" w:type="dxa"/>
              <w:left w:w="85" w:type="dxa"/>
              <w:bottom w:w="80" w:type="dxa"/>
              <w:right w:w="85" w:type="dxa"/>
            </w:tcMar>
            <w:vAlign w:val="center"/>
          </w:tcPr>
          <w:p w14:paraId="5395CA21" w14:textId="77777777" w:rsidR="000A5C6C" w:rsidRDefault="00000000">
            <w:pPr>
              <w:keepLines/>
              <w:spacing w:after="0" w:line="247" w:lineRule="auto"/>
              <w:jc w:val="left"/>
              <w:rPr>
                <w:rFonts w:hint="eastAsia"/>
              </w:rPr>
            </w:pPr>
            <w:r>
              <w:rPr>
                <w:sz w:val="21"/>
              </w:rPr>
              <w:t>Feasibility checks and nondominated filtering</w:t>
            </w:r>
          </w:p>
        </w:tc>
        <w:tc>
          <w:tcPr>
            <w:tcW w:w="3024" w:type="dxa"/>
            <w:shd w:val="clear" w:color="auto" w:fill="FFFFFF"/>
            <w:tcMar>
              <w:top w:w="80" w:type="dxa"/>
              <w:left w:w="85" w:type="dxa"/>
              <w:bottom w:w="80" w:type="dxa"/>
              <w:right w:w="85" w:type="dxa"/>
            </w:tcMar>
            <w:vAlign w:val="center"/>
          </w:tcPr>
          <w:p w14:paraId="34782B48" w14:textId="77777777" w:rsidR="000A5C6C" w:rsidRDefault="00000000">
            <w:pPr>
              <w:keepLines/>
              <w:spacing w:after="0" w:line="247" w:lineRule="auto"/>
              <w:jc w:val="left"/>
              <w:rPr>
                <w:rFonts w:hint="eastAsia"/>
              </w:rPr>
            </w:pPr>
            <w:r>
              <w:rPr>
                <w:sz w:val="21"/>
              </w:rPr>
              <w:t>Reported design alternatives and incumbents</w:t>
            </w:r>
          </w:p>
        </w:tc>
      </w:tr>
    </w:tbl>
    <w:p w14:paraId="71D7FC0B" w14:textId="77777777" w:rsidR="000A5C6C" w:rsidRDefault="00000000">
      <w:pPr>
        <w:pStyle w:val="BodyText"/>
        <w:spacing w:before="140"/>
        <w:rPr>
          <w:rFonts w:hint="eastAsia"/>
        </w:rPr>
      </w:pPr>
      <w:r>
        <w:t>The complete log is the default engineering record. Logical completeness does not require keeping every duplicate as a separate row when sufficient coefficients and provenance remain available. Conversely, a compact working archive is not a substitute for statistical or engineering evidence merely because its records have good objectives.</w:t>
      </w:r>
    </w:p>
    <w:p w14:paraId="05ED19DA" w14:textId="77777777" w:rsidR="000A5C6C" w:rsidRDefault="00000000">
      <w:pPr>
        <w:pStyle w:val="BodyText"/>
        <w:rPr>
          <w:rFonts w:hint="eastAsia"/>
        </w:rPr>
      </w:pPr>
      <w:r>
        <w:t xml:space="preserve">A query direction is a predictable control choice formed from past data. It is not an additional store. A reporting archive describes evaluated artifacts, not unevaluated posterior means, and its </w:t>
      </w:r>
      <w:r>
        <w:lastRenderedPageBreak/>
        <w:t>nondominance is relative to the available verified records rather than the entire feasible design space. If objectives, constraints, or evaluators change, earlier reporting membership must be revalidated or version-separated.</w:t>
      </w:r>
    </w:p>
    <w:p w14:paraId="740575C4" w14:textId="77777777" w:rsidR="000A5C6C" w:rsidRDefault="00000000">
      <w:pPr>
        <w:pStyle w:val="Heading1"/>
        <w:rPr>
          <w:rFonts w:hint="eastAsia"/>
        </w:rPr>
      </w:pPr>
      <w:bookmarkStart w:id="5" w:name="reference-direction-geometry"/>
      <w:bookmarkEnd w:id="2"/>
      <w:bookmarkEnd w:id="4"/>
      <w:r>
        <w:t>3 Reference direction geometry</w:t>
      </w:r>
    </w:p>
    <w:p w14:paraId="1083DB8A" w14:textId="77777777" w:rsidR="000A5C6C" w:rsidRDefault="00000000">
      <w:pPr>
        <w:pStyle w:val="Heading2"/>
        <w:rPr>
          <w:rFonts w:hint="eastAsia"/>
        </w:rPr>
      </w:pPr>
      <w:bookmarkStart w:id="6" w:name="scaling-and-association"/>
      <w:r>
        <w:t>3.1 Scaling and association</w:t>
      </w:r>
    </w:p>
    <w:p w14:paraId="2D89F003" w14:textId="77777777" w:rsidR="000A5C6C" w:rsidRDefault="00000000">
      <w:pPr>
        <w:pStyle w:val="FirstParagraph"/>
        <w:rPr>
          <w:rFonts w:hint="eastAsia"/>
        </w:rPr>
      </w:pPr>
      <w:r>
        <w:t xml:space="preserve">At a proposal step fix an ideal offset </w:t>
      </w:r>
      <m:oMath>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i</m:t>
            </m:r>
            <m:r>
              <m:rPr>
                <m:sty m:val="p"/>
              </m:rPr>
              <w:rPr>
                <w:rFonts w:ascii="Cambria Math" w:hAnsi="Cambria Math"/>
              </w:rPr>
              <m:t>∈</m:t>
            </m:r>
            <m:r>
              <w:rPr>
                <w:rFonts w:ascii="Cambria Math" w:hAnsi="Cambria Math"/>
              </w:rPr>
              <m:t>A</m:t>
            </m:r>
          </m:sub>
        </m:sSub>
        <m:sSub>
          <m:sSubPr>
            <m:ctrlPr>
              <w:rPr>
                <w:rFonts w:ascii="Cambria Math" w:hAnsi="Cambria Math"/>
              </w:rPr>
            </m:ctrlPr>
          </m:sSubPr>
          <m:e>
            <m:r>
              <w:rPr>
                <w:rFonts w:ascii="Cambria Math" w:hAnsi="Cambria Math"/>
              </w:rPr>
              <m:t>F</m:t>
            </m:r>
          </m:e>
          <m:sub>
            <m:r>
              <w:rPr>
                <w:rFonts w:ascii="Cambria Math" w:hAnsi="Cambria Math"/>
              </w:rPr>
              <m:t>ij</m:t>
            </m:r>
          </m:sub>
        </m:sSub>
      </m:oMath>
      <w:r>
        <w:t xml:space="preserve"> and positive scales </w:t>
      </w:r>
      <m:oMath>
        <m:sSub>
          <m:sSubPr>
            <m:ctrlPr>
              <w:rPr>
                <w:rFonts w:ascii="Cambria Math" w:hAnsi="Cambria Math"/>
              </w:rPr>
            </m:ctrlPr>
          </m:sSubPr>
          <m:e>
            <m:r>
              <w:rPr>
                <w:rFonts w:ascii="Cambria Math" w:hAnsi="Cambria Math"/>
              </w:rPr>
              <m:t>s</m:t>
            </m:r>
          </m:e>
          <m:sub>
            <m:r>
              <w:rPr>
                <w:rFonts w:ascii="Cambria Math" w:hAnsi="Cambria Math"/>
              </w:rPr>
              <m:t>j</m:t>
            </m:r>
          </m:sub>
        </m:sSub>
      </m:oMath>
      <w:r>
        <w:t xml:space="preserve">. Set </w:t>
      </w:r>
      <m:oMath>
        <m:sSub>
          <m:sSubPr>
            <m:ctrlPr>
              <w:rPr>
                <w:rFonts w:ascii="Cambria Math" w:hAnsi="Cambria Math"/>
              </w:rPr>
            </m:ctrlPr>
          </m:sSubPr>
          <m:e>
            <m:r>
              <w:rPr>
                <w:rFonts w:ascii="Cambria Math" w:hAnsi="Cambria Math"/>
              </w:rPr>
              <m:t>v</m:t>
            </m:r>
          </m:e>
          <m:sub>
            <m:r>
              <w:rPr>
                <w:rFonts w:ascii="Cambria Math" w:hAnsi="Cambria Math"/>
              </w:rPr>
              <m:t>ij</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e>
        </m:d>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r>
          <w:rPr>
            <w:rFonts w:ascii="Cambria Math" w:hAnsi="Cambria Math"/>
          </w:rPr>
          <m:t>0</m:t>
        </m:r>
      </m:oMath>
      <w:r>
        <w:t xml:space="preserve">. NSGA-III estimates scales using extreme points and an intercept hyperplane. If the translated extreme-point matrix is </w:t>
      </w:r>
      <m:oMath>
        <m:r>
          <w:rPr>
            <w:rFonts w:ascii="Cambria Math" w:hAnsi="Cambria Math"/>
          </w:rPr>
          <m:t>E</m:t>
        </m:r>
      </m:oMath>
      <w:r>
        <w:t xml:space="preserve">, one solves </w:t>
      </w:r>
      <m:oMath>
        <m:r>
          <w:rPr>
            <w:rFonts w:ascii="Cambria Math" w:hAnsi="Cambria Math"/>
          </w:rPr>
          <m:t>Eb</m:t>
        </m:r>
        <m:r>
          <m:rPr>
            <m:sty m:val="p"/>
          </m:rPr>
          <w:rPr>
            <w:rFonts w:ascii="Cambria Math" w:hAnsi="Cambria Math"/>
          </w:rPr>
          <m:t>=</m:t>
        </m:r>
        <m:r>
          <m:rPr>
            <m:sty m:val="b"/>
          </m:rPr>
          <w:rPr>
            <w:rFonts w:ascii="Cambria Math" w:hAnsi="Cambria Math"/>
          </w:rPr>
          <m:t>1</m:t>
        </m:r>
      </m:oMath>
      <w:r>
        <w:t xml:space="preserve"> and uses intercepts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oMath>
      <w:r>
        <w:t xml:space="preserve"> only when the solve is numerically reliable and every intercept is finite and positive. Singular matrices, nonpositive intercepts, and zero extents need an explicit fallback. A usable rule is the positive first-front extent where available and a declared positive physical scale otherwise.</w:t>
      </w:r>
    </w:p>
    <w:p w14:paraId="1FC96361" w14:textId="77777777" w:rsidR="000A5C6C" w:rsidRDefault="00000000">
      <w:pPr>
        <w:pStyle w:val="BodyText"/>
        <w:rPr>
          <w:rFonts w:hint="eastAsia"/>
        </w:rPr>
      </w:pPr>
      <w:r>
        <w:t>This is a geometry choice. Changing scales changes associations and distances; it does not alter Pareto dominance. Archive-dependent normalization is legitimate for a proposal policy, but a claim about a fixed population target requires a separately frozen loss and scale definition. Arbitrary tiny denominators can manufacture extreme geometric preferences.</w:t>
      </w:r>
    </w:p>
    <w:p w14:paraId="0BF6543D" w14:textId="77777777" w:rsidR="000A5C6C" w:rsidRDefault="00000000">
      <w:pPr>
        <w:pStyle w:val="BodyText"/>
        <w:keepNext/>
        <w:rPr>
          <w:rFonts w:hint="eastAsia"/>
        </w:rPr>
      </w:pPr>
      <w:r>
        <w:t xml:space="preserve">For </w:t>
      </w:r>
      <m:oMath>
        <m:r>
          <w:rPr>
            <w:rFonts w:ascii="Cambria Math" w:hAnsi="Cambria Math"/>
          </w:rPr>
          <m:t>m</m:t>
        </m:r>
        <m:r>
          <m:rPr>
            <m:sty m:val="p"/>
          </m:rPr>
          <w:rPr>
            <w:rFonts w:ascii="Cambria Math" w:hAnsi="Cambria Math"/>
          </w:rPr>
          <m:t>≥</m:t>
        </m:r>
        <m:r>
          <w:rPr>
            <w:rFonts w:ascii="Cambria Math" w:hAnsi="Cambria Math"/>
          </w:rPr>
          <m:t>2</m:t>
        </m:r>
      </m:oMath>
      <w:r>
        <w:t xml:space="preserve"> and integer </w:t>
      </w:r>
      <m:oMath>
        <m:r>
          <w:rPr>
            <w:rFonts w:ascii="Cambria Math" w:hAnsi="Cambria Math"/>
          </w:rPr>
          <m:t>H</m:t>
        </m:r>
        <m:r>
          <m:rPr>
            <m:sty m:val="p"/>
          </m:rPr>
          <w:rPr>
            <w:rFonts w:ascii="Cambria Math" w:hAnsi="Cambria Math"/>
          </w:rPr>
          <m:t>≥</m:t>
        </m:r>
        <m:r>
          <w:rPr>
            <w:rFonts w:ascii="Cambria Math" w:hAnsi="Cambria Math"/>
          </w:rPr>
          <m:t>1</m:t>
        </m:r>
      </m:oMath>
      <w:r>
        <w:t>, the simplex lattice directions are</w:t>
      </w:r>
    </w:p>
    <w:p w14:paraId="040A4D07" w14:textId="77777777" w:rsidR="000A5C6C"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m:rPr>
                  <m:scr m:val="script"/>
                  <m:sty m:val="p"/>
                </m:rPr>
                <w:rPr>
                  <w:rFonts w:ascii="Cambria Math" w:hAnsi="Cambria Math"/>
                </w:rPr>
                <m:t>W</m:t>
              </m:r>
            </m:e>
            <m:sub>
              <m:r>
                <w:rPr>
                  <w:rFonts w:ascii="Cambria Math" w:hAnsi="Cambria Math"/>
                </w:rPr>
                <m:t>m</m:t>
              </m:r>
              <m:r>
                <m:rPr>
                  <m:sty m:val="p"/>
                </m:rPr>
                <w:rPr>
                  <w:rFonts w:ascii="Cambria Math" w:hAnsi="Cambria Math"/>
                </w:rPr>
                <m:t>,</m:t>
              </m:r>
              <m:r>
                <w:rPr>
                  <w:rFonts w:ascii="Cambria Math" w:hAnsi="Cambria Math"/>
                </w:rPr>
                <m:t>H</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m</m:t>
                  </m:r>
                </m:sub>
              </m:sSub>
              <m:r>
                <m:rPr>
                  <m:sty m:val="p"/>
                </m:rPr>
                <w:rPr>
                  <w:rFonts w:ascii="Cambria Math" w:hAnsi="Cambria Math"/>
                </w:rPr>
                <m:t>/</m:t>
              </m:r>
              <m:r>
                <w:rPr>
                  <w:rFonts w:ascii="Cambria Math" w:hAnsi="Cambria Math"/>
                </w:rPr>
                <m:t>H</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N</m:t>
              </m:r>
            </m:e>
            <m:sub>
              <m:r>
                <w:rPr>
                  <w:rFonts w:ascii="Cambria Math" w:hAnsi="Cambria Math"/>
                </w:rPr>
                <m:t>0</m:t>
              </m:r>
            </m:sub>
          </m:sSub>
          <m:r>
            <m:rPr>
              <m:sty m:val="p"/>
            </m:rPr>
            <w:rPr>
              <w:rFonts w:ascii="Cambria Math" w:hAnsi="Cambria Math"/>
            </w:rPr>
            <m:t>,</m:t>
          </m:r>
          <m:r>
            <m:rPr>
              <m:nor/>
            </m:rPr>
            <m:t>    </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h</m:t>
                  </m:r>
                </m:e>
                <m:sub>
                  <m:r>
                    <w:rPr>
                      <w:rFonts w:ascii="Cambria Math" w:hAnsi="Cambria Math"/>
                    </w:rPr>
                    <m:t>j</m:t>
                  </m:r>
                </m:sub>
              </m:sSub>
            </m:e>
          </m:nary>
          <m:r>
            <m:rPr>
              <m:sty m:val="p"/>
            </m:rPr>
            <w:rPr>
              <w:rFonts w:ascii="Cambria Math" w:hAnsi="Cambria Math"/>
            </w:rPr>
            <m:t>=</m:t>
          </m:r>
          <m:r>
            <w:rPr>
              <w:rFonts w:ascii="Cambria Math" w:hAnsi="Cambria Math"/>
            </w:rPr>
            <m:t>H</m:t>
          </m:r>
          <m:r>
            <m:rPr>
              <m:sty m:val="p"/>
            </m:rPr>
            <w:rPr>
              <w:rFonts w:ascii="Cambria Math" w:hAnsi="Cambria Math"/>
            </w:rPr>
            <m:t>},</m:t>
          </m:r>
          <m:r>
            <m:rPr>
              <m:nor/>
            </m:rPr>
            <m:t>    </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W</m:t>
              </m:r>
            </m:e>
            <m:sub>
              <m:r>
                <w:rPr>
                  <w:rFonts w:ascii="Cambria Math" w:hAnsi="Cambria Math"/>
                </w:rPr>
                <m:t>m</m:t>
              </m:r>
              <m:r>
                <m:rPr>
                  <m:sty m:val="p"/>
                </m:rPr>
                <w:rPr>
                  <w:rFonts w:ascii="Cambria Math" w:hAnsi="Cambria Math"/>
                </w:rPr>
                <m:t>,</m:t>
              </m:r>
              <m:r>
                <w:rPr>
                  <w:rFonts w:ascii="Cambria Math" w:hAnsi="Cambria Math"/>
                </w:rPr>
                <m:t>H</m:t>
              </m:r>
            </m:sub>
          </m:sSub>
          <m:r>
            <m:rPr>
              <m:sty m:val="p"/>
            </m:rPr>
            <w:rPr>
              <w:rFonts w:ascii="Cambria Math" w:hAnsi="Cambria Math"/>
            </w:rPr>
            <m:t>|=</m:t>
          </m:r>
          <m:d>
            <m:dPr>
              <m:ctrlPr>
                <w:rPr>
                  <w:rFonts w:ascii="Cambria Math" w:hAnsi="Cambria Math"/>
                </w:rPr>
              </m:ctrlPr>
            </m:dPr>
            <m:e>
              <m:f>
                <m:fPr>
                  <m:type m:val="noBar"/>
                  <m:ctrlPr>
                    <w:rPr>
                      <w:rFonts w:ascii="Cambria Math" w:hAnsi="Cambria Math"/>
                    </w:rPr>
                  </m:ctrlPr>
                </m:fPr>
                <m:num>
                  <m:r>
                    <w:rPr>
                      <w:rFonts w:ascii="Cambria Math" w:hAnsi="Cambria Math"/>
                    </w:rPr>
                    <m:t>H</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num>
                <m:den>
                  <m:r>
                    <w:rPr>
                      <w:rFonts w:ascii="Cambria Math" w:hAnsi="Cambria Math"/>
                    </w:rPr>
                    <m:t>m</m:t>
                  </m:r>
                  <m:r>
                    <m:rPr>
                      <m:sty m:val="p"/>
                    </m:rPr>
                    <w:rPr>
                      <w:rFonts w:ascii="Cambria Math" w:hAnsi="Cambria Math"/>
                    </w:rPr>
                    <m:t>-</m:t>
                  </m:r>
                  <m:r>
                    <w:rPr>
                      <w:rFonts w:ascii="Cambria Math" w:hAnsi="Cambria Math"/>
                    </w:rPr>
                    <m:t>1</m:t>
                  </m:r>
                </m:den>
              </m:f>
            </m:e>
          </m:d>
          <m:r>
            <m:rPr>
              <m:sty m:val="p"/>
            </m:rPr>
            <w:rPr>
              <w:rFonts w:ascii="Cambria Math" w:hAnsi="Cambria Math"/>
            </w:rPr>
            <m:t>.</m:t>
          </m:r>
          <m:r>
            <m:rPr>
              <m:nor/>
            </m:rPr>
            <m:t>    (2)</m:t>
          </m:r>
        </m:oMath>
      </m:oMathPara>
    </w:p>
    <w:p w14:paraId="1A39C71C" w14:textId="77777777" w:rsidR="000A5C6C" w:rsidRDefault="00000000">
      <w:pPr>
        <w:pStyle w:val="FirstParagraph"/>
        <w:rPr>
          <w:rFonts w:hint="eastAsia"/>
        </w:rPr>
      </w:pPr>
      <w:r>
        <w:t xml:space="preserve">The count follows by placing </w:t>
      </w:r>
      <m:oMath>
        <m:r>
          <w:rPr>
            <w:rFonts w:ascii="Cambria Math" w:hAnsi="Cambria Math"/>
          </w:rPr>
          <m:t>m</m:t>
        </m:r>
        <m:r>
          <m:rPr>
            <m:sty m:val="p"/>
          </m:rPr>
          <w:rPr>
            <w:rFonts w:ascii="Cambria Math" w:hAnsi="Cambria Math"/>
          </w:rPr>
          <m:t>-</m:t>
        </m:r>
        <m:r>
          <w:rPr>
            <w:rFonts w:ascii="Cambria Math" w:hAnsi="Cambria Math"/>
          </w:rPr>
          <m:t>1</m:t>
        </m:r>
      </m:oMath>
      <w:r>
        <w:t xml:space="preserve"> separators among </w:t>
      </w:r>
      <m:oMath>
        <m:r>
          <w:rPr>
            <w:rFonts w:ascii="Cambria Math" w:hAnsi="Cambria Math"/>
          </w:rPr>
          <m:t>H</m:t>
        </m:r>
      </m:oMath>
      <w:r>
        <w:t xml:space="preserve"> indistinguishable units. It gives 100, 91, and 126 directions for </w:t>
      </w:r>
      <m:oMath>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H</m:t>
            </m:r>
          </m:e>
        </m:d>
        <m:r>
          <m:rPr>
            <m:sty m:val="p"/>
          </m:rPr>
          <w:rPr>
            <w:rFonts w:ascii="Cambria Math" w:hAnsi="Cambria Math"/>
          </w:rPr>
          <m:t>=</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99</m:t>
            </m:r>
          </m:e>
        </m:d>
        <m:r>
          <m:rPr>
            <m:sty m:val="p"/>
          </m:rPr>
          <w:rPr>
            <w:rFonts w:ascii="Cambria Math" w:hAnsi="Cambria Math"/>
          </w:rPr>
          <m:t>,</m:t>
        </m:r>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12</m:t>
            </m:r>
          </m:e>
        </m:d>
        <m:r>
          <m:rPr>
            <m:sty m:val="p"/>
          </m:rPr>
          <w:rPr>
            <w:rFonts w:ascii="Cambria Math" w:hAnsi="Cambria Math"/>
          </w:rPr>
          <m:t>,</m:t>
        </m:r>
        <m:d>
          <m:dPr>
            <m:ctrlPr>
              <w:rPr>
                <w:rFonts w:ascii="Cambria Math" w:hAnsi="Cambria Math"/>
              </w:rPr>
            </m:ctrlPr>
          </m:dPr>
          <m:e>
            <m:r>
              <w:rPr>
                <w:rFonts w:ascii="Cambria Math" w:hAnsi="Cambria Math"/>
              </w:rPr>
              <m:t>5</m:t>
            </m:r>
            <m:r>
              <m:rPr>
                <m:sty m:val="p"/>
              </m:rPr>
              <w:rPr>
                <w:rFonts w:ascii="Cambria Math" w:hAnsi="Cambria Math"/>
              </w:rPr>
              <m:t>,</m:t>
            </m:r>
            <m:r>
              <w:rPr>
                <w:rFonts w:ascii="Cambria Math" w:hAnsi="Cambria Math"/>
              </w:rPr>
              <m:t>5</m:t>
            </m:r>
          </m:e>
        </m:d>
      </m:oMath>
      <w:r>
        <w:t xml:space="preserve">. Normalize each nonzero direction to a Euclidean unit vector </w:t>
      </w:r>
      <m:oMath>
        <m:r>
          <w:rPr>
            <w:rFonts w:ascii="Cambria Math" w:hAnsi="Cambria Math"/>
          </w:rPr>
          <m:t>w</m:t>
        </m:r>
      </m:oMath>
      <w:r>
        <w:t xml:space="preserve"> before computing perpendicular distances.</w:t>
      </w:r>
    </w:p>
    <w:p w14:paraId="35982E2D" w14:textId="77777777" w:rsidR="000A5C6C" w:rsidRDefault="00000000">
      <w:pPr>
        <w:pStyle w:val="BodyText"/>
        <w:keepNext/>
        <w:keepLines/>
        <w:rPr>
          <w:rFonts w:hint="eastAsia"/>
        </w:rPr>
      </w:pPr>
      <w:r>
        <w:rPr>
          <w:b/>
          <w:bCs/>
        </w:rPr>
        <w:t>Lemma 1 (line and ray association).</w:t>
      </w:r>
      <w:r>
        <w:t xml:space="preserve"> The distances from </w:t>
      </w:r>
      <m:oMath>
        <m:r>
          <w:rPr>
            <w:rFonts w:ascii="Cambria Math" w:hAnsi="Cambria Math"/>
          </w:rPr>
          <m:t>v</m:t>
        </m:r>
      </m:oMath>
      <w:r>
        <w:t xml:space="preserve"> to the line and ray through a unit </w:t>
      </w:r>
      <m:oMath>
        <m:r>
          <w:rPr>
            <w:rFonts w:ascii="Cambria Math" w:hAnsi="Cambria Math"/>
          </w:rPr>
          <m:t>w</m:t>
        </m:r>
      </m:oMath>
      <w:r>
        <w:t xml:space="preserve"> are</w:t>
      </w:r>
    </w:p>
    <w:p w14:paraId="2A30463F" w14:textId="77777777" w:rsidR="000A5C6C"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d</m:t>
              </m:r>
            </m:e>
            <m:sub>
              <m:r>
                <m:rPr>
                  <m:sty m:val="p"/>
                </m:rPr>
                <w:rPr>
                  <w:rFonts w:ascii="Cambria Math" w:hAnsi="Cambria Math"/>
                </w:rPr>
                <m:t>line</m:t>
              </m:r>
            </m:sub>
          </m:sSub>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w</m:t>
              </m:r>
            </m:e>
          </m:d>
          <m:r>
            <m:rPr>
              <m:sty m:val="p"/>
            </m:rPr>
            <w:rPr>
              <w:rFonts w:ascii="Cambria Math" w:hAnsi="Cambria Math"/>
            </w:rPr>
            <m:t>=∥</m:t>
          </m:r>
          <m:r>
            <w:rPr>
              <w:rFonts w:ascii="Cambria Math" w:hAnsi="Cambria Math"/>
            </w:rPr>
            <m:t>v</m:t>
          </m:r>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v</m:t>
                  </m:r>
                </m:e>
                <m:sup>
                  <m:r>
                    <w:rPr>
                      <w:rFonts w:ascii="Cambria Math" w:hAnsi="Cambria Math"/>
                    </w:rPr>
                    <m:t>T</m:t>
                  </m:r>
                </m:sup>
              </m:sSup>
              <m:r>
                <w:rPr>
                  <w:rFonts w:ascii="Cambria Math" w:hAnsi="Cambria Math"/>
                </w:rPr>
                <m:t>w</m:t>
              </m:r>
            </m:e>
          </m:d>
          <m:r>
            <w:rPr>
              <w:rFonts w:ascii="Cambria Math" w:hAnsi="Cambria Math"/>
            </w:rPr>
            <m:t>w</m:t>
          </m:r>
          <m:r>
            <m:rPr>
              <m:sty m:val="p"/>
            </m:rPr>
            <w:rPr>
              <w:rFonts w:ascii="Cambria Math" w:hAnsi="Cambria Math"/>
            </w:rPr>
            <m:t>∥,</m:t>
          </m:r>
          <m:r>
            <m:rPr>
              <m:nor/>
            </m:rPr>
            <m:t>    </m:t>
          </m:r>
          <m:sSub>
            <m:sSubPr>
              <m:ctrlPr>
                <w:rPr>
                  <w:rFonts w:ascii="Cambria Math" w:hAnsi="Cambria Math"/>
                </w:rPr>
              </m:ctrlPr>
            </m:sSubPr>
            <m:e>
              <m:r>
                <w:rPr>
                  <w:rFonts w:ascii="Cambria Math" w:hAnsi="Cambria Math"/>
                </w:rPr>
                <m:t>d</m:t>
              </m:r>
            </m:e>
            <m:sub>
              <m:r>
                <m:rPr>
                  <m:sty m:val="p"/>
                </m:rPr>
                <w:rPr>
                  <w:rFonts w:ascii="Cambria Math" w:hAnsi="Cambria Math"/>
                </w:rPr>
                <m:t>ray</m:t>
              </m:r>
            </m:sub>
          </m:sSub>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w</m:t>
              </m:r>
            </m:e>
          </m:d>
          <m:r>
            <m:rPr>
              <m:sty m:val="p"/>
            </m:rPr>
            <w:rPr>
              <w:rFonts w:ascii="Cambria Math" w:hAnsi="Cambria Math"/>
            </w:rPr>
            <m:t>=∥</m:t>
          </m:r>
          <m:r>
            <w:rPr>
              <w:rFonts w:ascii="Cambria Math" w:hAnsi="Cambria Math"/>
            </w:rPr>
            <m:t>v</m:t>
          </m:r>
          <m:r>
            <m:rPr>
              <m:sty m:val="p"/>
            </m:rPr>
            <w:rPr>
              <w:rFonts w:ascii="Cambria Math" w:hAnsi="Cambria Math"/>
            </w:rPr>
            <m:t>-max</m:t>
          </m:r>
          <m:d>
            <m:dPr>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T</m:t>
                  </m:r>
                </m:sup>
              </m:sSup>
              <m:r>
                <w:rPr>
                  <w:rFonts w:ascii="Cambria Math" w:hAnsi="Cambria Math"/>
                </w:rPr>
                <m:t>w</m:t>
              </m:r>
            </m:e>
          </m:d>
          <m:r>
            <w:rPr>
              <w:rFonts w:ascii="Cambria Math" w:hAnsi="Cambria Math"/>
            </w:rPr>
            <m:t>w</m:t>
          </m:r>
          <m:r>
            <m:rPr>
              <m:sty m:val="p"/>
            </m:rPr>
            <w:rPr>
              <w:rFonts w:ascii="Cambria Math" w:hAnsi="Cambria Math"/>
            </w:rPr>
            <m:t>∥.</m:t>
          </m:r>
          <m:r>
            <m:rPr>
              <m:nor/>
            </m:rPr>
            <m:t>    (3)</m:t>
          </m:r>
        </m:oMath>
      </m:oMathPara>
    </w:p>
    <w:p w14:paraId="1903A6D2" w14:textId="77777777" w:rsidR="000A5C6C" w:rsidRDefault="00000000">
      <w:pPr>
        <w:pStyle w:val="FirstParagraph"/>
        <w:rPr>
          <w:rFonts w:hint="eastAsia"/>
        </w:rPr>
      </w:pPr>
      <w:r>
        <w:t xml:space="preserve">They coincide if </w:t>
      </w:r>
      <m:oMath>
        <m:sSup>
          <m:sSupPr>
            <m:ctrlPr>
              <w:rPr>
                <w:rFonts w:ascii="Cambria Math" w:hAnsi="Cambria Math"/>
              </w:rPr>
            </m:ctrlPr>
          </m:sSupPr>
          <m:e>
            <m:r>
              <w:rPr>
                <w:rFonts w:ascii="Cambria Math" w:hAnsi="Cambria Math"/>
              </w:rPr>
              <m:t>v</m:t>
            </m:r>
          </m:e>
          <m:sup>
            <m:r>
              <w:rPr>
                <w:rFonts w:ascii="Cambria Math" w:hAnsi="Cambria Math"/>
              </w:rPr>
              <m:t>T</m:t>
            </m:r>
          </m:sup>
        </m:sSup>
        <m:r>
          <w:rPr>
            <w:rFonts w:ascii="Cambria Math" w:hAnsi="Cambria Math"/>
          </w:rPr>
          <m:t>w</m:t>
        </m:r>
        <m:r>
          <m:rPr>
            <m:sty m:val="p"/>
          </m:rPr>
          <w:rPr>
            <w:rFonts w:ascii="Cambria Math" w:hAnsi="Cambria Math"/>
          </w:rPr>
          <m:t>≥</m:t>
        </m:r>
        <m:r>
          <w:rPr>
            <w:rFonts w:ascii="Cambria Math" w:hAnsi="Cambria Math"/>
          </w:rPr>
          <m:t>0</m:t>
        </m:r>
      </m:oMath>
      <w:r>
        <w:t>, in particular for nonnegative objectives and directions. Otherwise they need not coincide.</w:t>
      </w:r>
    </w:p>
    <w:p w14:paraId="3C238827" w14:textId="77777777" w:rsidR="000A5C6C" w:rsidRDefault="00000000">
      <w:pPr>
        <w:pStyle w:val="BodyText"/>
        <w:rPr>
          <w:rFonts w:hint="eastAsia"/>
        </w:rPr>
      </w:pPr>
      <w:r>
        <w:rPr>
          <w:i/>
          <w:iCs/>
        </w:rPr>
        <w:t>Proof.</w:t>
      </w:r>
      <w:r>
        <w:t xml:space="preserve"> Minimize </w:t>
      </w:r>
      <m:oMath>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tw</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over </w:t>
      </w:r>
      <m:oMath>
        <m:r>
          <w:rPr>
            <w:rFonts w:ascii="Cambria Math" w:hAnsi="Cambria Math"/>
          </w:rPr>
          <m:t>t</m:t>
        </m:r>
        <m:r>
          <m:rPr>
            <m:scr m:val="double-struck"/>
            <m:sty m:val="p"/>
          </m:rPr>
          <w:rPr>
            <w:rFonts w:ascii="Cambria Math" w:hAnsi="Cambria Math"/>
          </w:rPr>
          <m:t>∈R</m:t>
        </m:r>
      </m:oMath>
      <w:r>
        <w:t xml:space="preserve"> or </w:t>
      </w:r>
      <m:oMath>
        <m:r>
          <w:rPr>
            <w:rFonts w:ascii="Cambria Math" w:hAnsi="Cambria Math"/>
          </w:rPr>
          <m:t>t</m:t>
        </m:r>
        <m:r>
          <m:rPr>
            <m:sty m:val="p"/>
          </m:rPr>
          <w:rPr>
            <w:rFonts w:ascii="Cambria Math" w:hAnsi="Cambria Math"/>
          </w:rPr>
          <m:t>≥</m:t>
        </m:r>
        <m:r>
          <w:rPr>
            <w:rFonts w:ascii="Cambria Math" w:hAnsi="Cambria Math"/>
          </w:rPr>
          <m:t>0</m:t>
        </m:r>
      </m:oMath>
      <w:r>
        <w:t xml:space="preserve">. The unconstrained optimum is </w:t>
      </w:r>
      <m:oMath>
        <m:sSup>
          <m:sSupPr>
            <m:ctrlPr>
              <w:rPr>
                <w:rFonts w:ascii="Cambria Math" w:hAnsi="Cambria Math"/>
              </w:rPr>
            </m:ctrlPr>
          </m:sSupPr>
          <m:e>
            <m:r>
              <w:rPr>
                <w:rFonts w:ascii="Cambria Math" w:hAnsi="Cambria Math"/>
              </w:rPr>
              <m:t>v</m:t>
            </m:r>
          </m:e>
          <m:sup>
            <m:r>
              <w:rPr>
                <w:rFonts w:ascii="Cambria Math" w:hAnsi="Cambria Math"/>
              </w:rPr>
              <m:t>T</m:t>
            </m:r>
          </m:sup>
        </m:sSup>
        <m:r>
          <w:rPr>
            <w:rFonts w:ascii="Cambria Math" w:hAnsi="Cambria Math"/>
          </w:rPr>
          <m:t>w</m:t>
        </m:r>
      </m:oMath>
      <w:r>
        <w:t xml:space="preserve">; projecting this scalar onto </w:t>
      </w:r>
      <m:oMath>
        <m:r>
          <m:rPr>
            <m:sty m:val="p"/>
          </m:rPr>
          <w:rPr>
            <w:rFonts w:ascii="Cambria Math" w:hAnsi="Cambria Math"/>
          </w:rPr>
          <m:t>[</m:t>
        </m:r>
        <m:r>
          <w:rPr>
            <w:rFonts w:ascii="Cambria Math" w:hAnsi="Cambria Math"/>
          </w:rPr>
          <m:t>0</m:t>
        </m:r>
        <m:r>
          <m:rPr>
            <m:sty m:val="p"/>
          </m:rPr>
          <w:rPr>
            <w:rFonts w:ascii="Cambria Math" w:hAnsi="Cambria Math"/>
          </w:rPr>
          <m:t>,∞)</m:t>
        </m:r>
      </m:oMath>
      <w:r>
        <w:t xml:space="preserve"> gives the ray optimum. For </w:t>
      </w:r>
      <m:oMath>
        <m:r>
          <w:rPr>
            <w:rFonts w:ascii="Cambria Math" w:hAnsi="Cambria Math"/>
          </w:rPr>
          <m:t>v</m:t>
        </m:r>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e>
        </m:d>
      </m:oMath>
      <w:r>
        <w:t xml:space="preserve"> and </w:t>
      </w:r>
      <m:oMath>
        <m:r>
          <w:rPr>
            <w:rFonts w:ascii="Cambria Math" w:hAnsi="Cambria Math"/>
          </w:rPr>
          <m:t>w</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e>
        </m:d>
      </m:oMath>
      <w:r>
        <w:t>, the line distance is zero and the ray distance is one.</w:t>
      </w:r>
    </w:p>
    <w:p w14:paraId="3A2B0D0C" w14:textId="77777777" w:rsidR="000A5C6C" w:rsidRDefault="00000000">
      <w:pPr>
        <w:pStyle w:val="Heading2"/>
        <w:rPr>
          <w:rFonts w:hint="eastAsia"/>
        </w:rPr>
      </w:pPr>
      <w:bookmarkStart w:id="7" w:name="the-candidate-query-policy"/>
      <w:bookmarkEnd w:id="6"/>
      <w:r>
        <w:t>3.2 The candidate query policy</w:t>
      </w:r>
    </w:p>
    <w:p w14:paraId="20A046C6" w14:textId="77777777" w:rsidR="000A5C6C" w:rsidRDefault="00000000">
      <w:pPr>
        <w:pStyle w:val="FirstParagraph"/>
        <w:rPr>
          <w:rFonts w:hint="eastAsia"/>
        </w:rPr>
      </w:pPr>
      <w:r>
        <w:t xml:space="preserve">Associate each record to a nearest direction, with a declared deterministic tie rule, and count only first-front records for occupancy. Let </w:t>
      </w:r>
      <m:oMath>
        <m:sSub>
          <m:sSubPr>
            <m:ctrlPr>
              <w:rPr>
                <w:rFonts w:ascii="Cambria Math" w:hAnsi="Cambria Math"/>
              </w:rPr>
            </m:ctrlPr>
          </m:sSubPr>
          <m:e>
            <m:r>
              <m:rPr>
                <m:scr m:val="script"/>
                <m:sty m:val="p"/>
              </m:rPr>
              <w:rPr>
                <w:rFonts w:ascii="Cambria Math" w:hAnsi="Cambria Math"/>
              </w:rPr>
              <m:t>J</m:t>
            </m:r>
          </m:e>
          <m:sub>
            <m:r>
              <w:rPr>
                <w:rFonts w:ascii="Cambria Math" w:hAnsi="Cambria Math"/>
              </w:rPr>
              <m:t>A</m:t>
            </m:r>
          </m:sub>
        </m:sSub>
      </m:oMath>
      <w:r>
        <w:t xml:space="preserve"> be the directions associated with at least one archive record. Choose a least-occupied member of </w:t>
      </w:r>
      <m:oMath>
        <m:sSub>
          <m:sSubPr>
            <m:ctrlPr>
              <w:rPr>
                <w:rFonts w:ascii="Cambria Math" w:hAnsi="Cambria Math"/>
              </w:rPr>
            </m:ctrlPr>
          </m:sSubPr>
          <m:e>
            <m:r>
              <m:rPr>
                <m:scr m:val="script"/>
                <m:sty m:val="p"/>
              </m:rPr>
              <w:rPr>
                <w:rFonts w:ascii="Cambria Math" w:hAnsi="Cambria Math"/>
              </w:rPr>
              <m:t>J</m:t>
            </m:r>
          </m:e>
          <m:sub>
            <m:r>
              <w:rPr>
                <w:rFonts w:ascii="Cambria Math" w:hAnsi="Cambria Math"/>
              </w:rPr>
              <m:t>A</m:t>
            </m:r>
          </m:sub>
        </m:sSub>
      </m:oMath>
      <w:r>
        <w:t>, breaking occupancy ties with the recorded random generator. If all records lie at the translated origin, every direction ties geometrically; an index rule can put all occupancy into one direction without conveying any front coverage.</w:t>
      </w:r>
    </w:p>
    <w:p w14:paraId="3FC7E35C" w14:textId="77777777" w:rsidR="000A5C6C" w:rsidRDefault="00000000">
      <w:pPr>
        <w:pStyle w:val="BodyText"/>
        <w:rPr>
          <w:rFonts w:hint="eastAsia"/>
        </w:rPr>
      </w:pPr>
      <w:r>
        <w:t>Excluding directions with no associated record is one policy, not a theorem that those directions are unattainable. An alternative exploration policy may query them deliberately. Occupancy balances the selected finite representation, and neither occupancy nor a fixed simplex lattice guarantees uniform coverage of a curved, disconnected, degenerate, or partially infeasible Pareto front.</w:t>
      </w:r>
    </w:p>
    <w:p w14:paraId="726A1A8F" w14:textId="77777777" w:rsidR="000A5C6C" w:rsidRDefault="00000000">
      <w:pPr>
        <w:pStyle w:val="Heading1"/>
        <w:rPr>
          <w:rFonts w:hint="eastAsia"/>
        </w:rPr>
      </w:pPr>
      <w:bookmarkStart w:id="8" w:name="strength-density-and-composite-scores"/>
      <w:bookmarkEnd w:id="5"/>
      <w:bookmarkEnd w:id="7"/>
      <w:r>
        <w:lastRenderedPageBreak/>
        <w:t>4 Strength density and composite scores</w:t>
      </w:r>
    </w:p>
    <w:p w14:paraId="6B89CD7E" w14:textId="77777777" w:rsidR="000A5C6C" w:rsidRDefault="00000000">
      <w:pPr>
        <w:pStyle w:val="Heading2"/>
        <w:rPr>
          <w:rFonts w:hint="eastAsia"/>
        </w:rPr>
      </w:pPr>
      <w:bookmarkStart w:id="9" w:name="exact-finite-archive-properties"/>
      <w:r>
        <w:t>4.1 Exact finite archive properties</w:t>
      </w:r>
    </w:p>
    <w:p w14:paraId="209D4A32" w14:textId="77777777" w:rsidR="000A5C6C" w:rsidRDefault="00000000">
      <w:pPr>
        <w:pStyle w:val="FirstParagraph"/>
        <w:keepNext/>
        <w:rPr>
          <w:rFonts w:hint="eastAsia"/>
        </w:rPr>
      </w:pPr>
      <w:r>
        <w:t xml:space="preserve">On a finite nonempty archive with dominance matrix </w:t>
      </w:r>
      <m:oMath>
        <m:sSub>
          <m:sSubPr>
            <m:ctrlPr>
              <w:rPr>
                <w:rFonts w:ascii="Cambria Math" w:hAnsi="Cambria Math"/>
              </w:rPr>
            </m:ctrlPr>
          </m:sSubPr>
          <m:e>
            <m:r>
              <w:rPr>
                <w:rFonts w:ascii="Cambria Math" w:hAnsi="Cambria Math"/>
              </w:rPr>
              <m:t>D</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1</m:t>
            </m:r>
          </m:e>
          <m:sub>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j</m:t>
                </m:r>
              </m:sub>
            </m:sSub>
          </m:sub>
        </m:sSub>
      </m:oMath>
      <w:r>
        <w:t>, define</w:t>
      </w:r>
    </w:p>
    <w:p w14:paraId="4D341789" w14:textId="77777777" w:rsidR="000A5C6C"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D</m:t>
                  </m:r>
                </m:e>
                <m:sub>
                  <m:r>
                    <w:rPr>
                      <w:rFonts w:ascii="Cambria Math" w:hAnsi="Cambria Math"/>
                    </w:rPr>
                    <m:t>ij</m:t>
                  </m:r>
                </m:sub>
              </m:sSub>
            </m:e>
          </m:nary>
          <m:r>
            <m:rPr>
              <m:sty m:val="p"/>
            </m:rPr>
            <w:rPr>
              <w:rFonts w:ascii="Cambria Math" w:hAnsi="Cambria Math"/>
            </w:rPr>
            <m:t>,</m:t>
          </m:r>
          <m:r>
            <m:rPr>
              <m:nor/>
            </m:rPr>
            <m:t>    </m:t>
          </m:r>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D</m:t>
                  </m:r>
                </m:e>
                <m:sub>
                  <m:r>
                    <w:rPr>
                      <w:rFonts w:ascii="Cambria Math" w:hAnsi="Cambria Math"/>
                    </w:rPr>
                    <m:t>ij</m:t>
                  </m:r>
                </m:sub>
              </m:sSub>
            </m:e>
          </m:nary>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r>
            <m:rPr>
              <m:nor/>
            </m:rPr>
            <m:t>    </m:t>
          </m:r>
          <m:sSub>
            <m:sSubPr>
              <m:ctrlPr>
                <w:rPr>
                  <w:rFonts w:ascii="Cambria Math" w:hAnsi="Cambria Math"/>
                </w:rPr>
              </m:ctrlPr>
            </m:sSubPr>
            <m:e>
              <m:r>
                <w:rPr>
                  <w:rFonts w:ascii="Cambria Math" w:hAnsi="Cambria Math"/>
                </w:rPr>
                <m:t>δ</m:t>
              </m:r>
            </m:e>
            <m:sub>
              <m:r>
                <w:rPr>
                  <w:rFonts w:ascii="Cambria Math" w:hAnsi="Cambria Math"/>
                </w:rPr>
                <m:t>j</m:t>
              </m:r>
            </m:sub>
          </m:sSub>
          <m:r>
            <m:rPr>
              <m:sty m:val="p"/>
            </m:rPr>
            <w:rPr>
              <w:rFonts w:ascii="Cambria Math" w:hAnsi="Cambria Math"/>
            </w:rPr>
            <m:t>=</m:t>
          </m:r>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σ</m:t>
                  </m:r>
                </m:e>
                <m:sub>
                  <m:r>
                    <w:rPr>
                      <w:rFonts w:ascii="Cambria Math" w:hAnsi="Cambria Math"/>
                    </w:rPr>
                    <m:t>j</m:t>
                  </m:r>
                </m:sub>
                <m:sup>
                  <m:d>
                    <m:dPr>
                      <m:ctrlPr>
                        <w:rPr>
                          <w:rFonts w:ascii="Cambria Math" w:hAnsi="Cambria Math"/>
                        </w:rPr>
                      </m:ctrlPr>
                    </m:dPr>
                    <m:e>
                      <m:r>
                        <w:rPr>
                          <w:rFonts w:ascii="Cambria Math" w:hAnsi="Cambria Math"/>
                        </w:rPr>
                        <m:t>k</m:t>
                      </m:r>
                    </m:e>
                  </m:d>
                </m:sup>
              </m:sSubSup>
              <m:r>
                <m:rPr>
                  <m:sty m:val="p"/>
                </m:rPr>
                <w:rPr>
                  <w:rFonts w:ascii="Cambria Math" w:hAnsi="Cambria Math"/>
                </w:rPr>
                <m:t>+</m:t>
              </m:r>
              <m:r>
                <w:rPr>
                  <w:rFonts w:ascii="Cambria Math" w:hAnsi="Cambria Math"/>
                </w:rPr>
                <m:t>2</m:t>
              </m:r>
            </m:den>
          </m:f>
          <m:r>
            <m:rPr>
              <m:sty m:val="p"/>
            </m:rPr>
            <w:rPr>
              <w:rFonts w:ascii="Cambria Math" w:hAnsi="Cambria Math"/>
            </w:rPr>
            <m:t>,</m:t>
          </m:r>
          <m:r>
            <m:rPr>
              <m:nor/>
            </m:rPr>
            <m:t>    </m:t>
          </m:r>
          <m:sSubSup>
            <m:sSubSupPr>
              <m:ctrlPr>
                <w:rPr>
                  <w:rFonts w:ascii="Cambria Math" w:hAnsi="Cambria Math"/>
                </w:rPr>
              </m:ctrlPr>
            </m:sSubSupPr>
            <m:e>
              <m:r>
                <w:rPr>
                  <w:rFonts w:ascii="Cambria Math" w:hAnsi="Cambria Math"/>
                </w:rPr>
                <m:t>f</m:t>
              </m:r>
            </m:e>
            <m:sub>
              <m:r>
                <w:rPr>
                  <w:rFonts w:ascii="Cambria Math" w:hAnsi="Cambria Math"/>
                </w:rPr>
                <m:t>j</m:t>
              </m:r>
            </m:sub>
            <m:sup>
              <m:r>
                <m:rPr>
                  <m:sty m:val="p"/>
                </m:rPr>
                <w:rPr>
                  <w:rFonts w:ascii="Cambria Math" w:hAnsi="Cambria Math"/>
                </w:rPr>
                <m:t>SPEA</m:t>
              </m:r>
            </m:sup>
          </m:sSubSup>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j</m:t>
              </m:r>
            </m:sub>
          </m:sSub>
          <m:r>
            <m:rPr>
              <m:sty m:val="p"/>
            </m:rPr>
            <w:rPr>
              <w:rFonts w:ascii="Cambria Math" w:hAnsi="Cambria Math"/>
            </w:rPr>
            <m:t>.</m:t>
          </m:r>
          <m:r>
            <m:rPr>
              <m:nor/>
            </m:rPr>
            <m:t>    (4)</m:t>
          </m:r>
        </m:oMath>
      </m:oMathPara>
    </w:p>
    <w:p w14:paraId="6277C586" w14:textId="77777777" w:rsidR="000A5C6C" w:rsidRDefault="00000000">
      <w:pPr>
        <w:pStyle w:val="FirstParagraph"/>
        <w:rPr>
          <w:rFonts w:hint="eastAsia"/>
        </w:rPr>
      </w:pPr>
      <w:r>
        <w:t xml:space="preserve">Here </w:t>
      </w:r>
      <m:oMath>
        <m:sSubSup>
          <m:sSubSupPr>
            <m:ctrlPr>
              <w:rPr>
                <w:rFonts w:ascii="Cambria Math" w:hAnsi="Cambria Math"/>
              </w:rPr>
            </m:ctrlPr>
          </m:sSubSupPr>
          <m:e>
            <m:r>
              <w:rPr>
                <w:rFonts w:ascii="Cambria Math" w:hAnsi="Cambria Math"/>
              </w:rPr>
              <m:t>σ</m:t>
            </m:r>
          </m:e>
          <m:sub>
            <m:r>
              <w:rPr>
                <w:rFonts w:ascii="Cambria Math" w:hAnsi="Cambria Math"/>
              </w:rPr>
              <m:t>j</m:t>
            </m:r>
          </m:sub>
          <m:sup>
            <m:d>
              <m:dPr>
                <m:ctrlPr>
                  <w:rPr>
                    <w:rFonts w:ascii="Cambria Math" w:hAnsi="Cambria Math"/>
                  </w:rPr>
                </m:ctrlPr>
              </m:dPr>
              <m:e>
                <m:r>
                  <w:rPr>
                    <w:rFonts w:ascii="Cambria Math" w:hAnsi="Cambria Math"/>
                  </w:rPr>
                  <m:t>k</m:t>
                </m:r>
              </m:e>
            </m:d>
          </m:sup>
        </m:sSubSup>
      </m:oMath>
      <w:r>
        <w:t xml:space="preserve"> is the </w:t>
      </w:r>
      <m:oMath>
        <m:r>
          <w:rPr>
            <w:rFonts w:ascii="Cambria Math" w:hAnsi="Cambria Math"/>
          </w:rPr>
          <m:t>k</m:t>
        </m:r>
      </m:oMath>
      <w:r>
        <w:t xml:space="preserve">th nearest-neighbor distance excluding the record itself, with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oMath>
      <w:r>
        <w:t>. Distances use a declared dimensionless objective representation. A singleton requires its own convention; the reference kernel sets its density term to zero. Duplicate records are distinct neighbors at distance zero but do not dominate one another.</w:t>
      </w:r>
    </w:p>
    <w:p w14:paraId="27E18EF5" w14:textId="77777777" w:rsidR="000A5C6C" w:rsidRDefault="00000000">
      <w:pPr>
        <w:pStyle w:val="BodyText"/>
        <w:keepLines/>
        <w:rPr>
          <w:rFonts w:hint="eastAsia"/>
        </w:rPr>
      </w:pPr>
      <w:r>
        <w:rPr>
          <w:b/>
          <w:bCs/>
        </w:rPr>
        <w:t>Theorem 1 (strength order and the first front).</w:t>
      </w:r>
      <w:r>
        <w:t xml:space="preserve"> For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2</m:t>
        </m:r>
      </m:oMath>
      <w:r>
        <w:t xml:space="preserve">, </w:t>
      </w:r>
      <m:oMath>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r>
          <w:rPr>
            <w:rFonts w:ascii="Cambria Math" w:hAnsi="Cambria Math"/>
          </w:rPr>
          <m:t>0</m:t>
        </m:r>
      </m:oMath>
      <w:r>
        <w:t xml:space="preserve"> exactly on the nondominated records, while dominated records have </w:t>
      </w:r>
      <m:oMath>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r>
          <w:rPr>
            <w:rFonts w:ascii="Cambria Math" w:hAnsi="Cambria Math"/>
          </w:rPr>
          <m:t>1</m:t>
        </m:r>
      </m:oMath>
      <w:r>
        <w:t xml:space="preserve">. Further, </w:t>
      </w:r>
      <m:oMath>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δ</m:t>
            </m:r>
          </m:e>
          <m:sub>
            <m:r>
              <w:rPr>
                <w:rFonts w:ascii="Cambria Math" w:hAnsi="Cambria Math"/>
              </w:rPr>
              <m:t>j</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so nondominated SPEA2 fitness is in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and dominated fitness is strictly greater than one. If </w:t>
      </w:r>
      <m:oMath>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j</m:t>
            </m:r>
          </m:sub>
        </m:sSub>
      </m:oMath>
      <w:r>
        <w:t xml:space="preserve">, then </w:t>
      </w:r>
      <m:oMath>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and </w:t>
      </w:r>
      <m:oMath>
        <m:sSubSup>
          <m:sSubSupPr>
            <m:ctrlPr>
              <w:rPr>
                <w:rFonts w:ascii="Cambria Math" w:hAnsi="Cambria Math"/>
              </w:rPr>
            </m:ctrlPr>
          </m:sSubSupPr>
          <m:e>
            <m:r>
              <w:rPr>
                <w:rFonts w:ascii="Cambria Math" w:hAnsi="Cambria Math"/>
              </w:rPr>
              <m:t>f</m:t>
            </m:r>
          </m:e>
          <m:sub>
            <m:r>
              <w:rPr>
                <w:rFonts w:ascii="Cambria Math" w:hAnsi="Cambria Math"/>
              </w:rPr>
              <m:t>j</m:t>
            </m:r>
          </m:sub>
          <m:sup>
            <m:r>
              <m:rPr>
                <m:sty m:val="p"/>
              </m:rPr>
              <w:rPr>
                <w:rFonts w:ascii="Cambria Math" w:hAnsi="Cambria Math"/>
              </w:rPr>
              <m:t>SPEA</m:t>
            </m:r>
          </m:sup>
        </m:sSubSup>
        <m:r>
          <m:rPr>
            <m:sty m:val="p"/>
          </m:rPr>
          <w:rPr>
            <w:rFonts w:ascii="Cambria Math" w:hAnsi="Cambria Math"/>
          </w:rPr>
          <m:t>&gt;</m:t>
        </m:r>
        <m:sSubSup>
          <m:sSubSupPr>
            <m:ctrlPr>
              <w:rPr>
                <w:rFonts w:ascii="Cambria Math" w:hAnsi="Cambria Math"/>
              </w:rPr>
            </m:ctrlPr>
          </m:sSubSupPr>
          <m:e>
            <m:r>
              <w:rPr>
                <w:rFonts w:ascii="Cambria Math" w:hAnsi="Cambria Math"/>
              </w:rPr>
              <m:t>f</m:t>
            </m:r>
          </m:e>
          <m:sub>
            <m:r>
              <w:rPr>
                <w:rFonts w:ascii="Cambria Math" w:hAnsi="Cambria Math"/>
              </w:rPr>
              <m:t>i</m:t>
            </m:r>
          </m:sub>
          <m:sup>
            <m:r>
              <m:rPr>
                <m:sty m:val="p"/>
              </m:rPr>
              <w:rPr>
                <w:rFonts w:ascii="Cambria Math" w:hAnsi="Cambria Math"/>
              </w:rPr>
              <m:t>SPEA</m:t>
            </m:r>
          </m:sup>
        </m:sSubSup>
      </m:oMath>
      <w:r>
        <w:t>.</w:t>
      </w:r>
    </w:p>
    <w:p w14:paraId="1336085A" w14:textId="77777777" w:rsidR="000A5C6C" w:rsidRDefault="00000000">
      <w:pPr>
        <w:pStyle w:val="BodyText"/>
        <w:rPr>
          <w:rFonts w:hint="eastAsia"/>
        </w:rPr>
      </w:pPr>
      <w:r>
        <w:rPr>
          <w:i/>
          <w:iCs/>
        </w:rPr>
        <w:t>Proof.</w:t>
      </w:r>
      <w:r>
        <w:t xml:space="preserve"> A dominated record has a dominator whose strength is at least one. Conversely, an undominated record has no contributing terms. Neighbor distances are finite and nonnegative. Every dominator of </w:t>
      </w:r>
      <m:oMath>
        <m:r>
          <w:rPr>
            <w:rFonts w:ascii="Cambria Math" w:hAnsi="Cambria Math"/>
          </w:rPr>
          <m:t>i</m:t>
        </m:r>
      </m:oMath>
      <w:r>
        <w:t xml:space="preserve"> also dominates </w:t>
      </w:r>
      <m:oMath>
        <m:r>
          <w:rPr>
            <w:rFonts w:ascii="Cambria Math" w:hAnsi="Cambria Math"/>
          </w:rPr>
          <m:t>j</m:t>
        </m:r>
      </m:oMath>
      <w:r>
        <w:t xml:space="preserve">, and </w:t>
      </w:r>
      <m:oMath>
        <m:r>
          <w:rPr>
            <w:rFonts w:ascii="Cambria Math" w:hAnsi="Cambria Math"/>
          </w:rPr>
          <m:t>i</m:t>
        </m:r>
      </m:oMath>
      <w:r>
        <w:t xml:space="preserve"> itself is an additional dominator of </w:t>
      </w:r>
      <m:oMath>
        <m:r>
          <w:rPr>
            <w:rFonts w:ascii="Cambria Math" w:hAnsi="Cambria Math"/>
          </w:rPr>
          <m:t>j</m:t>
        </m:r>
      </m:oMath>
      <w:r>
        <w:t xml:space="preserve"> with </w:t>
      </w: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r>
          <w:rPr>
            <w:rFonts w:ascii="Cambria Math" w:hAnsi="Cambria Math"/>
          </w:rPr>
          <m:t>1</m:t>
        </m:r>
      </m:oMath>
      <w:r>
        <w:t xml:space="preserve">. Therefore </w:t>
      </w:r>
      <m:oMath>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r>
          <w:rPr>
            <w:rFonts w:ascii="Cambria Math" w:hAnsi="Cambria Math"/>
          </w:rPr>
          <m:t>1</m:t>
        </m:r>
      </m:oMath>
      <w:r>
        <w:t xml:space="preserve">, while the density difference is strictly greater than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The combined fitness strictly increases under domination.</w:t>
      </w:r>
    </w:p>
    <w:p w14:paraId="1AEB12C7" w14:textId="77777777" w:rsidR="000A5C6C" w:rsidRDefault="00000000">
      <w:pPr>
        <w:pStyle w:val="BodyText"/>
        <w:rPr>
          <w:rFonts w:hint="eastAsia"/>
        </w:rPr>
      </w:pPr>
      <w:r>
        <w:t xml:space="preserve">The zero-on-the-front statement applies to raw strength </w:t>
      </w:r>
      <m:oMath>
        <m:r>
          <w:rPr>
            <w:rFonts w:ascii="Cambria Math" w:hAnsi="Cambria Math"/>
          </w:rPr>
          <m:t>R</m:t>
        </m:r>
      </m:oMath>
      <w:r>
        <w:t xml:space="preserve">, not to </w:t>
      </w:r>
      <m:oMath>
        <m:r>
          <w:rPr>
            <w:rFonts w:ascii="Cambria Math" w:hAnsi="Cambria Math"/>
          </w:rPr>
          <m:t>R</m:t>
        </m:r>
        <m:r>
          <m:rPr>
            <m:sty m:val="p"/>
          </m:rPr>
          <w:rPr>
            <w:rFonts w:ascii="Cambria Math" w:hAnsi="Cambria Math"/>
          </w:rPr>
          <m:t>+</m:t>
        </m:r>
        <m:r>
          <w:rPr>
            <w:rFonts w:ascii="Cambria Math" w:hAnsi="Cambria Math"/>
          </w:rPr>
          <m:t>δ</m:t>
        </m:r>
      </m:oMath>
      <w:r>
        <w:t xml:space="preserve">. Density distinguishes records within the first front. Dividing </w:t>
      </w:r>
      <m:oMath>
        <m:r>
          <w:rPr>
            <w:rFonts w:ascii="Cambria Math" w:hAnsi="Cambria Math"/>
          </w:rPr>
          <m:t>R</m:t>
        </m:r>
        <m:r>
          <m:rPr>
            <m:sty m:val="p"/>
          </m:rPr>
          <w:rPr>
            <w:rFonts w:ascii="Cambria Math" w:hAnsi="Cambria Math"/>
          </w:rPr>
          <m:t>+</m:t>
        </m:r>
        <m:r>
          <w:rPr>
            <w:rFonts w:ascii="Cambria Math" w:hAnsi="Cambria Math"/>
          </w:rPr>
          <m:t>δ</m:t>
        </m:r>
      </m:oMath>
      <w:r>
        <w:t xml:space="preserve"> by its positive archive maximum preserves this order but need not make the best score zero. Additional crowding or niche terms need their own order bounds.</w:t>
      </w:r>
    </w:p>
    <w:p w14:paraId="473C2AF8" w14:textId="77777777" w:rsidR="000A5C6C" w:rsidRDefault="00000000">
      <w:pPr>
        <w:pStyle w:val="BodyText"/>
        <w:rPr>
          <w:rFonts w:hint="eastAsia"/>
        </w:rPr>
      </w:pPr>
      <w:r>
        <w:t xml:space="preserve">Normalized strength, front rank, and dense rank of strength are different functions. An antichain has </w:t>
      </w:r>
      <m:oMath>
        <m:r>
          <w:rPr>
            <w:rFonts w:ascii="Cambria Math" w:hAnsi="Cambria Math"/>
          </w:rPr>
          <m:t>R</m:t>
        </m:r>
        <m:r>
          <m:rPr>
            <m:sty m:val="p"/>
          </m:rPr>
          <w:rPr>
            <w:rFonts w:ascii="Cambria Math" w:hAnsi="Cambria Math"/>
          </w:rPr>
          <m:t>=</m:t>
        </m:r>
        <m:r>
          <w:rPr>
            <w:rFonts w:ascii="Cambria Math" w:hAnsi="Cambria Math"/>
          </w:rPr>
          <m:t>0</m:t>
        </m:r>
      </m:oMath>
      <w:r>
        <w:t xml:space="preserve"> everywhere; a chain has widely different strengths and accumulated strengths. Consequently no distribution-free </w:t>
      </w:r>
      <m:oMath>
        <m:r>
          <w:rPr>
            <w:rFonts w:ascii="Cambria Math" w:hAnsi="Cambria Math"/>
          </w:rPr>
          <m:t>1</m:t>
        </m:r>
        <m:r>
          <m:rPr>
            <m:sty m:val="p"/>
          </m:rPr>
          <w:rPr>
            <w:rFonts w:ascii="Cambria Math" w:hAnsi="Cambria Math"/>
          </w:rPr>
          <m:t>/</m:t>
        </m:r>
        <m:r>
          <w:rPr>
            <w:rFonts w:ascii="Cambria Math" w:hAnsi="Cambria Math"/>
          </w:rPr>
          <m:t>n</m:t>
        </m:r>
      </m:oMath>
      <w:r>
        <w:t xml:space="preserve"> versus </w:t>
      </w:r>
      <m:oMath>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sup>
        </m:sSup>
      </m:oMath>
      <w:r>
        <w:t xml:space="preserve"> comparison describes every archive. Measured compression of near-front score differences is an empirical property of the sampling law and geometry. Dense ranking preserves the order of distinct raw-strength levels and assigns them uniform numerical gaps; it does not make strength ranks identical to nondominated front ranks.</w:t>
      </w:r>
    </w:p>
    <w:p w14:paraId="6A493B4A" w14:textId="77777777" w:rsidR="000A5C6C" w:rsidRDefault="00000000">
      <w:pPr>
        <w:pStyle w:val="Heading2"/>
        <w:rPr>
          <w:rFonts w:hint="eastAsia"/>
        </w:rPr>
      </w:pPr>
      <w:bookmarkStart w:id="10" w:name="primary-order-preservation"/>
      <w:bookmarkEnd w:id="9"/>
      <w:r>
        <w:t>4.2 Primary order preservation</w:t>
      </w:r>
    </w:p>
    <w:p w14:paraId="167485DD" w14:textId="77777777" w:rsidR="000A5C6C" w:rsidRDefault="00000000">
      <w:pPr>
        <w:pStyle w:val="FirstParagraph"/>
        <w:rPr>
          <w:rFonts w:hint="eastAsia"/>
        </w:rPr>
      </w:pPr>
      <w:r>
        <w:t xml:space="preserve">Let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be a primary convergence score and </w:t>
      </w:r>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a normalized distance to the chosen niche. Put </w:t>
      </w: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with </w:t>
      </w:r>
      <m:oMath>
        <m:r>
          <w:rPr>
            <w:rFonts w:ascii="Cambria Math" w:hAnsi="Cambria Math"/>
          </w:rPr>
          <m:t>γ</m:t>
        </m:r>
        <m:r>
          <m:rPr>
            <m:sty m:val="p"/>
          </m:rPr>
          <w:rPr>
            <w:rFonts w:ascii="Cambria Math" w:hAnsi="Cambria Math"/>
          </w:rPr>
          <m:t>&gt;</m:t>
        </m:r>
        <m:r>
          <w:rPr>
            <w:rFonts w:ascii="Cambria Math" w:hAnsi="Cambria Math"/>
          </w:rPr>
          <m:t>0</m:t>
        </m:r>
      </m:oMath>
      <w:r>
        <w:t xml:space="preserve">. Let </w:t>
      </w:r>
      <m:oMath>
        <m:r>
          <w:rPr>
            <w:rFonts w:ascii="Cambria Math" w:hAnsi="Cambria Math"/>
          </w:rPr>
          <m:t>g</m:t>
        </m:r>
      </m:oMath>
      <w:r>
        <w:t xml:space="preserve"> be the smallest positive gap between distinct </w:t>
      </w:r>
      <m:oMath>
        <m:r>
          <w:rPr>
            <w:rFonts w:ascii="Cambria Math" w:hAnsi="Cambria Math"/>
          </w:rPr>
          <m:t>c</m:t>
        </m:r>
      </m:oMath>
      <w:r>
        <w:t xml:space="preserve"> levels, when more than one exists.</w:t>
      </w:r>
    </w:p>
    <w:p w14:paraId="0F402C0E" w14:textId="77777777" w:rsidR="000A5C6C" w:rsidRDefault="00000000">
      <w:pPr>
        <w:pStyle w:val="BodyText"/>
        <w:keepLines/>
        <w:rPr>
          <w:rFonts w:hint="eastAsia"/>
        </w:rPr>
      </w:pPr>
      <w:r>
        <w:rPr>
          <w:b/>
          <w:bCs/>
        </w:rPr>
        <w:t>Proposition 1 (finite score ordering).</w:t>
      </w:r>
      <w:r>
        <w:t xml:space="preserve"> If </w:t>
      </w:r>
      <m:oMath>
        <m:r>
          <w:rPr>
            <w:rFonts w:ascii="Cambria Math" w:hAnsi="Cambria Math"/>
          </w:rPr>
          <m:t>0</m:t>
        </m:r>
        <m:r>
          <m:rPr>
            <m:sty m:val="p"/>
          </m:rPr>
          <w:rPr>
            <w:rFonts w:ascii="Cambria Math" w:hAnsi="Cambria Math"/>
          </w:rPr>
          <m:t>&lt;</m:t>
        </m:r>
        <m:r>
          <w:rPr>
            <w:rFonts w:ascii="Cambria Math" w:hAnsi="Cambria Math"/>
          </w:rPr>
          <m:t>γ</m:t>
        </m:r>
        <m:r>
          <m:rPr>
            <m:sty m:val="p"/>
          </m:rPr>
          <w:rPr>
            <w:rFonts w:ascii="Cambria Math" w:hAnsi="Cambria Math"/>
          </w:rPr>
          <m:t>&lt;</m:t>
        </m:r>
        <m:r>
          <w:rPr>
            <w:rFonts w:ascii="Cambria Math" w:hAnsi="Cambria Math"/>
          </w:rPr>
          <m:t>g</m:t>
        </m:r>
      </m:oMath>
      <w:r>
        <w:t xml:space="preserve">, then </w:t>
      </w: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&lt;</m:t>
        </m:r>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implies </w:t>
      </w: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&lt;</m:t>
        </m:r>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Within one primary level, </w:t>
      </w:r>
      <m:oMath>
        <m:r>
          <w:rPr>
            <w:rFonts w:ascii="Cambria Math" w:hAnsi="Cambria Math"/>
          </w:rPr>
          <m:t>C</m:t>
        </m:r>
      </m:oMath>
      <w:r>
        <w:t xml:space="preserve"> orders records by </w:t>
      </w:r>
      <m:oMath>
        <m:r>
          <w:rPr>
            <w:rFonts w:ascii="Cambria Math" w:hAnsi="Cambria Math"/>
          </w:rPr>
          <m:t>d</m:t>
        </m:r>
      </m:oMath>
      <w:r>
        <w:t xml:space="preserve">. If all primary scores are equal, any positive </w:t>
      </w:r>
      <m:oMath>
        <m:r>
          <w:rPr>
            <w:rFonts w:ascii="Cambria Math" w:hAnsi="Cambria Math"/>
          </w:rPr>
          <m:t>γ</m:t>
        </m:r>
      </m:oMath>
      <w:r>
        <w:t xml:space="preserve"> orders them by </w:t>
      </w:r>
      <m:oMath>
        <m:r>
          <w:rPr>
            <w:rFonts w:ascii="Cambria Math" w:hAnsi="Cambria Math"/>
          </w:rPr>
          <m:t>d</m:t>
        </m:r>
      </m:oMath>
      <w:r>
        <w:t xml:space="preserve">. For secondary range </w:t>
      </w:r>
      <m:oMath>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m:t>
            </m:r>
          </m:sub>
        </m:sSub>
        <m:r>
          <m:rPr>
            <m:sty m:val="p"/>
          </m:rPr>
          <w:rPr>
            <w:rFonts w:ascii="Cambria Math" w:hAnsi="Cambria Math"/>
          </w:rPr>
          <m:t>]</m:t>
        </m:r>
      </m:oMath>
      <w:r>
        <w:t xml:space="preserve">, the sufficient condition is </w:t>
      </w:r>
      <m:oMath>
        <m:r>
          <w:rPr>
            <w:rFonts w:ascii="Cambria Math" w:hAnsi="Cambria Math"/>
          </w:rPr>
          <m:t>γ</m:t>
        </m:r>
        <m:d>
          <m:dPr>
            <m:ctrlPr>
              <w:rPr>
                <w:rFonts w:ascii="Cambria Math" w:hAnsi="Cambria Math"/>
              </w:rPr>
            </m:ctrlPr>
          </m:dPr>
          <m:e>
            <m:sSub>
              <m:sSubPr>
                <m:ctrlPr>
                  <w:rPr>
                    <w:rFonts w:ascii="Cambria Math" w:hAnsi="Cambria Math"/>
                  </w:rPr>
                </m:ctrlPr>
              </m:sSubPr>
              <m:e>
                <m:r>
                  <w:rPr>
                    <w:rFonts w:ascii="Cambria Math" w:hAnsi="Cambria Math"/>
                  </w:rPr>
                  <m:t>d</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m:t>
                </m:r>
              </m:sub>
            </m:sSub>
          </m:e>
        </m:d>
        <m:r>
          <m:rPr>
            <m:sty m:val="p"/>
          </m:rPr>
          <w:rPr>
            <w:rFonts w:ascii="Cambria Math" w:hAnsi="Cambria Math"/>
          </w:rPr>
          <m:t>&lt;</m:t>
        </m:r>
        <m:r>
          <w:rPr>
            <w:rFonts w:ascii="Cambria Math" w:hAnsi="Cambria Math"/>
          </w:rPr>
          <m:t>g</m:t>
        </m:r>
      </m:oMath>
      <w:r>
        <w:t>.</w:t>
      </w:r>
    </w:p>
    <w:p w14:paraId="2BE6D47A" w14:textId="77777777" w:rsidR="000A5C6C" w:rsidRDefault="00000000">
      <w:pPr>
        <w:pStyle w:val="BodyText"/>
        <w:rPr>
          <w:rFonts w:hint="eastAsia"/>
        </w:rPr>
      </w:pPr>
      <w:r>
        <w:rPr>
          <w:i/>
          <w:iCs/>
        </w:rPr>
        <w:t>Proof.</w:t>
      </w:r>
      <w:r>
        <w:t xml:space="preserve"> A primary improvement is at least </w:t>
      </w:r>
      <m:oMath>
        <m:r>
          <w:rPr>
            <w:rFonts w:ascii="Cambria Math" w:hAnsi="Cambria Math"/>
          </w:rPr>
          <m:t>g</m:t>
        </m:r>
      </m:oMath>
      <w:r>
        <w:t xml:space="preserve">, while the largest adverse secondary change is </w:t>
      </w:r>
      <m:oMath>
        <m:r>
          <w:rPr>
            <w:rFonts w:ascii="Cambria Math" w:hAnsi="Cambria Math"/>
          </w:rPr>
          <m:t>γ</m:t>
        </m:r>
        <m:d>
          <m:dPr>
            <m:ctrlPr>
              <w:rPr>
                <w:rFonts w:ascii="Cambria Math" w:hAnsi="Cambria Math"/>
              </w:rPr>
            </m:ctrlPr>
          </m:dPr>
          <m:e>
            <m:sSub>
              <m:sSubPr>
                <m:ctrlPr>
                  <w:rPr>
                    <w:rFonts w:ascii="Cambria Math" w:hAnsi="Cambria Math"/>
                  </w:rPr>
                </m:ctrlPr>
              </m:sSubPr>
              <m:e>
                <m:r>
                  <w:rPr>
                    <w:rFonts w:ascii="Cambria Math" w:hAnsi="Cambria Math"/>
                  </w:rPr>
                  <m:t>d</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m:t>
                </m:r>
              </m:sub>
            </m:sSub>
          </m:e>
        </m:d>
      </m:oMath>
      <w:r>
        <w:t xml:space="preserve">. Their difference remains strictly positive. With </w:t>
      </w:r>
      <m:oMath>
        <m:r>
          <w:rPr>
            <w:rFonts w:ascii="Cambria Math" w:hAnsi="Cambria Math"/>
          </w:rPr>
          <m:t>c</m:t>
        </m:r>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g</m:t>
            </m:r>
          </m:e>
        </m:d>
      </m:oMath>
      <w:r>
        <w:t xml:space="preserve"> and </w:t>
      </w:r>
      <m:oMath>
        <m:r>
          <w:rPr>
            <w:rFonts w:ascii="Cambria Math" w:hAnsi="Cambria Math"/>
          </w:rPr>
          <m:t>d</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e>
        </m:d>
      </m:oMath>
      <w:r>
        <w:t xml:space="preserve">, </w:t>
      </w:r>
      <m:oMath>
        <m:r>
          <w:rPr>
            <w:rFonts w:ascii="Cambria Math" w:hAnsi="Cambria Math"/>
          </w:rPr>
          <m:t>γ</m:t>
        </m:r>
        <m:r>
          <m:rPr>
            <m:sty m:val="p"/>
          </m:rPr>
          <w:rPr>
            <w:rFonts w:ascii="Cambria Math" w:hAnsi="Cambria Math"/>
          </w:rPr>
          <m:t>=</m:t>
        </m:r>
        <m:r>
          <w:rPr>
            <w:rFonts w:ascii="Cambria Math" w:hAnsi="Cambria Math"/>
          </w:rPr>
          <m:t>g</m:t>
        </m:r>
      </m:oMath>
      <w:r>
        <w:t xml:space="preserve"> produces a tie and </w:t>
      </w:r>
      <m:oMath>
        <m:r>
          <w:rPr>
            <w:rFonts w:ascii="Cambria Math" w:hAnsi="Cambria Math"/>
          </w:rPr>
          <m:t>γ</m:t>
        </m:r>
        <m:r>
          <m:rPr>
            <m:sty m:val="p"/>
          </m:rPr>
          <w:rPr>
            <w:rFonts w:ascii="Cambria Math" w:hAnsi="Cambria Math"/>
          </w:rPr>
          <m:t>&gt;</m:t>
        </m:r>
        <m:r>
          <w:rPr>
            <w:rFonts w:ascii="Cambria Math" w:hAnsi="Cambria Math"/>
          </w:rPr>
          <m:t>g</m:t>
        </m:r>
      </m:oMath>
      <w:r>
        <w:t xml:space="preserve"> reverses the primary order, so a strict inequality is necessary for this uniform guarantee.</w:t>
      </w:r>
    </w:p>
    <w:p w14:paraId="5172196C" w14:textId="77777777" w:rsidR="000A5C6C" w:rsidRDefault="00000000">
      <w:pPr>
        <w:pStyle w:val="BodyText"/>
        <w:rPr>
          <w:rFonts w:hint="eastAsia"/>
        </w:rPr>
      </w:pPr>
      <w:r>
        <w:lastRenderedPageBreak/>
        <w:t xml:space="preserve">For a normalized front rank with largest rank </w:t>
      </w:r>
      <m:oMath>
        <m:sSub>
          <m:sSubPr>
            <m:ctrlPr>
              <w:rPr>
                <w:rFonts w:ascii="Cambria Math" w:hAnsi="Cambria Math"/>
              </w:rPr>
            </m:ctrlPr>
          </m:sSubPr>
          <m:e>
            <m:r>
              <w:rPr>
                <w:rFonts w:ascii="Cambria Math" w:hAnsi="Cambria Math"/>
              </w:rPr>
              <m:t>r</m:t>
            </m:r>
          </m:e>
          <m:sub>
            <m:r>
              <m:rPr>
                <m:sty m:val="p"/>
              </m:rPr>
              <w:rPr>
                <w:rFonts w:ascii="Cambria Math" w:hAnsi="Cambria Math"/>
              </w:rPr>
              <m:t>max</m:t>
            </m:r>
          </m:sub>
        </m:sSub>
        <m:r>
          <m:rPr>
            <m:sty m:val="p"/>
          </m:rPr>
          <w:rPr>
            <w:rFonts w:ascii="Cambria Math" w:hAnsi="Cambria Math"/>
          </w:rPr>
          <m:t>&gt;</m:t>
        </m:r>
        <m:r>
          <w:rPr>
            <w:rFonts w:ascii="Cambria Math" w:hAnsi="Cambria Math"/>
          </w:rPr>
          <m:t>0</m:t>
        </m:r>
      </m:oMath>
      <w:r>
        <w:t xml:space="preserve">, the gap is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max</m:t>
            </m:r>
          </m:sub>
        </m:sSub>
      </m:oMath>
      <w:r>
        <w:t xml:space="preserve">. A coefficient of one is generally a trade-off, not a lexicographic rule. Floating-point “distinct levels” need a documented equality convention; rounding levels to select </w:t>
      </w:r>
      <m:oMath>
        <m:r>
          <w:rPr>
            <w:rFonts w:ascii="Cambria Math" w:hAnsi="Cambria Math"/>
          </w:rPr>
          <m:t>g</m:t>
        </m:r>
      </m:oMath>
      <w:r>
        <w:t xml:space="preserve"> while applying unrounded primary scores can invalidate the guarantee.</w:t>
      </w:r>
    </w:p>
    <w:p w14:paraId="21461A8E" w14:textId="77777777" w:rsidR="000A5C6C" w:rsidRDefault="00000000">
      <w:pPr>
        <w:pStyle w:val="Heading2"/>
        <w:rPr>
          <w:rFonts w:hint="eastAsia"/>
        </w:rPr>
      </w:pPr>
      <w:bookmarkStart w:id="11" w:name="X5502b76e68cb5f64903218ffeb0dd43928261fc"/>
      <w:bookmarkEnd w:id="10"/>
      <w:r>
        <w:t>4.3 Temperature and the stronger lexicographic limit</w:t>
      </w:r>
    </w:p>
    <w:p w14:paraId="197576A8" w14:textId="77777777" w:rsidR="000A5C6C" w:rsidRDefault="00000000">
      <w:pPr>
        <w:pStyle w:val="FirstParagraph"/>
        <w:keepLines/>
        <w:rPr>
          <w:rFonts w:hint="eastAsia"/>
        </w:rPr>
      </w:pPr>
      <w:r>
        <w:rPr>
          <w:b/>
          <w:bCs/>
        </w:rPr>
        <w:t>Proposition 2 (retrieval concentration).</w:t>
      </w:r>
      <w:r>
        <w:t xml:space="preserve"> On a fixed finite archive with fixed positive base masses and kernel, attention (1) concentrates as </w:t>
      </w:r>
      <m:oMath>
        <m:r>
          <w:rPr>
            <w:rFonts w:ascii="Cambria Math" w:hAnsi="Cambria Math"/>
          </w:rPr>
          <m:t>β</m:t>
        </m:r>
        <m:r>
          <m:rPr>
            <m:sty m:val="p"/>
          </m:rPr>
          <w:rPr>
            <w:rFonts w:ascii="Cambria Math" w:hAnsi="Cambria Math"/>
          </w:rPr>
          <m:t>→∞</m:t>
        </m:r>
      </m:oMath>
      <w:r>
        <w:t xml:space="preserve"> on the minimizers of </w:t>
      </w:r>
      <m:oMath>
        <m:r>
          <w:rPr>
            <w:rFonts w:ascii="Cambria Math" w:hAnsi="Cambria Math"/>
          </w:rPr>
          <m:t>C</m:t>
        </m:r>
      </m:oMath>
      <w:r>
        <w:t xml:space="preserve">. This follows because every nonminimum has a positive score gap and its relative mass decays exponentially. Primary-order preservation alone does not imply the same conclusion when </w:t>
      </w:r>
      <m:oMath>
        <m:r>
          <w:rPr>
            <w:rFonts w:ascii="Cambria Math" w:hAnsi="Cambria Math"/>
          </w:rPr>
          <m:t>γ</m:t>
        </m:r>
      </m:oMath>
      <w:r>
        <w:t xml:space="preserve">, the kernel, or base masses change with </w:t>
      </w:r>
      <m:oMath>
        <m:r>
          <w:rPr>
            <w:rFonts w:ascii="Cambria Math" w:hAnsi="Cambria Math"/>
          </w:rPr>
          <m:t>β</m:t>
        </m:r>
      </m:oMath>
      <w:r>
        <w:t>.</w:t>
      </w:r>
    </w:p>
    <w:p w14:paraId="4A55BFEE" w14:textId="77777777" w:rsidR="000A5C6C" w:rsidRDefault="00000000">
      <w:pPr>
        <w:pStyle w:val="BodyText"/>
        <w:keepNext/>
        <w:rPr>
          <w:rFonts w:hint="eastAsia"/>
        </w:rPr>
      </w:pPr>
      <w:r>
        <w:t>For a fixed archive with a nontrivial secondary comparison among primary minima, sufficient conditions for lexicographic concentration are</w:t>
      </w:r>
    </w:p>
    <w:p w14:paraId="56B0F071" w14:textId="77777777" w:rsidR="000A5C6C"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γ</m:t>
              </m:r>
            </m:e>
            <m:sub>
              <m:r>
                <w:rPr>
                  <w:rFonts w:ascii="Cambria Math" w:hAnsi="Cambria Math"/>
                </w:rPr>
                <m:t>β</m:t>
              </m:r>
            </m:sub>
          </m:sSub>
          <m:r>
            <m:rPr>
              <m:sty m:val="p"/>
            </m:rPr>
            <w:rPr>
              <w:rFonts w:ascii="Cambria Math" w:hAnsi="Cambria Math"/>
            </w:rPr>
            <m:t>→</m:t>
          </m:r>
          <m:r>
            <w:rPr>
              <w:rFonts w:ascii="Cambria Math" w:hAnsi="Cambria Math"/>
            </w:rPr>
            <m:t>0</m:t>
          </m:r>
          <m:r>
            <m:rPr>
              <m:sty m:val="p"/>
            </m:rPr>
            <w:rPr>
              <w:rFonts w:ascii="Cambria Math" w:hAnsi="Cambria Math"/>
            </w:rPr>
            <m:t>,</m:t>
          </m:r>
          <m:r>
            <m:rPr>
              <m:nor/>
            </m:rPr>
            <m:t>    </m:t>
          </m:r>
          <m:r>
            <w:rPr>
              <w:rFonts w:ascii="Cambria Math" w:hAnsi="Cambria Math"/>
            </w:rPr>
            <m:t>β</m:t>
          </m:r>
          <m:sSub>
            <m:sSubPr>
              <m:ctrlPr>
                <w:rPr>
                  <w:rFonts w:ascii="Cambria Math" w:hAnsi="Cambria Math"/>
                </w:rPr>
              </m:ctrlPr>
            </m:sSubPr>
            <m:e>
              <m:r>
                <w:rPr>
                  <w:rFonts w:ascii="Cambria Math" w:hAnsi="Cambria Math"/>
                </w:rPr>
                <m:t>γ</m:t>
              </m:r>
            </m:e>
            <m:sub>
              <m:r>
                <w:rPr>
                  <w:rFonts w:ascii="Cambria Math" w:hAnsi="Cambria Math"/>
                </w:rPr>
                <m:t>β</m:t>
              </m:r>
            </m:sub>
          </m:sSub>
          <m:r>
            <m:rPr>
              <m:sty m:val="p"/>
            </m:rPr>
            <w:rPr>
              <w:rFonts w:ascii="Cambria Math" w:hAnsi="Cambria Math"/>
            </w:rPr>
            <m:t>→∞,</m:t>
          </m:r>
          <m:r>
            <m:rPr>
              <m:nor/>
            </m:rPr>
            <m:t>    </m:t>
          </m:r>
          <m:limLow>
            <m:limLowPr>
              <m:ctrlPr>
                <w:rPr>
                  <w:rFonts w:ascii="Cambria Math" w:hAnsi="Cambria Math"/>
                </w:rPr>
              </m:ctrlPr>
            </m:limLowPr>
            <m:e>
              <m:r>
                <m:rPr>
                  <m:sty m:val="p"/>
                </m:rPr>
                <w:rPr>
                  <w:rFonts w:ascii="Cambria Math" w:hAnsi="Cambria Math"/>
                </w:rPr>
                <m:t>sup</m:t>
              </m:r>
            </m:e>
            <m:lim>
              <m:r>
                <w:rPr>
                  <w:rFonts w:ascii="Cambria Math" w:hAnsi="Cambria Math"/>
                </w:rPr>
                <m:t>i</m:t>
              </m:r>
              <m:r>
                <m:rPr>
                  <m:sty m:val="p"/>
                </m:rPr>
                <w:rPr>
                  <w:rFonts w:ascii="Cambria Math" w:hAnsi="Cambria Math"/>
                </w:rPr>
                <m:t>,</m:t>
              </m:r>
              <m:r>
                <w:rPr>
                  <w:rFonts w:ascii="Cambria Math" w:hAnsi="Cambria Math"/>
                </w:rPr>
                <m:t>j</m:t>
              </m:r>
            </m:lim>
          </m:limLow>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i</m:t>
                  </m:r>
                </m:sub>
              </m:sSub>
              <m:sSub>
                <m:sSubPr>
                  <m:ctrlPr>
                    <w:rPr>
                      <w:rFonts w:ascii="Cambria Math" w:hAnsi="Cambria Math"/>
                    </w:rPr>
                  </m:ctrlPr>
                </m:sSubPr>
                <m:e>
                  <m:r>
                    <w:rPr>
                      <w:rFonts w:ascii="Cambria Math" w:hAnsi="Cambria Math"/>
                    </w:rPr>
                    <m:t>K</m:t>
                  </m:r>
                </m:e>
                <m:sub>
                  <m:r>
                    <w:rPr>
                      <w:rFonts w:ascii="Cambria Math" w:hAnsi="Cambria Math"/>
                    </w:rPr>
                    <m:t>i</m:t>
                  </m:r>
                </m:sub>
              </m:sSub>
            </m:e>
          </m:d>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j</m:t>
                  </m:r>
                </m:sub>
              </m:sSub>
              <m:sSub>
                <m:sSubPr>
                  <m:ctrlPr>
                    <w:rPr>
                      <w:rFonts w:ascii="Cambria Math" w:hAnsi="Cambria Math"/>
                    </w:rPr>
                  </m:ctrlPr>
                </m:sSubPr>
                <m:e>
                  <m:r>
                    <w:rPr>
                      <w:rFonts w:ascii="Cambria Math" w:hAnsi="Cambria Math"/>
                    </w:rPr>
                    <m:t>K</m:t>
                  </m:r>
                </m:e>
                <m:sub>
                  <m:r>
                    <w:rPr>
                      <w:rFonts w:ascii="Cambria Math" w:hAnsi="Cambria Math"/>
                    </w:rPr>
                    <m:t>j</m:t>
                  </m:r>
                </m:sub>
              </m:sSub>
            </m:e>
          </m:d>
          <m:r>
            <m:rPr>
              <m:sty m:val="p"/>
            </m:rPr>
            <w:rPr>
              <w:rFonts w:ascii="Cambria Math" w:hAnsi="Cambria Math"/>
            </w:rPr>
            <m:t>|=</m:t>
          </m:r>
          <m:r>
            <w:rPr>
              <w:rFonts w:ascii="Cambria Math" w:hAnsi="Cambria Math"/>
            </w:rPr>
            <m:t>o</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γ</m:t>
                  </m:r>
                </m:e>
                <m:sub>
                  <m:r>
                    <w:rPr>
                      <w:rFonts w:ascii="Cambria Math" w:hAnsi="Cambria Math"/>
                    </w:rPr>
                    <m:t>β</m:t>
                  </m:r>
                </m:sub>
              </m:sSub>
            </m:e>
          </m:d>
          <m:r>
            <m:rPr>
              <m:sty m:val="p"/>
            </m:rPr>
            <w:rPr>
              <w:rFonts w:ascii="Cambria Math" w:hAnsi="Cambria Math"/>
            </w:rPr>
            <m:t>.</m:t>
          </m:r>
          <m:r>
            <m:rPr>
              <m:nor/>
            </m:rPr>
            <m:t>    (5)</m:t>
          </m:r>
        </m:oMath>
      </m:oMathPara>
    </w:p>
    <w:p w14:paraId="5D04F6DE" w14:textId="77777777" w:rsidR="000A5C6C" w:rsidRDefault="00000000">
      <w:pPr>
        <w:pStyle w:val="FirstParagraph"/>
        <w:rPr>
          <w:rFonts w:hint="eastAsia"/>
        </w:rPr>
      </w:pPr>
      <w:r>
        <w:rPr>
          <w:i/>
          <w:iCs/>
        </w:rPr>
        <w:t>Proof.</w:t>
      </w:r>
      <w:r>
        <w:t xml:space="preserve"> A worse primary level has a gap at least </w:t>
      </w:r>
      <m:oMath>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β</m:t>
            </m:r>
          </m:sub>
        </m:sSub>
      </m:oMath>
      <w:r>
        <w:t xml:space="preserve">, so its temperature-scaled disadvantage dominates the log kernel and mass ratios. Among equal primary minima, a worse secondary level has exponent gap </w:t>
      </w:r>
      <m:oMath>
        <m:r>
          <w:rPr>
            <w:rFonts w:ascii="Cambria Math" w:hAnsi="Cambria Math"/>
          </w:rPr>
          <m:t>β</m:t>
        </m:r>
        <m:sSub>
          <m:sSubPr>
            <m:ctrlPr>
              <w:rPr>
                <w:rFonts w:ascii="Cambria Math" w:hAnsi="Cambria Math"/>
              </w:rPr>
            </m:ctrlPr>
          </m:sSubPr>
          <m:e>
            <m:r>
              <w:rPr>
                <w:rFonts w:ascii="Cambria Math" w:hAnsi="Cambria Math"/>
              </w:rPr>
              <m:t>γ</m:t>
            </m:r>
          </m:e>
          <m:sub>
            <m:r>
              <w:rPr>
                <w:rFonts w:ascii="Cambria Math" w:hAnsi="Cambria Math"/>
              </w:rPr>
              <m:t>β</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m:t>
                </m:r>
              </m:sub>
            </m:sSub>
          </m:e>
        </m:d>
        <m:r>
          <m:rPr>
            <m:sty m:val="p"/>
          </m:rPr>
          <w:rPr>
            <w:rFonts w:ascii="Cambria Math" w:hAnsi="Cambria Math"/>
          </w:rPr>
          <m:t>→∞</m:t>
        </m:r>
      </m:oMath>
      <w:r>
        <w:t xml:space="preserve">, again dominating those ratios. Only the lexicographic minima remain. If </w:t>
      </w:r>
      <m:oMath>
        <m:r>
          <w:rPr>
            <w:rFonts w:ascii="Cambria Math" w:hAnsi="Cambria Math"/>
          </w:rPr>
          <m:t>β</m:t>
        </m:r>
        <m:sSub>
          <m:sSubPr>
            <m:ctrlPr>
              <w:rPr>
                <w:rFonts w:ascii="Cambria Math" w:hAnsi="Cambria Math"/>
              </w:rPr>
            </m:ctrlPr>
          </m:sSubPr>
          <m:e>
            <m:r>
              <w:rPr>
                <w:rFonts w:ascii="Cambria Math" w:hAnsi="Cambria Math"/>
              </w:rPr>
              <m:t>γ</m:t>
            </m:r>
          </m:e>
          <m:sub>
            <m:r>
              <w:rPr>
                <w:rFonts w:ascii="Cambria Math" w:hAnsi="Cambria Math"/>
              </w:rPr>
              <m:t>β</m:t>
            </m:r>
          </m:sub>
        </m:sSub>
      </m:oMath>
      <w:r>
        <w:t xml:space="preserve"> stays bounded, secondary ties need not be resolved asymptotically.</w:t>
      </w:r>
    </w:p>
    <w:p w14:paraId="227F77FE" w14:textId="77777777" w:rsidR="000A5C6C" w:rsidRDefault="00000000">
      <w:pPr>
        <w:pStyle w:val="BodyText"/>
        <w:rPr>
          <w:rFonts w:hint="eastAsia"/>
        </w:rPr>
      </w:pPr>
      <w:r>
        <w:t xml:space="preserve">An archive that grows with </w:t>
      </w:r>
      <m:oMath>
        <m:r>
          <w:rPr>
            <w:rFonts w:ascii="Cambria Math" w:hAnsi="Cambria Math"/>
          </w:rPr>
          <m:t>β</m:t>
        </m:r>
      </m:oMath>
      <w:r>
        <w:t xml:space="preserve"> may have shrinking primary and secondary gaps. Its limit needs bounds on those gaps and the kernel ratios. Neither (5) nor the fixed-archive proof automatically covers it.</w:t>
      </w:r>
    </w:p>
    <w:p w14:paraId="0F2B20D8" w14:textId="77777777" w:rsidR="000A5C6C" w:rsidRDefault="00000000">
      <w:pPr>
        <w:pStyle w:val="Heading1"/>
        <w:rPr>
          <w:rFonts w:hint="eastAsia"/>
        </w:rPr>
      </w:pPr>
      <w:bookmarkStart w:id="12" w:name="X8c1285b843e7d2cae83d550964552f94fec1505"/>
      <w:bookmarkEnd w:id="8"/>
      <w:bookmarkEnd w:id="11"/>
      <w:r>
        <w:t>5 Proposal archives and valid probability estimates</w:t>
      </w:r>
    </w:p>
    <w:p w14:paraId="0497C295" w14:textId="77777777" w:rsidR="000A5C6C" w:rsidRDefault="00000000">
      <w:pPr>
        <w:pStyle w:val="Heading2"/>
        <w:rPr>
          <w:rFonts w:hint="eastAsia"/>
        </w:rPr>
      </w:pPr>
      <w:bookmarkStart w:id="13" w:name="predictable-archive-adaptation"/>
      <w:r>
        <w:t>5.1 Predictable archive adaptation</w:t>
      </w:r>
    </w:p>
    <w:p w14:paraId="4D1085E0" w14:textId="77777777" w:rsidR="000A5C6C" w:rsidRDefault="00000000">
      <w:pPr>
        <w:pStyle w:val="FirstParagraph"/>
        <w:keepNext/>
        <w:rPr>
          <w:rFonts w:hint="eastAsia"/>
        </w:rPr>
      </w:pPr>
      <w:r>
        <w:t xml:space="preserve">Let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oMath>
      <w:r>
        <w:t xml:space="preserve"> contain the complete history before attempt </w:t>
      </w:r>
      <m:oMath>
        <m:r>
          <w:rPr>
            <w:rFonts w:ascii="Cambria Math" w:hAnsi="Cambria Math"/>
          </w:rPr>
          <m:t>i</m:t>
        </m:r>
      </m:oMath>
      <w:r>
        <w:t xml:space="preserve">. Relative to a fixed measure </w:t>
      </w:r>
      <m:oMath>
        <m:r>
          <w:rPr>
            <w:rFonts w:ascii="Cambria Math" w:hAnsi="Cambria Math"/>
          </w:rPr>
          <m:t>ν</m:t>
        </m:r>
      </m:oMath>
      <w:r>
        <w:t xml:space="preserve">, let the reference density be </w:t>
      </w:r>
      <m:oMath>
        <m:sSub>
          <m:sSubPr>
            <m:ctrlPr>
              <w:rPr>
                <w:rFonts w:ascii="Cambria Math" w:hAnsi="Cambria Math"/>
              </w:rPr>
            </m:ctrlPr>
          </m:sSubPr>
          <m:e>
            <m:r>
              <w:rPr>
                <w:rFonts w:ascii="Cambria Math" w:hAnsi="Cambria Math"/>
              </w:rPr>
              <m:t>p</m:t>
            </m:r>
          </m:e>
          <m:sub>
            <m:r>
              <w:rPr>
                <w:rFonts w:ascii="Cambria Math" w:hAnsi="Cambria Math"/>
              </w:rPr>
              <m:t>0</m:t>
            </m:r>
          </m:sub>
        </m:sSub>
      </m:oMath>
      <w:r>
        <w:t xml:space="preserve">, and let a proposal density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satisfy</w:t>
      </w:r>
    </w:p>
    <w:p w14:paraId="0DECC19D" w14:textId="77777777" w:rsidR="000A5C6C"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i</m:t>
              </m:r>
            </m:sub>
          </m:sSub>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ε</m:t>
          </m:r>
          <m:sSub>
            <m:sSubPr>
              <m:ctrlPr>
                <w:rPr>
                  <w:rFonts w:ascii="Cambria Math" w:hAnsi="Cambria Math"/>
                </w:rPr>
              </m:ctrlPr>
            </m:sSubPr>
            <m:e>
              <m:r>
                <w:rPr>
                  <w:rFonts w:ascii="Cambria Math" w:hAnsi="Cambria Math"/>
                </w:rPr>
                <m:t>p</m:t>
              </m:r>
            </m:e>
            <m:sub>
              <m:r>
                <w:rPr>
                  <w:rFonts w:ascii="Cambria Math" w:hAnsi="Cambria Math"/>
                </w:rPr>
                <m:t>0</m:t>
              </m:r>
            </m:sub>
          </m:sSub>
          <m:d>
            <m:dPr>
              <m:ctrlPr>
                <w:rPr>
                  <w:rFonts w:ascii="Cambria Math" w:hAnsi="Cambria Math"/>
                </w:rPr>
              </m:ctrlPr>
            </m:dPr>
            <m:e>
              <m:r>
                <w:rPr>
                  <w:rFonts w:ascii="Cambria Math" w:hAnsi="Cambria Math"/>
                </w:rPr>
                <m:t>y</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ε</m:t>
              </m:r>
            </m:e>
          </m:d>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i</m:t>
              </m:r>
            </m:sub>
          </m:sSub>
          <m:d>
            <m:dPr>
              <m:ctrlPr>
                <w:rPr>
                  <w:rFonts w:ascii="Cambria Math" w:hAnsi="Cambria Math"/>
                </w:rPr>
              </m:ctrlPr>
            </m:dPr>
            <m:e>
              <m:r>
                <w:rPr>
                  <w:rFonts w:ascii="Cambria Math" w:hAnsi="Cambria Math"/>
                </w:rPr>
                <m:t>y</m:t>
              </m:r>
            </m:e>
          </m:d>
          <m:r>
            <m:rPr>
              <m:sty m:val="p"/>
            </m:rPr>
            <w:rPr>
              <w:rFonts w:ascii="Cambria Math" w:hAnsi="Cambria Math"/>
            </w:rPr>
            <m:t>,</m:t>
          </m:r>
          <m:r>
            <m:rPr>
              <m:nor/>
            </m:rPr>
            <m:t>    </m:t>
          </m:r>
          <m:r>
            <w:rPr>
              <w:rFonts w:ascii="Cambria Math" w:hAnsi="Cambria Math"/>
            </w:rPr>
            <m:t>0</m:t>
          </m:r>
          <m:r>
            <m:rPr>
              <m:sty m:val="p"/>
            </m:rPr>
            <w:rPr>
              <w:rFonts w:ascii="Cambria Math" w:hAnsi="Cambria Math"/>
            </w:rPr>
            <m:t>&lt;</m:t>
          </m:r>
          <m:r>
            <w:rPr>
              <w:rFonts w:ascii="Cambria Math" w:hAnsi="Cambria Math"/>
            </w:rPr>
            <m:t>ε</m:t>
          </m:r>
          <m:r>
            <m:rPr>
              <m:sty m:val="p"/>
            </m:rPr>
            <w:rPr>
              <w:rFonts w:ascii="Cambria Math" w:hAnsi="Cambria Math"/>
            </w:rPr>
            <m:t>≤</m:t>
          </m:r>
          <m:r>
            <w:rPr>
              <w:rFonts w:ascii="Cambria Math" w:hAnsi="Cambria Math"/>
            </w:rPr>
            <m:t>1</m:t>
          </m:r>
          <m:r>
            <m:rPr>
              <m:sty m:val="p"/>
            </m:rPr>
            <w:rPr>
              <w:rFonts w:ascii="Cambria Math" w:hAnsi="Cambria Math"/>
            </w:rPr>
            <m:t>.</m:t>
          </m:r>
          <m:r>
            <m:rPr>
              <m:nor/>
            </m:rPr>
            <m:t>    (6)</m:t>
          </m:r>
        </m:oMath>
      </m:oMathPara>
    </w:p>
    <w:p w14:paraId="4ECC5257" w14:textId="77777777" w:rsidR="000A5C6C" w:rsidRDefault="00000000">
      <w:pPr>
        <w:pStyle w:val="FirstParagraph"/>
        <w:keepNext/>
        <w:rPr>
          <w:rFonts w:hint="eastAsia"/>
        </w:rPr>
      </w:pPr>
      <w:r>
        <w:t xml:space="preserve">The archive, query, score, and conditional proposal parameters can depend on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oMath>
      <w:r>
        <w:t xml:space="preserve">. Let </w:t>
      </w:r>
      <m:oMath>
        <m:sSub>
          <m:sSubPr>
            <m:ctrlPr>
              <w:rPr>
                <w:rFonts w:ascii="Cambria Math" w:hAnsi="Cambria Math"/>
              </w:rPr>
            </m:ctrlPr>
          </m:sSubPr>
          <m:e>
            <m:r>
              <w:rPr>
                <w:rFonts w:ascii="Cambria Math" w:hAnsi="Cambria Math"/>
              </w:rPr>
              <m:t>I</m:t>
            </m:r>
          </m:e>
          <m:sub>
            <m:r>
              <w:rPr>
                <w:rFonts w:ascii="Cambria Math" w:hAnsi="Cambria Math"/>
              </w:rPr>
              <m:t>i</m:t>
            </m:r>
          </m:sub>
        </m:sSub>
      </m:oMath>
      <w:r>
        <w:t xml:space="preserve"> indicate whether the sampled state’s response is evaluated, with known conditional probability </w:t>
      </w:r>
      <m:oMath>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min</m:t>
            </m:r>
          </m:sub>
        </m:sSub>
        <m:r>
          <m:rPr>
            <m:sty m:val="p"/>
          </m:rPr>
          <w:rPr>
            <w:rFonts w:ascii="Cambria Math" w:hAnsi="Cambria Math"/>
          </w:rPr>
          <m:t>&gt;</m:t>
        </m:r>
        <m:r>
          <w:rPr>
            <w:rFonts w:ascii="Cambria Math" w:hAnsi="Cambria Math"/>
          </w:rPr>
          <m:t>0</m:t>
        </m:r>
      </m:oMath>
      <w:r>
        <w:t xml:space="preserve">. For a fixed nonnegative bounded loss </w:t>
      </w:r>
      <m:oMath>
        <m:r>
          <w:rPr>
            <w:rFonts w:ascii="Cambria Math" w:hAnsi="Cambria Math"/>
          </w:rPr>
          <m:t>S</m:t>
        </m:r>
      </m:oMath>
      <w:r>
        <w:t xml:space="preserve">, temperature </w:t>
      </w:r>
      <m:oMath>
        <m:r>
          <w:rPr>
            <w:rFonts w:ascii="Cambria Math" w:hAnsi="Cambria Math"/>
          </w:rPr>
          <m:t>β</m:t>
        </m:r>
        <m:r>
          <m:rPr>
            <m:sty m:val="p"/>
          </m:rPr>
          <w:rPr>
            <w:rFonts w:ascii="Cambria Math" w:hAnsi="Cambria Math"/>
          </w:rPr>
          <m:t>&lt;∞</m:t>
        </m:r>
      </m:oMath>
      <w:r>
        <w:t xml:space="preserve">, and bounded test function </w:t>
      </w:r>
      <m:oMath>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H</m:t>
        </m:r>
      </m:oMath>
      <w:r>
        <w:t>, define</w:t>
      </w:r>
    </w:p>
    <w:p w14:paraId="0F7FB730" w14:textId="77777777" w:rsidR="000A5C6C"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i</m:t>
                  </m:r>
                </m:sub>
              </m:sSub>
              <m:sSub>
                <m:sSubPr>
                  <m:ctrlPr>
                    <w:rPr>
                      <w:rFonts w:ascii="Cambria Math" w:hAnsi="Cambria Math"/>
                    </w:rPr>
                  </m:ctrlPr>
                </m:sSubPr>
                <m:e>
                  <m:r>
                    <w:rPr>
                      <w:rFonts w:ascii="Cambria Math" w:hAnsi="Cambria Math"/>
                    </w:rPr>
                    <m:t>p</m:t>
                  </m:r>
                </m:e>
                <m:sub>
                  <m:r>
                    <w:rPr>
                      <w:rFonts w:ascii="Cambria Math" w:hAnsi="Cambria Math"/>
                    </w:rPr>
                    <m:t>0</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βS</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sup>
              </m:sSup>
            </m:num>
            <m:den>
              <m:sSub>
                <m:sSubPr>
                  <m:ctrlPr>
                    <w:rPr>
                      <w:rFonts w:ascii="Cambria Math" w:hAnsi="Cambria Math"/>
                    </w:rPr>
                  </m:ctrlPr>
                </m:sSubPr>
                <m:e>
                  <m:r>
                    <w:rPr>
                      <w:rFonts w:ascii="Cambria Math" w:hAnsi="Cambria Math"/>
                    </w:rPr>
                    <m:t>q</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den>
          </m:f>
          <m:r>
            <m:rPr>
              <m:sty m:val="p"/>
            </m:rPr>
            <w:rPr>
              <w:rFonts w:ascii="Cambria Math" w:hAnsi="Cambria Math"/>
            </w:rPr>
            <m:t>,</m:t>
          </m:r>
          <m:r>
            <m:rPr>
              <m:nor/>
            </m:rPr>
            <m:t>    </m:t>
          </m:r>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n</m:t>
              </m:r>
            </m:sub>
          </m:sSub>
          <m:r>
            <m:rPr>
              <m:sty m:val="p"/>
            </m:rPr>
            <w:rPr>
              <w:rFonts w:ascii="Cambria Math" w:hAnsi="Cambria Math"/>
            </w:rPr>
            <m:t>[</m:t>
          </m:r>
          <m:r>
            <w:rPr>
              <w:rFonts w:ascii="Cambria Math" w:hAnsi="Cambria Math"/>
            </w:rPr>
            <m:t>h</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den>
          </m:f>
          <m:r>
            <m:rPr>
              <m:sty m:val="p"/>
            </m:rPr>
            <w:rPr>
              <w:rFonts w:ascii="Cambria Math" w:hAnsi="Cambria Math"/>
            </w:rPr>
            <m:t>,</m:t>
          </m:r>
          <m:r>
            <m:rPr>
              <m:nor/>
            </m:rPr>
            <m:t>    </m:t>
          </m:r>
          <m:r>
            <w:rPr>
              <w:rFonts w:ascii="Cambria Math" w:hAnsi="Cambria Math"/>
            </w:rPr>
            <m:t>π</m:t>
          </m:r>
          <m:d>
            <m:dPr>
              <m:ctrlPr>
                <w:rPr>
                  <w:rFonts w:ascii="Cambria Math" w:hAnsi="Cambria Math"/>
                </w:rPr>
              </m:ctrlPr>
            </m:dPr>
            <m:e>
              <m:r>
                <w:rPr>
                  <w:rFonts w:ascii="Cambria Math" w:hAnsi="Cambria Math"/>
                </w:rPr>
                <m:t>dx</m:t>
              </m:r>
            </m:e>
          </m:d>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βS</m:t>
              </m:r>
              <m:d>
                <m:dPr>
                  <m:ctrlPr>
                    <w:rPr>
                      <w:rFonts w:ascii="Cambria Math" w:hAnsi="Cambria Math"/>
                    </w:rPr>
                  </m:ctrlPr>
                </m:dPr>
                <m:e>
                  <m:r>
                    <w:rPr>
                      <w:rFonts w:ascii="Cambria Math" w:hAnsi="Cambria Math"/>
                    </w:rPr>
                    <m:t>x</m:t>
                  </m:r>
                </m:e>
              </m:d>
            </m:sup>
          </m:sSup>
          <m:r>
            <w:rPr>
              <w:rFonts w:ascii="Cambria Math" w:hAnsi="Cambria Math"/>
            </w:rPr>
            <m:t>μ</m:t>
          </m:r>
          <m:d>
            <m:dPr>
              <m:ctrlPr>
                <w:rPr>
                  <w:rFonts w:ascii="Cambria Math" w:hAnsi="Cambria Math"/>
                </w:rPr>
              </m:ctrlPr>
            </m:dPr>
            <m:e>
              <m:r>
                <w:rPr>
                  <w:rFonts w:ascii="Cambria Math" w:hAnsi="Cambria Math"/>
                </w:rPr>
                <m:t>dx</m:t>
              </m:r>
            </m:e>
          </m:d>
          <m:r>
            <m:rPr>
              <m:sty m:val="p"/>
            </m:rPr>
            <w:rPr>
              <w:rFonts w:ascii="Cambria Math" w:hAnsi="Cambria Math"/>
            </w:rPr>
            <m:t>.</m:t>
          </m:r>
          <m:r>
            <m:rPr>
              <m:nor/>
            </m:rPr>
            <m:t>    (7)</m:t>
          </m:r>
        </m:oMath>
      </m:oMathPara>
    </w:p>
    <w:p w14:paraId="31A36F46" w14:textId="77777777" w:rsidR="000A5C6C" w:rsidRDefault="00000000">
      <w:pPr>
        <w:pStyle w:val="FirstParagraph"/>
        <w:rPr>
          <w:rFonts w:hint="eastAsia"/>
        </w:rPr>
      </w:pPr>
      <w:r>
        <w:t>All attempts are counted; an unevaluated response contributes zero without needing its objective value. The objective and selection law must satisfy the stated conditioning contract. No correction can recover an unobserved positive-target-mass region excluded with probability zero.</w:t>
      </w:r>
    </w:p>
    <w:p w14:paraId="65F0AB2A" w14:textId="77777777" w:rsidR="000A5C6C" w:rsidRDefault="00000000">
      <w:pPr>
        <w:pStyle w:val="BodyText"/>
        <w:keepLines/>
        <w:rPr>
          <w:rFonts w:hint="eastAsia"/>
        </w:rPr>
      </w:pPr>
      <w:r>
        <w:rPr>
          <w:b/>
          <w:bCs/>
        </w:rPr>
        <w:t>Theorem 2 (archive-policy invariance of the estimator).</w:t>
      </w:r>
      <w:r>
        <w:t xml:space="preserve"> Under (6)–(7), every history-measurable working-archive and query policy, including deterministic SPEA2 truncation, leaves </w:t>
      </w:r>
      <m:oMath>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n</m:t>
            </m:r>
          </m:sub>
        </m:sSub>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π</m:t>
            </m:r>
          </m:sub>
        </m:sSub>
        <m:r>
          <m:rPr>
            <m:sty m:val="p"/>
          </m:rPr>
          <w:rPr>
            <w:rFonts w:ascii="Cambria Math" w:hAnsi="Cambria Math"/>
          </w:rPr>
          <m:t>[</m:t>
        </m:r>
        <m:r>
          <w:rPr>
            <w:rFonts w:ascii="Cambria Math" w:hAnsi="Cambria Math"/>
          </w:rPr>
          <m:t>h</m:t>
        </m:r>
        <m:r>
          <m:rPr>
            <m:sty m:val="p"/>
          </m:rPr>
          <w:rPr>
            <w:rFonts w:ascii="Cambria Math" w:hAnsi="Cambria Math"/>
          </w:rPr>
          <m:t>]</m:t>
        </m:r>
      </m:oMath>
      <w:r>
        <w:t xml:space="preserve"> almost surely. This is a guarantee for the estimator using the full corrected history, not for archive-only attention or optimizer quality.</w:t>
      </w:r>
    </w:p>
    <w:p w14:paraId="5CE3692F" w14:textId="77777777" w:rsidR="000A5C6C" w:rsidRDefault="00000000">
      <w:pPr>
        <w:pStyle w:val="BodyText"/>
        <w:rPr>
          <w:rFonts w:hint="eastAsia"/>
        </w:rPr>
      </w:pPr>
      <w:r>
        <w:rPr>
          <w:i/>
          <w:iCs/>
        </w:rPr>
        <w:lastRenderedPageBreak/>
        <w:t>Proof.</w:t>
      </w:r>
      <w:r>
        <w:t xml:space="preserve"> Conditional expectation cancels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giving </w:t>
      </w: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βS</m:t>
            </m:r>
          </m:sup>
        </m:sSup>
        <m:r>
          <w:rPr>
            <w:rFonts w:ascii="Cambria Math" w:hAnsi="Cambria Math"/>
          </w:rPr>
          <m:t>h</m:t>
        </m:r>
        <m:r>
          <m:rPr>
            <m:nor/>
          </m:rPr>
          <m:t>    </m:t>
        </m:r>
        <m:r>
          <w:rPr>
            <w:rFonts w:ascii="Cambria Math" w:hAnsi="Cambria Math"/>
          </w:rPr>
          <m:t>dν</m:t>
        </m:r>
      </m:oMath>
      <w:r>
        <w:t xml:space="preserve">. Weights are bounded by </w:t>
      </w:r>
      <m:oMath>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ε</m:t>
            </m:r>
            <m:sSub>
              <m:sSubPr>
                <m:ctrlPr>
                  <w:rPr>
                    <w:rFonts w:ascii="Cambria Math" w:hAnsi="Cambria Math"/>
                  </w:rPr>
                </m:ctrlPr>
              </m:sSubPr>
              <m:e>
                <m:r>
                  <w:rPr>
                    <w:rFonts w:ascii="Cambria Math" w:hAnsi="Cambria Math"/>
                  </w:rPr>
                  <m:t>e</m:t>
                </m:r>
              </m:e>
              <m:sub>
                <m:r>
                  <m:rPr>
                    <m:sty m:val="p"/>
                  </m:rPr>
                  <w:rPr>
                    <w:rFonts w:ascii="Cambria Math" w:hAnsi="Cambria Math"/>
                  </w:rPr>
                  <m:t>min</m:t>
                </m:r>
              </m:sub>
            </m:sSub>
          </m:e>
        </m:d>
      </m:oMath>
      <w:r>
        <w:t>. Bounded martingale strong laws yield convergence of numerator and denominator averages to their target integrals. The latter is positive. Dividing proves the assertion.</w:t>
      </w:r>
    </w:p>
    <w:p w14:paraId="1B4724BD" w14:textId="77777777" w:rsidR="000A5C6C" w:rsidRDefault="00000000">
      <w:pPr>
        <w:pStyle w:val="BodyText"/>
        <w:rPr>
          <w:rFonts w:hint="eastAsia"/>
        </w:rPr>
      </w:pPr>
      <w:r>
        <w:t xml:space="preserve">For a target restricted to feasible designs, multiply the weights by </w:t>
      </w:r>
      <m:oMath>
        <m:sSub>
          <m:sSubPr>
            <m:ctrlPr>
              <w:rPr>
                <w:rFonts w:ascii="Cambria Math" w:hAnsi="Cambria Math"/>
              </w:rPr>
            </m:ctrlPr>
          </m:sSubPr>
          <m:e>
            <m:r>
              <w:rPr>
                <w:rFonts w:ascii="Cambria Math" w:hAnsi="Cambria Math"/>
              </w:rPr>
              <m:t>1</m:t>
            </m:r>
          </m:e>
          <m:sub>
            <m:r>
              <m:rPr>
                <m:scr m:val="script"/>
                <m:sty m:val="p"/>
              </m:rPr>
              <w:rPr>
                <w:rFonts w:ascii="Cambria Math" w:hAnsi="Cambria Math"/>
              </w:rPr>
              <m:t>C</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oMath>
      <w:r>
        <w:t xml:space="preserve"> and require </w:t>
      </w:r>
      <m:oMath>
        <m:r>
          <w:rPr>
            <w:rFonts w:ascii="Cambria Math" w:hAnsi="Cambria Math"/>
          </w:rPr>
          <m:t>μ</m:t>
        </m:r>
        <m:d>
          <m:dPr>
            <m:ctrlPr>
              <w:rPr>
                <w:rFonts w:ascii="Cambria Math" w:hAnsi="Cambria Math"/>
              </w:rPr>
            </m:ctrlPr>
          </m:dPr>
          <m:e>
            <m:r>
              <m:rPr>
                <m:scr m:val="script"/>
                <m:sty m:val="p"/>
              </m:rPr>
              <w:rPr>
                <w:rFonts w:ascii="Cambria Math" w:hAnsi="Cambria Math"/>
              </w:rPr>
              <m:t>C</m:t>
            </m:r>
          </m:e>
        </m:d>
        <m:r>
          <m:rPr>
            <m:sty m:val="p"/>
          </m:rPr>
          <w:rPr>
            <w:rFonts w:ascii="Cambria Math" w:hAnsi="Cambria Math"/>
          </w:rPr>
          <m:t>&gt;</m:t>
        </m:r>
        <m:r>
          <w:rPr>
            <w:rFonts w:ascii="Cambria Math" w:hAnsi="Cambria Math"/>
          </w:rPr>
          <m:t>0</m:t>
        </m:r>
      </m:oMath>
      <w:r>
        <w:t>; the same proof applies. The fixed target may differ from the archive-dependent score used by the proposer. If a target itself is selected from the same log, a uniform or selection-aware argument is needed. Prompt records with unknown proposal provenance can be used to guide proposals but cannot be silently assigned valid importance weights.</w:t>
      </w:r>
    </w:p>
    <w:p w14:paraId="13593962" w14:textId="77777777" w:rsidR="000A5C6C" w:rsidRDefault="00000000">
      <w:pPr>
        <w:pStyle w:val="Heading2"/>
        <w:rPr>
          <w:rFonts w:hint="eastAsia"/>
        </w:rPr>
      </w:pPr>
      <w:bookmarkStart w:id="14" w:name="what-truncation-can-destroy"/>
      <w:bookmarkEnd w:id="13"/>
      <w:r>
        <w:t>5.2 What truncation can destroy</w:t>
      </w:r>
    </w:p>
    <w:p w14:paraId="60FB2C75" w14:textId="77777777" w:rsidR="000A5C6C" w:rsidRDefault="00000000">
      <w:pPr>
        <w:pStyle w:val="FirstParagraph"/>
        <w:keepLines/>
        <w:rPr>
          <w:rFonts w:hint="eastAsia"/>
        </w:rPr>
      </w:pPr>
      <w:r>
        <w:rPr>
          <w:b/>
          <w:bCs/>
        </w:rPr>
        <w:t>Proposition 3 (outcome-selected retention changes estimation).</w:t>
      </w:r>
      <w:r>
        <w:t xml:space="preserve"> A deterministic elite archive generally cannot replace the log in (7). For independent uniform draws </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keep the smallest </w:t>
      </w:r>
      <m:oMath>
        <m:r>
          <w:rPr>
            <w:rFonts w:ascii="Cambria Math" w:hAnsi="Cambria Math"/>
          </w:rPr>
          <m:t>K</m:t>
        </m:r>
      </m:oMath>
      <w:r>
        <w:t xml:space="preserve"> states for a fixed </w:t>
      </w:r>
      <m:oMath>
        <m:r>
          <w:rPr>
            <w:rFonts w:ascii="Cambria Math" w:hAnsi="Cambria Math"/>
          </w:rPr>
          <m:t>K</m:t>
        </m:r>
      </m:oMath>
      <w:r>
        <w:t xml:space="preserve">. Their average tends almost surely to zero, although </w:t>
      </w:r>
      <m:oMath>
        <m:r>
          <w:rPr>
            <w:rFonts w:ascii="Cambria Math" w:hAnsi="Cambria Math"/>
          </w:rPr>
          <m:t>E</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w:t>
      </w:r>
    </w:p>
    <w:p w14:paraId="1EE565C3" w14:textId="77777777" w:rsidR="000A5C6C" w:rsidRDefault="00000000">
      <w:pPr>
        <w:pStyle w:val="BodyText"/>
        <w:rPr>
          <w:rFonts w:hint="eastAsia"/>
        </w:rPr>
      </w:pPr>
      <w:r>
        <w:rPr>
          <w:i/>
          <w:iCs/>
        </w:rPr>
        <w:t>Proof.</w:t>
      </w:r>
      <w:r>
        <w:t xml:space="preserve"> For every </w:t>
      </w:r>
      <m:oMath>
        <m:r>
          <w:rPr>
            <w:rFonts w:ascii="Cambria Math" w:hAnsi="Cambria Math"/>
          </w:rPr>
          <m:t>t</m:t>
        </m:r>
        <m:r>
          <m:rPr>
            <m:sty m:val="p"/>
          </m:rPr>
          <w:rPr>
            <w:rFonts w:ascii="Cambria Math" w:hAnsi="Cambria Math"/>
          </w:rPr>
          <m:t>&gt;</m:t>
        </m:r>
        <m:r>
          <w:rPr>
            <w:rFonts w:ascii="Cambria Math" w:hAnsi="Cambria Math"/>
          </w:rPr>
          <m:t>0</m:t>
        </m:r>
      </m:oMath>
      <w:r>
        <w:t xml:space="preserve">, infinitely many draws lie in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almost surely. Eventually the largest of the </w:t>
      </w:r>
      <m:oMath>
        <m:r>
          <w:rPr>
            <w:rFonts w:ascii="Cambria Math" w:hAnsi="Cambria Math"/>
          </w:rPr>
          <m:t>K</m:t>
        </m:r>
      </m:oMath>
      <w:r>
        <w:t xml:space="preserve"> retained order statistics is below </w:t>
      </w:r>
      <m:oMath>
        <m:r>
          <w:rPr>
            <w:rFonts w:ascii="Cambria Math" w:hAnsi="Cambria Math"/>
          </w:rPr>
          <m:t>t</m:t>
        </m:r>
      </m:oMath>
      <w:r>
        <w:t xml:space="preserve">. Taking rational </w:t>
      </w:r>
      <m:oMath>
        <m:r>
          <w:rPr>
            <w:rFonts w:ascii="Cambria Math" w:hAnsi="Cambria Math"/>
          </w:rPr>
          <m:t>t</m:t>
        </m:r>
        <m:r>
          <m:rPr>
            <m:sty m:val="p"/>
          </m:rPr>
          <w:rPr>
            <w:rFonts w:ascii="Cambria Math" w:hAnsi="Cambria Math"/>
          </w:rPr>
          <m:t>↓</m:t>
        </m:r>
        <m:r>
          <w:rPr>
            <w:rFonts w:ascii="Cambria Math" w:hAnsi="Cambria Math"/>
          </w:rPr>
          <m:t>0</m:t>
        </m:r>
      </m:oMath>
      <w:r>
        <w:t xml:space="preserve"> proves the limit. This counterexample needs no incorrect importance density; selection alone changes the result.</w:t>
      </w:r>
    </w:p>
    <w:p w14:paraId="617DBAD6" w14:textId="77777777" w:rsidR="000A5C6C" w:rsidRDefault="00000000">
      <w:pPr>
        <w:pStyle w:val="BodyText"/>
        <w:rPr>
          <w:rFonts w:hint="eastAsia"/>
        </w:rPr>
      </w:pPr>
      <w:r>
        <w:t>The complete raw log is a sufficient default, not the only possible statistical representation. Exact weighted merging preserves the same sums. Probability-based retention can support a different estimator when inclusion probabilities are retained.</w:t>
      </w:r>
    </w:p>
    <w:p w14:paraId="2F758B25" w14:textId="77777777" w:rsidR="000A5C6C" w:rsidRDefault="00000000">
      <w:pPr>
        <w:pStyle w:val="BodyText"/>
        <w:keepLines/>
        <w:rPr>
          <w:rFonts w:hint="eastAsia"/>
        </w:rPr>
      </w:pPr>
      <w:r>
        <w:rPr>
          <w:b/>
          <w:bCs/>
        </w:rPr>
        <w:t>Proposition 4 (random retention of a realized log).</w:t>
      </w:r>
      <w:r>
        <w:t xml:space="preserve"> Conditional on a realized log, retain each record independently with probability </w:t>
      </w:r>
      <m:oMath>
        <m:sSub>
          <m:sSubPr>
            <m:ctrlPr>
              <w:rPr>
                <w:rFonts w:ascii="Cambria Math" w:hAnsi="Cambria Math"/>
              </w:rPr>
            </m:ctrlPr>
          </m:sSubPr>
          <m:e>
            <m:r>
              <w:rPr>
                <w:rFonts w:ascii="Cambria Math" w:hAnsi="Cambria Math"/>
              </w:rPr>
              <m:t>ρ</m:t>
            </m:r>
          </m:e>
          <m:sub>
            <m:r>
              <w:rPr>
                <w:rFonts w:ascii="Cambria Math" w:hAnsi="Cambria Math"/>
              </w:rPr>
              <m:t>i</m:t>
            </m:r>
          </m:sub>
        </m:sSub>
        <m:r>
          <m:rPr>
            <m:sty m:val="p"/>
          </m:rPr>
          <w:rPr>
            <w:rFonts w:ascii="Cambria Math" w:hAnsi="Cambria Math"/>
          </w:rPr>
          <m:t>&gt;</m:t>
        </m:r>
        <m:r>
          <w:rPr>
            <w:rFonts w:ascii="Cambria Math" w:hAnsi="Cambria Math"/>
          </w:rPr>
          <m:t>0</m:t>
        </m:r>
      </m:oMath>
      <w:r>
        <w:t xml:space="preserve">, using indicators </w:t>
      </w:r>
      <m:oMath>
        <m:sSub>
          <m:sSubPr>
            <m:ctrlPr>
              <w:rPr>
                <w:rFonts w:ascii="Cambria Math" w:hAnsi="Cambria Math"/>
              </w:rPr>
            </m:ctrlPr>
          </m:sSubPr>
          <m:e>
            <m:r>
              <w:rPr>
                <w:rFonts w:ascii="Cambria Math" w:hAnsi="Cambria Math"/>
              </w:rPr>
              <m:t>J</m:t>
            </m:r>
          </m:e>
          <m:sub>
            <m:r>
              <w:rPr>
                <w:rFonts w:ascii="Cambria Math" w:hAnsi="Cambria Math"/>
              </w:rPr>
              <m:t>i</m:t>
            </m:r>
          </m:sub>
        </m:sSub>
      </m:oMath>
      <w:r>
        <w:t xml:space="preserve">. Then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J</m:t>
                </m:r>
              </m:e>
              <m:sub>
                <m:r>
                  <w:rPr>
                    <w:rFonts w:ascii="Cambria Math" w:hAnsi="Cambria Math"/>
                  </w:rPr>
                  <m:t>i</m:t>
                </m:r>
              </m:sub>
            </m:sSub>
          </m:e>
        </m:nary>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m:t>
            </m:r>
          </m:sub>
        </m:sSub>
      </m:oMath>
      <w:r>
        <w:t xml:space="preserve"> and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J</m:t>
                </m:r>
              </m:e>
              <m:sub>
                <m:r>
                  <w:rPr>
                    <w:rFonts w:ascii="Cambria Math" w:hAnsi="Cambria Math"/>
                  </w:rPr>
                  <m:t>i</m:t>
                </m:r>
              </m:sub>
            </m:sSub>
          </m:e>
        </m:nary>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m:t>
            </m:r>
          </m:sub>
        </m:sSub>
      </m:oMath>
      <w:r>
        <w:t xml:space="preserve"> are conditionally unbiased for the full numerator and denominator. Their ratio is generally biased. If </w:t>
      </w:r>
      <m:oMath>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oMath>
      <w:r>
        <w:t xml:space="preserve"> and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are uniformly bounded, uniform retention </w:t>
      </w:r>
      <m:oMath>
        <m:sSub>
          <m:sSubPr>
            <m:ctrlPr>
              <w:rPr>
                <w:rFonts w:ascii="Cambria Math" w:hAnsi="Cambria Math"/>
              </w:rPr>
            </m:ctrlPr>
          </m:sSubPr>
          <m:e>
            <m:r>
              <w:rPr>
                <w:rFonts w:ascii="Cambria Math" w:hAnsi="Cambria Math"/>
              </w:rPr>
              <m:t>ρ</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oMath>
      <w:r>
        <w:t xml:space="preserve"> with </w:t>
      </w:r>
      <m:oMath>
        <m:sSub>
          <m:sSubPr>
            <m:ctrlPr>
              <w:rPr>
                <w:rFonts w:ascii="Cambria Math" w:hAnsi="Cambria Math"/>
              </w:rPr>
            </m:ctrlPr>
          </m:sSubPr>
          <m:e>
            <m:r>
              <w:rPr>
                <w:rFonts w:ascii="Cambria Math" w:hAnsi="Cambria Math"/>
              </w:rPr>
              <m:t>M</m:t>
            </m:r>
          </m:e>
          <m:sub>
            <m:r>
              <w:rPr>
                <w:rFonts w:ascii="Cambria Math" w:hAnsi="Cambria Math"/>
              </w:rPr>
              <m:t>n</m:t>
            </m:r>
          </m:sub>
        </m:sSub>
        <m:r>
          <m:rPr>
            <m:sty m:val="p"/>
          </m:rPr>
          <w:rPr>
            <w:rFonts w:ascii="Cambria Math" w:hAnsi="Cambria Math"/>
          </w:rPr>
          <m:t>→∞</m:t>
        </m:r>
      </m:oMath>
      <w:r>
        <w:t xml:space="preserve"> makes the retained normalized estimate converge in probability to the full-log limit.</w:t>
      </w:r>
    </w:p>
    <w:p w14:paraId="4B67D764" w14:textId="77777777" w:rsidR="000A5C6C" w:rsidRDefault="00000000">
      <w:pPr>
        <w:pStyle w:val="BodyText"/>
        <w:rPr>
          <w:rFonts w:hint="eastAsia"/>
        </w:rPr>
      </w:pPr>
      <w:r>
        <w:rPr>
          <w:i/>
          <w:iCs/>
        </w:rPr>
        <w:t>Proof.</w:t>
      </w:r>
      <w:r>
        <w:t xml:space="preserve"> Each </w:t>
      </w: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n</m:t>
            </m:r>
          </m:sub>
        </m:sSub>
        <m:r>
          <m:rPr>
            <m:sty m:val="p"/>
          </m:rPr>
          <w:rPr>
            <w:rFonts w:ascii="Cambria Math" w:hAnsi="Cambria Math"/>
          </w:rPr>
          <m:t>]=</m:t>
        </m:r>
        <m:r>
          <w:rPr>
            <w:rFonts w:ascii="Cambria Math" w:hAnsi="Cambria Math"/>
          </w:rPr>
          <m:t>1</m:t>
        </m:r>
      </m:oMath>
      <w:r>
        <w:t xml:space="preserve">. Conditional independence bounds the variance of each retained average by a constant times </w:t>
      </w:r>
      <m:oMath>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n</m:t>
            </m:r>
            <m:sSub>
              <m:sSubPr>
                <m:ctrlPr>
                  <w:rPr>
                    <w:rFonts w:ascii="Cambria Math" w:hAnsi="Cambria Math"/>
                  </w:rPr>
                </m:ctrlPr>
              </m:sSubPr>
              <m:e>
                <m:r>
                  <w:rPr>
                    <w:rFonts w:ascii="Cambria Math" w:hAnsi="Cambria Math"/>
                  </w:rPr>
                  <m:t>ρ</m:t>
                </m:r>
              </m:e>
              <m:sub>
                <m:r>
                  <w:rPr>
                    <w:rFonts w:ascii="Cambria Math" w:hAnsi="Cambria Math"/>
                  </w:rPr>
                  <m:t>i</m:t>
                </m:r>
              </m:sub>
            </m:sSub>
          </m:e>
        </m:d>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oMath>
      <w:r>
        <w:t>. Chebyshev’s inequality gives convergence in probability; the positive limiting denominator permits taking the ratio. A fixed retained sample size does not supply this vanishing-variance argument.</w:t>
      </w:r>
    </w:p>
    <w:p w14:paraId="69BF0612" w14:textId="77777777" w:rsidR="000A5C6C" w:rsidRDefault="00000000">
      <w:pPr>
        <w:pStyle w:val="BodyText"/>
        <w:rPr>
          <w:rFonts w:hint="eastAsia"/>
        </w:rPr>
      </w:pPr>
      <w:r>
        <w:t>This result concerns independent Bernoulli retention after conditioning on the log. Fixed-size reservoirs have dependent membership and require their own inclusion-probability and variance analysis. Statistical retention also does not replace the artifact provenance needed for engineering audit.</w:t>
      </w:r>
    </w:p>
    <w:p w14:paraId="6058CC36" w14:textId="77777777" w:rsidR="000A5C6C" w:rsidRDefault="00000000">
      <w:pPr>
        <w:pStyle w:val="BodyText"/>
        <w:keepNext/>
        <w:jc w:val="center"/>
        <w:rPr>
          <w:rFonts w:hint="eastAsia"/>
        </w:rPr>
      </w:pPr>
      <w:r>
        <w:rPr>
          <w:noProof/>
        </w:rPr>
        <w:lastRenderedPageBreak/>
        <w:drawing>
          <wp:inline distT="0" distB="0" distL="0" distR="0" wp14:anchorId="4D2FFBE9" wp14:editId="44DFE9AB">
            <wp:extent cx="6217920" cy="2398340"/>
            <wp:effectExtent l="0" t="0" r="0" b="0"/>
            <wp:docPr id="34" name="Picture" descr="Elitist archive selection changes a probability estimate"/>
            <wp:cNvGraphicFramePr/>
            <a:graphic xmlns:a="http://schemas.openxmlformats.org/drawingml/2006/main">
              <a:graphicData uri="http://schemas.openxmlformats.org/drawingml/2006/picture">
                <pic:pic xmlns:pic="http://schemas.openxmlformats.org/drawingml/2006/picture">
                  <pic:nvPicPr>
                    <pic:cNvPr id="35" name="Picture" descr="figures/selection.png"/>
                    <pic:cNvPicPr>
                      <a:picLocks noChangeAspect="1" noChangeArrowheads="1"/>
                    </pic:cNvPicPr>
                  </pic:nvPicPr>
                  <pic:blipFill>
                    <a:blip r:embed="rId7"/>
                    <a:stretch>
                      <a:fillRect/>
                    </a:stretch>
                  </pic:blipFill>
                  <pic:spPr bwMode="auto">
                    <a:xfrm>
                      <a:off x="0" y="0"/>
                      <a:ext cx="6217920" cy="2398340"/>
                    </a:xfrm>
                    <a:prstGeom prst="rect">
                      <a:avLst/>
                    </a:prstGeom>
                    <a:noFill/>
                    <a:ln w="9525">
                      <a:noFill/>
                      <a:headEnd/>
                      <a:tailEnd/>
                    </a:ln>
                  </pic:spPr>
                </pic:pic>
              </a:graphicData>
            </a:graphic>
          </wp:inline>
        </w:drawing>
      </w:r>
    </w:p>
    <w:p w14:paraId="499F0E21" w14:textId="77777777" w:rsidR="000A5C6C" w:rsidRDefault="00000000">
      <w:pPr>
        <w:pStyle w:val="Caption"/>
        <w:keepLines/>
        <w:rPr>
          <w:rFonts w:hint="eastAsia"/>
        </w:rPr>
      </w:pPr>
      <w:r>
        <w:t xml:space="preserve">Figure 1. The full uniform-sample mean approaches </w:t>
      </w:r>
      <m:oMath>
        <m:r>
          <w:rPr>
            <w:rFonts w:ascii="Cambria Math" w:hAnsi="Cambria Math"/>
          </w:rPr>
          <m:t>1</m:t>
        </m:r>
        <m:r>
          <m:rPr>
            <m:sty m:val="p"/>
          </m:rPr>
          <w:rPr>
            <w:rFonts w:ascii="Cambria Math" w:hAnsi="Cambria Math"/>
          </w:rPr>
          <m:t>/</m:t>
        </m:r>
        <m:r>
          <w:rPr>
            <w:rFonts w:ascii="Cambria Math" w:hAnsi="Cambria Math"/>
          </w:rPr>
          <m:t>2</m:t>
        </m:r>
      </m:oMath>
      <w:r>
        <w:t>, while the mean of the 64 smallest observed values approaches zero. This illustrates a statistical distinction between a useful search memory and a representative evidence store; it is not an ADE performance comparison.</w:t>
      </w:r>
    </w:p>
    <w:p w14:paraId="75EDF202" w14:textId="77777777" w:rsidR="000A5C6C" w:rsidRDefault="00000000">
      <w:pPr>
        <w:pStyle w:val="Heading1"/>
        <w:rPr>
          <w:rFonts w:hint="eastAsia"/>
        </w:rPr>
      </w:pPr>
      <w:bookmarkStart w:id="15" w:name="Xfd3f45cc47a905fb2cfe7c9eeb5dfb82100c5cc"/>
      <w:bookmarkEnd w:id="12"/>
      <w:bookmarkEnd w:id="14"/>
      <w:r>
        <w:t>6 Truncation multiplicity and controlled compression</w:t>
      </w:r>
    </w:p>
    <w:p w14:paraId="446A37C1" w14:textId="77777777" w:rsidR="000A5C6C" w:rsidRDefault="00000000">
      <w:pPr>
        <w:pStyle w:val="Heading2"/>
        <w:rPr>
          <w:rFonts w:hint="eastAsia"/>
        </w:rPr>
      </w:pPr>
      <w:bookmarkStart w:id="16" w:name="X6fb742b7b97dae64a4fc2580369ea72a5f79d7b"/>
      <w:r>
        <w:t>6.1 Environmental selection and protected records</w:t>
      </w:r>
    </w:p>
    <w:p w14:paraId="39E9B8DC" w14:textId="77777777" w:rsidR="000A5C6C" w:rsidRDefault="00000000">
      <w:pPr>
        <w:pStyle w:val="FirstParagraph"/>
        <w:rPr>
          <w:rFonts w:hint="eastAsia"/>
        </w:rPr>
      </w:pPr>
      <w:r>
        <w:t>A complete SPEA2-style environmental policy first admits nondominated records. If they exceed capacity, iteratively remove the record whose sorted distances to the other surviving records form the lexicographically smallest vector. If too few nondominated records remain, fill the archive by increasing strength-plus-density fitness, with declared tie rules. The overflow truncation alone is not the full environmental-selection algorithm.</w:t>
      </w:r>
    </w:p>
    <w:p w14:paraId="5665B047" w14:textId="77777777" w:rsidR="000A5C6C" w:rsidRDefault="00000000">
      <w:pPr>
        <w:pStyle w:val="BodyText"/>
        <w:keepLines/>
        <w:rPr>
          <w:rFonts w:hint="eastAsia"/>
        </w:rPr>
      </w:pPr>
      <w:r>
        <w:rPr>
          <w:b/>
          <w:bCs/>
        </w:rPr>
        <w:t>Proposition 5 (protected-record capacity).</w:t>
      </w:r>
      <w:r>
        <w:t xml:space="preserve"> If a set of distinct protected record identifiers is </w:t>
      </w:r>
      <m:oMath>
        <m:sSub>
          <m:sSubPr>
            <m:ctrlPr>
              <w:rPr>
                <w:rFonts w:ascii="Cambria Math" w:hAnsi="Cambria Math"/>
              </w:rPr>
            </m:ctrlPr>
          </m:sSubPr>
          <m:e>
            <m:r>
              <w:rPr>
                <w:rFonts w:ascii="Cambria Math" w:hAnsi="Cambria Math"/>
              </w:rPr>
              <m:t>P</m:t>
            </m:r>
          </m:e>
          <m:sub>
            <m:r>
              <w:rPr>
                <w:rFonts w:ascii="Cambria Math" w:hAnsi="Cambria Math"/>
              </w:rPr>
              <m:t>A</m:t>
            </m:r>
          </m:sub>
        </m:sSub>
      </m:oMath>
      <w:r>
        <w:t>, a capacity-</w:t>
      </w:r>
      <m:oMath>
        <m:r>
          <w:rPr>
            <w:rFonts w:ascii="Cambria Math" w:hAnsi="Cambria Math"/>
          </w:rPr>
          <m:t>K</m:t>
        </m:r>
      </m:oMath>
      <w:r>
        <w:t xml:space="preserve"> archive can retain all of them exactly when </w:t>
      </w:r>
      <m:oMath>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m:t>
            </m:r>
          </m:sub>
        </m:sSub>
        <m:r>
          <m:rPr>
            <m:sty m:val="p"/>
          </m:rPr>
          <w:rPr>
            <w:rFonts w:ascii="Cambria Math" w:hAnsi="Cambria Math"/>
          </w:rPr>
          <m:t>|</m:t>
        </m:r>
      </m:oMath>
      <w:r>
        <w:t xml:space="preserve"> and the identifiers are available. A truncation implementation must reject an infeasible protection request or explicitly relax it; silently dropping a protected record changes the contract.</w:t>
      </w:r>
    </w:p>
    <w:p w14:paraId="16288443" w14:textId="77777777" w:rsidR="000A5C6C" w:rsidRDefault="00000000">
      <w:pPr>
        <w:pStyle w:val="BodyText"/>
        <w:rPr>
          <w:rFonts w:hint="eastAsia"/>
        </w:rPr>
      </w:pPr>
      <w:r>
        <w:rPr>
          <w:i/>
          <w:iCs/>
        </w:rPr>
        <w:t>Proof.</w:t>
      </w:r>
      <w:r>
        <w:t xml:space="preserve"> Necessity is cardinality. For sufficiency, retain every protected record and choose any remaining </w:t>
      </w:r>
      <m:oMath>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m:t>
            </m:r>
          </m:sub>
        </m:sSub>
        <m:r>
          <m:rPr>
            <m:sty m:val="p"/>
          </m:rPr>
          <w:rPr>
            <w:rFonts w:ascii="Cambria Math" w:hAnsi="Cambria Math"/>
          </w:rPr>
          <m:t>|</m:t>
        </m:r>
      </m:oMath>
      <w:r>
        <w:t xml:space="preserve"> available records when enough exist; otherwise retain the entire available set. During iterative truncation, remove only unprotected records until capacity is reached.</w:t>
      </w:r>
    </w:p>
    <w:p w14:paraId="2B66CA78" w14:textId="77777777" w:rsidR="000A5C6C" w:rsidRDefault="00000000">
      <w:pPr>
        <w:pStyle w:val="BodyText"/>
        <w:rPr>
          <w:rFonts w:hint="eastAsia"/>
        </w:rPr>
      </w:pPr>
      <w:r>
        <w:t xml:space="preserve">Protecting one selected minimizer per objective requires capacity for the number of distinct selected representatives, at most </w:t>
      </w:r>
      <m:oMath>
        <m:r>
          <w:rPr>
            <w:rFonts w:ascii="Cambria Math" w:hAnsi="Cambria Math"/>
          </w:rPr>
          <m:t>m</m:t>
        </m:r>
      </m:oMath>
      <w:r>
        <w:t>. Protecting every tied objective minimizer may require many more records. An objective-space extreme need not be unique, and geometric diversity alone does not imply retention of a named engineering incumbent.</w:t>
      </w:r>
    </w:p>
    <w:p w14:paraId="2172260D" w14:textId="77777777" w:rsidR="000A5C6C" w:rsidRDefault="00000000">
      <w:pPr>
        <w:pStyle w:val="Heading2"/>
        <w:rPr>
          <w:rFonts w:hint="eastAsia"/>
        </w:rPr>
      </w:pPr>
      <w:bookmarkStart w:id="17" w:name="exact-merging"/>
      <w:bookmarkEnd w:id="16"/>
      <w:r>
        <w:t>6.2 Exact merging</w:t>
      </w:r>
    </w:p>
    <w:p w14:paraId="332A8D00" w14:textId="77777777" w:rsidR="000A5C6C" w:rsidRDefault="00000000">
      <w:pPr>
        <w:pStyle w:val="FirstParagraph"/>
        <w:keepLines/>
        <w:rPr>
          <w:rFonts w:hint="eastAsia"/>
        </w:rPr>
      </w:pPr>
      <w:r>
        <w:rPr>
          <w:b/>
          <w:bCs/>
        </w:rPr>
        <w:t>Theorem 3 (weighted duplicate equivalence).</w:t>
      </w:r>
      <w:r>
        <w:t xml:space="preserve"> In any normalized retrieval or importance ratio, records with identical query-dependent factors and identical returned values can be replaced by one record whose unnormalized weight is their sum. In log form this is a log-sum-exp. Equality of objective vectors alone is insufficient if origins, values, kernels, evaluators, or versions differ.</w:t>
      </w:r>
    </w:p>
    <w:p w14:paraId="02700F65" w14:textId="77777777" w:rsidR="000A5C6C" w:rsidRDefault="00000000">
      <w:pPr>
        <w:pStyle w:val="BodyText"/>
        <w:rPr>
          <w:rFonts w:hint="eastAsia"/>
        </w:rPr>
      </w:pPr>
      <w:r>
        <w:rPr>
          <w:i/>
          <w:iCs/>
        </w:rPr>
        <w:t>Proof.</w:t>
      </w:r>
      <w:r>
        <w:t xml:space="preserve"> The group’s numerator is its shared value times the sum of its weighted query factors; its denominator is the same sum without the value. Replacing the group by that total preserves both sums and hence the normalized result.</w:t>
      </w:r>
    </w:p>
    <w:p w14:paraId="200B59BB" w14:textId="77777777" w:rsidR="000A5C6C" w:rsidRDefault="00000000">
      <w:pPr>
        <w:pStyle w:val="BodyText"/>
        <w:rPr>
          <w:rFonts w:hint="eastAsia"/>
        </w:rPr>
      </w:pPr>
      <w:r>
        <w:lastRenderedPageBreak/>
        <w:t xml:space="preserve">For identical states with a common response and reference density, but differing sampling and observation probabilities, the coefficient to preserve is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I</m:t>
                </m:r>
              </m:e>
              <m:sub>
                <m:r>
                  <w:rPr>
                    <w:rFonts w:ascii="Cambria Math" w:hAnsi="Cambria Math"/>
                  </w:rPr>
                  <m:t>i</m:t>
                </m:r>
              </m:sub>
            </m:sSub>
          </m:e>
        </m:nary>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oMath>
      <w:r>
        <w:t>. Multiplying this coefficient by the common reference density and a newly chosen fixed-target loss factor gives the merged weight. A visit count suffices only when the individual coefficients are equal. Exact reuse across preferences also requires that every target-dependent response factor remain identical within the group.</w:t>
      </w:r>
    </w:p>
    <w:p w14:paraId="6E7E0BB6" w14:textId="77777777" w:rsidR="000A5C6C" w:rsidRDefault="00000000">
      <w:pPr>
        <w:pStyle w:val="BodyText"/>
        <w:rPr>
          <w:rFonts w:hint="eastAsia"/>
        </w:rPr>
      </w:pPr>
      <w:r>
        <w:t xml:space="preserve">For example, two duplicates with </w:t>
      </w:r>
      <m:oMath>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m:t>
        </m:r>
        <m:r>
          <w:rPr>
            <w:rFonts w:ascii="Cambria Math" w:hAnsi="Cambria Math"/>
          </w:rPr>
          <m:t>1</m:t>
        </m:r>
      </m:oMath>
      <w:r>
        <w:t xml:space="preserve">, loss </w:t>
      </w:r>
      <m:oMath>
        <m:r>
          <w:rPr>
            <w:rFonts w:ascii="Cambria Math" w:hAnsi="Cambria Math"/>
          </w:rPr>
          <m:t>0.3</m:t>
        </m:r>
      </m:oMath>
      <w:r>
        <w:t xml:space="preserve">, </w:t>
      </w:r>
      <m:oMath>
        <m:r>
          <w:rPr>
            <w:rFonts w:ascii="Cambria Math" w:hAnsi="Cambria Math"/>
          </w:rPr>
          <m:t>β</m:t>
        </m:r>
        <m:r>
          <m:rPr>
            <m:sty m:val="p"/>
          </m:rPr>
          <w:rPr>
            <w:rFonts w:ascii="Cambria Math" w:hAnsi="Cambria Math"/>
          </w:rPr>
          <m:t>=</m:t>
        </m:r>
        <m:r>
          <w:rPr>
            <w:rFonts w:ascii="Cambria Math" w:hAnsi="Cambria Math"/>
          </w:rPr>
          <m:t>2</m:t>
        </m:r>
      </m:oMath>
      <w:r>
        <w:t xml:space="preserve">, and log proposal densities </w:t>
      </w:r>
      <m:oMath>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2</m:t>
        </m:r>
      </m:oMath>
      <w:r>
        <w:t xml:space="preserve"> have total weight </w:t>
      </w:r>
      <m:oMath>
        <m:r>
          <w:rPr>
            <w:rFonts w:ascii="Cambria Math" w:hAnsi="Cambria Math"/>
          </w:rPr>
          <m:t>1.824696</m:t>
        </m:r>
      </m:oMath>
      <w:r>
        <w:t xml:space="preserve">. Twice the first weight is </w:t>
      </w:r>
      <m:oMath>
        <m:r>
          <w:rPr>
            <w:rFonts w:ascii="Cambria Math" w:hAnsi="Cambria Math"/>
          </w:rPr>
          <m:t>0.665742</m:t>
        </m:r>
      </m:oMath>
      <w:r>
        <w:t>. Deduplicating the working archive can intentionally remove visit-frequency preference, but it is a different proposal design from exact weighted merging.</w:t>
      </w:r>
    </w:p>
    <w:p w14:paraId="74943F79" w14:textId="77777777" w:rsidR="000A5C6C" w:rsidRDefault="00000000">
      <w:pPr>
        <w:pStyle w:val="Heading2"/>
        <w:rPr>
          <w:rFonts w:hint="eastAsia"/>
        </w:rPr>
      </w:pPr>
      <w:bookmarkStart w:id="18" w:name="Xa7e799968d408f3f5ba2b9592798e8a39297ea2"/>
      <w:bookmarkEnd w:id="17"/>
      <w:r>
        <w:t>6.3 Approximate compression has a scale dependent error</w:t>
      </w:r>
    </w:p>
    <w:p w14:paraId="7653F69F" w14:textId="77777777" w:rsidR="000A5C6C" w:rsidRDefault="00000000">
      <w:pPr>
        <w:pStyle w:val="FirstParagraph"/>
        <w:rPr>
          <w:rFonts w:hint="eastAsia"/>
        </w:rPr>
      </w:pPr>
      <w:r>
        <w:t xml:space="preserve">Fix positive target-specific weights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and numerical origins in a bounded set. Assign each origin to a representative </w:t>
      </w:r>
      <m:oMath>
        <m:sSub>
          <m:sSubPr>
            <m:ctrlPr>
              <w:rPr>
                <w:rFonts w:ascii="Cambria Math" w:hAnsi="Cambria Math"/>
              </w:rPr>
            </m:ctrlPr>
          </m:sSubPr>
          <m:e>
            <m:r>
              <w:rPr>
                <w:rFonts w:ascii="Cambria Math" w:hAnsi="Cambria Math"/>
              </w:rPr>
              <m:t>z</m:t>
            </m:r>
          </m:e>
          <m:sub>
            <m:r>
              <w:rPr>
                <w:rFonts w:ascii="Cambria Math" w:hAnsi="Cambria Math"/>
              </w:rPr>
              <m:t>c</m:t>
            </m:r>
            <m:d>
              <m:dPr>
                <m:ctrlPr>
                  <w:rPr>
                    <w:rFonts w:ascii="Cambria Math" w:hAnsi="Cambria Math"/>
                  </w:rPr>
                </m:ctrlPr>
              </m:dPr>
              <m:e>
                <m:r>
                  <w:rPr>
                    <w:rFonts w:ascii="Cambria Math" w:hAnsi="Cambria Math"/>
                  </w:rPr>
                  <m:t>i</m:t>
                </m:r>
              </m:e>
            </m:d>
          </m:sub>
        </m:sSub>
      </m:oMath>
      <w:r>
        <w:t xml:space="preserve"> with </w:t>
      </w:r>
      <m:oMath>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c</m:t>
            </m:r>
            <m:d>
              <m:dPr>
                <m:ctrlPr>
                  <w:rPr>
                    <w:rFonts w:ascii="Cambria Math" w:hAnsi="Cambria Math"/>
                  </w:rPr>
                </m:ctrlPr>
              </m:dPr>
              <m:e>
                <m:r>
                  <w:rPr>
                    <w:rFonts w:ascii="Cambria Math" w:hAnsi="Cambria Math"/>
                  </w:rPr>
                  <m:t>i</m:t>
                </m:r>
              </m:e>
            </m:d>
          </m:sub>
        </m:sSub>
        <m:r>
          <m:rPr>
            <m:sty m:val="p"/>
          </m:rPr>
          <w:rPr>
            <w:rFonts w:ascii="Cambria Math" w:hAnsi="Cambria Math"/>
          </w:rPr>
          <m:t>∥≤</m:t>
        </m:r>
        <m:r>
          <w:rPr>
            <w:rFonts w:ascii="Cambria Math" w:hAnsi="Cambria Math"/>
          </w:rPr>
          <m:t>r</m:t>
        </m:r>
      </m:oMath>
      <w:r>
        <w:t>. Sum the weights within each cluster, and use those sums in the compressed retrieval. This is approximate merging of nearby origins, not exact duplicate merging.</w:t>
      </w:r>
    </w:p>
    <w:p w14:paraId="0E2920BC" w14:textId="77777777" w:rsidR="000A5C6C" w:rsidRDefault="00000000">
      <w:pPr>
        <w:pStyle w:val="BodyText"/>
        <w:keepNext/>
        <w:keepLines/>
        <w:rPr>
          <w:rFonts w:hint="eastAsia"/>
        </w:rPr>
      </w:pPr>
      <w:r>
        <w:rPr>
          <w:b/>
          <w:bCs/>
        </w:rPr>
        <w:t>Theorem 4 (retrieval error bound).</w:t>
      </w:r>
      <w:r>
        <w:t xml:space="preserve"> Suppose all origins and representatives have norm at most </w:t>
      </w:r>
      <m:oMath>
        <m:sSub>
          <m:sSubPr>
            <m:ctrlPr>
              <w:rPr>
                <w:rFonts w:ascii="Cambria Math" w:hAnsi="Cambria Math"/>
              </w:rPr>
            </m:ctrlPr>
          </m:sSubPr>
          <m:e>
            <m:r>
              <w:rPr>
                <w:rFonts w:ascii="Cambria Math" w:hAnsi="Cambria Math"/>
              </w:rPr>
              <m:t>B</m:t>
            </m:r>
          </m:e>
          <m:sub>
            <m:r>
              <w:rPr>
                <w:rFonts w:ascii="Cambria Math" w:hAnsi="Cambria Math"/>
              </w:rPr>
              <m:t>Y</m:t>
            </m:r>
          </m:sub>
        </m:sSub>
      </m:oMath>
      <w:r>
        <w:t xml:space="preserve">, and the log kernel is </w:t>
      </w:r>
      <m:oMath>
        <m:r>
          <w:rPr>
            <w:rFonts w:ascii="Cambria Math" w:hAnsi="Cambria Math"/>
          </w:rPr>
          <m:t>L</m:t>
        </m:r>
      </m:oMath>
      <w:r>
        <w:t xml:space="preserve">-Lipschitz on every segment joining an origin to its representative, uniformly over the queries being considered. Then the original mean </w:t>
      </w:r>
      <m:oMath>
        <m:r>
          <w:rPr>
            <w:rFonts w:ascii="Cambria Math" w:hAnsi="Cambria Math"/>
          </w:rPr>
          <m:t>m</m:t>
        </m:r>
      </m:oMath>
      <w:r>
        <w:t xml:space="preserve"> and compressed mean </w:t>
      </w:r>
      <m:oMath>
        <m:acc>
          <m:accPr>
            <m:chr m:val="̃"/>
            <m:ctrlPr>
              <w:rPr>
                <w:rFonts w:ascii="Cambria Math" w:hAnsi="Cambria Math"/>
              </w:rPr>
            </m:ctrlPr>
          </m:accPr>
          <m:e>
            <m:r>
              <w:rPr>
                <w:rFonts w:ascii="Cambria Math" w:hAnsi="Cambria Math"/>
              </w:rPr>
              <m:t>m</m:t>
            </m:r>
          </m:e>
        </m:acc>
      </m:oMath>
      <w:r>
        <w:t xml:space="preserve"> satisfy</w:t>
      </w:r>
    </w:p>
    <w:p w14:paraId="5AD98039" w14:textId="77777777" w:rsidR="000A5C6C" w:rsidRDefault="00000000">
      <w:pPr>
        <w:pStyle w:val="BodyText"/>
        <w:keepLines/>
        <w:spacing w:before="60" w:after="120"/>
        <w:jc w:val="center"/>
        <w:rPr>
          <w:rFonts w:hint="eastAsia"/>
        </w:rPr>
      </w:pPr>
      <m:oMathPara>
        <m:oMathParaPr>
          <m:jc m:val="center"/>
        </m:oMathParaPr>
        <m:oMath>
          <m:r>
            <m:rPr>
              <m:sty m:val="p"/>
            </m:rPr>
            <w:rPr>
              <w:rFonts w:ascii="Cambria Math" w:hAnsi="Cambria Math"/>
            </w:rPr>
            <m:t>∥</m:t>
          </m:r>
          <m:r>
            <w:rPr>
              <w:rFonts w:ascii="Cambria Math" w:hAnsi="Cambria Math"/>
            </w:rPr>
            <m:t>m</m:t>
          </m:r>
          <m:r>
            <m:rPr>
              <m:sty m:val="p"/>
            </m:rPr>
            <w:rPr>
              <w:rFonts w:ascii="Cambria Math" w:hAnsi="Cambria Math"/>
            </w:rPr>
            <m:t>-</m:t>
          </m:r>
          <m:acc>
            <m:accPr>
              <m:chr m:val="̃"/>
              <m:ctrlPr>
                <w:rPr>
                  <w:rFonts w:ascii="Cambria Math" w:hAnsi="Cambria Math"/>
                </w:rPr>
              </m:ctrlPr>
            </m:accPr>
            <m:e>
              <m:r>
                <w:rPr>
                  <w:rFonts w:ascii="Cambria Math" w:hAnsi="Cambria Math"/>
                </w:rPr>
                <m:t>m</m:t>
              </m:r>
            </m:e>
          </m:acc>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B</m:t>
              </m:r>
            </m:e>
            <m:sub>
              <m:r>
                <w:rPr>
                  <w:rFonts w:ascii="Cambria Math" w:hAnsi="Cambria Math"/>
                </w:rPr>
                <m:t>Y</m:t>
              </m:r>
            </m:sub>
          </m:sSub>
          <m:r>
            <m:rPr>
              <m:sty m:val="p"/>
            </m:rPr>
            <w:rPr>
              <w:rFonts w:ascii="Cambria Math" w:hAnsi="Cambria Math"/>
            </w:rPr>
            <m:t>min{</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2Lr</m:t>
              </m:r>
            </m:sup>
          </m:sSup>
          <m:r>
            <m:rPr>
              <m:sty m:val="p"/>
            </m:rPr>
            <w:rPr>
              <w:rFonts w:ascii="Cambria Math" w:hAnsi="Cambria Math"/>
            </w:rPr>
            <m:t>-</m:t>
          </m:r>
          <m:r>
            <w:rPr>
              <w:rFonts w:ascii="Cambria Math" w:hAnsi="Cambria Math"/>
            </w:rPr>
            <m:t>1</m:t>
          </m:r>
          <m:r>
            <m:rPr>
              <m:sty m:val="p"/>
            </m:rPr>
            <w:rPr>
              <w:rFonts w:ascii="Cambria Math" w:hAnsi="Cambria Math"/>
            </w:rPr>
            <m:t>}.</m:t>
          </m:r>
          <m:r>
            <m:rPr>
              <m:nor/>
            </m:rPr>
            <m:t>    (8)</m:t>
          </m:r>
        </m:oMath>
      </m:oMathPara>
    </w:p>
    <w:p w14:paraId="6518DFD3" w14:textId="77777777" w:rsidR="000A5C6C" w:rsidRDefault="00000000">
      <w:pPr>
        <w:pStyle w:val="FirstParagraph"/>
        <w:rPr>
          <w:rFonts w:hint="eastAsia"/>
        </w:rPr>
      </w:pPr>
      <w:r>
        <w:rPr>
          <w:i/>
          <w:iCs/>
        </w:rPr>
        <w:t>Proof.</w:t>
      </w:r>
      <w:r>
        <w:t xml:space="preserve"> Replacing returned values by cluster representatives while keeping original normalized kernel weights changes the mean by at most </w:t>
      </w:r>
      <m:oMath>
        <m:r>
          <w:rPr>
            <w:rFonts w:ascii="Cambria Math" w:hAnsi="Cambria Math"/>
          </w:rPr>
          <m:t>r</m:t>
        </m:r>
      </m:oMath>
      <w:r>
        <w:t xml:space="preserve">. For each origin, its original-to-representative kernel ratio lies in </w:t>
      </w:r>
      <m:oMath>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Lr</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Lr</m:t>
            </m:r>
          </m:sup>
        </m:sSup>
        <m:r>
          <m:rPr>
            <m:sty m:val="p"/>
          </m:rPr>
          <w:rPr>
            <w:rFonts w:ascii="Cambria Math" w:hAnsi="Cambria Math"/>
          </w:rPr>
          <m:t>]</m:t>
        </m:r>
      </m:oMath>
      <w:r>
        <w:t xml:space="preserve">. The corresponding ratio after normalization lies in </w:t>
      </w:r>
      <m:oMath>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2Lr</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2Lr</m:t>
            </m:r>
          </m:sup>
        </m:sSup>
        <m:r>
          <m:rPr>
            <m:sty m:val="p"/>
          </m:rPr>
          <w:rPr>
            <w:rFonts w:ascii="Cambria Math" w:hAnsi="Cambria Math"/>
          </w:rPr>
          <m:t>]</m:t>
        </m:r>
      </m:oMath>
      <w:r>
        <w:t xml:space="preserve">. Therefore the total variation between the two distributions over original record indices is at most </w:t>
      </w:r>
      <m:oMath>
        <m:r>
          <m:rPr>
            <m:sty m:val="p"/>
          </m:rPr>
          <w:rPr>
            <w:rFonts w:ascii="Cambria Math" w:hAnsi="Cambria Math"/>
          </w:rPr>
          <m:t>min{</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2Lr</m:t>
            </m:r>
          </m:sup>
        </m:sSup>
        <m:r>
          <m:rPr>
            <m:sty m:val="p"/>
          </m:rPr>
          <w:rPr>
            <w:rFonts w:ascii="Cambria Math" w:hAnsi="Cambria Math"/>
          </w:rPr>
          <m:t>-</m:t>
        </m:r>
        <m:r>
          <w:rPr>
            <w:rFonts w:ascii="Cambria Math" w:hAnsi="Cambria Math"/>
          </w:rPr>
          <m:t>1</m:t>
        </m:r>
        <m:r>
          <m:rPr>
            <m:sty m:val="p"/>
          </m:rPr>
          <w:rPr>
            <w:rFonts w:ascii="Cambria Math" w:hAnsi="Cambria Math"/>
          </w:rPr>
          <m:t>}</m:t>
        </m:r>
      </m:oMath>
      <w:r>
        <w:t xml:space="preserve">. Bounded representative norms make their mean difference at most twice </w:t>
      </w:r>
      <m:oMath>
        <m:sSub>
          <m:sSubPr>
            <m:ctrlPr>
              <w:rPr>
                <w:rFonts w:ascii="Cambria Math" w:hAnsi="Cambria Math"/>
              </w:rPr>
            </m:ctrlPr>
          </m:sSubPr>
          <m:e>
            <m:r>
              <w:rPr>
                <w:rFonts w:ascii="Cambria Math" w:hAnsi="Cambria Math"/>
              </w:rPr>
              <m:t>B</m:t>
            </m:r>
          </m:e>
          <m:sub>
            <m:r>
              <w:rPr>
                <w:rFonts w:ascii="Cambria Math" w:hAnsi="Cambria Math"/>
              </w:rPr>
              <m:t>Y</m:t>
            </m:r>
          </m:sub>
        </m:sSub>
      </m:oMath>
      <w:r>
        <w:t xml:space="preserve"> times this total variation. Add the two bounds.</w:t>
      </w:r>
    </w:p>
    <w:p w14:paraId="064F88AF" w14:textId="77777777" w:rsidR="000A5C6C" w:rsidRDefault="00000000">
      <w:pPr>
        <w:pStyle w:val="BodyText"/>
        <w:keepNext/>
        <w:rPr>
          <w:rFonts w:hint="eastAsia"/>
        </w:rPr>
      </w:pPr>
      <w:r>
        <w:t xml:space="preserve">For the Gaussian kernel in (1), if </w:t>
      </w:r>
      <m:oMath>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q</m:t>
            </m:r>
          </m:sub>
        </m:sSub>
      </m:oMath>
      <w:r>
        <w:t xml:space="preserve"> and </w:t>
      </w:r>
      <m:oMath>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Y</m:t>
            </m:r>
          </m:sub>
        </m:sSub>
      </m:oMath>
      <w:r>
        <w:t>, differentiation gives</w:t>
      </w:r>
    </w:p>
    <w:p w14:paraId="343B4BAF" w14:textId="77777777" w:rsidR="000A5C6C" w:rsidRDefault="00000000">
      <w:pPr>
        <w:pStyle w:val="BodyText"/>
        <w:keepLines/>
        <w:spacing w:before="60" w:after="120"/>
        <w:jc w:val="center"/>
        <w:rPr>
          <w:rFonts w:hint="eastAsia"/>
        </w:rPr>
      </w:pPr>
      <m:oMathPara>
        <m:oMathParaPr>
          <m:jc m:val="center"/>
        </m:oMathParaPr>
        <m:oMath>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y</m:t>
              </m:r>
            </m:sub>
          </m:sSub>
          <m:r>
            <m:rPr>
              <m:sty m:val="p"/>
            </m:rPr>
            <w:rPr>
              <w:rFonts w:ascii="Cambria Math" w:hAnsi="Cambria Math"/>
            </w:rPr>
            <m:t>log</m:t>
          </m:r>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y</m:t>
              </m:r>
            </m:e>
          </m:d>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a</m:t>
                  </m:r>
                </m:e>
              </m:rad>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q</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sSub>
                    <m:sSubPr>
                      <m:ctrlPr>
                        <w:rPr>
                          <w:rFonts w:ascii="Cambria Math" w:hAnsi="Cambria Math"/>
                        </w:rPr>
                      </m:ctrlPr>
                    </m:sSubPr>
                    <m:e>
                      <m:r>
                        <w:rPr>
                          <w:rFonts w:ascii="Cambria Math" w:hAnsi="Cambria Math"/>
                        </w:rPr>
                        <m:t>B</m:t>
                      </m:r>
                    </m:e>
                    <m:sub>
                      <m:r>
                        <w:rPr>
                          <w:rFonts w:ascii="Cambria Math" w:hAnsi="Cambria Math"/>
                        </w:rPr>
                        <m:t>Y</m:t>
                      </m:r>
                    </m:sub>
                  </m:sSub>
                </m:e>
              </m:d>
            </m:num>
            <m:den>
              <m:r>
                <w:rPr>
                  <w:rFonts w:ascii="Cambria Math" w:hAnsi="Cambria Math"/>
                </w:rPr>
                <m:t>1</m:t>
              </m:r>
              <m:r>
                <m:rPr>
                  <m:sty m:val="p"/>
                </m:rPr>
                <w:rPr>
                  <w:rFonts w:ascii="Cambria Math" w:hAnsi="Cambria Math"/>
                </w:rPr>
                <m:t>-</m:t>
              </m:r>
              <m:r>
                <w:rPr>
                  <w:rFonts w:ascii="Cambria Math" w:hAnsi="Cambria Math"/>
                </w:rPr>
                <m:t>a</m:t>
              </m:r>
            </m:den>
          </m:f>
          <m:r>
            <m:rPr>
              <m:sty m:val="p"/>
            </m:rPr>
            <w:rPr>
              <w:rFonts w:ascii="Cambria Math" w:hAnsi="Cambria Math"/>
            </w:rPr>
            <m:t>.</m:t>
          </m:r>
          <m:r>
            <m:rPr>
              <m:nor/>
            </m:rPr>
            <m:t>    (9)</m:t>
          </m:r>
        </m:oMath>
      </m:oMathPara>
    </w:p>
    <w:p w14:paraId="61D3558F" w14:textId="77777777" w:rsidR="000A5C6C" w:rsidRDefault="00000000">
      <w:pPr>
        <w:pStyle w:val="FirstParagraph"/>
        <w:rPr>
          <w:rFonts w:hint="eastAsia"/>
        </w:rPr>
      </w:pPr>
      <w:r>
        <w:t xml:space="preserve">Thus the bound can deteriorate as </w:t>
      </w:r>
      <m:oMath>
        <m:r>
          <w:rPr>
            <w:rFonts w:ascii="Cambria Math" w:hAnsi="Cambria Math"/>
          </w:rPr>
          <m:t>a</m:t>
        </m:r>
        <m:r>
          <m:rPr>
            <m:sty m:val="p"/>
          </m:rPr>
          <w:rPr>
            <w:rFonts w:ascii="Cambria Math" w:hAnsi="Cambria Math"/>
          </w:rPr>
          <m:t>↑</m:t>
        </m:r>
        <m:r>
          <w:rPr>
            <w:rFonts w:ascii="Cambria Math" w:hAnsi="Cambria Math"/>
          </w:rPr>
          <m:t>1</m:t>
        </m:r>
      </m:oMath>
      <w:r>
        <w:t>. A fixed cluster radius is not an all-scale accuracy certificate. If scores or target weights are recomputed from representatives, their approximation errors must also be bounded. Equal objective values do not imply nearby decision-space kernels, and a scalar aggregate sufficient for one target may be insufficient for a family of targets.</w:t>
      </w:r>
    </w:p>
    <w:p w14:paraId="038638C1" w14:textId="77777777" w:rsidR="000A5C6C" w:rsidRDefault="00000000">
      <w:pPr>
        <w:pStyle w:val="BodyText"/>
        <w:keepNext/>
        <w:jc w:val="center"/>
        <w:rPr>
          <w:rFonts w:hint="eastAsia"/>
        </w:rPr>
      </w:pPr>
      <w:r>
        <w:rPr>
          <w:noProof/>
        </w:rPr>
        <w:lastRenderedPageBreak/>
        <w:drawing>
          <wp:inline distT="0" distB="0" distL="0" distR="0" wp14:anchorId="5D141EA9" wp14:editId="67E9158E">
            <wp:extent cx="6299200" cy="2239715"/>
            <wp:effectExtent l="0" t="0" r="0" b="0"/>
            <wp:docPr id="41" name="Picture" descr="Composite order and the effect of memory compression"/>
            <wp:cNvGraphicFramePr/>
            <a:graphic xmlns:a="http://schemas.openxmlformats.org/drawingml/2006/main">
              <a:graphicData uri="http://schemas.openxmlformats.org/drawingml/2006/picture">
                <pic:pic xmlns:pic="http://schemas.openxmlformats.org/drawingml/2006/picture">
                  <pic:nvPicPr>
                    <pic:cNvPr id="42" name="Picture" descr="figures/geometry_memory.png"/>
                    <pic:cNvPicPr>
                      <a:picLocks noChangeAspect="1" noChangeArrowheads="1"/>
                    </pic:cNvPicPr>
                  </pic:nvPicPr>
                  <pic:blipFill>
                    <a:blip r:embed="rId8"/>
                    <a:stretch>
                      <a:fillRect/>
                    </a:stretch>
                  </pic:blipFill>
                  <pic:spPr bwMode="auto">
                    <a:xfrm>
                      <a:off x="0" y="0"/>
                      <a:ext cx="6299200" cy="2239715"/>
                    </a:xfrm>
                    <a:prstGeom prst="rect">
                      <a:avLst/>
                    </a:prstGeom>
                    <a:noFill/>
                    <a:ln w="9525">
                      <a:noFill/>
                      <a:headEnd/>
                      <a:tailEnd/>
                    </a:ln>
                  </pic:spPr>
                </pic:pic>
              </a:graphicData>
            </a:graphic>
          </wp:inline>
        </w:drawing>
      </w:r>
    </w:p>
    <w:p w14:paraId="4F3BE382" w14:textId="77777777" w:rsidR="000A5C6C" w:rsidRDefault="00000000">
      <w:pPr>
        <w:pStyle w:val="Caption"/>
        <w:keepLines/>
        <w:rPr>
          <w:rFonts w:hint="eastAsia"/>
        </w:rPr>
      </w:pPr>
      <w:r>
        <w:t>Figure 2. A: a secondary preference overturns primary order once its coefficient exceeds the primary gap. B: one fixed weighted archive is compressed at several resolutions and read through three Gaussian kernels. The observed errors are checked against (8); their behavior in this example does not imply monotone error for every query or archive.</w:t>
      </w:r>
    </w:p>
    <w:p w14:paraId="4793D030" w14:textId="77777777" w:rsidR="000A5C6C" w:rsidRDefault="00000000">
      <w:pPr>
        <w:pStyle w:val="Heading1"/>
        <w:rPr>
          <w:rFonts w:hint="eastAsia"/>
        </w:rPr>
      </w:pPr>
      <w:bookmarkStart w:id="19" w:name="escape-coverage-and-apparent-collapse"/>
      <w:bookmarkEnd w:id="15"/>
      <w:bookmarkEnd w:id="18"/>
      <w:r>
        <w:t>7 Escape coverage and apparent collapse</w:t>
      </w:r>
    </w:p>
    <w:p w14:paraId="0CA692BD" w14:textId="77777777" w:rsidR="000A5C6C" w:rsidRDefault="00000000">
      <w:pPr>
        <w:pStyle w:val="Heading2"/>
        <w:rPr>
          <w:rFonts w:hint="eastAsia"/>
        </w:rPr>
      </w:pPr>
      <w:bookmarkStart w:id="20" w:name="Xda5e39ba97e035491fe2e1142aff54bf7d8f666"/>
      <w:r>
        <w:t>7.1 Minorization gives a quantitative hitting guarantee</w:t>
      </w:r>
    </w:p>
    <w:p w14:paraId="6D581335" w14:textId="77777777" w:rsidR="000A5C6C" w:rsidRDefault="00000000">
      <w:pPr>
        <w:pStyle w:val="FirstParagraph"/>
        <w:keepLines/>
        <w:rPr>
          <w:rFonts w:hint="eastAsia"/>
        </w:rPr>
      </w:pPr>
      <w:r>
        <w:rPr>
          <w:b/>
          <w:bCs/>
        </w:rPr>
        <w:t>Theorem 5 (defensive exploration).</w:t>
      </w:r>
      <w:r>
        <w:t xml:space="preserve"> Let </w:t>
      </w:r>
      <m:oMath>
        <m:r>
          <w:rPr>
            <w:rFonts w:ascii="Cambria Math" w:hAnsi="Cambria Math"/>
          </w:rPr>
          <m:t>B</m:t>
        </m:r>
      </m:oMath>
      <w:r>
        <w:t xml:space="preserve"> be a fixed measurable set with </w:t>
      </w:r>
      <m:oMath>
        <m:r>
          <w:rPr>
            <w:rFonts w:ascii="Cambria Math" w:hAnsi="Cambria Math"/>
          </w:rPr>
          <m:t>μ</m:t>
        </m:r>
        <m:d>
          <m:dPr>
            <m:ctrlPr>
              <w:rPr>
                <w:rFonts w:ascii="Cambria Math" w:hAnsi="Cambria Math"/>
              </w:rPr>
            </m:ctrlPr>
          </m:dPr>
          <m:e>
            <m:r>
              <w:rPr>
                <w:rFonts w:ascii="Cambria Math" w:hAnsi="Cambria Math"/>
              </w:rPr>
              <m:t>B</m:t>
            </m:r>
          </m:e>
        </m:d>
        <m:r>
          <m:rPr>
            <m:sty m:val="p"/>
          </m:rPr>
          <w:rPr>
            <w:rFonts w:ascii="Cambria Math" w:hAnsi="Cambria Math"/>
          </w:rPr>
          <m:t>=</m:t>
        </m:r>
        <m:r>
          <w:rPr>
            <w:rFonts w:ascii="Cambria Math" w:hAnsi="Cambria Math"/>
          </w:rPr>
          <m:t>ρ</m:t>
        </m:r>
        <m:r>
          <m:rPr>
            <m:sty m:val="p"/>
          </m:rPr>
          <w:rPr>
            <w:rFonts w:ascii="Cambria Math" w:hAnsi="Cambria Math"/>
          </w:rPr>
          <m:t>&gt;</m:t>
        </m:r>
        <m:r>
          <w:rPr>
            <w:rFonts w:ascii="Cambria Math" w:hAnsi="Cambria Math"/>
          </w:rPr>
          <m:t>0</m:t>
        </m:r>
      </m:oMath>
      <w:r>
        <w:t xml:space="preserve">. Under (6), the probability of avoiding </w:t>
      </w:r>
      <m:oMath>
        <m:r>
          <w:rPr>
            <w:rFonts w:ascii="Cambria Math" w:hAnsi="Cambria Math"/>
          </w:rPr>
          <m:t>B</m:t>
        </m:r>
      </m:oMath>
      <w:r>
        <w:t xml:space="preserve"> for </w:t>
      </w:r>
      <m:oMath>
        <m:r>
          <w:rPr>
            <w:rFonts w:ascii="Cambria Math" w:hAnsi="Cambria Math"/>
          </w:rPr>
          <m:t>n</m:t>
        </m:r>
      </m:oMath>
      <w:r>
        <w:t xml:space="preserve"> attempts is at most </w:t>
      </w:r>
      <m:oMath>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ερ</m:t>
                </m:r>
              </m:e>
            </m:d>
          </m:e>
          <m:sup>
            <m:r>
              <w:rPr>
                <w:rFonts w:ascii="Cambria Math" w:hAnsi="Cambria Math"/>
              </w:rPr>
              <m:t>n</m:t>
            </m:r>
          </m:sup>
        </m:sSup>
      </m:oMath>
      <w:r>
        <w:t xml:space="preserve">. The expected first hitting time is at most </w:t>
      </w:r>
      <m:oMath>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ερ</m:t>
            </m:r>
          </m:e>
        </m:d>
      </m:oMath>
      <w:r>
        <w:t xml:space="preserve">. If only observed hits count and every observation probability is at least </w:t>
      </w:r>
      <m:oMath>
        <m:sSub>
          <m:sSubPr>
            <m:ctrlPr>
              <w:rPr>
                <w:rFonts w:ascii="Cambria Math" w:hAnsi="Cambria Math"/>
              </w:rPr>
            </m:ctrlPr>
          </m:sSubPr>
          <m:e>
            <m:r>
              <w:rPr>
                <w:rFonts w:ascii="Cambria Math" w:hAnsi="Cambria Math"/>
              </w:rPr>
              <m:t>e</m:t>
            </m:r>
          </m:e>
          <m:sub>
            <m:r>
              <m:rPr>
                <m:sty m:val="p"/>
              </m:rPr>
              <w:rPr>
                <w:rFonts w:ascii="Cambria Math" w:hAnsi="Cambria Math"/>
              </w:rPr>
              <m:t>min</m:t>
            </m:r>
          </m:sub>
        </m:sSub>
      </m:oMath>
      <w:r>
        <w:t xml:space="preserve">, replace </w:t>
      </w:r>
      <m:oMath>
        <m:r>
          <w:rPr>
            <w:rFonts w:ascii="Cambria Math" w:hAnsi="Cambria Math"/>
          </w:rPr>
          <m:t>ερ</m:t>
        </m:r>
      </m:oMath>
      <w:r>
        <w:t xml:space="preserve"> by </w:t>
      </w:r>
      <m:oMath>
        <m:r>
          <w:rPr>
            <w:rFonts w:ascii="Cambria Math" w:hAnsi="Cambria Math"/>
          </w:rPr>
          <m:t>ε</m:t>
        </m:r>
        <m:sSub>
          <m:sSubPr>
            <m:ctrlPr>
              <w:rPr>
                <w:rFonts w:ascii="Cambria Math" w:hAnsi="Cambria Math"/>
              </w:rPr>
            </m:ctrlPr>
          </m:sSubPr>
          <m:e>
            <m:r>
              <w:rPr>
                <w:rFonts w:ascii="Cambria Math" w:hAnsi="Cambria Math"/>
              </w:rPr>
              <m:t>e</m:t>
            </m:r>
          </m:e>
          <m:sub>
            <m:r>
              <m:rPr>
                <m:sty m:val="p"/>
              </m:rPr>
              <w:rPr>
                <w:rFonts w:ascii="Cambria Math" w:hAnsi="Cambria Math"/>
              </w:rPr>
              <m:t>min</m:t>
            </m:r>
          </m:sub>
        </m:sSub>
        <m:r>
          <w:rPr>
            <w:rFonts w:ascii="Cambria Math" w:hAnsi="Cambria Math"/>
          </w:rPr>
          <m:t>ρ</m:t>
        </m:r>
      </m:oMath>
      <w:r>
        <w:t>.</w:t>
      </w:r>
    </w:p>
    <w:p w14:paraId="66E5BB15" w14:textId="77777777" w:rsidR="000A5C6C" w:rsidRDefault="00000000">
      <w:pPr>
        <w:pStyle w:val="BodyText"/>
        <w:rPr>
          <w:rFonts w:hint="eastAsia"/>
        </w:rPr>
      </w:pPr>
      <w:r>
        <w:rPr>
          <w:i/>
          <w:iCs/>
        </w:rPr>
        <w:t>Proof.</w:t>
      </w:r>
      <w:r>
        <w:t xml:space="preserve"> Conditional on every past, the next hit probability is at least </w:t>
      </w:r>
      <m:oMath>
        <m:r>
          <w:rPr>
            <w:rFonts w:ascii="Cambria Math" w:hAnsi="Cambria Math"/>
          </w:rPr>
          <m:t>ερ</m:t>
        </m:r>
      </m:oMath>
      <w:r>
        <w:t xml:space="preserve">. Iterating the conditional no-hit bound yields the geometric tail. Summing that tail bounds the expectation. The observed-hit probability is bounded below by integrating the proposal density times the observation probability over </w:t>
      </w:r>
      <m:oMath>
        <m:r>
          <w:rPr>
            <w:rFonts w:ascii="Cambria Math" w:hAnsi="Cambria Math"/>
          </w:rPr>
          <m:t>B</m:t>
        </m:r>
      </m:oMath>
      <w:r>
        <w:t>.</w:t>
      </w:r>
    </w:p>
    <w:p w14:paraId="164704F3" w14:textId="77777777" w:rsidR="000A5C6C" w:rsidRDefault="00000000">
      <w:pPr>
        <w:pStyle w:val="BodyText"/>
        <w:rPr>
          <w:rFonts w:hint="eastAsia"/>
        </w:rPr>
      </w:pPr>
      <w:r>
        <w:t xml:space="preserve">For </w:t>
      </w:r>
      <m:oMath>
        <m:r>
          <w:rPr>
            <w:rFonts w:ascii="Cambria Math" w:hAnsi="Cambria Math"/>
          </w:rPr>
          <m:t>ε</m:t>
        </m:r>
        <m:r>
          <m:rPr>
            <m:sty m:val="p"/>
          </m:rPr>
          <w:rPr>
            <w:rFonts w:ascii="Cambria Math" w:hAnsi="Cambria Math"/>
          </w:rPr>
          <m:t>=</m:t>
        </m:r>
        <m:r>
          <w:rPr>
            <w:rFonts w:ascii="Cambria Math" w:hAnsi="Cambria Math"/>
          </w:rPr>
          <m:t>0.1</m:t>
        </m:r>
      </m:oMath>
      <w:r>
        <w:t xml:space="preserve"> and </w:t>
      </w:r>
      <m:oMath>
        <m:r>
          <w:rPr>
            <w:rFonts w:ascii="Cambria Math" w:hAnsi="Cambria Math"/>
          </w:rPr>
          <m:t>ρ</m:t>
        </m:r>
        <m:r>
          <m:rPr>
            <m:sty m:val="p"/>
          </m:rPr>
          <w:rPr>
            <w:rFonts w:ascii="Cambria Math" w:hAnsi="Cambria Math"/>
          </w:rPr>
          <m:t>=</m:t>
        </m:r>
        <m:r>
          <w:rPr>
            <w:rFonts w:ascii="Cambria Math" w:hAnsi="Cambria Math"/>
          </w:rPr>
          <m:t>0.02</m:t>
        </m:r>
      </m:oMath>
      <w:r>
        <w:t>, at least 1,497 attempts suffice for the bound to guarantee a 95% probability of a hit. Hitting a region does not imply retaining its record, satisfying constraints, or achieving global Pareto coverage. A singleton optimum with zero reference mass is not covered by this positive-mass statement; neighborhoods may be.</w:t>
      </w:r>
    </w:p>
    <w:p w14:paraId="3D959C78" w14:textId="77777777" w:rsidR="000A5C6C" w:rsidRDefault="00000000">
      <w:pPr>
        <w:pStyle w:val="BodyText"/>
        <w:rPr>
          <w:rFonts w:hint="eastAsia"/>
        </w:rPr>
      </w:pPr>
      <w:r>
        <w:t>Without a defensive reference, a nondegenerate Gaussian transition still has positive probability of entering every nonempty open region at each finite step. A concentrated archive therefore does not by itself create a truly absorbing state. However, these probabilities can shrink fast enough that no uniform finite-time or eventual-hit guarantee follows. A deterministic decoder, a degenerate transition, a support restriction, or an explicit rejection rule can create actual absorption. These cases must be identified from the executable proposal, not from a scatterplot.</w:t>
      </w:r>
    </w:p>
    <w:p w14:paraId="2FA0784B" w14:textId="77777777" w:rsidR="000A5C6C" w:rsidRDefault="00000000">
      <w:pPr>
        <w:pStyle w:val="Heading2"/>
        <w:rPr>
          <w:rFonts w:hint="eastAsia"/>
        </w:rPr>
      </w:pPr>
      <w:bookmarkStart w:id="21" w:name="an-endpoint-geometry-calculation"/>
      <w:bookmarkEnd w:id="20"/>
      <w:r>
        <w:t>7.2 An endpoint geometry calculation</w:t>
      </w:r>
    </w:p>
    <w:p w14:paraId="3A33A0C6" w14:textId="77777777" w:rsidR="000A5C6C" w:rsidRDefault="00000000">
      <w:pPr>
        <w:pStyle w:val="FirstParagraph"/>
        <w:keepNext/>
        <w:rPr>
          <w:rFonts w:hint="eastAsia"/>
        </w:rPr>
      </w:pPr>
      <w:r>
        <w:t xml:space="preserve">For the four-active-variable ZDT2 variant in [1], set </w:t>
      </w:r>
      <m:oMath>
        <m:r>
          <w:rPr>
            <w:rFonts w:ascii="Cambria Math" w:hAnsi="Cambria Math"/>
          </w:rPr>
          <m:t>g</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4</m:t>
                </m:r>
              </m:sub>
            </m:sSub>
          </m:e>
        </m:d>
      </m:oMath>
      <w:r>
        <w:t xml:space="preserve">, </w:t>
      </w:r>
      <m:oMath>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f</m:t>
            </m:r>
          </m:e>
          <m:sub>
            <m:r>
              <w:rPr>
                <w:rFonts w:ascii="Cambria Math" w:hAnsi="Cambria Math"/>
              </w:rPr>
              <m:t>2</m:t>
            </m:r>
          </m:sub>
        </m:sSub>
        <m:r>
          <m:rPr>
            <m:sty m:val="p"/>
          </m:rPr>
          <w:rPr>
            <w:rFonts w:ascii="Cambria Math" w:hAnsi="Cambria Math"/>
          </w:rPr>
          <m:t>=</m:t>
        </m:r>
        <m:r>
          <w:rPr>
            <w:rFonts w:ascii="Cambria Math" w:hAnsi="Cambria Math"/>
          </w:rPr>
          <m:t>g</m:t>
        </m:r>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r>
          <m:rPr>
            <m:sty m:val="p"/>
          </m:rPr>
          <w:rPr>
            <w:rFonts w:ascii="Cambria Math" w:hAnsi="Cambria Math"/>
          </w:rPr>
          <m:t>/</m:t>
        </m:r>
        <m:r>
          <w:rPr>
            <w:rFonts w:ascii="Cambria Math" w:hAnsi="Cambria Math"/>
          </w:rPr>
          <m:t>g</m:t>
        </m:r>
      </m:oMath>
      <w:r>
        <w:t xml:space="preserve">, with </w:t>
      </w:r>
      <m:oMath>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Consider the idealized endpoint vector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For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&gt;</m:t>
        </m:r>
        <m:r>
          <w:rPr>
            <w:rFonts w:ascii="Cambria Math" w:hAnsi="Cambria Math"/>
          </w:rPr>
          <m:t>0</m:t>
        </m:r>
      </m:oMath>
      <w:r>
        <w:t>, a state escapes domination by this vector exactly when</w:t>
      </w:r>
    </w:p>
    <w:p w14:paraId="69ABA95D" w14:textId="77777777" w:rsidR="000A5C6C" w:rsidRDefault="00000000">
      <w:pPr>
        <w:pStyle w:val="BodyText"/>
        <w:keepLines/>
        <w:spacing w:before="60" w:after="120"/>
        <w:jc w:val="center"/>
        <w:rPr>
          <w:rFonts w:hint="eastAsia"/>
        </w:rPr>
      </w:pPr>
      <m:oMathPara>
        <m:oMathParaPr>
          <m:jc m:val="center"/>
        </m:oMathParaPr>
        <m:oMath>
          <m:r>
            <w:rPr>
              <w:rFonts w:ascii="Cambria Math" w:hAnsi="Cambria Math"/>
            </w:rPr>
            <m:t>g</m:t>
          </m:r>
          <m:d>
            <m:dPr>
              <m:ctrlPr>
                <w:rPr>
                  <w:rFonts w:ascii="Cambria Math" w:hAnsi="Cambria Math"/>
                </w:rPr>
              </m:ctrlPr>
            </m:dPr>
            <m:e>
              <m:r>
                <w:rPr>
                  <w:rFonts w:ascii="Cambria Math" w:hAnsi="Cambria Math"/>
                </w:rPr>
                <m:t>x</m:t>
              </m:r>
            </m:e>
          </m:d>
          <m:r>
            <m:rPr>
              <m:sty m:val="p"/>
            </m:rPr>
            <w:rPr>
              <w:rFonts w:ascii="Cambria Math" w:hAnsi="Cambria Math"/>
            </w:rPr>
            <m:t>&lt;</m:t>
          </m:r>
          <m:f>
            <m:fPr>
              <m:ctrlPr>
                <w:rPr>
                  <w:rFonts w:ascii="Cambria Math" w:hAnsi="Cambria Math"/>
                </w:rPr>
              </m:ctrlPr>
            </m:fPr>
            <m:num>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4</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e>
              </m:rad>
            </m:num>
            <m:den>
              <m:r>
                <w:rPr>
                  <w:rFonts w:ascii="Cambria Math" w:hAnsi="Cambria Math"/>
                </w:rPr>
                <m:t>2</m:t>
              </m:r>
            </m:den>
          </m:f>
          <m:r>
            <m:rPr>
              <m:sty m:val="p"/>
            </m:rPr>
            <w:rPr>
              <w:rFonts w:ascii="Cambria Math" w:hAnsi="Cambria Math"/>
            </w:rPr>
            <m:t>,</m:t>
          </m:r>
          <m:r>
            <m:rPr>
              <m:nor/>
            </m:rPr>
            <m:t>    </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4</m:t>
                  </m:r>
                </m:sub>
              </m:sSub>
            </m:num>
            <m:den>
              <m:r>
                <w:rPr>
                  <w:rFonts w:ascii="Cambria Math" w:hAnsi="Cambria Math"/>
                </w:rPr>
                <m:t>3</m:t>
              </m:r>
            </m:den>
          </m:f>
          <m:r>
            <m:rPr>
              <m:sty m:val="p"/>
            </m:rPr>
            <w:rPr>
              <w:rFonts w:ascii="Cambria Math" w:hAnsi="Cambria Math"/>
            </w:rPr>
            <m:t>&lt;</m:t>
          </m:r>
          <m:f>
            <m:fPr>
              <m:ctrlPr>
                <w:rPr>
                  <w:rFonts w:ascii="Cambria Math" w:hAnsi="Cambria Math"/>
                </w:rPr>
              </m:ctrlPr>
            </m:fPr>
            <m:num>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4</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e>
              </m:rad>
              <m:r>
                <m:rPr>
                  <m:sty m:val="p"/>
                </m:rPr>
                <w:rPr>
                  <w:rFonts w:ascii="Cambria Math" w:hAnsi="Cambria Math"/>
                </w:rPr>
                <m:t>-</m:t>
              </m:r>
              <m:r>
                <w:rPr>
                  <w:rFonts w:ascii="Cambria Math" w:hAnsi="Cambria Math"/>
                </w:rPr>
                <m:t>1</m:t>
              </m:r>
            </m:num>
            <m:den>
              <m:r>
                <w:rPr>
                  <w:rFonts w:ascii="Cambria Math" w:hAnsi="Cambria Math"/>
                </w:rPr>
                <m:t>18</m:t>
              </m:r>
            </m:den>
          </m:f>
          <m:r>
            <m:rPr>
              <m:sty m:val="p"/>
            </m:rPr>
            <w:rPr>
              <w:rFonts w:ascii="Cambria Math" w:hAnsi="Cambria Math"/>
            </w:rPr>
            <m:t>.</m:t>
          </m:r>
          <m:r>
            <m:rPr>
              <m:nor/>
            </m:rPr>
            <m:t>    (10)</m:t>
          </m:r>
        </m:oMath>
      </m:oMathPara>
    </w:p>
    <w:p w14:paraId="798D4207" w14:textId="77777777" w:rsidR="000A5C6C" w:rsidRDefault="00000000">
      <w:pPr>
        <w:pStyle w:val="FirstParagraph"/>
        <w:rPr>
          <w:rFonts w:hint="eastAsia"/>
        </w:rPr>
      </w:pPr>
      <w:r>
        <w:rPr>
          <w:i/>
          <w:iCs/>
        </w:rPr>
        <w:lastRenderedPageBreak/>
        <w:t>Proof.</w:t>
      </w:r>
      <w:r>
        <w:t xml:space="preserve"> Since </w:t>
      </w:r>
      <m:oMath>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&gt;</m:t>
        </m:r>
        <m:r>
          <w:rPr>
            <w:rFonts w:ascii="Cambria Math" w:hAnsi="Cambria Math"/>
          </w:rPr>
          <m:t>0</m:t>
        </m:r>
      </m:oMath>
      <w:r>
        <w:t xml:space="preserve">, the endpoint dominates unless </w:t>
      </w:r>
      <m:oMath>
        <m:sSub>
          <m:sSubPr>
            <m:ctrlPr>
              <w:rPr>
                <w:rFonts w:ascii="Cambria Math" w:hAnsi="Cambria Math"/>
              </w:rPr>
            </m:ctrlPr>
          </m:sSubPr>
          <m:e>
            <m:r>
              <w:rPr>
                <w:rFonts w:ascii="Cambria Math" w:hAnsi="Cambria Math"/>
              </w:rPr>
              <m:t>f</m:t>
            </m:r>
          </m:e>
          <m:sub>
            <m:r>
              <w:rPr>
                <w:rFonts w:ascii="Cambria Math" w:hAnsi="Cambria Math"/>
              </w:rPr>
              <m:t>2</m:t>
            </m:r>
          </m:sub>
        </m:sSub>
        <m:r>
          <m:rPr>
            <m:sty m:val="p"/>
          </m:rPr>
          <w:rPr>
            <w:rFonts w:ascii="Cambria Math" w:hAnsi="Cambria Math"/>
          </w:rPr>
          <m:t>&lt;</m:t>
        </m:r>
        <m:r>
          <w:rPr>
            <w:rFonts w:ascii="Cambria Math" w:hAnsi="Cambria Math"/>
          </w:rPr>
          <m:t>1</m:t>
        </m:r>
      </m:oMath>
      <w:r>
        <w:t xml:space="preserve">. Multiplication by positive </w:t>
      </w:r>
      <m:oMath>
        <m:r>
          <w:rPr>
            <w:rFonts w:ascii="Cambria Math" w:hAnsi="Cambria Math"/>
          </w:rPr>
          <m:t>g</m:t>
        </m:r>
      </m:oMath>
      <w:r>
        <w:t xml:space="preserve"> gives </w:t>
      </w:r>
      <m:oMath>
        <m:sSup>
          <m:sSupPr>
            <m:ctrlPr>
              <w:rPr>
                <w:rFonts w:ascii="Cambria Math" w:hAnsi="Cambria Math"/>
              </w:rPr>
            </m:ctrlPr>
          </m:sSupPr>
          <m:e>
            <m:r>
              <w:rPr>
                <w:rFonts w:ascii="Cambria Math" w:hAnsi="Cambria Math"/>
              </w:rPr>
              <m:t>g</m:t>
            </m:r>
          </m:e>
          <m:sup>
            <m:r>
              <w:rPr>
                <w:rFonts w:ascii="Cambria Math" w:hAnsi="Cambria Math"/>
              </w:rPr>
              <m:t>2</m:t>
            </m:r>
          </m:sup>
        </m:sSup>
        <m:r>
          <m:rPr>
            <m:sty m:val="p"/>
          </m:rPr>
          <w:rPr>
            <w:rFonts w:ascii="Cambria Math" w:hAnsi="Cambria Math"/>
          </w:rPr>
          <m:t>-</m:t>
        </m:r>
        <m:r>
          <w:rPr>
            <w:rFonts w:ascii="Cambria Math" w:hAnsi="Cambria Math"/>
          </w:rPr>
          <m:t>g</m:t>
        </m:r>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r>
          <m:rPr>
            <m:sty m:val="p"/>
          </m:rPr>
          <w:rPr>
            <w:rFonts w:ascii="Cambria Math" w:hAnsi="Cambria Math"/>
          </w:rPr>
          <m:t>&lt;</m:t>
        </m:r>
        <m:r>
          <w:rPr>
            <w:rFonts w:ascii="Cambria Math" w:hAnsi="Cambria Math"/>
          </w:rPr>
          <m:t>0</m:t>
        </m:r>
      </m:oMath>
      <w:r>
        <w:t xml:space="preserve">, yielding (10). At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1</m:t>
        </m:r>
      </m:oMath>
      <w:r>
        <w:t xml:space="preserve"> the objective vectors are equal and neither strictly dominates the other. For small </w:t>
      </w:r>
      <m:oMath>
        <m:sSub>
          <m:sSubPr>
            <m:ctrlPr>
              <w:rPr>
                <w:rFonts w:ascii="Cambria Math" w:hAnsi="Cambria Math"/>
              </w:rPr>
            </m:ctrlPr>
          </m:sSubPr>
          <m:e>
            <m:r>
              <w:rPr>
                <w:rFonts w:ascii="Cambria Math" w:hAnsi="Cambria Math"/>
              </w:rPr>
              <m:t>x</m:t>
            </m:r>
          </m:e>
          <m:sub>
            <m:r>
              <w:rPr>
                <w:rFonts w:ascii="Cambria Math" w:hAnsi="Cambria Math"/>
              </w:rPr>
              <m:t>1</m:t>
            </m:r>
          </m:sub>
        </m:sSub>
      </m:oMath>
      <w:r>
        <w:t xml:space="preserve">, the right-hand side is </w:t>
      </w:r>
      <m:oMath>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O</m:t>
        </m:r>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4</m:t>
                </m:r>
              </m:sup>
            </m:sSubSup>
          </m:e>
        </m:d>
      </m:oMath>
      <w:r>
        <w:t>.</w:t>
      </w:r>
    </w:p>
    <w:p w14:paraId="3B2B004D" w14:textId="77777777" w:rsidR="000A5C6C" w:rsidRDefault="00000000">
      <w:pPr>
        <w:pStyle w:val="BodyText"/>
        <w:rPr>
          <w:rFonts w:hint="eastAsia"/>
        </w:rPr>
      </w:pPr>
      <w:r>
        <w:t xml:space="preserve">If the physical variables are </w:t>
      </w:r>
      <m:oMath>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=sigmoid</m:t>
        </m:r>
        <m:d>
          <m:dPr>
            <m:ctrlPr>
              <w:rPr>
                <w:rFonts w:ascii="Cambria Math" w:hAnsi="Cambria Math"/>
              </w:rPr>
            </m:ctrlPr>
          </m:dPr>
          <m:e>
            <m:r>
              <w:rPr>
                <w:rFonts w:ascii="Cambria Math" w:hAnsi="Cambria Math"/>
              </w:rPr>
              <m:t>2</m:t>
            </m:r>
            <m:sSub>
              <m:sSubPr>
                <m:ctrlPr>
                  <w:rPr>
                    <w:rFonts w:ascii="Cambria Math" w:hAnsi="Cambria Math"/>
                  </w:rPr>
                </m:ctrlPr>
              </m:sSubPr>
              <m:e>
                <m:r>
                  <w:rPr>
                    <w:rFonts w:ascii="Cambria Math" w:hAnsi="Cambria Math"/>
                  </w:rPr>
                  <m:t>z</m:t>
                </m:r>
              </m:e>
              <m:sub>
                <m:r>
                  <w:rPr>
                    <w:rFonts w:ascii="Cambria Math" w:hAnsi="Cambria Math"/>
                  </w:rPr>
                  <m:t>j</m:t>
                </m:r>
              </m:sub>
            </m:sSub>
          </m:e>
        </m:d>
      </m:oMath>
      <w:r>
        <w:t xml:space="preserve"> for finite latent </w:t>
      </w:r>
      <m:oMath>
        <m:sSub>
          <m:sSubPr>
            <m:ctrlPr>
              <w:rPr>
                <w:rFonts w:ascii="Cambria Math" w:hAnsi="Cambria Math"/>
              </w:rPr>
            </m:ctrlPr>
          </m:sSubPr>
          <m:e>
            <m:r>
              <w:rPr>
                <w:rFonts w:ascii="Cambria Math" w:hAnsi="Cambria Math"/>
              </w:rPr>
              <m:t>z</m:t>
            </m:r>
          </m:e>
          <m:sub>
            <m:r>
              <w:rPr>
                <w:rFonts w:ascii="Cambria Math" w:hAnsi="Cambria Math"/>
              </w:rPr>
              <m:t>j</m:t>
            </m:r>
          </m:sub>
        </m:sSub>
      </m:oMath>
      <w:r>
        <w:t>, the exact endpoint lies outside the attainable interior parameterization. Equation (10) describes an idealized boundary geometry; an observed near-endpoint state requires the actual dominance comparison. A singleton first front can also give zero normalization extent. Raw rank and raw strength are then zero at its representative, but SPEA2 density remains positive when another record exists. Poor coverage can arise from several coupled mechanisms, which should be isolated by ablation rather than attributed to the bias alone.</w:t>
      </w:r>
    </w:p>
    <w:p w14:paraId="7BB76A41" w14:textId="77777777" w:rsidR="000A5C6C" w:rsidRDefault="00000000">
      <w:pPr>
        <w:pStyle w:val="Heading1"/>
        <w:rPr>
          <w:rFonts w:hint="eastAsia"/>
        </w:rPr>
      </w:pPr>
      <w:bookmarkStart w:id="22" w:name="an-implementable-numerical-archive-loop"/>
      <w:bookmarkEnd w:id="19"/>
      <w:bookmarkEnd w:id="21"/>
      <w:r>
        <w:t>8 An implementable numerical archive loop</w:t>
      </w:r>
    </w:p>
    <w:p w14:paraId="4674291D" w14:textId="77777777" w:rsidR="000A5C6C" w:rsidRDefault="00000000">
      <w:pPr>
        <w:pStyle w:val="FirstParagraph"/>
        <w:rPr>
          <w:rFonts w:hint="eastAsia"/>
        </w:rPr>
      </w:pPr>
      <w:r>
        <w:t>At a candidate step, freeze the current proposal archive, normalization, scores, and query policy while constructing the numerical proposal. Keep the Gibbs target for estimation separate from these proposal controls. A defensible implementation follows the sequence below.</w:t>
      </w:r>
    </w:p>
    <w:p w14:paraId="715A0DC8" w14:textId="77777777" w:rsidR="000A5C6C" w:rsidRDefault="00000000">
      <w:pPr>
        <w:ind w:left="230" w:hanging="230"/>
        <w:rPr>
          <w:rFonts w:hint="eastAsia"/>
        </w:rPr>
      </w:pPr>
      <w:r>
        <w:t>1. Read immutable records from the current archive, identify feasible response versions, compute the primary score, and choose a reference direction by the declared association and occupancy rules.</w:t>
      </w:r>
    </w:p>
    <w:p w14:paraId="26CFA01A" w14:textId="77777777" w:rsidR="000A5C6C" w:rsidRDefault="00000000">
      <w:pPr>
        <w:ind w:left="230" w:hanging="230"/>
        <w:rPr>
          <w:rFonts w:hint="eastAsia"/>
        </w:rPr>
      </w:pPr>
      <w:r>
        <w:t xml:space="preserve">2. Form the composite score with a declared </w:t>
      </w:r>
      <m:oMath>
        <m:r>
          <w:rPr>
            <w:rFonts w:ascii="Cambria Math" w:hAnsi="Cambria Math"/>
          </w:rPr>
          <m:t>γ</m:t>
        </m:r>
      </m:oMath>
      <w:r>
        <w:t>. For strict primary preservation, calculate the gap from the actual score levels. For a trade-off, use a chosen coefficient and report it as such.</w:t>
      </w:r>
    </w:p>
    <w:p w14:paraId="063DD566" w14:textId="77777777" w:rsidR="000A5C6C" w:rsidRDefault="00000000">
      <w:pPr>
        <w:ind w:left="230" w:hanging="230"/>
        <w:rPr>
          <w:rFonts w:hint="eastAsia"/>
        </w:rPr>
      </w:pPr>
      <w:r>
        <w:t>3. Use archive retrieval to form a numerical proposal center conditional on the recorded past. Draw the next evaluated numerical state from a distribution whose actual density is known, including a defensive share when the estimation theorem is invoked.</w:t>
      </w:r>
    </w:p>
    <w:p w14:paraId="0D305644" w14:textId="77777777" w:rsidR="000A5C6C" w:rsidRDefault="00000000">
      <w:pPr>
        <w:ind w:left="230" w:hanging="230"/>
        <w:rPr>
          <w:rFonts w:hint="eastAsia"/>
        </w:rPr>
      </w:pPr>
      <w:r>
        <w:t>4. Record attempted state, density, selection probability, evaluator versions, response availability, and the exact artifact analyzed. Append each evaluated response without treating a missing result as zero.</w:t>
      </w:r>
    </w:p>
    <w:p w14:paraId="126A28A0" w14:textId="77777777" w:rsidR="000A5C6C" w:rsidRDefault="00000000">
      <w:pPr>
        <w:ind w:left="230" w:hanging="230"/>
        <w:rPr>
          <w:rFonts w:hint="eastAsia"/>
        </w:rPr>
      </w:pPr>
      <w:r>
        <w:t>5. Apply environmental selection to the proposal archive and verified nondominated filtering to the reporting archive. Preserve named protected records only under a feasible capacity contract.</w:t>
      </w:r>
    </w:p>
    <w:p w14:paraId="0DA54544" w14:textId="77777777" w:rsidR="000A5C6C" w:rsidRDefault="00000000">
      <w:pPr>
        <w:ind w:left="230" w:hanging="230"/>
        <w:rPr>
          <w:rFonts w:hint="eastAsia"/>
        </w:rPr>
      </w:pPr>
      <w:r>
        <w:t>6. Form probability estimates from the complete corrected history, exact sufficient aggregates, or a separately justified random-retention estimator. Release engineering artifacts only after the verification gate passes.</w:t>
      </w:r>
    </w:p>
    <w:p w14:paraId="185EEB97" w14:textId="77777777" w:rsidR="000A5C6C" w:rsidRDefault="00000000">
      <w:pPr>
        <w:pStyle w:val="FirstParagraph"/>
        <w:rPr>
          <w:rFonts w:hint="eastAsia"/>
        </w:rPr>
      </w:pPr>
      <w:r>
        <w:t xml:space="preserve">For a simple continuous transition, one may choose </w:t>
      </w:r>
      <m:oMath>
        <m:sSub>
          <m:sSubPr>
            <m:ctrlPr>
              <w:rPr>
                <w:rFonts w:ascii="Cambria Math" w:hAnsi="Cambria Math"/>
              </w:rPr>
            </m:ctrlPr>
          </m:sSubPr>
          <m:e>
            <m:r>
              <w:rPr>
                <w:rFonts w:ascii="Cambria Math" w:hAnsi="Cambria Math"/>
              </w:rPr>
              <m:t>q</m:t>
            </m:r>
          </m:e>
          <m:sub>
            <m:r>
              <w:rPr>
                <w:rFonts w:ascii="Cambria Math" w:hAnsi="Cambria Math"/>
              </w:rPr>
              <m:t>i</m:t>
            </m:r>
          </m:sub>
        </m:sSub>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ε</m:t>
        </m:r>
        <m:sSub>
          <m:sSubPr>
            <m:ctrlPr>
              <w:rPr>
                <w:rFonts w:ascii="Cambria Math" w:hAnsi="Cambria Math"/>
              </w:rPr>
            </m:ctrlPr>
          </m:sSubPr>
          <m:e>
            <m:r>
              <w:rPr>
                <w:rFonts w:ascii="Cambria Math" w:hAnsi="Cambria Math"/>
              </w:rPr>
              <m:t>p</m:t>
            </m:r>
          </m:e>
          <m:sub>
            <m:r>
              <w:rPr>
                <w:rFonts w:ascii="Cambria Math" w:hAnsi="Cambria Math"/>
              </w:rPr>
              <m:t>0</m:t>
            </m:r>
          </m:sub>
        </m:sSub>
        <m:d>
          <m:dPr>
            <m:ctrlPr>
              <w:rPr>
                <w:rFonts w:ascii="Cambria Math" w:hAnsi="Cambria Math"/>
              </w:rPr>
            </m:ctrlPr>
          </m:dPr>
          <m:e>
            <m:r>
              <w:rPr>
                <w:rFonts w:ascii="Cambria Math" w:hAnsi="Cambria Math"/>
              </w:rPr>
              <m:t>y</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ε</m:t>
            </m:r>
          </m:e>
        </m:d>
        <m:r>
          <w:rPr>
            <w:rFonts w:ascii="Cambria Math" w:hAnsi="Cambria Math"/>
          </w:rPr>
          <m:t>N</m:t>
        </m:r>
        <m:d>
          <m:dPr>
            <m:ctrlPr>
              <w:rPr>
                <w:rFonts w:ascii="Cambria Math" w:hAnsi="Cambria Math"/>
              </w:rPr>
            </m:ctrlPr>
          </m:dPr>
          <m:e>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e>
        </m:d>
      </m:oMath>
      <w:r>
        <w:t xml:space="preserve"> with </w:t>
      </w:r>
      <m:oMath>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r>
              <m:rPr>
                <m:sty m:val="p"/>
              </m:rPr>
              <w:rPr>
                <w:rFonts w:ascii="Cambria Math" w:hAnsi="Cambria Math"/>
              </w:rPr>
              <m:t>min</m:t>
            </m:r>
          </m:sub>
          <m:sup>
            <m:r>
              <w:rPr>
                <w:rFonts w:ascii="Cambria Math" w:hAnsi="Cambria Math"/>
              </w:rPr>
              <m:t>2</m:t>
            </m:r>
          </m:sup>
        </m:sSubSup>
        <m:r>
          <w:rPr>
            <w:rFonts w:ascii="Cambria Math" w:hAnsi="Cambria Math"/>
          </w:rPr>
          <m:t>I</m:t>
        </m:r>
      </m:oMath>
      <w:r>
        <w:t xml:space="preserve"> and </w:t>
      </w:r>
      <m:oMath>
        <m:sSub>
          <m:sSubPr>
            <m:ctrlPr>
              <w:rPr>
                <w:rFonts w:ascii="Cambria Math" w:hAnsi="Cambria Math"/>
              </w:rPr>
            </m:ctrlPr>
          </m:sSubPr>
          <m:e>
            <m:r>
              <w:rPr>
                <w:rFonts w:ascii="Cambria Math" w:hAnsi="Cambria Math"/>
              </w:rPr>
              <m:t>σ</m:t>
            </m:r>
          </m:e>
          <m:sub>
            <m:r>
              <m:rPr>
                <m:sty m:val="p"/>
              </m:rPr>
              <w:rPr>
                <w:rFonts w:ascii="Cambria Math" w:hAnsi="Cambria Math"/>
              </w:rPr>
              <m:t>min</m:t>
            </m:r>
          </m:sub>
        </m:sSub>
        <m:r>
          <m:rPr>
            <m:sty m:val="p"/>
          </m:rPr>
          <w:rPr>
            <w:rFonts w:ascii="Cambria Math" w:hAnsi="Cambria Math"/>
          </w:rPr>
          <m:t>&gt;</m:t>
        </m:r>
        <m:r>
          <w:rPr>
            <w:rFonts w:ascii="Cambria Math" w:hAnsi="Cambria Math"/>
          </w:rPr>
          <m:t>0</m:t>
        </m:r>
      </m:oMath>
      <w:r>
        <w:t>. Compute the mixture density by log-sum-exp. This keeps every recorded transition nondegenerate, including the final step. If a denoising schedule instead ends in a deterministic map, its distribution may contain an atom. A Gaussian density at zero variance is undefined; the correct mixed-measure law or a separately randomized final proposal is required.</w:t>
      </w:r>
    </w:p>
    <w:p w14:paraId="0C80C7F1" w14:textId="77777777" w:rsidR="000A5C6C" w:rsidRDefault="00000000">
      <w:pPr>
        <w:pStyle w:val="BodyText"/>
        <w:rPr>
          <w:rFonts w:hint="eastAsia"/>
        </w:rPr>
      </w:pPr>
      <w:r>
        <w:t>Intermediate denoising states have their own conditional generation laws. The density of the final candidate is not automatically the density of every intermediate evaluation. Repairs, projection, categorical decoding, rejection sampling, and parameter transformations also change the law. A latent Gaussian density does not equal the probability of a decoded catalog design when several latent states decode to the same choice. When those probabilities are unavailable, archive attention can still be studied as a heuristic proposer, while the importance-sampling theorem remains uninvoked.</w:t>
      </w:r>
    </w:p>
    <w:p w14:paraId="438311FC" w14:textId="77777777" w:rsidR="000A5C6C" w:rsidRDefault="00000000">
      <w:pPr>
        <w:pStyle w:val="Heading2"/>
        <w:rPr>
          <w:rFonts w:hint="eastAsia"/>
        </w:rPr>
      </w:pPr>
      <w:bookmarkStart w:id="23" w:name="cost-and-storage"/>
      <w:r>
        <w:lastRenderedPageBreak/>
        <w:t>8.1 Cost and storage</w:t>
      </w:r>
    </w:p>
    <w:p w14:paraId="1655DB8C" w14:textId="77777777" w:rsidR="000A5C6C" w:rsidRDefault="00000000">
      <w:pPr>
        <w:pStyle w:val="FirstParagraph"/>
        <w:rPr>
          <w:rFonts w:hint="eastAsia"/>
        </w:rPr>
      </w:pPr>
      <w:r>
        <w:t xml:space="preserve">Let </w:t>
      </w:r>
      <m:oMath>
        <m:r>
          <w:rPr>
            <w:rFonts w:ascii="Cambria Math" w:hAnsi="Cambria Math"/>
          </w:rPr>
          <m:t>K</m:t>
        </m:r>
      </m:oMath>
      <w:r>
        <w:t xml:space="preserve"> be the archive capacity, </w:t>
      </w:r>
      <m:oMath>
        <m:r>
          <w:rPr>
            <w:rFonts w:ascii="Cambria Math" w:hAnsi="Cambria Math"/>
          </w:rPr>
          <m:t>b</m:t>
        </m:r>
      </m:oMath>
      <w:r>
        <w:t xml:space="preserve"> the new batch size, </w:t>
      </w:r>
      <m:oMath>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b</m:t>
        </m:r>
      </m:oMath>
      <w:r>
        <w:t xml:space="preserve">, </w:t>
      </w:r>
      <m:oMath>
        <m:r>
          <w:rPr>
            <w:rFonts w:ascii="Cambria Math" w:hAnsi="Cambria Math"/>
          </w:rPr>
          <m:t>J</m:t>
        </m:r>
      </m:oMath>
      <w:r>
        <w:t xml:space="preserve"> the direction count, </w:t>
      </w:r>
      <m:oMath>
        <m:r>
          <w:rPr>
            <w:rFonts w:ascii="Cambria Math" w:hAnsi="Cambria Math"/>
          </w:rPr>
          <m:t>m</m:t>
        </m:r>
      </m:oMath>
      <w:r>
        <w:t xml:space="preserve"> the objective count, </w:t>
      </w:r>
      <m:oMath>
        <m:r>
          <w:rPr>
            <w:rFonts w:ascii="Cambria Math" w:hAnsi="Cambria Math"/>
          </w:rPr>
          <m:t>d</m:t>
        </m:r>
      </m:oMath>
      <w:r>
        <w:t xml:space="preserve"> the numerical state dimension, and </w:t>
      </w:r>
      <m:oMath>
        <m:r>
          <w:rPr>
            <w:rFonts w:ascii="Cambria Math" w:hAnsi="Cambria Math"/>
          </w:rPr>
          <m:t>T</m:t>
        </m:r>
      </m:oMath>
      <w:r>
        <w:t xml:space="preserve"> the retrieval depth. Building pairwise dominance and distance data costs </w:t>
      </w:r>
      <m:oMath>
        <m:r>
          <w:rPr>
            <w:rFonts w:ascii="Cambria Math" w:hAnsi="Cambria Math"/>
          </w:rPr>
          <m:t>O</m:t>
        </m:r>
        <m:d>
          <m:dPr>
            <m:ctrlPr>
              <w:rPr>
                <w:rFonts w:ascii="Cambria Math" w:hAnsi="Cambria Math"/>
              </w:rPr>
            </m:ctrlPr>
          </m:dPr>
          <m:e>
            <m:r>
              <w:rPr>
                <w:rFonts w:ascii="Cambria Math" w:hAnsi="Cambria Math"/>
              </w:rPr>
              <m:t>m</m:t>
            </m:r>
            <m:sSup>
              <m:sSupPr>
                <m:ctrlPr>
                  <w:rPr>
                    <w:rFonts w:ascii="Cambria Math" w:hAnsi="Cambria Math"/>
                  </w:rPr>
                </m:ctrlPr>
              </m:sSupPr>
              <m:e>
                <m:r>
                  <w:rPr>
                    <w:rFonts w:ascii="Cambria Math" w:hAnsi="Cambria Math"/>
                  </w:rPr>
                  <m:t>Q</m:t>
                </m:r>
              </m:e>
              <m:sup>
                <m:r>
                  <w:rPr>
                    <w:rFonts w:ascii="Cambria Math" w:hAnsi="Cambria Math"/>
                  </w:rPr>
                  <m:t>2</m:t>
                </m:r>
              </m:sup>
            </m:sSup>
          </m:e>
        </m:d>
      </m:oMath>
      <w:r>
        <w:t xml:space="preserve">. Association costs </w:t>
      </w:r>
      <m:oMath>
        <m:r>
          <w:rPr>
            <w:rFonts w:ascii="Cambria Math" w:hAnsi="Cambria Math"/>
          </w:rPr>
          <m:t>O</m:t>
        </m:r>
        <m:d>
          <m:dPr>
            <m:ctrlPr>
              <w:rPr>
                <w:rFonts w:ascii="Cambria Math" w:hAnsi="Cambria Math"/>
              </w:rPr>
            </m:ctrlPr>
          </m:dPr>
          <m:e>
            <m:r>
              <w:rPr>
                <w:rFonts w:ascii="Cambria Math" w:hAnsi="Cambria Math"/>
              </w:rPr>
              <m:t>mQJ</m:t>
            </m:r>
          </m:e>
        </m:d>
      </m:oMath>
      <w:r>
        <w:t xml:space="preserve">. A dominance graph supports front assignment in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Q</m:t>
                </m:r>
              </m:e>
              <m:sup>
                <m:r>
                  <w:rPr>
                    <w:rFonts w:ascii="Cambria Math" w:hAnsi="Cambria Math"/>
                  </w:rPr>
                  <m:t>2</m:t>
                </m:r>
              </m:sup>
            </m:sSup>
          </m:e>
        </m:d>
      </m:oMath>
      <w:r>
        <w:t xml:space="preserve"> after comparisons. Naively sorting all neighbor-distance vectors at every deletion costs </w:t>
      </w:r>
      <m:oMath>
        <m:r>
          <w:rPr>
            <w:rFonts w:ascii="Cambria Math" w:hAnsi="Cambria Math"/>
          </w:rPr>
          <m:t>O</m:t>
        </m:r>
        <m:d>
          <m:dPr>
            <m:ctrlPr>
              <w:rPr>
                <w:rFonts w:ascii="Cambria Math" w:hAnsi="Cambria Math"/>
              </w:rPr>
            </m:ctrlPr>
          </m:dPr>
          <m:e>
            <m:r>
              <w:rPr>
                <w:rFonts w:ascii="Cambria Math" w:hAnsi="Cambria Math"/>
              </w:rPr>
              <m:t>b</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log</m:t>
            </m:r>
            <m:r>
              <w:rPr>
                <w:rFonts w:ascii="Cambria Math" w:hAnsi="Cambria Math"/>
              </w:rPr>
              <m:t>Q</m:t>
            </m:r>
          </m:e>
        </m:d>
      </m:oMath>
      <w:r>
        <w:t xml:space="preserve"> when at most </w:t>
      </w:r>
      <m:oMath>
        <m:r>
          <w:rPr>
            <w:rFonts w:ascii="Cambria Math" w:hAnsi="Cambria Math"/>
          </w:rPr>
          <m:t>b</m:t>
        </m:r>
      </m:oMath>
      <w:r>
        <w:t xml:space="preserve"> overflow records must be removed. Specialized implementations can improve this bound.</w:t>
      </w:r>
    </w:p>
    <w:p w14:paraId="76D44C05" w14:textId="77777777" w:rsidR="000A5C6C" w:rsidRDefault="00000000">
      <w:pPr>
        <w:pStyle w:val="BodyText"/>
        <w:rPr>
          <w:rFonts w:hint="eastAsia"/>
        </w:rPr>
      </w:pPr>
      <w:r>
        <w:t xml:space="preserve">Retrieval over the bounded archive costs </w:t>
      </w:r>
      <m:oMath>
        <m:r>
          <w:rPr>
            <w:rFonts w:ascii="Cambria Math" w:hAnsi="Cambria Math"/>
          </w:rPr>
          <m:t>O</m:t>
        </m:r>
        <m:d>
          <m:dPr>
            <m:ctrlPr>
              <w:rPr>
                <w:rFonts w:ascii="Cambria Math" w:hAnsi="Cambria Math"/>
              </w:rPr>
            </m:ctrlPr>
          </m:dPr>
          <m:e>
            <m:r>
              <w:rPr>
                <w:rFonts w:ascii="Cambria Math" w:hAnsi="Cambria Math"/>
              </w:rPr>
              <m:t>TKd</m:t>
            </m:r>
          </m:e>
        </m:d>
      </m:oMath>
      <w:r>
        <w:t xml:space="preserve"> per candidate. This part is independent of the full log length. A complete log still requires storage proportional to its number of records and their state, response, and metadata widths; updating an exact reporting front against the full history can also grow with the run. A bounded proposal archive does not make the entire system constant-memory or constant-time. Expensive solver calls, failed jobs, model construction, and verification must be included in end-to-end comparisons.</w:t>
      </w:r>
    </w:p>
    <w:p w14:paraId="49754491" w14:textId="77777777" w:rsidR="000A5C6C" w:rsidRDefault="00000000">
      <w:pPr>
        <w:pStyle w:val="Heading1"/>
        <w:rPr>
          <w:rFonts w:hint="eastAsia"/>
        </w:rPr>
      </w:pPr>
      <w:bookmarkStart w:id="24" w:name="Xa371f39bc19b629203b54d73bb13e86d39fe3b1"/>
      <w:bookmarkEnd w:id="22"/>
      <w:bookmarkEnd w:id="23"/>
      <w:r>
        <w:t>9 Recent neuroscience and testable memory analogies</w:t>
      </w:r>
    </w:p>
    <w:p w14:paraId="32D4461E" w14:textId="77777777" w:rsidR="000A5C6C" w:rsidRDefault="00000000">
      <w:pPr>
        <w:pStyle w:val="Heading2"/>
        <w:rPr>
          <w:rFonts w:hint="eastAsia"/>
        </w:rPr>
      </w:pPr>
      <w:bookmarkStart w:id="25" w:name="sparse-allocation-and-distinct-memories"/>
      <w:r>
        <w:t>9.1 Sparse allocation and distinct memories</w:t>
      </w:r>
    </w:p>
    <w:p w14:paraId="1492C5C4" w14:textId="77777777" w:rsidR="000A5C6C" w:rsidRDefault="00000000">
      <w:pPr>
        <w:pStyle w:val="FirstParagraph"/>
        <w:rPr>
          <w:rFonts w:hint="eastAsia"/>
        </w:rPr>
      </w:pPr>
      <w:r>
        <w:t>Tallman, Steinmetz, and Wixted [6] analyzed an independent dataset of single-unit recordings from epilepsy patients. Remembered items that elicited a relative increase in firing during encoding were associated with sparse hippocampal coding at retrieval. Firing rate was an indirect correlate of possible excitability-related allocation, not a direct measurement or manipulation of excitability. The result supports a limited comparison with selective memory admission and preservation of distinct experiences; it does not establish that neural memory uses objective-space niches or SPEA2 strength.</w:t>
      </w:r>
    </w:p>
    <w:p w14:paraId="5DB9B403" w14:textId="77777777" w:rsidR="000A5C6C" w:rsidRDefault="00000000">
      <w:pPr>
        <w:pStyle w:val="BodyText"/>
        <w:rPr>
          <w:rFonts w:hint="eastAsia"/>
        </w:rPr>
      </w:pPr>
      <w:r>
        <w:t>For an engineering system, the corresponding hypothesis is that a working archive chosen for behavioral and objective diversity provides more useful retrieval than one selected only for frequent use. This should be tested against random retention, elitist retention, and reference-direction selection under the same capacity and evaluator budget. A good result would support that archive policy; it would not identify a neural implementation of it.</w:t>
      </w:r>
    </w:p>
    <w:p w14:paraId="383BBFB1" w14:textId="77777777" w:rsidR="000A5C6C" w:rsidRDefault="00000000">
      <w:pPr>
        <w:pStyle w:val="Heading2"/>
        <w:rPr>
          <w:rFonts w:hint="eastAsia"/>
        </w:rPr>
      </w:pPr>
      <w:bookmarkStart w:id="26" w:name="X5c5dfe1aac3f95a5a5409d75767a44e368b655a"/>
      <w:bookmarkEnd w:id="25"/>
      <w:r>
        <w:t>9.2 Consolidation changes precision as well as access</w:t>
      </w:r>
    </w:p>
    <w:p w14:paraId="6735B2A7" w14:textId="77777777" w:rsidR="000A5C6C" w:rsidRDefault="00000000">
      <w:pPr>
        <w:pStyle w:val="FirstParagraph"/>
        <w:rPr>
          <w:rFonts w:hint="eastAsia"/>
        </w:rPr>
      </w:pPr>
      <w:r>
        <w:t>Ko and colleagues [7] used engram labeling and neurogenesis manipulations in mice to study memory reorganization. Their results linked changes within hippocampal engram circuitry to the emergence of event-related gist and generalization; reducing neurogenesis preserved more precise event memories, while promoting it accelerated reorganization. This is experimental evidence that consolidation can change what is represented, rather than simply copy a fixed episode into another store.</w:t>
      </w:r>
    </w:p>
    <w:p w14:paraId="1213AA34" w14:textId="77777777" w:rsidR="000A5C6C" w:rsidRDefault="00000000">
      <w:pPr>
        <w:pStyle w:val="BodyText"/>
        <w:rPr>
          <w:rFonts w:hint="eastAsia"/>
        </w:rPr>
      </w:pPr>
      <w:r>
        <w:t>The engineering implication is a hypothesis about controlled approximation: generalized memory may improve transfer while losing artifact-specific detail. An engineering provenance log should therefore remain available even when a working archive or learned summary becomes more general. This is an architectural requirement imposed by the task, not an assertion that the brain keeps an immutable database. Consolidated descriptions cannot establish which exact geometry, loading assumption, code version, or solver output was verified.</w:t>
      </w:r>
    </w:p>
    <w:p w14:paraId="17755832" w14:textId="77777777" w:rsidR="000A5C6C" w:rsidRDefault="00000000">
      <w:pPr>
        <w:pStyle w:val="Heading2"/>
        <w:rPr>
          <w:rFonts w:hint="eastAsia"/>
        </w:rPr>
      </w:pPr>
      <w:bookmarkStart w:id="27" w:name="compressive-retrieval-and-reconstruction"/>
      <w:bookmarkEnd w:id="26"/>
      <w:r>
        <w:lastRenderedPageBreak/>
        <w:t>9.3 Compressive retrieval and reconstruction</w:t>
      </w:r>
    </w:p>
    <w:p w14:paraId="0BC53EB3" w14:textId="77777777" w:rsidR="000A5C6C" w:rsidRDefault="00000000">
      <w:pPr>
        <w:pStyle w:val="FirstParagraph"/>
        <w:rPr>
          <w:rFonts w:hint="eastAsia"/>
        </w:rPr>
      </w:pPr>
      <w:r>
        <w:t>Spens and Burgess [8] present a 2026 computational model in which compressed episodic representations support retrieval into working memory, and replay trains a neocortical generative network. The model studies reconstruction, consolidation, generalization, and distortion. It supplies a particularly direct computational analogy for separating stored episode information from a generative reconstruction. It is a model of memory processes, not direct neural evidence that cortical circuits run a language-model harness.</w:t>
      </w:r>
    </w:p>
    <w:p w14:paraId="290305E9" w14:textId="77777777" w:rsidR="000A5C6C" w:rsidRDefault="00000000">
      <w:pPr>
        <w:pStyle w:val="BodyText"/>
        <w:rPr>
          <w:rFonts w:hint="eastAsia"/>
        </w:rPr>
      </w:pPr>
      <w:r>
        <w:t>A frozen-backbone harness implements only part of that analogy: external memory and runtime state can change without updating backbone weights. The modeled consolidation into a generative network changes that network, so it is not equivalent to frozen-backbone retrieval. In construction software, a regenerated model or report is a new artifact requiring comparison and verification even when it was reconstructed from a previously accepted design.</w:t>
      </w:r>
    </w:p>
    <w:p w14:paraId="74068DEA" w14:textId="77777777" w:rsidR="000A5C6C" w:rsidRDefault="00000000">
      <w:pPr>
        <w:pStyle w:val="Caption"/>
        <w:keepNext/>
        <w:rPr>
          <w:rFonts w:hint="eastAsia"/>
        </w:rPr>
      </w:pPr>
      <w:r>
        <w:t>Table 2. Neuroscientific evidence and its bounded engineering use.</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92"/>
        <w:gridCol w:w="3888"/>
        <w:gridCol w:w="3456"/>
      </w:tblGrid>
      <w:tr w:rsidR="000A5C6C" w14:paraId="5E2AAE8E" w14:textId="77777777">
        <w:trPr>
          <w:cantSplit/>
          <w:tblHeader/>
          <w:jc w:val="center"/>
        </w:trPr>
        <w:tc>
          <w:tcPr>
            <w:tcW w:w="2592" w:type="dxa"/>
            <w:shd w:val="clear" w:color="auto" w:fill="EAEAEA"/>
            <w:tcMar>
              <w:top w:w="80" w:type="dxa"/>
              <w:left w:w="85" w:type="dxa"/>
              <w:bottom w:w="80" w:type="dxa"/>
              <w:right w:w="85" w:type="dxa"/>
            </w:tcMar>
            <w:vAlign w:val="center"/>
          </w:tcPr>
          <w:p w14:paraId="3A7F34C8" w14:textId="77777777" w:rsidR="000A5C6C" w:rsidRDefault="00000000">
            <w:pPr>
              <w:keepNext/>
              <w:keepLines/>
              <w:spacing w:after="0" w:line="247" w:lineRule="auto"/>
              <w:jc w:val="left"/>
              <w:rPr>
                <w:rFonts w:hint="eastAsia"/>
              </w:rPr>
            </w:pPr>
            <w:r>
              <w:rPr>
                <w:b/>
                <w:sz w:val="21"/>
              </w:rPr>
              <w:t>Recent work</w:t>
            </w:r>
          </w:p>
        </w:tc>
        <w:tc>
          <w:tcPr>
            <w:tcW w:w="3888" w:type="dxa"/>
            <w:shd w:val="clear" w:color="auto" w:fill="EAEAEA"/>
            <w:tcMar>
              <w:top w:w="80" w:type="dxa"/>
              <w:left w:w="85" w:type="dxa"/>
              <w:bottom w:w="80" w:type="dxa"/>
              <w:right w:w="85" w:type="dxa"/>
            </w:tcMar>
            <w:vAlign w:val="center"/>
          </w:tcPr>
          <w:p w14:paraId="3D18B05A" w14:textId="77777777" w:rsidR="000A5C6C" w:rsidRDefault="00000000">
            <w:pPr>
              <w:keepNext/>
              <w:keepLines/>
              <w:spacing w:after="0" w:line="247" w:lineRule="auto"/>
              <w:jc w:val="left"/>
              <w:rPr>
                <w:rFonts w:hint="eastAsia"/>
              </w:rPr>
            </w:pPr>
            <w:r>
              <w:rPr>
                <w:b/>
                <w:sz w:val="21"/>
              </w:rPr>
              <w:t>Evidence type and finding</w:t>
            </w:r>
          </w:p>
        </w:tc>
        <w:tc>
          <w:tcPr>
            <w:tcW w:w="3456" w:type="dxa"/>
            <w:shd w:val="clear" w:color="auto" w:fill="EAEAEA"/>
            <w:tcMar>
              <w:top w:w="80" w:type="dxa"/>
              <w:left w:w="85" w:type="dxa"/>
              <w:bottom w:w="80" w:type="dxa"/>
              <w:right w:w="85" w:type="dxa"/>
            </w:tcMar>
            <w:vAlign w:val="center"/>
          </w:tcPr>
          <w:p w14:paraId="77324269" w14:textId="77777777" w:rsidR="000A5C6C" w:rsidRDefault="00000000">
            <w:pPr>
              <w:keepNext/>
              <w:keepLines/>
              <w:spacing w:after="0" w:line="247" w:lineRule="auto"/>
              <w:jc w:val="left"/>
              <w:rPr>
                <w:rFonts w:hint="eastAsia"/>
              </w:rPr>
            </w:pPr>
            <w:r>
              <w:rPr>
                <w:b/>
                <w:sz w:val="21"/>
              </w:rPr>
              <w:t>Proposed software test</w:t>
            </w:r>
          </w:p>
        </w:tc>
      </w:tr>
      <w:tr w:rsidR="000A5C6C" w14:paraId="5225CE2F" w14:textId="77777777">
        <w:trPr>
          <w:cantSplit/>
          <w:jc w:val="center"/>
        </w:trPr>
        <w:tc>
          <w:tcPr>
            <w:tcW w:w="2592" w:type="dxa"/>
            <w:shd w:val="clear" w:color="auto" w:fill="FFFFFF"/>
            <w:tcMar>
              <w:top w:w="80" w:type="dxa"/>
              <w:left w:w="85" w:type="dxa"/>
              <w:bottom w:w="80" w:type="dxa"/>
              <w:right w:w="85" w:type="dxa"/>
            </w:tcMar>
            <w:vAlign w:val="center"/>
          </w:tcPr>
          <w:p w14:paraId="26775388" w14:textId="77777777" w:rsidR="000A5C6C" w:rsidRDefault="00000000">
            <w:pPr>
              <w:keepNext/>
              <w:keepLines/>
              <w:spacing w:after="0" w:line="247" w:lineRule="auto"/>
              <w:jc w:val="left"/>
              <w:rPr>
                <w:rFonts w:hint="eastAsia"/>
              </w:rPr>
            </w:pPr>
            <w:r>
              <w:rPr>
                <w:sz w:val="21"/>
              </w:rPr>
              <w:t>Tallman et al 2025 [6]</w:t>
            </w:r>
          </w:p>
        </w:tc>
        <w:tc>
          <w:tcPr>
            <w:tcW w:w="3888" w:type="dxa"/>
            <w:shd w:val="clear" w:color="auto" w:fill="FFFFFF"/>
            <w:tcMar>
              <w:top w:w="80" w:type="dxa"/>
              <w:left w:w="85" w:type="dxa"/>
              <w:bottom w:w="80" w:type="dxa"/>
              <w:right w:w="85" w:type="dxa"/>
            </w:tcMar>
            <w:vAlign w:val="center"/>
          </w:tcPr>
          <w:p w14:paraId="4ACC48FE" w14:textId="77777777" w:rsidR="000A5C6C" w:rsidRDefault="00000000">
            <w:pPr>
              <w:keepNext/>
              <w:keepLines/>
              <w:spacing w:after="0" w:line="247" w:lineRule="auto"/>
              <w:jc w:val="left"/>
              <w:rPr>
                <w:rFonts w:hint="eastAsia"/>
              </w:rPr>
            </w:pPr>
            <w:r>
              <w:rPr>
                <w:sz w:val="21"/>
              </w:rPr>
              <w:t>Human single-unit analysis linking encoding activity and sparse remembered-item coding</w:t>
            </w:r>
          </w:p>
        </w:tc>
        <w:tc>
          <w:tcPr>
            <w:tcW w:w="3456" w:type="dxa"/>
            <w:shd w:val="clear" w:color="auto" w:fill="FFFFFF"/>
            <w:tcMar>
              <w:top w:w="80" w:type="dxa"/>
              <w:left w:w="85" w:type="dxa"/>
              <w:bottom w:w="80" w:type="dxa"/>
              <w:right w:w="85" w:type="dxa"/>
            </w:tcMar>
            <w:vAlign w:val="center"/>
          </w:tcPr>
          <w:p w14:paraId="1A192825" w14:textId="77777777" w:rsidR="000A5C6C" w:rsidRDefault="00000000">
            <w:pPr>
              <w:keepNext/>
              <w:keepLines/>
              <w:spacing w:after="0" w:line="247" w:lineRule="auto"/>
              <w:jc w:val="left"/>
              <w:rPr>
                <w:rFonts w:hint="eastAsia"/>
              </w:rPr>
            </w:pPr>
            <w:r>
              <w:rPr>
                <w:sz w:val="21"/>
              </w:rPr>
              <w:t>Compare diverse versus frequency-based archive admission</w:t>
            </w:r>
          </w:p>
        </w:tc>
      </w:tr>
      <w:tr w:rsidR="000A5C6C" w14:paraId="4205DC59" w14:textId="77777777">
        <w:trPr>
          <w:cantSplit/>
          <w:jc w:val="center"/>
        </w:trPr>
        <w:tc>
          <w:tcPr>
            <w:tcW w:w="2592" w:type="dxa"/>
            <w:shd w:val="clear" w:color="auto" w:fill="FFFFFF"/>
            <w:tcMar>
              <w:top w:w="80" w:type="dxa"/>
              <w:left w:w="85" w:type="dxa"/>
              <w:bottom w:w="80" w:type="dxa"/>
              <w:right w:w="85" w:type="dxa"/>
            </w:tcMar>
            <w:vAlign w:val="center"/>
          </w:tcPr>
          <w:p w14:paraId="0F63CA80" w14:textId="77777777" w:rsidR="000A5C6C" w:rsidRDefault="00000000">
            <w:pPr>
              <w:keepNext/>
              <w:keepLines/>
              <w:spacing w:after="0" w:line="247" w:lineRule="auto"/>
              <w:jc w:val="left"/>
              <w:rPr>
                <w:rFonts w:hint="eastAsia"/>
              </w:rPr>
            </w:pPr>
            <w:r>
              <w:rPr>
                <w:sz w:val="21"/>
              </w:rPr>
              <w:t>Ko et al 2025 [7]</w:t>
            </w:r>
          </w:p>
        </w:tc>
        <w:tc>
          <w:tcPr>
            <w:tcW w:w="3888" w:type="dxa"/>
            <w:shd w:val="clear" w:color="auto" w:fill="FFFFFF"/>
            <w:tcMar>
              <w:top w:w="80" w:type="dxa"/>
              <w:left w:w="85" w:type="dxa"/>
              <w:bottom w:w="80" w:type="dxa"/>
              <w:right w:w="85" w:type="dxa"/>
            </w:tcMar>
            <w:vAlign w:val="center"/>
          </w:tcPr>
          <w:p w14:paraId="025C59C9" w14:textId="77777777" w:rsidR="000A5C6C" w:rsidRDefault="00000000">
            <w:pPr>
              <w:keepNext/>
              <w:keepLines/>
              <w:spacing w:after="0" w:line="247" w:lineRule="auto"/>
              <w:jc w:val="left"/>
              <w:rPr>
                <w:rFonts w:hint="eastAsia"/>
              </w:rPr>
            </w:pPr>
            <w:r>
              <w:rPr>
                <w:sz w:val="21"/>
              </w:rPr>
              <w:t>Mouse experiments linking engram reorganization to gist and precision</w:t>
            </w:r>
          </w:p>
        </w:tc>
        <w:tc>
          <w:tcPr>
            <w:tcW w:w="3456" w:type="dxa"/>
            <w:shd w:val="clear" w:color="auto" w:fill="FFFFFF"/>
            <w:tcMar>
              <w:top w:w="80" w:type="dxa"/>
              <w:left w:w="85" w:type="dxa"/>
              <w:bottom w:w="80" w:type="dxa"/>
              <w:right w:w="85" w:type="dxa"/>
            </w:tcMar>
            <w:vAlign w:val="center"/>
          </w:tcPr>
          <w:p w14:paraId="2BED19DC" w14:textId="77777777" w:rsidR="000A5C6C" w:rsidRDefault="00000000">
            <w:pPr>
              <w:keepNext/>
              <w:keepLines/>
              <w:spacing w:after="0" w:line="247" w:lineRule="auto"/>
              <w:jc w:val="left"/>
              <w:rPr>
                <w:rFonts w:hint="eastAsia"/>
              </w:rPr>
            </w:pPr>
            <w:r>
              <w:rPr>
                <w:sz w:val="21"/>
              </w:rPr>
              <w:t>Measure generalization gains against loss of artifact-specific recall</w:t>
            </w:r>
          </w:p>
        </w:tc>
      </w:tr>
      <w:tr w:rsidR="000A5C6C" w14:paraId="441046BA" w14:textId="77777777">
        <w:trPr>
          <w:cantSplit/>
          <w:jc w:val="center"/>
        </w:trPr>
        <w:tc>
          <w:tcPr>
            <w:tcW w:w="2592" w:type="dxa"/>
            <w:shd w:val="clear" w:color="auto" w:fill="FFFFFF"/>
            <w:tcMar>
              <w:top w:w="80" w:type="dxa"/>
              <w:left w:w="85" w:type="dxa"/>
              <w:bottom w:w="80" w:type="dxa"/>
              <w:right w:w="85" w:type="dxa"/>
            </w:tcMar>
            <w:vAlign w:val="center"/>
          </w:tcPr>
          <w:p w14:paraId="75E3217D" w14:textId="77777777" w:rsidR="000A5C6C" w:rsidRDefault="00000000">
            <w:pPr>
              <w:keepLines/>
              <w:spacing w:after="0" w:line="247" w:lineRule="auto"/>
              <w:jc w:val="left"/>
              <w:rPr>
                <w:rFonts w:hint="eastAsia"/>
              </w:rPr>
            </w:pPr>
            <w:r>
              <w:rPr>
                <w:sz w:val="21"/>
              </w:rPr>
              <w:t>Spens and Burgess 2026 [8]</w:t>
            </w:r>
          </w:p>
        </w:tc>
        <w:tc>
          <w:tcPr>
            <w:tcW w:w="3888" w:type="dxa"/>
            <w:shd w:val="clear" w:color="auto" w:fill="FFFFFF"/>
            <w:tcMar>
              <w:top w:w="80" w:type="dxa"/>
              <w:left w:w="85" w:type="dxa"/>
              <w:bottom w:w="80" w:type="dxa"/>
              <w:right w:w="85" w:type="dxa"/>
            </w:tcMar>
            <w:vAlign w:val="center"/>
          </w:tcPr>
          <w:p w14:paraId="2588AC7A" w14:textId="77777777" w:rsidR="000A5C6C" w:rsidRDefault="00000000">
            <w:pPr>
              <w:keepLines/>
              <w:spacing w:after="0" w:line="247" w:lineRule="auto"/>
              <w:jc w:val="left"/>
              <w:rPr>
                <w:rFonts w:hint="eastAsia"/>
              </w:rPr>
            </w:pPr>
            <w:r>
              <w:rPr>
                <w:sz w:val="21"/>
              </w:rPr>
              <w:t>Computational model of compression, replay, and generative reconstruction</w:t>
            </w:r>
          </w:p>
        </w:tc>
        <w:tc>
          <w:tcPr>
            <w:tcW w:w="3456" w:type="dxa"/>
            <w:shd w:val="clear" w:color="auto" w:fill="FFFFFF"/>
            <w:tcMar>
              <w:top w:w="80" w:type="dxa"/>
              <w:left w:w="85" w:type="dxa"/>
              <w:bottom w:w="80" w:type="dxa"/>
              <w:right w:w="85" w:type="dxa"/>
            </w:tcMar>
            <w:vAlign w:val="center"/>
          </w:tcPr>
          <w:p w14:paraId="074D85BD" w14:textId="77777777" w:rsidR="000A5C6C" w:rsidRDefault="00000000">
            <w:pPr>
              <w:keepLines/>
              <w:spacing w:after="0" w:line="247" w:lineRule="auto"/>
              <w:jc w:val="left"/>
              <w:rPr>
                <w:rFonts w:hint="eastAsia"/>
              </w:rPr>
            </w:pPr>
            <w:r>
              <w:rPr>
                <w:sz w:val="21"/>
              </w:rPr>
              <w:t>Compare exact records, compressed retrieval, and regenerated artifacts</w:t>
            </w:r>
          </w:p>
        </w:tc>
      </w:tr>
    </w:tbl>
    <w:p w14:paraId="3F7627B6" w14:textId="77777777" w:rsidR="000A5C6C" w:rsidRDefault="00000000">
      <w:pPr>
        <w:pStyle w:val="BodyText"/>
        <w:spacing w:before="140"/>
        <w:rPr>
          <w:rFonts w:hint="eastAsia"/>
        </w:rPr>
      </w:pPr>
      <w:r>
        <w:t>These comparisons concern functions and trade-offs. Strength in (4) is a count of dominated records, not synaptic strength. A reference direction is an objective-space control, not an identified brain region. None of the cited studies demonstrates an append-only neural log, Pareto sorting, or a theorem about ADE convergence.</w:t>
      </w:r>
    </w:p>
    <w:p w14:paraId="32DE384D" w14:textId="77777777" w:rsidR="000A5C6C" w:rsidRDefault="00000000">
      <w:pPr>
        <w:pStyle w:val="Heading1"/>
        <w:rPr>
          <w:rFonts w:hint="eastAsia"/>
        </w:rPr>
      </w:pPr>
      <w:bookmarkStart w:id="28" w:name="ai-harness-architecture-for-construction"/>
      <w:bookmarkEnd w:id="24"/>
      <w:bookmarkEnd w:id="27"/>
      <w:r>
        <w:t>10 AI harness architecture for construction</w:t>
      </w:r>
    </w:p>
    <w:p w14:paraId="1222AAE2" w14:textId="77777777" w:rsidR="000A5C6C" w:rsidRDefault="00000000">
      <w:pPr>
        <w:pStyle w:val="Heading2"/>
        <w:rPr>
          <w:rFonts w:hint="eastAsia"/>
        </w:rPr>
      </w:pPr>
      <w:bookmarkStart w:id="29" w:name="X0c1cd63c4e9800e3294c1eb788e526d0601d5f8"/>
      <w:r>
        <w:t>10.1 Two levels of adaptation around fixed weights</w:t>
      </w:r>
    </w:p>
    <w:p w14:paraId="57024976" w14:textId="77777777" w:rsidR="000A5C6C" w:rsidRDefault="00000000">
      <w:pPr>
        <w:pStyle w:val="FirstParagraph"/>
        <w:keepNext/>
        <w:rPr>
          <w:rFonts w:hint="eastAsia"/>
        </w:rPr>
      </w:pPr>
      <w:r>
        <w:t xml:space="preserve">Let </w:t>
      </w:r>
      <m:oMath>
        <m:r>
          <w:rPr>
            <w:rFonts w:ascii="Cambria Math" w:hAnsi="Cambria Math"/>
          </w:rPr>
          <m:t>θ</m:t>
        </m:r>
      </m:oMath>
      <w:r>
        <w:t xml:space="preserve"> be fixed model weights, </w:t>
      </w:r>
      <m:oMath>
        <m:r>
          <w:rPr>
            <w:rFonts w:ascii="Cambria Math" w:hAnsi="Cambria Math"/>
          </w:rPr>
          <m:t>ψ</m:t>
        </m:r>
      </m:oMath>
      <w:r>
        <w:t xml:space="preserve"> a harness version, and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the runtime state. The state includes the task, transcript, tool status, knowledge references, numerical archives, workspace artifacts, and verification outcomes. An action cycle can be written as</w:t>
      </w:r>
    </w:p>
    <w:p w14:paraId="0DC917E6" w14:textId="77777777" w:rsidR="000A5C6C"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θ</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ψ</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e>
              </m:d>
            </m:e>
          </m:d>
          <m:r>
            <m:rPr>
              <m:sty m:val="p"/>
            </m:rPr>
            <w:rPr>
              <w:rFonts w:ascii="Cambria Math" w:hAnsi="Cambria Math"/>
            </w:rPr>
            <m:t>,</m:t>
          </m:r>
          <m:r>
            <m:rPr>
              <m:nor/>
            </m:rPr>
            <m:t>    </m:t>
          </m:r>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ψ</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e>
          </m:d>
          <m:r>
            <m:rPr>
              <m:sty m:val="p"/>
            </m:rPr>
            <w:rPr>
              <w:rFonts w:ascii="Cambria Math" w:hAnsi="Cambria Math"/>
            </w:rPr>
            <m:t>,</m:t>
          </m:r>
          <m:r>
            <m:rPr>
              <m:nor/>
            </m:rPr>
            <m:t>    </m:t>
          </m:r>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ψ</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k</m:t>
                  </m:r>
                </m:sub>
              </m:sSub>
            </m:e>
          </m:d>
          <m:r>
            <m:rPr>
              <m:sty m:val="p"/>
            </m:rPr>
            <w:rPr>
              <w:rFonts w:ascii="Cambria Math" w:hAnsi="Cambria Math"/>
            </w:rPr>
            <m:t>.</m:t>
          </m:r>
          <m:r>
            <m:rPr>
              <m:nor/>
            </m:rPr>
            <m:t>    (11)</m:t>
          </m:r>
        </m:oMath>
      </m:oMathPara>
    </w:p>
    <w:p w14:paraId="76A698D6" w14:textId="77777777" w:rsidR="000A5C6C" w:rsidRDefault="00000000">
      <w:pPr>
        <w:pStyle w:val="FirstParagraph"/>
        <w:rPr>
          <w:rFonts w:hint="eastAsia"/>
        </w:rPr>
      </w:pPr>
      <w:r>
        <w:t xml:space="preserve">Here </w:t>
      </w:r>
      <m:oMath>
        <m:sSub>
          <m:sSubPr>
            <m:ctrlPr>
              <w:rPr>
                <w:rFonts w:ascii="Cambria Math" w:hAnsi="Cambria Math"/>
              </w:rPr>
            </m:ctrlPr>
          </m:sSubPr>
          <m:e>
            <m:r>
              <w:rPr>
                <w:rFonts w:ascii="Cambria Math" w:hAnsi="Cambria Math"/>
              </w:rPr>
              <m:t>C</m:t>
            </m:r>
          </m:e>
          <m:sub>
            <m:r>
              <w:rPr>
                <w:rFonts w:ascii="Cambria Math" w:hAnsi="Cambria Math"/>
              </w:rPr>
              <m:t>ψ</m:t>
            </m:r>
          </m:sub>
        </m:sSub>
      </m:oMath>
      <w:r>
        <w:t xml:space="preserve"> constructs model context, </w:t>
      </w:r>
      <m:oMath>
        <m:sSub>
          <m:sSubPr>
            <m:ctrlPr>
              <w:rPr>
                <w:rFonts w:ascii="Cambria Math" w:hAnsi="Cambria Math"/>
              </w:rPr>
            </m:ctrlPr>
          </m:sSubPr>
          <m:e>
            <m:r>
              <w:rPr>
                <w:rFonts w:ascii="Cambria Math" w:hAnsi="Cambria Math"/>
              </w:rPr>
              <m:t>E</m:t>
            </m:r>
          </m:e>
          <m:sub>
            <m:r>
              <w:rPr>
                <w:rFonts w:ascii="Cambria Math" w:hAnsi="Cambria Math"/>
              </w:rPr>
              <m:t>ψ</m:t>
            </m:r>
          </m:sub>
        </m:sSub>
      </m:oMath>
      <w:r>
        <w:t xml:space="preserve"> describes the environment response, and </w:t>
      </w:r>
      <m:oMath>
        <m:sSub>
          <m:sSubPr>
            <m:ctrlPr>
              <w:rPr>
                <w:rFonts w:ascii="Cambria Math" w:hAnsi="Cambria Math"/>
              </w:rPr>
            </m:ctrlPr>
          </m:sSubPr>
          <m:e>
            <m:r>
              <w:rPr>
                <w:rFonts w:ascii="Cambria Math" w:hAnsi="Cambria Math"/>
              </w:rPr>
              <m:t>T</m:t>
            </m:r>
          </m:e>
          <m:sub>
            <m:r>
              <w:rPr>
                <w:rFonts w:ascii="Cambria Math" w:hAnsi="Cambria Math"/>
              </w:rPr>
              <m:t>ψ</m:t>
            </m:r>
          </m:sub>
        </m:sSub>
      </m:oMath>
      <w:r>
        <w:t xml:space="preserve"> validates and records a transition. The next token or action depends on state containing the previous actions and observations. This is the operational meaning of autoregression; “next token plus old state gives new state” is not literal vector addition. A tool call can contain many tokens, and a result can contain nontext numerical artifacts.</w:t>
      </w:r>
    </w:p>
    <w:p w14:paraId="7042321D" w14:textId="77777777" w:rsidR="000A5C6C" w:rsidRDefault="00000000">
      <w:pPr>
        <w:pStyle w:val="BodyText"/>
        <w:rPr>
          <w:rFonts w:hint="eastAsia"/>
        </w:rPr>
      </w:pPr>
      <w:r>
        <w:t xml:space="preserve">Within a run, </w:t>
      </w:r>
      <m:oMath>
        <m:r>
          <w:rPr>
            <w:rFonts w:ascii="Cambria Math" w:hAnsi="Cambria Math"/>
          </w:rPr>
          <m:t>ψ</m:t>
        </m:r>
      </m:oMath>
      <w:r>
        <w:t xml:space="preserve"> may remain fixed while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changes. Across runs, a proposed </w:t>
      </w:r>
      <m:oMath>
        <m:r>
          <w:rPr>
            <w:rFonts w:ascii="Cambria Math" w:hAnsi="Cambria Math"/>
          </w:rPr>
          <m:t>ψ</m:t>
        </m:r>
        <m:r>
          <m:rPr>
            <m:sty m:val="p"/>
          </m:rPr>
          <w:rPr>
            <w:rFonts w:ascii="Cambria Math" w:hAnsi="Cambria Math"/>
          </w:rPr>
          <m:t>'</m:t>
        </m:r>
      </m:oMath>
      <w:r>
        <w:t xml:space="preserve"> can change prompts, tools, orchestration, executable components, or memory policy while </w:t>
      </w:r>
      <m:oMath>
        <m:r>
          <w:rPr>
            <w:rFonts w:ascii="Cambria Math" w:hAnsi="Cambria Math"/>
          </w:rPr>
          <m:t>θ</m:t>
        </m:r>
      </m:oMath>
      <w:r>
        <w:t xml:space="preserve"> stays fixed. Self-Evolving Agent Harness [9] addresses persistent software revision around fixed model weights. Harmony Harness [10] studies multiple preference subproblems and factored harness evolution. These </w:t>
      </w:r>
      <w:r>
        <w:lastRenderedPageBreak/>
        <w:t>October 2026 preprints motivate the architectural comparison; they do not validate industrial construction deployment.</w:t>
      </w:r>
    </w:p>
    <w:p w14:paraId="368983CA" w14:textId="77777777" w:rsidR="000A5C6C" w:rsidRDefault="00000000">
      <w:pPr>
        <w:pStyle w:val="BodyText"/>
        <w:rPr>
          <w:rFonts w:hint="eastAsia"/>
        </w:rPr>
      </w:pPr>
      <w:r>
        <w:t>ADE can be a numerical proposal tool within (11). Numerical states, objective responses, strengths, and niche associations belong to the design search. Whole harnesses form a different search space, evaluated on task-level outcomes. Gaussian retrieval over numerical designs does not automatically define a density over source-code repositories or language-model actions.</w:t>
      </w:r>
    </w:p>
    <w:p w14:paraId="54919C98" w14:textId="77777777" w:rsidR="000A5C6C" w:rsidRDefault="00000000">
      <w:pPr>
        <w:pStyle w:val="Heading2"/>
        <w:rPr>
          <w:rFonts w:hint="eastAsia"/>
        </w:rPr>
      </w:pPr>
      <w:bookmarkStart w:id="30" w:name="X1e54319ec11da4254d517457705505f7c35524f"/>
      <w:bookmarkEnd w:id="29"/>
      <w:r>
        <w:t>10.2 The three stores in a construction workflow</w:t>
      </w:r>
    </w:p>
    <w:p w14:paraId="7131669B" w14:textId="77777777" w:rsidR="000A5C6C" w:rsidRDefault="00000000">
      <w:pPr>
        <w:pStyle w:val="FirstParagraph"/>
        <w:rPr>
          <w:rFonts w:hint="eastAsia"/>
        </w:rPr>
      </w:pPr>
      <w:r>
        <w:t>Consider a conveyor gallery and its supporting trestles. Continuous dimensions, discrete sections, material grades, and connection types define the design variables. The harness retrieves project requirements, governing standard editions, load combinations, approved catalogs, cost information, carbon factors, geotechnical assumptions, and site constraints. Knowledge entries carry sources, versions, units, applicability, and provenance.</w:t>
      </w:r>
    </w:p>
    <w:p w14:paraId="0F3A3E06" w14:textId="77777777" w:rsidR="000A5C6C" w:rsidRDefault="00000000">
      <w:pPr>
        <w:pStyle w:val="BodyText"/>
        <w:rPr>
          <w:rFonts w:hint="eastAsia"/>
        </w:rPr>
      </w:pPr>
      <w:r>
        <w:t>A reasoning step selects a verified tool or a numerical proposal request. Executable geometry and analysis tools create and evaluate the actual model. Responses include preferences such as cost and carbon and mandatory checks such as strength, stability, serviceability, fatigue, constructability, and interface compatibility. These mandatory requirements define feasibility when the project requires them; a low soft score does not override a failed check.</w:t>
      </w:r>
    </w:p>
    <w:p w14:paraId="486A2D71" w14:textId="77777777" w:rsidR="000A5C6C" w:rsidRDefault="00000000">
      <w:pPr>
        <w:pStyle w:val="BodyText"/>
        <w:rPr>
          <w:rFonts w:hint="eastAsia"/>
        </w:rPr>
      </w:pPr>
      <w:r>
        <w:t>The evaluation log binds every response to the exact input artifact, solver setup, software version, sampling law, and observation decision. The bounded proposal archive retains useful numerical alternatives for subsequent retrieval. The reporting archive retains verified feasible nondominated alternatives for review. A compressed summary can help the language model choose a tool, but it does not replace the exact record supporting an engineering assertion.</w:t>
      </w:r>
    </w:p>
    <w:p w14:paraId="2C5E29E9" w14:textId="77777777" w:rsidR="000A5C6C" w:rsidRDefault="00000000">
      <w:pPr>
        <w:pStyle w:val="Caption"/>
        <w:keepNext/>
        <w:rPr>
          <w:rFonts w:hint="eastAsia"/>
        </w:rPr>
      </w:pPr>
      <w:r>
        <w:t>Table 3. Harness roles and the memory contract they enforce.</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88"/>
        <w:gridCol w:w="4032"/>
        <w:gridCol w:w="3816"/>
      </w:tblGrid>
      <w:tr w:rsidR="000A5C6C" w14:paraId="0C8ABA66" w14:textId="77777777">
        <w:trPr>
          <w:cantSplit/>
          <w:tblHeader/>
          <w:jc w:val="center"/>
        </w:trPr>
        <w:tc>
          <w:tcPr>
            <w:tcW w:w="2088" w:type="dxa"/>
            <w:shd w:val="clear" w:color="auto" w:fill="EAEAEA"/>
            <w:tcMar>
              <w:top w:w="80" w:type="dxa"/>
              <w:left w:w="85" w:type="dxa"/>
              <w:bottom w:w="80" w:type="dxa"/>
              <w:right w:w="85" w:type="dxa"/>
            </w:tcMar>
            <w:vAlign w:val="center"/>
          </w:tcPr>
          <w:p w14:paraId="337A8BAA" w14:textId="77777777" w:rsidR="000A5C6C" w:rsidRDefault="00000000">
            <w:pPr>
              <w:keepNext/>
              <w:keepLines/>
              <w:spacing w:after="0" w:line="247" w:lineRule="auto"/>
              <w:jc w:val="left"/>
              <w:rPr>
                <w:rFonts w:hint="eastAsia"/>
              </w:rPr>
            </w:pPr>
            <w:r>
              <w:rPr>
                <w:b/>
                <w:sz w:val="21"/>
              </w:rPr>
              <w:t>Harness role</w:t>
            </w:r>
          </w:p>
        </w:tc>
        <w:tc>
          <w:tcPr>
            <w:tcW w:w="4032" w:type="dxa"/>
            <w:shd w:val="clear" w:color="auto" w:fill="EAEAEA"/>
            <w:tcMar>
              <w:top w:w="80" w:type="dxa"/>
              <w:left w:w="85" w:type="dxa"/>
              <w:bottom w:w="80" w:type="dxa"/>
              <w:right w:w="85" w:type="dxa"/>
            </w:tcMar>
            <w:vAlign w:val="center"/>
          </w:tcPr>
          <w:p w14:paraId="7F4CBF30" w14:textId="77777777" w:rsidR="000A5C6C" w:rsidRDefault="00000000">
            <w:pPr>
              <w:keepNext/>
              <w:keepLines/>
              <w:spacing w:after="0" w:line="247" w:lineRule="auto"/>
              <w:jc w:val="left"/>
              <w:rPr>
                <w:rFonts w:hint="eastAsia"/>
              </w:rPr>
            </w:pPr>
            <w:r>
              <w:rPr>
                <w:b/>
                <w:sz w:val="21"/>
              </w:rPr>
              <w:t>Concrete responsibility</w:t>
            </w:r>
          </w:p>
        </w:tc>
        <w:tc>
          <w:tcPr>
            <w:tcW w:w="3816" w:type="dxa"/>
            <w:shd w:val="clear" w:color="auto" w:fill="EAEAEA"/>
            <w:tcMar>
              <w:top w:w="80" w:type="dxa"/>
              <w:left w:w="85" w:type="dxa"/>
              <w:bottom w:w="80" w:type="dxa"/>
              <w:right w:w="85" w:type="dxa"/>
            </w:tcMar>
            <w:vAlign w:val="center"/>
          </w:tcPr>
          <w:p w14:paraId="3E4F8AC0" w14:textId="77777777" w:rsidR="000A5C6C" w:rsidRDefault="00000000">
            <w:pPr>
              <w:keepNext/>
              <w:keepLines/>
              <w:spacing w:after="0" w:line="247" w:lineRule="auto"/>
              <w:jc w:val="left"/>
              <w:rPr>
                <w:rFonts w:hint="eastAsia"/>
              </w:rPr>
            </w:pPr>
            <w:r>
              <w:rPr>
                <w:b/>
                <w:sz w:val="21"/>
              </w:rPr>
              <w:t>Relation to this paper</w:t>
            </w:r>
          </w:p>
        </w:tc>
      </w:tr>
      <w:tr w:rsidR="000A5C6C" w14:paraId="5B8F588D" w14:textId="77777777">
        <w:trPr>
          <w:cantSplit/>
          <w:jc w:val="center"/>
        </w:trPr>
        <w:tc>
          <w:tcPr>
            <w:tcW w:w="2088" w:type="dxa"/>
            <w:shd w:val="clear" w:color="auto" w:fill="FFFFFF"/>
            <w:tcMar>
              <w:top w:w="80" w:type="dxa"/>
              <w:left w:w="85" w:type="dxa"/>
              <w:bottom w:w="80" w:type="dxa"/>
              <w:right w:w="85" w:type="dxa"/>
            </w:tcMar>
            <w:vAlign w:val="center"/>
          </w:tcPr>
          <w:p w14:paraId="411D9BF1" w14:textId="77777777" w:rsidR="000A5C6C" w:rsidRDefault="00000000">
            <w:pPr>
              <w:keepLines/>
              <w:spacing w:after="0" w:line="247" w:lineRule="auto"/>
              <w:jc w:val="left"/>
              <w:rPr>
                <w:rFonts w:hint="eastAsia"/>
              </w:rPr>
            </w:pPr>
            <w:r>
              <w:rPr>
                <w:sz w:val="21"/>
              </w:rPr>
              <w:t>Prompts and context</w:t>
            </w:r>
          </w:p>
        </w:tc>
        <w:tc>
          <w:tcPr>
            <w:tcW w:w="4032" w:type="dxa"/>
            <w:shd w:val="clear" w:color="auto" w:fill="FFFFFF"/>
            <w:tcMar>
              <w:top w:w="80" w:type="dxa"/>
              <w:left w:w="85" w:type="dxa"/>
              <w:bottom w:w="80" w:type="dxa"/>
              <w:right w:w="85" w:type="dxa"/>
            </w:tcMar>
            <w:vAlign w:val="center"/>
          </w:tcPr>
          <w:p w14:paraId="27F451EE" w14:textId="77777777" w:rsidR="000A5C6C" w:rsidRDefault="00000000">
            <w:pPr>
              <w:keepLines/>
              <w:spacing w:after="0" w:line="247" w:lineRule="auto"/>
              <w:jc w:val="left"/>
              <w:rPr>
                <w:rFonts w:hint="eastAsia"/>
              </w:rPr>
            </w:pPr>
            <w:r>
              <w:rPr>
                <w:sz w:val="21"/>
              </w:rPr>
              <w:t>Declare objectives, units, constraints, task, and action schema</w:t>
            </w:r>
          </w:p>
        </w:tc>
        <w:tc>
          <w:tcPr>
            <w:tcW w:w="3816" w:type="dxa"/>
            <w:shd w:val="clear" w:color="auto" w:fill="FFFFFF"/>
            <w:tcMar>
              <w:top w:w="80" w:type="dxa"/>
              <w:left w:w="85" w:type="dxa"/>
              <w:bottom w:w="80" w:type="dxa"/>
              <w:right w:w="85" w:type="dxa"/>
            </w:tcMar>
            <w:vAlign w:val="center"/>
          </w:tcPr>
          <w:p w14:paraId="62F7E815" w14:textId="77777777" w:rsidR="000A5C6C" w:rsidRDefault="00000000">
            <w:pPr>
              <w:keepLines/>
              <w:spacing w:after="0" w:line="247" w:lineRule="auto"/>
              <w:jc w:val="left"/>
              <w:rPr>
                <w:rFonts w:hint="eastAsia"/>
              </w:rPr>
            </w:pPr>
            <w:r>
              <w:rPr>
                <w:sz w:val="21"/>
              </w:rPr>
              <w:t>Define the problem separately from the sampling law</w:t>
            </w:r>
          </w:p>
        </w:tc>
      </w:tr>
      <w:tr w:rsidR="000A5C6C" w14:paraId="584EBFCC" w14:textId="77777777">
        <w:trPr>
          <w:cantSplit/>
          <w:jc w:val="center"/>
        </w:trPr>
        <w:tc>
          <w:tcPr>
            <w:tcW w:w="2088" w:type="dxa"/>
            <w:shd w:val="clear" w:color="auto" w:fill="FFFFFF"/>
            <w:tcMar>
              <w:top w:w="80" w:type="dxa"/>
              <w:left w:w="85" w:type="dxa"/>
              <w:bottom w:w="80" w:type="dxa"/>
              <w:right w:w="85" w:type="dxa"/>
            </w:tcMar>
            <w:vAlign w:val="center"/>
          </w:tcPr>
          <w:p w14:paraId="2544FAC8" w14:textId="77777777" w:rsidR="000A5C6C" w:rsidRDefault="00000000">
            <w:pPr>
              <w:keepLines/>
              <w:spacing w:after="0" w:line="247" w:lineRule="auto"/>
              <w:jc w:val="left"/>
              <w:rPr>
                <w:rFonts w:hint="eastAsia"/>
              </w:rPr>
            </w:pPr>
            <w:r>
              <w:rPr>
                <w:sz w:val="21"/>
              </w:rPr>
              <w:t>Tools and executable components</w:t>
            </w:r>
          </w:p>
        </w:tc>
        <w:tc>
          <w:tcPr>
            <w:tcW w:w="4032" w:type="dxa"/>
            <w:shd w:val="clear" w:color="auto" w:fill="FFFFFF"/>
            <w:tcMar>
              <w:top w:w="80" w:type="dxa"/>
              <w:left w:w="85" w:type="dxa"/>
              <w:bottom w:w="80" w:type="dxa"/>
              <w:right w:w="85" w:type="dxa"/>
            </w:tcMar>
            <w:vAlign w:val="center"/>
          </w:tcPr>
          <w:p w14:paraId="62559129" w14:textId="77777777" w:rsidR="000A5C6C" w:rsidRDefault="00000000">
            <w:pPr>
              <w:keepLines/>
              <w:spacing w:after="0" w:line="247" w:lineRule="auto"/>
              <w:jc w:val="left"/>
              <w:rPr>
                <w:rFonts w:hint="eastAsia"/>
              </w:rPr>
            </w:pPr>
            <w:r>
              <w:rPr>
                <w:sz w:val="21"/>
              </w:rPr>
              <w:t>Build geometry, run solvers, compute cost and carbon, check reports</w:t>
            </w:r>
          </w:p>
        </w:tc>
        <w:tc>
          <w:tcPr>
            <w:tcW w:w="3816" w:type="dxa"/>
            <w:shd w:val="clear" w:color="auto" w:fill="FFFFFF"/>
            <w:tcMar>
              <w:top w:w="80" w:type="dxa"/>
              <w:left w:w="85" w:type="dxa"/>
              <w:bottom w:w="80" w:type="dxa"/>
              <w:right w:w="85" w:type="dxa"/>
            </w:tcMar>
            <w:vAlign w:val="center"/>
          </w:tcPr>
          <w:p w14:paraId="07AECF2E" w14:textId="77777777" w:rsidR="000A5C6C" w:rsidRDefault="00000000">
            <w:pPr>
              <w:keepLines/>
              <w:spacing w:after="0" w:line="247" w:lineRule="auto"/>
              <w:jc w:val="left"/>
              <w:rPr>
                <w:rFonts w:hint="eastAsia"/>
              </w:rPr>
            </w:pPr>
            <w:r>
              <w:rPr>
                <w:sz w:val="21"/>
              </w:rPr>
              <w:t>Return typed responses attached to artifact versions</w:t>
            </w:r>
          </w:p>
        </w:tc>
      </w:tr>
      <w:tr w:rsidR="000A5C6C" w14:paraId="7AE8A0CB" w14:textId="77777777">
        <w:trPr>
          <w:cantSplit/>
          <w:jc w:val="center"/>
        </w:trPr>
        <w:tc>
          <w:tcPr>
            <w:tcW w:w="2088" w:type="dxa"/>
            <w:shd w:val="clear" w:color="auto" w:fill="FFFFFF"/>
            <w:tcMar>
              <w:top w:w="80" w:type="dxa"/>
              <w:left w:w="85" w:type="dxa"/>
              <w:bottom w:w="80" w:type="dxa"/>
              <w:right w:w="85" w:type="dxa"/>
            </w:tcMar>
            <w:vAlign w:val="center"/>
          </w:tcPr>
          <w:p w14:paraId="6020D5C4" w14:textId="77777777" w:rsidR="000A5C6C" w:rsidRDefault="00000000">
            <w:pPr>
              <w:keepLines/>
              <w:spacing w:after="0" w:line="247" w:lineRule="auto"/>
              <w:jc w:val="left"/>
              <w:rPr>
                <w:rFonts w:hint="eastAsia"/>
              </w:rPr>
            </w:pPr>
            <w:r>
              <w:rPr>
                <w:sz w:val="21"/>
              </w:rPr>
              <w:t>Memory and knowledge bases</w:t>
            </w:r>
          </w:p>
        </w:tc>
        <w:tc>
          <w:tcPr>
            <w:tcW w:w="4032" w:type="dxa"/>
            <w:shd w:val="clear" w:color="auto" w:fill="FFFFFF"/>
            <w:tcMar>
              <w:top w:w="80" w:type="dxa"/>
              <w:left w:w="85" w:type="dxa"/>
              <w:bottom w:w="80" w:type="dxa"/>
              <w:right w:w="85" w:type="dxa"/>
            </w:tcMar>
            <w:vAlign w:val="center"/>
          </w:tcPr>
          <w:p w14:paraId="66B5A62E" w14:textId="77777777" w:rsidR="000A5C6C" w:rsidRDefault="00000000">
            <w:pPr>
              <w:keepLines/>
              <w:spacing w:after="0" w:line="247" w:lineRule="auto"/>
              <w:jc w:val="left"/>
              <w:rPr>
                <w:rFonts w:hint="eastAsia"/>
              </w:rPr>
            </w:pPr>
            <w:r>
              <w:rPr>
                <w:sz w:val="21"/>
              </w:rPr>
              <w:t>Retrieve standards, prior designs, catalogs, and explanations</w:t>
            </w:r>
          </w:p>
        </w:tc>
        <w:tc>
          <w:tcPr>
            <w:tcW w:w="3816" w:type="dxa"/>
            <w:shd w:val="clear" w:color="auto" w:fill="FFFFFF"/>
            <w:tcMar>
              <w:top w:w="80" w:type="dxa"/>
              <w:left w:w="85" w:type="dxa"/>
              <w:bottom w:w="80" w:type="dxa"/>
              <w:right w:w="85" w:type="dxa"/>
            </w:tcMar>
            <w:vAlign w:val="center"/>
          </w:tcPr>
          <w:p w14:paraId="61B514B7" w14:textId="77777777" w:rsidR="000A5C6C" w:rsidRDefault="00000000">
            <w:pPr>
              <w:keepLines/>
              <w:spacing w:after="0" w:line="247" w:lineRule="auto"/>
              <w:jc w:val="left"/>
              <w:rPr>
                <w:rFonts w:hint="eastAsia"/>
              </w:rPr>
            </w:pPr>
            <w:r>
              <w:rPr>
                <w:sz w:val="21"/>
              </w:rPr>
              <w:t>Keep provenance and applicability; distinguish exact from approximate records</w:t>
            </w:r>
          </w:p>
        </w:tc>
      </w:tr>
      <w:tr w:rsidR="000A5C6C" w14:paraId="4C1D701F" w14:textId="77777777">
        <w:trPr>
          <w:cantSplit/>
          <w:jc w:val="center"/>
        </w:trPr>
        <w:tc>
          <w:tcPr>
            <w:tcW w:w="2088" w:type="dxa"/>
            <w:shd w:val="clear" w:color="auto" w:fill="FFFFFF"/>
            <w:tcMar>
              <w:top w:w="80" w:type="dxa"/>
              <w:left w:w="85" w:type="dxa"/>
              <w:bottom w:w="80" w:type="dxa"/>
              <w:right w:w="85" w:type="dxa"/>
            </w:tcMar>
            <w:vAlign w:val="center"/>
          </w:tcPr>
          <w:p w14:paraId="496D96AA" w14:textId="77777777" w:rsidR="000A5C6C" w:rsidRDefault="00000000">
            <w:pPr>
              <w:keepLines/>
              <w:spacing w:after="0" w:line="247" w:lineRule="auto"/>
              <w:jc w:val="left"/>
              <w:rPr>
                <w:rFonts w:hint="eastAsia"/>
              </w:rPr>
            </w:pPr>
            <w:r>
              <w:rPr>
                <w:sz w:val="21"/>
              </w:rPr>
              <w:t>Workspace and runtime</w:t>
            </w:r>
          </w:p>
        </w:tc>
        <w:tc>
          <w:tcPr>
            <w:tcW w:w="4032" w:type="dxa"/>
            <w:shd w:val="clear" w:color="auto" w:fill="FFFFFF"/>
            <w:tcMar>
              <w:top w:w="80" w:type="dxa"/>
              <w:left w:w="85" w:type="dxa"/>
              <w:bottom w:w="80" w:type="dxa"/>
              <w:right w:w="85" w:type="dxa"/>
            </w:tcMar>
            <w:vAlign w:val="center"/>
          </w:tcPr>
          <w:p w14:paraId="0C39C89C" w14:textId="77777777" w:rsidR="000A5C6C" w:rsidRDefault="00000000">
            <w:pPr>
              <w:keepLines/>
              <w:spacing w:after="0" w:line="247" w:lineRule="auto"/>
              <w:jc w:val="left"/>
              <w:rPr>
                <w:rFonts w:hint="eastAsia"/>
              </w:rPr>
            </w:pPr>
            <w:r>
              <w:rPr>
                <w:sz w:val="21"/>
              </w:rPr>
              <w:t>Manage model files, jobs, dependencies, and immutable result identifiers</w:t>
            </w:r>
          </w:p>
        </w:tc>
        <w:tc>
          <w:tcPr>
            <w:tcW w:w="3816" w:type="dxa"/>
            <w:shd w:val="clear" w:color="auto" w:fill="FFFFFF"/>
            <w:tcMar>
              <w:top w:w="80" w:type="dxa"/>
              <w:left w:w="85" w:type="dxa"/>
              <w:bottom w:w="80" w:type="dxa"/>
              <w:right w:w="85" w:type="dxa"/>
            </w:tcMar>
            <w:vAlign w:val="center"/>
          </w:tcPr>
          <w:p w14:paraId="1FD1BBC6" w14:textId="77777777" w:rsidR="000A5C6C" w:rsidRDefault="00000000">
            <w:pPr>
              <w:keepLines/>
              <w:spacing w:after="0" w:line="247" w:lineRule="auto"/>
              <w:jc w:val="left"/>
              <w:rPr>
                <w:rFonts w:hint="eastAsia"/>
              </w:rPr>
            </w:pPr>
            <w:r>
              <w:rPr>
                <w:sz w:val="21"/>
              </w:rPr>
              <w:t>Make the analyzed state recoverable</w:t>
            </w:r>
          </w:p>
        </w:tc>
      </w:tr>
      <w:tr w:rsidR="000A5C6C" w14:paraId="7687BDA6" w14:textId="77777777">
        <w:trPr>
          <w:cantSplit/>
          <w:jc w:val="center"/>
        </w:trPr>
        <w:tc>
          <w:tcPr>
            <w:tcW w:w="2088" w:type="dxa"/>
            <w:shd w:val="clear" w:color="auto" w:fill="FFFFFF"/>
            <w:tcMar>
              <w:top w:w="80" w:type="dxa"/>
              <w:left w:w="85" w:type="dxa"/>
              <w:bottom w:w="80" w:type="dxa"/>
              <w:right w:w="85" w:type="dxa"/>
            </w:tcMar>
            <w:vAlign w:val="center"/>
          </w:tcPr>
          <w:p w14:paraId="20634342" w14:textId="77777777" w:rsidR="000A5C6C" w:rsidRDefault="00000000">
            <w:pPr>
              <w:keepLines/>
              <w:spacing w:after="0" w:line="247" w:lineRule="auto"/>
              <w:jc w:val="left"/>
              <w:rPr>
                <w:rFonts w:hint="eastAsia"/>
              </w:rPr>
            </w:pPr>
            <w:r>
              <w:rPr>
                <w:sz w:val="21"/>
              </w:rPr>
              <w:t>Reason act and observe</w:t>
            </w:r>
          </w:p>
        </w:tc>
        <w:tc>
          <w:tcPr>
            <w:tcW w:w="4032" w:type="dxa"/>
            <w:shd w:val="clear" w:color="auto" w:fill="FFFFFF"/>
            <w:tcMar>
              <w:top w:w="80" w:type="dxa"/>
              <w:left w:w="85" w:type="dxa"/>
              <w:bottom w:w="80" w:type="dxa"/>
              <w:right w:w="85" w:type="dxa"/>
            </w:tcMar>
            <w:vAlign w:val="center"/>
          </w:tcPr>
          <w:p w14:paraId="1B180755" w14:textId="77777777" w:rsidR="000A5C6C" w:rsidRDefault="00000000">
            <w:pPr>
              <w:keepLines/>
              <w:spacing w:after="0" w:line="247" w:lineRule="auto"/>
              <w:jc w:val="left"/>
              <w:rPr>
                <w:rFonts w:hint="eastAsia"/>
              </w:rPr>
            </w:pPr>
            <w:r>
              <w:rPr>
                <w:sz w:val="21"/>
              </w:rPr>
              <w:t>Select an action, execute it, and update the recorded state</w:t>
            </w:r>
          </w:p>
        </w:tc>
        <w:tc>
          <w:tcPr>
            <w:tcW w:w="3816" w:type="dxa"/>
            <w:shd w:val="clear" w:color="auto" w:fill="FFFFFF"/>
            <w:tcMar>
              <w:top w:w="80" w:type="dxa"/>
              <w:left w:w="85" w:type="dxa"/>
              <w:bottom w:w="80" w:type="dxa"/>
              <w:right w:w="85" w:type="dxa"/>
            </w:tcMar>
            <w:vAlign w:val="center"/>
          </w:tcPr>
          <w:p w14:paraId="03DDFEE1" w14:textId="77777777" w:rsidR="000A5C6C" w:rsidRDefault="00000000">
            <w:pPr>
              <w:keepLines/>
              <w:spacing w:after="0" w:line="247" w:lineRule="auto"/>
              <w:jc w:val="left"/>
              <w:rPr>
                <w:rFonts w:hint="eastAsia"/>
              </w:rPr>
            </w:pPr>
            <w:r>
              <w:rPr>
                <w:sz w:val="21"/>
              </w:rPr>
              <w:t>Implement the autoregressive transition (11)</w:t>
            </w:r>
          </w:p>
        </w:tc>
      </w:tr>
      <w:tr w:rsidR="000A5C6C" w14:paraId="3414C4DB" w14:textId="77777777">
        <w:trPr>
          <w:cantSplit/>
          <w:jc w:val="center"/>
        </w:trPr>
        <w:tc>
          <w:tcPr>
            <w:tcW w:w="2088" w:type="dxa"/>
            <w:shd w:val="clear" w:color="auto" w:fill="FFFFFF"/>
            <w:tcMar>
              <w:top w:w="80" w:type="dxa"/>
              <w:left w:w="85" w:type="dxa"/>
              <w:bottom w:w="80" w:type="dxa"/>
              <w:right w:w="85" w:type="dxa"/>
            </w:tcMar>
            <w:vAlign w:val="center"/>
          </w:tcPr>
          <w:p w14:paraId="5083872F" w14:textId="77777777" w:rsidR="000A5C6C" w:rsidRDefault="00000000">
            <w:pPr>
              <w:keepLines/>
              <w:spacing w:after="0" w:line="247" w:lineRule="auto"/>
              <w:jc w:val="left"/>
              <w:rPr>
                <w:rFonts w:hint="eastAsia"/>
              </w:rPr>
            </w:pPr>
            <w:r>
              <w:rPr>
                <w:sz w:val="21"/>
              </w:rPr>
              <w:t>Evaluation and ablation</w:t>
            </w:r>
          </w:p>
        </w:tc>
        <w:tc>
          <w:tcPr>
            <w:tcW w:w="4032" w:type="dxa"/>
            <w:shd w:val="clear" w:color="auto" w:fill="FFFFFF"/>
            <w:tcMar>
              <w:top w:w="80" w:type="dxa"/>
              <w:left w:w="85" w:type="dxa"/>
              <w:bottom w:w="80" w:type="dxa"/>
              <w:right w:w="85" w:type="dxa"/>
            </w:tcMar>
            <w:vAlign w:val="center"/>
          </w:tcPr>
          <w:p w14:paraId="60E5F5E8" w14:textId="77777777" w:rsidR="000A5C6C" w:rsidRDefault="00000000">
            <w:pPr>
              <w:keepLines/>
              <w:spacing w:after="0" w:line="247" w:lineRule="auto"/>
              <w:jc w:val="left"/>
              <w:rPr>
                <w:rFonts w:hint="eastAsia"/>
              </w:rPr>
            </w:pPr>
            <w:r>
              <w:rPr>
                <w:sz w:val="21"/>
              </w:rPr>
              <w:t>Measure design and harness outcomes under a fixed protocol</w:t>
            </w:r>
          </w:p>
        </w:tc>
        <w:tc>
          <w:tcPr>
            <w:tcW w:w="3816" w:type="dxa"/>
            <w:shd w:val="clear" w:color="auto" w:fill="FFFFFF"/>
            <w:tcMar>
              <w:top w:w="80" w:type="dxa"/>
              <w:left w:w="85" w:type="dxa"/>
              <w:bottom w:w="80" w:type="dxa"/>
              <w:right w:w="85" w:type="dxa"/>
            </w:tcMar>
            <w:vAlign w:val="center"/>
          </w:tcPr>
          <w:p w14:paraId="7117AB55" w14:textId="77777777" w:rsidR="000A5C6C" w:rsidRDefault="00000000">
            <w:pPr>
              <w:keepLines/>
              <w:spacing w:after="0" w:line="247" w:lineRule="auto"/>
              <w:jc w:val="left"/>
              <w:rPr>
                <w:rFonts w:hint="eastAsia"/>
              </w:rPr>
            </w:pPr>
            <w:r>
              <w:rPr>
                <w:sz w:val="21"/>
              </w:rPr>
              <w:t>Separate useful search heuristics from estimator claims</w:t>
            </w:r>
          </w:p>
        </w:tc>
      </w:tr>
      <w:tr w:rsidR="000A5C6C" w14:paraId="0B8FF2A9" w14:textId="77777777">
        <w:trPr>
          <w:cantSplit/>
          <w:jc w:val="center"/>
        </w:trPr>
        <w:tc>
          <w:tcPr>
            <w:tcW w:w="2088" w:type="dxa"/>
            <w:shd w:val="clear" w:color="auto" w:fill="FFFFFF"/>
            <w:tcMar>
              <w:top w:w="80" w:type="dxa"/>
              <w:left w:w="85" w:type="dxa"/>
              <w:bottom w:w="80" w:type="dxa"/>
              <w:right w:w="85" w:type="dxa"/>
            </w:tcMar>
            <w:vAlign w:val="center"/>
          </w:tcPr>
          <w:p w14:paraId="1BD0CB78" w14:textId="77777777" w:rsidR="000A5C6C" w:rsidRDefault="00000000">
            <w:pPr>
              <w:keepLines/>
              <w:spacing w:after="0" w:line="247" w:lineRule="auto"/>
              <w:jc w:val="left"/>
              <w:rPr>
                <w:rFonts w:hint="eastAsia"/>
              </w:rPr>
            </w:pPr>
            <w:r>
              <w:rPr>
                <w:sz w:val="21"/>
              </w:rPr>
              <w:t>Guardrails and verification gate</w:t>
            </w:r>
          </w:p>
        </w:tc>
        <w:tc>
          <w:tcPr>
            <w:tcW w:w="4032" w:type="dxa"/>
            <w:shd w:val="clear" w:color="auto" w:fill="FFFFFF"/>
            <w:tcMar>
              <w:top w:w="80" w:type="dxa"/>
              <w:left w:w="85" w:type="dxa"/>
              <w:bottom w:w="80" w:type="dxa"/>
              <w:right w:w="85" w:type="dxa"/>
            </w:tcMar>
            <w:vAlign w:val="center"/>
          </w:tcPr>
          <w:p w14:paraId="341A8021" w14:textId="77777777" w:rsidR="000A5C6C" w:rsidRDefault="00000000">
            <w:pPr>
              <w:keepLines/>
              <w:spacing w:after="0" w:line="247" w:lineRule="auto"/>
              <w:jc w:val="left"/>
              <w:rPr>
                <w:rFonts w:hint="eastAsia"/>
              </w:rPr>
            </w:pPr>
            <w:r>
              <w:rPr>
                <w:sz w:val="21"/>
              </w:rPr>
              <w:t>Enforce tool scope and validate the exact final artifact</w:t>
            </w:r>
          </w:p>
        </w:tc>
        <w:tc>
          <w:tcPr>
            <w:tcW w:w="3816" w:type="dxa"/>
            <w:shd w:val="clear" w:color="auto" w:fill="FFFFFF"/>
            <w:tcMar>
              <w:top w:w="80" w:type="dxa"/>
              <w:left w:w="85" w:type="dxa"/>
              <w:bottom w:w="80" w:type="dxa"/>
              <w:right w:w="85" w:type="dxa"/>
            </w:tcMar>
            <w:vAlign w:val="center"/>
          </w:tcPr>
          <w:p w14:paraId="77B23B0A" w14:textId="77777777" w:rsidR="000A5C6C" w:rsidRDefault="00000000">
            <w:pPr>
              <w:keepLines/>
              <w:spacing w:after="0" w:line="247" w:lineRule="auto"/>
              <w:jc w:val="left"/>
              <w:rPr>
                <w:rFonts w:hint="eastAsia"/>
              </w:rPr>
            </w:pPr>
            <w:r>
              <w:rPr>
                <w:sz w:val="21"/>
              </w:rPr>
              <w:t>Remain independent of niche preferences and soft fitness</w:t>
            </w:r>
          </w:p>
        </w:tc>
      </w:tr>
    </w:tbl>
    <w:p w14:paraId="2C5CF2F8" w14:textId="77777777" w:rsidR="000A5C6C" w:rsidRDefault="00000000">
      <w:pPr>
        <w:pStyle w:val="BodyText"/>
        <w:spacing w:before="140"/>
        <w:rPr>
          <w:rFonts w:hint="eastAsia"/>
        </w:rPr>
      </w:pPr>
      <w:r>
        <w:t xml:space="preserve">A posterior mean of several catalog sections is not necessarily a catalog section. A mean of feasible nonlinear designs need not be feasible. Decode, analyze, and verify the actual candidate. If a repair or </w:t>
      </w:r>
      <w:r>
        <w:lastRenderedPageBreak/>
        <w:t>decoder changes the numerical proposal, record its resulting probability law before invoking Theorem 2. Where the decoded probability is unavailable, use the method as an empirically evaluated search heuristic and preserve the known-law numerical pathway for probability claims.</w:t>
      </w:r>
    </w:p>
    <w:p w14:paraId="04E1E911" w14:textId="77777777" w:rsidR="000A5C6C" w:rsidRDefault="00000000">
      <w:pPr>
        <w:pStyle w:val="Heading2"/>
        <w:rPr>
          <w:rFonts w:hint="eastAsia"/>
        </w:rPr>
      </w:pPr>
      <w:bookmarkStart w:id="31" w:name="harness-selection-and-admission"/>
      <w:bookmarkEnd w:id="30"/>
      <w:r>
        <w:t>10.3 Harness selection and admission</w:t>
      </w:r>
    </w:p>
    <w:p w14:paraId="69B6E3E6" w14:textId="77777777" w:rsidR="000A5C6C" w:rsidRDefault="00000000">
      <w:pPr>
        <w:pStyle w:val="FirstParagraph"/>
        <w:rPr>
          <w:rFonts w:hint="eastAsia"/>
        </w:rPr>
      </w:pPr>
      <w:r>
        <w:t>Task-level harness objectives can include verified completion rate, evaluator cost, latency, and robustness under declared perturbations. A niche can represent a preference profile over these responses, while a proposal archive preserves several harness configurations. Transferring the archive-selection idea does not transfer the importance-sampling guarantee unless the harness-proposal law is known.</w:t>
      </w:r>
    </w:p>
    <w:p w14:paraId="2851EDA3" w14:textId="77777777" w:rsidR="000A5C6C" w:rsidRDefault="00000000">
      <w:pPr>
        <w:pStyle w:val="BodyText"/>
        <w:rPr>
          <w:rFonts w:hint="eastAsia"/>
        </w:rPr>
      </w:pPr>
      <w:r>
        <w:t>A harness revision that improves search performance can still weaken a verification component. Evaluation should therefore bind the candidate code, execution environment, independent gate, task distribution, and cost budget. If the gate itself is revised, evaluate that revision against a separately maintained acceptance contract. Guardrails are executable policies, not another numerical objective that a favorable cost score can cancel.</w:t>
      </w:r>
    </w:p>
    <w:p w14:paraId="6A163C16" w14:textId="77777777" w:rsidR="000A5C6C" w:rsidRDefault="00000000">
      <w:pPr>
        <w:pStyle w:val="BodyText"/>
        <w:keepNext/>
        <w:rPr>
          <w:rFonts w:hint="eastAsia"/>
        </w:rPr>
      </w:pPr>
      <w:r>
        <w:t xml:space="preserve">For a candidate fixed before </w:t>
      </w:r>
      <m:oMath>
        <m:r>
          <w:rPr>
            <w:rFonts w:ascii="Cambria Math" w:hAnsi="Cambria Math"/>
          </w:rPr>
          <m:t>n</m:t>
        </m:r>
      </m:oMath>
      <w:r>
        <w:t xml:space="preserve"> fresh independent Bernoulli validation outcomes with success probability </w:t>
      </w:r>
      <m:oMath>
        <m:r>
          <w:rPr>
            <w:rFonts w:ascii="Cambria Math" w:hAnsi="Cambria Math"/>
          </w:rPr>
          <m:t>p</m:t>
        </m:r>
      </m:oMath>
      <w:r>
        <w:t>, Hoeffding’s inequality gives</w:t>
      </w:r>
    </w:p>
    <w:p w14:paraId="720C08D5" w14:textId="77777777" w:rsidR="000A5C6C" w:rsidRDefault="00000000">
      <w:pPr>
        <w:pStyle w:val="BodyText"/>
        <w:keepLines/>
        <w:spacing w:before="60" w:after="120"/>
        <w:jc w:val="center"/>
        <w:rPr>
          <w:rFonts w:hint="eastAsia"/>
        </w:rPr>
      </w:pPr>
      <m:oMathPara>
        <m:oMathParaPr>
          <m:jc m:val="center"/>
        </m:oMathParaPr>
        <m:oMath>
          <m:r>
            <w:rPr>
              <w:rFonts w:ascii="Cambria Math" w:hAnsi="Cambria Math"/>
            </w:rPr>
            <m:t>p</m:t>
          </m:r>
          <m:r>
            <m:rPr>
              <m:sty m:val="p"/>
            </m:rPr>
            <w:rPr>
              <w:rFonts w:ascii="Cambria Math" w:hAnsi="Cambria Math"/>
            </w:rPr>
            <m:t>≥</m:t>
          </m:r>
          <m:acc>
            <m:accPr>
              <m:ctrlPr>
                <w:rPr>
                  <w:rFonts w:ascii="Cambria Math" w:hAnsi="Cambria Math"/>
                </w:rPr>
              </m:ctrlPr>
            </m:accPr>
            <m:e>
              <m:r>
                <w:rPr>
                  <w:rFonts w:ascii="Cambria Math" w:hAnsi="Cambria Math"/>
                </w:rPr>
                <m:t>p</m:t>
              </m:r>
            </m:e>
          </m:acc>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δ</m:t>
                      </m:r>
                    </m:e>
                  </m:d>
                </m:num>
                <m:den>
                  <m:r>
                    <w:rPr>
                      <w:rFonts w:ascii="Cambria Math" w:hAnsi="Cambria Math"/>
                    </w:rPr>
                    <m:t>2n</m:t>
                  </m:r>
                </m:den>
              </m:f>
            </m:e>
          </m:rad>
          <m:r>
            <m:rPr>
              <m:nor/>
            </m:rPr>
            <m:t xml:space="preserve">    with probability at least </m:t>
          </m:r>
          <m:r>
            <w:rPr>
              <w:rFonts w:ascii="Cambria Math" w:hAnsi="Cambria Math"/>
            </w:rPr>
            <m:t>1</m:t>
          </m:r>
          <m:r>
            <m:rPr>
              <m:sty m:val="p"/>
            </m:rPr>
            <w:rPr>
              <w:rFonts w:ascii="Cambria Math" w:hAnsi="Cambria Math"/>
            </w:rPr>
            <m:t>-</m:t>
          </m:r>
          <m:r>
            <w:rPr>
              <w:rFonts w:ascii="Cambria Math" w:hAnsi="Cambria Math"/>
            </w:rPr>
            <m:t>δ</m:t>
          </m:r>
          <m:r>
            <m:rPr>
              <m:sty m:val="p"/>
            </m:rPr>
            <w:rPr>
              <w:rFonts w:ascii="Cambria Math" w:hAnsi="Cambria Math"/>
            </w:rPr>
            <m:t>.</m:t>
          </m:r>
          <m:r>
            <m:rPr>
              <m:nor/>
            </m:rPr>
            <m:t>    (12)</m:t>
          </m:r>
        </m:oMath>
      </m:oMathPara>
    </w:p>
    <w:p w14:paraId="52BBC259" w14:textId="77777777" w:rsidR="000A5C6C" w:rsidRDefault="00000000">
      <w:pPr>
        <w:pStyle w:val="FirstParagraph"/>
        <w:rPr>
          <w:rFonts w:hint="eastAsia"/>
        </w:rPr>
      </w:pPr>
      <w:r>
        <w:t xml:space="preserve">Repeated admission needs conditional freshness and an error budget, for example </w:t>
      </w:r>
      <m:oMath>
        <m:sSub>
          <m:sSubPr>
            <m:ctrlPr>
              <w:rPr>
                <w:rFonts w:ascii="Cambria Math" w:hAnsi="Cambria Math"/>
              </w:rPr>
            </m:ctrlPr>
          </m:sSubPr>
          <m:e>
            <m:r>
              <w:rPr>
                <w:rFonts w:ascii="Cambria Math" w:hAnsi="Cambria Math"/>
              </w:rPr>
              <m:t>δ</m:t>
            </m:r>
          </m:e>
          <m:sub>
            <m:r>
              <w:rPr>
                <w:rFonts w:ascii="Cambria Math" w:hAnsi="Cambria Math"/>
              </w:rPr>
              <m:t>r</m:t>
            </m:r>
          </m:sub>
        </m:sSub>
        <m:r>
          <m:rPr>
            <m:sty m:val="p"/>
          </m:rPr>
          <w:rPr>
            <w:rFonts w:ascii="Cambria Math" w:hAnsi="Cambria Math"/>
          </w:rPr>
          <m:t>=</m:t>
        </m:r>
        <m:r>
          <w:rPr>
            <w:rFonts w:ascii="Cambria Math" w:hAnsi="Cambria Math"/>
          </w:rPr>
          <m:t>6δ</m:t>
        </m:r>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π</m:t>
                </m:r>
              </m:e>
              <m:sup>
                <m:r>
                  <w:rPr>
                    <w:rFonts w:ascii="Cambria Math" w:hAnsi="Cambria Math"/>
                  </w:rPr>
                  <m:t>2</m:t>
                </m:r>
              </m:sup>
            </m:sSup>
            <m:sSup>
              <m:sSupPr>
                <m:ctrlPr>
                  <w:rPr>
                    <w:rFonts w:ascii="Cambria Math" w:hAnsi="Cambria Math"/>
                  </w:rPr>
                </m:ctrlPr>
              </m:sSupPr>
              <m:e>
                <m:r>
                  <w:rPr>
                    <w:rFonts w:ascii="Cambria Math" w:hAnsi="Cambria Math"/>
                  </w:rPr>
                  <m:t>r</m:t>
                </m:r>
              </m:e>
              <m:sup>
                <m:r>
                  <w:rPr>
                    <w:rFonts w:ascii="Cambria Math" w:hAnsi="Cambria Math"/>
                  </w:rPr>
                  <m:t>2</m:t>
                </m:r>
              </m:sup>
            </m:sSup>
          </m:e>
        </m:d>
      </m:oMath>
      <w:r>
        <w:t xml:space="preserve"> for revision </w:t>
      </w:r>
      <m:oMath>
        <m:r>
          <w:rPr>
            <w:rFonts w:ascii="Cambria Math" w:hAnsi="Cambria Math"/>
          </w:rPr>
          <m:t>r</m:t>
        </m:r>
      </m:oMath>
      <w:r>
        <w:t>. A union bound controls the chance of any incorrect lower confidence statement. The success event should mean that the same artifact passes every required test; separate marginal pass rates do not identify joint success. This mathematical bound covers the stated test distribution and independence assumptions. It is not a universal structural-safety certificate or a guarantee under arbitrary distribution shift.</w:t>
      </w:r>
    </w:p>
    <w:p w14:paraId="081BAAA0" w14:textId="77777777" w:rsidR="000A5C6C" w:rsidRDefault="00000000">
      <w:pPr>
        <w:pStyle w:val="Heading1"/>
        <w:rPr>
          <w:rFonts w:hint="eastAsia"/>
        </w:rPr>
      </w:pPr>
      <w:bookmarkStart w:id="32" w:name="computational-evidence-and-verification"/>
      <w:bookmarkEnd w:id="28"/>
      <w:bookmarkEnd w:id="31"/>
      <w:r>
        <w:lastRenderedPageBreak/>
        <w:t>11 Computational evidence and verification</w:t>
      </w:r>
    </w:p>
    <w:p w14:paraId="286D6AE2" w14:textId="77777777" w:rsidR="000A5C6C" w:rsidRDefault="00000000">
      <w:pPr>
        <w:pStyle w:val="Heading2"/>
        <w:rPr>
          <w:rFonts w:hint="eastAsia"/>
        </w:rPr>
      </w:pPr>
      <w:bookmarkStart w:id="33" w:name="existing-benchmark-summaries"/>
      <w:r>
        <w:t>11.1 Existing benchmark summaries</w:t>
      </w:r>
    </w:p>
    <w:p w14:paraId="08AA20C5" w14:textId="77777777" w:rsidR="000A5C6C" w:rsidRDefault="00000000">
      <w:pPr>
        <w:pStyle w:val="Caption"/>
        <w:keepNext/>
        <w:rPr>
          <w:rFonts w:hint="eastAsia"/>
        </w:rPr>
      </w:pPr>
      <w:r>
        <w:t>Table 4 preserves mean IGD+ values reported in the supplied manuscript [1], with ten seeds per setting. They are reported results rather than newly executed benchmark runs. Lower IGD+ is better. The strongest listed baseline configuration among NSGA-II [4], NSGA-III, and SPEA2 has a smaller mean than the best listed ADE variant on each of the five tasks. This comparison does not imply that every baseline configuration beats every ADE configuration.</w:t>
      </w:r>
    </w:p>
    <w:p w14:paraId="01B7CFAE" w14:textId="77777777" w:rsidR="000A5C6C" w:rsidRDefault="00000000">
      <w:pPr>
        <w:pStyle w:val="Caption"/>
        <w:keepNext/>
        <w:rPr>
          <w:rFonts w:hint="eastAsia"/>
        </w:rPr>
      </w:pPr>
      <w:r>
        <w:t>Table 4. Reported ten-seed means from the supplied study.</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008"/>
        <w:gridCol w:w="1008"/>
        <w:gridCol w:w="1008"/>
        <w:gridCol w:w="1440"/>
        <w:gridCol w:w="3456"/>
      </w:tblGrid>
      <w:tr w:rsidR="000A5C6C" w14:paraId="7CA97E34" w14:textId="77777777">
        <w:trPr>
          <w:cantSplit/>
          <w:tblHeader/>
          <w:jc w:val="center"/>
        </w:trPr>
        <w:tc>
          <w:tcPr>
            <w:tcW w:w="2016" w:type="dxa"/>
            <w:shd w:val="clear" w:color="auto" w:fill="EAEAEA"/>
            <w:tcMar>
              <w:top w:w="80" w:type="dxa"/>
              <w:left w:w="85" w:type="dxa"/>
              <w:bottom w:w="80" w:type="dxa"/>
              <w:right w:w="85" w:type="dxa"/>
            </w:tcMar>
            <w:vAlign w:val="center"/>
          </w:tcPr>
          <w:p w14:paraId="03A6FCD6" w14:textId="77777777" w:rsidR="000A5C6C" w:rsidRDefault="00000000">
            <w:pPr>
              <w:keepNext/>
              <w:keepLines/>
              <w:spacing w:after="0" w:line="247" w:lineRule="auto"/>
              <w:jc w:val="left"/>
              <w:rPr>
                <w:rFonts w:hint="eastAsia"/>
              </w:rPr>
            </w:pPr>
            <w:r>
              <w:rPr>
                <w:b/>
                <w:sz w:val="21"/>
              </w:rPr>
              <w:t>Problem</w:t>
            </w:r>
          </w:p>
        </w:tc>
        <w:tc>
          <w:tcPr>
            <w:tcW w:w="1008" w:type="dxa"/>
            <w:shd w:val="clear" w:color="auto" w:fill="EAEAEA"/>
            <w:tcMar>
              <w:top w:w="80" w:type="dxa"/>
              <w:left w:w="85" w:type="dxa"/>
              <w:bottom w:w="80" w:type="dxa"/>
              <w:right w:w="85" w:type="dxa"/>
            </w:tcMar>
            <w:vAlign w:val="center"/>
          </w:tcPr>
          <w:p w14:paraId="383E612E" w14:textId="77777777" w:rsidR="000A5C6C" w:rsidRDefault="00000000">
            <w:pPr>
              <w:keepNext/>
              <w:keepLines/>
              <w:spacing w:after="0" w:line="247" w:lineRule="auto"/>
              <w:jc w:val="left"/>
              <w:rPr>
                <w:rFonts w:hint="eastAsia"/>
              </w:rPr>
            </w:pPr>
            <w:r>
              <w:rPr>
                <w:b/>
                <w:sz w:val="21"/>
              </w:rPr>
              <w:t>Rank ADE A0</w:t>
            </w:r>
          </w:p>
        </w:tc>
        <w:tc>
          <w:tcPr>
            <w:tcW w:w="1008" w:type="dxa"/>
            <w:shd w:val="clear" w:color="auto" w:fill="EAEAEA"/>
            <w:tcMar>
              <w:top w:w="80" w:type="dxa"/>
              <w:left w:w="85" w:type="dxa"/>
              <w:bottom w:w="80" w:type="dxa"/>
              <w:right w:w="85" w:type="dxa"/>
            </w:tcMar>
            <w:vAlign w:val="center"/>
          </w:tcPr>
          <w:p w14:paraId="4C22FE76" w14:textId="77777777" w:rsidR="000A5C6C" w:rsidRDefault="00000000">
            <w:pPr>
              <w:keepNext/>
              <w:keepLines/>
              <w:spacing w:after="0" w:line="247" w:lineRule="auto"/>
              <w:jc w:val="left"/>
              <w:rPr>
                <w:rFonts w:hint="eastAsia"/>
              </w:rPr>
            </w:pPr>
            <w:r>
              <w:rPr>
                <w:b/>
                <w:sz w:val="21"/>
              </w:rPr>
              <w:t>Niche ADE A1</w:t>
            </w:r>
          </w:p>
        </w:tc>
        <w:tc>
          <w:tcPr>
            <w:tcW w:w="1008" w:type="dxa"/>
            <w:shd w:val="clear" w:color="auto" w:fill="EAEAEA"/>
            <w:tcMar>
              <w:top w:w="80" w:type="dxa"/>
              <w:left w:w="85" w:type="dxa"/>
              <w:bottom w:w="80" w:type="dxa"/>
              <w:right w:w="85" w:type="dxa"/>
            </w:tcMar>
            <w:vAlign w:val="center"/>
          </w:tcPr>
          <w:p w14:paraId="7588E0D6" w14:textId="77777777" w:rsidR="000A5C6C" w:rsidRDefault="00000000">
            <w:pPr>
              <w:keepNext/>
              <w:keepLines/>
              <w:spacing w:after="0" w:line="247" w:lineRule="auto"/>
              <w:jc w:val="left"/>
              <w:rPr>
                <w:rFonts w:hint="eastAsia"/>
              </w:rPr>
            </w:pPr>
            <w:r>
              <w:rPr>
                <w:b/>
                <w:sz w:val="21"/>
              </w:rPr>
              <w:t>Full ADE A4</w:t>
            </w:r>
          </w:p>
        </w:tc>
        <w:tc>
          <w:tcPr>
            <w:tcW w:w="1440" w:type="dxa"/>
            <w:shd w:val="clear" w:color="auto" w:fill="EAEAEA"/>
            <w:tcMar>
              <w:top w:w="80" w:type="dxa"/>
              <w:left w:w="85" w:type="dxa"/>
              <w:bottom w:w="80" w:type="dxa"/>
              <w:right w:w="85" w:type="dxa"/>
            </w:tcMar>
            <w:vAlign w:val="center"/>
          </w:tcPr>
          <w:p w14:paraId="1F266822" w14:textId="77777777" w:rsidR="000A5C6C" w:rsidRDefault="00000000">
            <w:pPr>
              <w:keepNext/>
              <w:keepLines/>
              <w:spacing w:after="0" w:line="247" w:lineRule="auto"/>
              <w:jc w:val="left"/>
              <w:rPr>
                <w:rFonts w:hint="eastAsia"/>
              </w:rPr>
            </w:pPr>
            <w:r>
              <w:rPr>
                <w:b/>
                <w:sz w:val="21"/>
              </w:rPr>
              <w:t>Best listed ADE</w:t>
            </w:r>
          </w:p>
        </w:tc>
        <w:tc>
          <w:tcPr>
            <w:tcW w:w="3456" w:type="dxa"/>
            <w:shd w:val="clear" w:color="auto" w:fill="EAEAEA"/>
            <w:tcMar>
              <w:top w:w="80" w:type="dxa"/>
              <w:left w:w="85" w:type="dxa"/>
              <w:bottom w:w="80" w:type="dxa"/>
              <w:right w:w="85" w:type="dxa"/>
            </w:tcMar>
            <w:vAlign w:val="center"/>
          </w:tcPr>
          <w:p w14:paraId="1F759388" w14:textId="77777777" w:rsidR="000A5C6C" w:rsidRDefault="00000000">
            <w:pPr>
              <w:keepNext/>
              <w:keepLines/>
              <w:spacing w:after="0" w:line="247" w:lineRule="auto"/>
              <w:jc w:val="left"/>
              <w:rPr>
                <w:rFonts w:hint="eastAsia"/>
              </w:rPr>
            </w:pPr>
            <w:r>
              <w:rPr>
                <w:b/>
                <w:sz w:val="21"/>
              </w:rPr>
              <w:t>Best listed standard configuration</w:t>
            </w:r>
          </w:p>
        </w:tc>
      </w:tr>
      <w:tr w:rsidR="000A5C6C" w14:paraId="63640835" w14:textId="77777777">
        <w:trPr>
          <w:cantSplit/>
          <w:jc w:val="center"/>
        </w:trPr>
        <w:tc>
          <w:tcPr>
            <w:tcW w:w="2016" w:type="dxa"/>
            <w:shd w:val="clear" w:color="auto" w:fill="FFFFFF"/>
            <w:tcMar>
              <w:top w:w="80" w:type="dxa"/>
              <w:left w:w="85" w:type="dxa"/>
              <w:bottom w:w="80" w:type="dxa"/>
              <w:right w:w="85" w:type="dxa"/>
            </w:tcMar>
            <w:vAlign w:val="center"/>
          </w:tcPr>
          <w:p w14:paraId="0D5B7AC5" w14:textId="77777777" w:rsidR="000A5C6C" w:rsidRDefault="00000000">
            <w:pPr>
              <w:keepNext/>
              <w:keepLines/>
              <w:spacing w:after="0" w:line="247" w:lineRule="auto"/>
              <w:jc w:val="left"/>
              <w:rPr>
                <w:rFonts w:hint="eastAsia"/>
              </w:rPr>
            </w:pPr>
            <w:r>
              <w:rPr>
                <w:sz w:val="21"/>
              </w:rPr>
              <w:t>ZDT1</w:t>
            </w:r>
          </w:p>
        </w:tc>
        <w:tc>
          <w:tcPr>
            <w:tcW w:w="1008" w:type="dxa"/>
            <w:shd w:val="clear" w:color="auto" w:fill="FFFFFF"/>
            <w:tcMar>
              <w:top w:w="80" w:type="dxa"/>
              <w:left w:w="85" w:type="dxa"/>
              <w:bottom w:w="80" w:type="dxa"/>
              <w:right w:w="85" w:type="dxa"/>
            </w:tcMar>
            <w:vAlign w:val="center"/>
          </w:tcPr>
          <w:p w14:paraId="09817E02" w14:textId="77777777" w:rsidR="000A5C6C" w:rsidRDefault="00000000">
            <w:pPr>
              <w:keepNext/>
              <w:keepLines/>
              <w:spacing w:after="0" w:line="247" w:lineRule="auto"/>
              <w:jc w:val="left"/>
              <w:rPr>
                <w:rFonts w:hint="eastAsia"/>
              </w:rPr>
            </w:pPr>
            <w:r>
              <w:rPr>
                <w:sz w:val="21"/>
              </w:rPr>
              <w:t>0.177</w:t>
            </w:r>
          </w:p>
        </w:tc>
        <w:tc>
          <w:tcPr>
            <w:tcW w:w="1008" w:type="dxa"/>
            <w:shd w:val="clear" w:color="auto" w:fill="FFFFFF"/>
            <w:tcMar>
              <w:top w:w="80" w:type="dxa"/>
              <w:left w:w="85" w:type="dxa"/>
              <w:bottom w:w="80" w:type="dxa"/>
              <w:right w:w="85" w:type="dxa"/>
            </w:tcMar>
            <w:vAlign w:val="center"/>
          </w:tcPr>
          <w:p w14:paraId="47CBCD2C" w14:textId="77777777" w:rsidR="000A5C6C" w:rsidRDefault="00000000">
            <w:pPr>
              <w:keepNext/>
              <w:keepLines/>
              <w:spacing w:after="0" w:line="247" w:lineRule="auto"/>
              <w:jc w:val="left"/>
              <w:rPr>
                <w:rFonts w:hint="eastAsia"/>
              </w:rPr>
            </w:pPr>
            <w:r>
              <w:rPr>
                <w:sz w:val="21"/>
              </w:rPr>
              <w:t>0.106</w:t>
            </w:r>
          </w:p>
        </w:tc>
        <w:tc>
          <w:tcPr>
            <w:tcW w:w="1008" w:type="dxa"/>
            <w:shd w:val="clear" w:color="auto" w:fill="FFFFFF"/>
            <w:tcMar>
              <w:top w:w="80" w:type="dxa"/>
              <w:left w:w="85" w:type="dxa"/>
              <w:bottom w:w="80" w:type="dxa"/>
              <w:right w:w="85" w:type="dxa"/>
            </w:tcMar>
            <w:vAlign w:val="center"/>
          </w:tcPr>
          <w:p w14:paraId="708ADE88" w14:textId="77777777" w:rsidR="000A5C6C" w:rsidRDefault="00000000">
            <w:pPr>
              <w:keepNext/>
              <w:keepLines/>
              <w:spacing w:after="0" w:line="247" w:lineRule="auto"/>
              <w:jc w:val="left"/>
              <w:rPr>
                <w:rFonts w:hint="eastAsia"/>
              </w:rPr>
            </w:pPr>
            <w:r>
              <w:rPr>
                <w:sz w:val="21"/>
              </w:rPr>
              <w:t>0.047</w:t>
            </w:r>
          </w:p>
        </w:tc>
        <w:tc>
          <w:tcPr>
            <w:tcW w:w="1440" w:type="dxa"/>
            <w:shd w:val="clear" w:color="auto" w:fill="FFFFFF"/>
            <w:tcMar>
              <w:top w:w="80" w:type="dxa"/>
              <w:left w:w="85" w:type="dxa"/>
              <w:bottom w:w="80" w:type="dxa"/>
              <w:right w:w="85" w:type="dxa"/>
            </w:tcMar>
            <w:vAlign w:val="center"/>
          </w:tcPr>
          <w:p w14:paraId="1A880789" w14:textId="77777777" w:rsidR="000A5C6C" w:rsidRDefault="00000000">
            <w:pPr>
              <w:keepNext/>
              <w:keepLines/>
              <w:spacing w:after="0" w:line="247" w:lineRule="auto"/>
              <w:jc w:val="left"/>
              <w:rPr>
                <w:rFonts w:hint="eastAsia"/>
              </w:rPr>
            </w:pPr>
            <w:r>
              <w:rPr>
                <w:sz w:val="21"/>
              </w:rPr>
              <w:t>0.047 A4</w:t>
            </w:r>
          </w:p>
        </w:tc>
        <w:tc>
          <w:tcPr>
            <w:tcW w:w="3456" w:type="dxa"/>
            <w:shd w:val="clear" w:color="auto" w:fill="FFFFFF"/>
            <w:tcMar>
              <w:top w:w="80" w:type="dxa"/>
              <w:left w:w="85" w:type="dxa"/>
              <w:bottom w:w="80" w:type="dxa"/>
              <w:right w:w="85" w:type="dxa"/>
            </w:tcMar>
            <w:vAlign w:val="center"/>
          </w:tcPr>
          <w:p w14:paraId="6F95DD9F" w14:textId="77777777" w:rsidR="000A5C6C" w:rsidRDefault="00000000">
            <w:pPr>
              <w:keepNext/>
              <w:keepLines/>
              <w:spacing w:after="0" w:line="247" w:lineRule="auto"/>
              <w:jc w:val="left"/>
              <w:rPr>
                <w:rFonts w:hint="eastAsia"/>
              </w:rPr>
            </w:pPr>
            <w:r>
              <w:rPr>
                <w:sz w:val="21"/>
              </w:rPr>
              <w:t>0.018 NSGA-II small</w:t>
            </w:r>
          </w:p>
        </w:tc>
      </w:tr>
      <w:tr w:rsidR="000A5C6C" w14:paraId="2ECA2B47" w14:textId="77777777">
        <w:trPr>
          <w:cantSplit/>
          <w:jc w:val="center"/>
        </w:trPr>
        <w:tc>
          <w:tcPr>
            <w:tcW w:w="2016" w:type="dxa"/>
            <w:shd w:val="clear" w:color="auto" w:fill="FFFFFF"/>
            <w:tcMar>
              <w:top w:w="80" w:type="dxa"/>
              <w:left w:w="85" w:type="dxa"/>
              <w:bottom w:w="80" w:type="dxa"/>
              <w:right w:w="85" w:type="dxa"/>
            </w:tcMar>
            <w:vAlign w:val="center"/>
          </w:tcPr>
          <w:p w14:paraId="0F9BC561" w14:textId="77777777" w:rsidR="000A5C6C" w:rsidRDefault="00000000">
            <w:pPr>
              <w:keepNext/>
              <w:keepLines/>
              <w:spacing w:after="0" w:line="247" w:lineRule="auto"/>
              <w:jc w:val="left"/>
              <w:rPr>
                <w:rFonts w:hint="eastAsia"/>
              </w:rPr>
            </w:pPr>
            <w:r>
              <w:rPr>
                <w:sz w:val="21"/>
              </w:rPr>
              <w:t>ZDT2</w:t>
            </w:r>
          </w:p>
        </w:tc>
        <w:tc>
          <w:tcPr>
            <w:tcW w:w="1008" w:type="dxa"/>
            <w:shd w:val="clear" w:color="auto" w:fill="FFFFFF"/>
            <w:tcMar>
              <w:top w:w="80" w:type="dxa"/>
              <w:left w:w="85" w:type="dxa"/>
              <w:bottom w:w="80" w:type="dxa"/>
              <w:right w:w="85" w:type="dxa"/>
            </w:tcMar>
            <w:vAlign w:val="center"/>
          </w:tcPr>
          <w:p w14:paraId="65EFD1D5" w14:textId="77777777" w:rsidR="000A5C6C" w:rsidRDefault="00000000">
            <w:pPr>
              <w:keepNext/>
              <w:keepLines/>
              <w:spacing w:after="0" w:line="247" w:lineRule="auto"/>
              <w:jc w:val="left"/>
              <w:rPr>
                <w:rFonts w:hint="eastAsia"/>
              </w:rPr>
            </w:pPr>
            <w:r>
              <w:rPr>
                <w:sz w:val="21"/>
              </w:rPr>
              <w:t>0.317</w:t>
            </w:r>
          </w:p>
        </w:tc>
        <w:tc>
          <w:tcPr>
            <w:tcW w:w="1008" w:type="dxa"/>
            <w:shd w:val="clear" w:color="auto" w:fill="FFFFFF"/>
            <w:tcMar>
              <w:top w:w="80" w:type="dxa"/>
              <w:left w:w="85" w:type="dxa"/>
              <w:bottom w:w="80" w:type="dxa"/>
              <w:right w:w="85" w:type="dxa"/>
            </w:tcMar>
            <w:vAlign w:val="center"/>
          </w:tcPr>
          <w:p w14:paraId="3C51D00A" w14:textId="77777777" w:rsidR="000A5C6C" w:rsidRDefault="00000000">
            <w:pPr>
              <w:keepNext/>
              <w:keepLines/>
              <w:spacing w:after="0" w:line="247" w:lineRule="auto"/>
              <w:jc w:val="left"/>
              <w:rPr>
                <w:rFonts w:hint="eastAsia"/>
              </w:rPr>
            </w:pPr>
            <w:r>
              <w:rPr>
                <w:sz w:val="21"/>
              </w:rPr>
              <w:t>0.341</w:t>
            </w:r>
          </w:p>
        </w:tc>
        <w:tc>
          <w:tcPr>
            <w:tcW w:w="1008" w:type="dxa"/>
            <w:shd w:val="clear" w:color="auto" w:fill="FFFFFF"/>
            <w:tcMar>
              <w:top w:w="80" w:type="dxa"/>
              <w:left w:w="85" w:type="dxa"/>
              <w:bottom w:w="80" w:type="dxa"/>
              <w:right w:w="85" w:type="dxa"/>
            </w:tcMar>
            <w:vAlign w:val="center"/>
          </w:tcPr>
          <w:p w14:paraId="29A6EC8C" w14:textId="77777777" w:rsidR="000A5C6C" w:rsidRDefault="00000000">
            <w:pPr>
              <w:keepNext/>
              <w:keepLines/>
              <w:spacing w:after="0" w:line="247" w:lineRule="auto"/>
              <w:jc w:val="left"/>
              <w:rPr>
                <w:rFonts w:hint="eastAsia"/>
              </w:rPr>
            </w:pPr>
            <w:r>
              <w:rPr>
                <w:sz w:val="21"/>
              </w:rPr>
              <w:t>0.193</w:t>
            </w:r>
          </w:p>
        </w:tc>
        <w:tc>
          <w:tcPr>
            <w:tcW w:w="1440" w:type="dxa"/>
            <w:shd w:val="clear" w:color="auto" w:fill="FFFFFF"/>
            <w:tcMar>
              <w:top w:w="80" w:type="dxa"/>
              <w:left w:w="85" w:type="dxa"/>
              <w:bottom w:w="80" w:type="dxa"/>
              <w:right w:w="85" w:type="dxa"/>
            </w:tcMar>
            <w:vAlign w:val="center"/>
          </w:tcPr>
          <w:p w14:paraId="03CD7355" w14:textId="77777777" w:rsidR="000A5C6C" w:rsidRDefault="00000000">
            <w:pPr>
              <w:keepNext/>
              <w:keepLines/>
              <w:spacing w:after="0" w:line="247" w:lineRule="auto"/>
              <w:jc w:val="left"/>
              <w:rPr>
                <w:rFonts w:hint="eastAsia"/>
              </w:rPr>
            </w:pPr>
            <w:r>
              <w:rPr>
                <w:sz w:val="21"/>
              </w:rPr>
              <w:t>0.172 B4</w:t>
            </w:r>
          </w:p>
        </w:tc>
        <w:tc>
          <w:tcPr>
            <w:tcW w:w="3456" w:type="dxa"/>
            <w:shd w:val="clear" w:color="auto" w:fill="FFFFFF"/>
            <w:tcMar>
              <w:top w:w="80" w:type="dxa"/>
              <w:left w:w="85" w:type="dxa"/>
              <w:bottom w:w="80" w:type="dxa"/>
              <w:right w:w="85" w:type="dxa"/>
            </w:tcMar>
            <w:vAlign w:val="center"/>
          </w:tcPr>
          <w:p w14:paraId="7BCE2764" w14:textId="77777777" w:rsidR="000A5C6C" w:rsidRDefault="00000000">
            <w:pPr>
              <w:keepNext/>
              <w:keepLines/>
              <w:spacing w:after="0" w:line="247" w:lineRule="auto"/>
              <w:jc w:val="left"/>
              <w:rPr>
                <w:rFonts w:hint="eastAsia"/>
              </w:rPr>
            </w:pPr>
            <w:r>
              <w:rPr>
                <w:sz w:val="21"/>
              </w:rPr>
              <w:t>0.021 NSGA-II small</w:t>
            </w:r>
          </w:p>
        </w:tc>
      </w:tr>
      <w:tr w:rsidR="000A5C6C" w14:paraId="014DE64F" w14:textId="77777777">
        <w:trPr>
          <w:cantSplit/>
          <w:jc w:val="center"/>
        </w:trPr>
        <w:tc>
          <w:tcPr>
            <w:tcW w:w="2016" w:type="dxa"/>
            <w:shd w:val="clear" w:color="auto" w:fill="FFFFFF"/>
            <w:tcMar>
              <w:top w:w="80" w:type="dxa"/>
              <w:left w:w="85" w:type="dxa"/>
              <w:bottom w:w="80" w:type="dxa"/>
              <w:right w:w="85" w:type="dxa"/>
            </w:tcMar>
            <w:vAlign w:val="center"/>
          </w:tcPr>
          <w:p w14:paraId="1CEB17B0" w14:textId="77777777" w:rsidR="000A5C6C" w:rsidRDefault="00000000">
            <w:pPr>
              <w:keepNext/>
              <w:keepLines/>
              <w:spacing w:after="0" w:line="247" w:lineRule="auto"/>
              <w:jc w:val="left"/>
              <w:rPr>
                <w:rFonts w:hint="eastAsia"/>
              </w:rPr>
            </w:pPr>
            <w:r>
              <w:rPr>
                <w:sz w:val="21"/>
              </w:rPr>
              <w:t>DTLZ2 with 3 objectives</w:t>
            </w:r>
          </w:p>
        </w:tc>
        <w:tc>
          <w:tcPr>
            <w:tcW w:w="1008" w:type="dxa"/>
            <w:shd w:val="clear" w:color="auto" w:fill="FFFFFF"/>
            <w:tcMar>
              <w:top w:w="80" w:type="dxa"/>
              <w:left w:w="85" w:type="dxa"/>
              <w:bottom w:w="80" w:type="dxa"/>
              <w:right w:w="85" w:type="dxa"/>
            </w:tcMar>
            <w:vAlign w:val="center"/>
          </w:tcPr>
          <w:p w14:paraId="01F88D10" w14:textId="77777777" w:rsidR="000A5C6C" w:rsidRDefault="00000000">
            <w:pPr>
              <w:keepNext/>
              <w:keepLines/>
              <w:spacing w:after="0" w:line="247" w:lineRule="auto"/>
              <w:jc w:val="left"/>
              <w:rPr>
                <w:rFonts w:hint="eastAsia"/>
              </w:rPr>
            </w:pPr>
            <w:r>
              <w:rPr>
                <w:sz w:val="21"/>
              </w:rPr>
              <w:t>0.236</w:t>
            </w:r>
          </w:p>
        </w:tc>
        <w:tc>
          <w:tcPr>
            <w:tcW w:w="1008" w:type="dxa"/>
            <w:shd w:val="clear" w:color="auto" w:fill="FFFFFF"/>
            <w:tcMar>
              <w:top w:w="80" w:type="dxa"/>
              <w:left w:w="85" w:type="dxa"/>
              <w:bottom w:w="80" w:type="dxa"/>
              <w:right w:w="85" w:type="dxa"/>
            </w:tcMar>
            <w:vAlign w:val="center"/>
          </w:tcPr>
          <w:p w14:paraId="37485549" w14:textId="77777777" w:rsidR="000A5C6C" w:rsidRDefault="00000000">
            <w:pPr>
              <w:keepNext/>
              <w:keepLines/>
              <w:spacing w:after="0" w:line="247" w:lineRule="auto"/>
              <w:jc w:val="left"/>
              <w:rPr>
                <w:rFonts w:hint="eastAsia"/>
              </w:rPr>
            </w:pPr>
            <w:r>
              <w:rPr>
                <w:sz w:val="21"/>
              </w:rPr>
              <w:t>0.208</w:t>
            </w:r>
          </w:p>
        </w:tc>
        <w:tc>
          <w:tcPr>
            <w:tcW w:w="1008" w:type="dxa"/>
            <w:shd w:val="clear" w:color="auto" w:fill="FFFFFF"/>
            <w:tcMar>
              <w:top w:w="80" w:type="dxa"/>
              <w:left w:w="85" w:type="dxa"/>
              <w:bottom w:w="80" w:type="dxa"/>
              <w:right w:w="85" w:type="dxa"/>
            </w:tcMar>
            <w:vAlign w:val="center"/>
          </w:tcPr>
          <w:p w14:paraId="6CFCAD62" w14:textId="77777777" w:rsidR="000A5C6C" w:rsidRDefault="00000000">
            <w:pPr>
              <w:keepNext/>
              <w:keepLines/>
              <w:spacing w:after="0" w:line="247" w:lineRule="auto"/>
              <w:jc w:val="left"/>
              <w:rPr>
                <w:rFonts w:hint="eastAsia"/>
              </w:rPr>
            </w:pPr>
            <w:r>
              <w:rPr>
                <w:sz w:val="21"/>
              </w:rPr>
              <w:t>0.182</w:t>
            </w:r>
          </w:p>
        </w:tc>
        <w:tc>
          <w:tcPr>
            <w:tcW w:w="1440" w:type="dxa"/>
            <w:shd w:val="clear" w:color="auto" w:fill="FFFFFF"/>
            <w:tcMar>
              <w:top w:w="80" w:type="dxa"/>
              <w:left w:w="85" w:type="dxa"/>
              <w:bottom w:w="80" w:type="dxa"/>
              <w:right w:w="85" w:type="dxa"/>
            </w:tcMar>
            <w:vAlign w:val="center"/>
          </w:tcPr>
          <w:p w14:paraId="34946D9B" w14:textId="77777777" w:rsidR="000A5C6C" w:rsidRDefault="00000000">
            <w:pPr>
              <w:keepNext/>
              <w:keepLines/>
              <w:spacing w:after="0" w:line="247" w:lineRule="auto"/>
              <w:jc w:val="left"/>
              <w:rPr>
                <w:rFonts w:hint="eastAsia"/>
              </w:rPr>
            </w:pPr>
            <w:r>
              <w:rPr>
                <w:sz w:val="21"/>
              </w:rPr>
              <w:t>0.182 A4</w:t>
            </w:r>
          </w:p>
        </w:tc>
        <w:tc>
          <w:tcPr>
            <w:tcW w:w="3456" w:type="dxa"/>
            <w:shd w:val="clear" w:color="auto" w:fill="FFFFFF"/>
            <w:tcMar>
              <w:top w:w="80" w:type="dxa"/>
              <w:left w:w="85" w:type="dxa"/>
              <w:bottom w:w="80" w:type="dxa"/>
              <w:right w:w="85" w:type="dxa"/>
            </w:tcMar>
            <w:vAlign w:val="center"/>
          </w:tcPr>
          <w:p w14:paraId="3D3DA774" w14:textId="77777777" w:rsidR="000A5C6C" w:rsidRDefault="00000000">
            <w:pPr>
              <w:keepNext/>
              <w:keepLines/>
              <w:spacing w:after="0" w:line="247" w:lineRule="auto"/>
              <w:jc w:val="left"/>
              <w:rPr>
                <w:rFonts w:hint="eastAsia"/>
              </w:rPr>
            </w:pPr>
            <w:r>
              <w:rPr>
                <w:sz w:val="21"/>
              </w:rPr>
              <w:t>0.033 NSGA-III small</w:t>
            </w:r>
          </w:p>
        </w:tc>
      </w:tr>
      <w:tr w:rsidR="000A5C6C" w14:paraId="47A5CBEE" w14:textId="77777777">
        <w:trPr>
          <w:cantSplit/>
          <w:jc w:val="center"/>
        </w:trPr>
        <w:tc>
          <w:tcPr>
            <w:tcW w:w="2016" w:type="dxa"/>
            <w:shd w:val="clear" w:color="auto" w:fill="FFFFFF"/>
            <w:tcMar>
              <w:top w:w="80" w:type="dxa"/>
              <w:left w:w="85" w:type="dxa"/>
              <w:bottom w:w="80" w:type="dxa"/>
              <w:right w:w="85" w:type="dxa"/>
            </w:tcMar>
            <w:vAlign w:val="center"/>
          </w:tcPr>
          <w:p w14:paraId="24891E05" w14:textId="77777777" w:rsidR="000A5C6C" w:rsidRDefault="00000000">
            <w:pPr>
              <w:keepNext/>
              <w:keepLines/>
              <w:spacing w:after="0" w:line="247" w:lineRule="auto"/>
              <w:jc w:val="left"/>
              <w:rPr>
                <w:rFonts w:hint="eastAsia"/>
              </w:rPr>
            </w:pPr>
            <w:r>
              <w:rPr>
                <w:sz w:val="21"/>
              </w:rPr>
              <w:t>Shifted DTLZ2 with 3 objectives</w:t>
            </w:r>
          </w:p>
        </w:tc>
        <w:tc>
          <w:tcPr>
            <w:tcW w:w="1008" w:type="dxa"/>
            <w:shd w:val="clear" w:color="auto" w:fill="FFFFFF"/>
            <w:tcMar>
              <w:top w:w="80" w:type="dxa"/>
              <w:left w:w="85" w:type="dxa"/>
              <w:bottom w:w="80" w:type="dxa"/>
              <w:right w:w="85" w:type="dxa"/>
            </w:tcMar>
            <w:vAlign w:val="center"/>
          </w:tcPr>
          <w:p w14:paraId="3B517DEF" w14:textId="77777777" w:rsidR="000A5C6C" w:rsidRDefault="00000000">
            <w:pPr>
              <w:keepNext/>
              <w:keepLines/>
              <w:spacing w:after="0" w:line="247" w:lineRule="auto"/>
              <w:jc w:val="left"/>
              <w:rPr>
                <w:rFonts w:hint="eastAsia"/>
              </w:rPr>
            </w:pPr>
            <w:r>
              <w:rPr>
                <w:sz w:val="21"/>
              </w:rPr>
              <w:t>0.231</w:t>
            </w:r>
          </w:p>
        </w:tc>
        <w:tc>
          <w:tcPr>
            <w:tcW w:w="1008" w:type="dxa"/>
            <w:shd w:val="clear" w:color="auto" w:fill="FFFFFF"/>
            <w:tcMar>
              <w:top w:w="80" w:type="dxa"/>
              <w:left w:w="85" w:type="dxa"/>
              <w:bottom w:w="80" w:type="dxa"/>
              <w:right w:w="85" w:type="dxa"/>
            </w:tcMar>
            <w:vAlign w:val="center"/>
          </w:tcPr>
          <w:p w14:paraId="4059102E" w14:textId="77777777" w:rsidR="000A5C6C" w:rsidRDefault="00000000">
            <w:pPr>
              <w:keepNext/>
              <w:keepLines/>
              <w:spacing w:after="0" w:line="247" w:lineRule="auto"/>
              <w:jc w:val="left"/>
              <w:rPr>
                <w:rFonts w:hint="eastAsia"/>
              </w:rPr>
            </w:pPr>
            <w:r>
              <w:rPr>
                <w:sz w:val="21"/>
              </w:rPr>
              <w:t>0.144</w:t>
            </w:r>
          </w:p>
        </w:tc>
        <w:tc>
          <w:tcPr>
            <w:tcW w:w="1008" w:type="dxa"/>
            <w:shd w:val="clear" w:color="auto" w:fill="FFFFFF"/>
            <w:tcMar>
              <w:top w:w="80" w:type="dxa"/>
              <w:left w:w="85" w:type="dxa"/>
              <w:bottom w:w="80" w:type="dxa"/>
              <w:right w:w="85" w:type="dxa"/>
            </w:tcMar>
            <w:vAlign w:val="center"/>
          </w:tcPr>
          <w:p w14:paraId="33CE887B" w14:textId="77777777" w:rsidR="000A5C6C" w:rsidRDefault="00000000">
            <w:pPr>
              <w:keepNext/>
              <w:keepLines/>
              <w:spacing w:after="0" w:line="247" w:lineRule="auto"/>
              <w:jc w:val="left"/>
              <w:rPr>
                <w:rFonts w:hint="eastAsia"/>
              </w:rPr>
            </w:pPr>
            <w:r>
              <w:rPr>
                <w:sz w:val="21"/>
              </w:rPr>
              <w:t>0.154</w:t>
            </w:r>
          </w:p>
        </w:tc>
        <w:tc>
          <w:tcPr>
            <w:tcW w:w="1440" w:type="dxa"/>
            <w:shd w:val="clear" w:color="auto" w:fill="FFFFFF"/>
            <w:tcMar>
              <w:top w:w="80" w:type="dxa"/>
              <w:left w:w="85" w:type="dxa"/>
              <w:bottom w:w="80" w:type="dxa"/>
              <w:right w:w="85" w:type="dxa"/>
            </w:tcMar>
            <w:vAlign w:val="center"/>
          </w:tcPr>
          <w:p w14:paraId="1556B35F" w14:textId="77777777" w:rsidR="000A5C6C" w:rsidRDefault="00000000">
            <w:pPr>
              <w:keepNext/>
              <w:keepLines/>
              <w:spacing w:after="0" w:line="247" w:lineRule="auto"/>
              <w:jc w:val="left"/>
              <w:rPr>
                <w:rFonts w:hint="eastAsia"/>
              </w:rPr>
            </w:pPr>
            <w:r>
              <w:rPr>
                <w:sz w:val="21"/>
              </w:rPr>
              <w:t>0.144 A1</w:t>
            </w:r>
          </w:p>
        </w:tc>
        <w:tc>
          <w:tcPr>
            <w:tcW w:w="3456" w:type="dxa"/>
            <w:shd w:val="clear" w:color="auto" w:fill="FFFFFF"/>
            <w:tcMar>
              <w:top w:w="80" w:type="dxa"/>
              <w:left w:w="85" w:type="dxa"/>
              <w:bottom w:w="80" w:type="dxa"/>
              <w:right w:w="85" w:type="dxa"/>
            </w:tcMar>
            <w:vAlign w:val="center"/>
          </w:tcPr>
          <w:p w14:paraId="3A2C1170" w14:textId="77777777" w:rsidR="000A5C6C" w:rsidRDefault="00000000">
            <w:pPr>
              <w:keepNext/>
              <w:keepLines/>
              <w:spacing w:after="0" w:line="247" w:lineRule="auto"/>
              <w:jc w:val="left"/>
              <w:rPr>
                <w:rFonts w:hint="eastAsia"/>
              </w:rPr>
            </w:pPr>
            <w:r>
              <w:rPr>
                <w:sz w:val="21"/>
              </w:rPr>
              <w:t>0.034 NSGA-III small</w:t>
            </w:r>
          </w:p>
        </w:tc>
      </w:tr>
      <w:tr w:rsidR="000A5C6C" w14:paraId="352A2FEA" w14:textId="77777777">
        <w:trPr>
          <w:cantSplit/>
          <w:jc w:val="center"/>
        </w:trPr>
        <w:tc>
          <w:tcPr>
            <w:tcW w:w="2016" w:type="dxa"/>
            <w:shd w:val="clear" w:color="auto" w:fill="FFFFFF"/>
            <w:tcMar>
              <w:top w:w="80" w:type="dxa"/>
              <w:left w:w="85" w:type="dxa"/>
              <w:bottom w:w="80" w:type="dxa"/>
              <w:right w:w="85" w:type="dxa"/>
            </w:tcMar>
            <w:vAlign w:val="center"/>
          </w:tcPr>
          <w:p w14:paraId="3E8D45EC" w14:textId="77777777" w:rsidR="000A5C6C" w:rsidRDefault="00000000">
            <w:pPr>
              <w:keepLines/>
              <w:spacing w:after="0" w:line="247" w:lineRule="auto"/>
              <w:jc w:val="left"/>
              <w:rPr>
                <w:rFonts w:hint="eastAsia"/>
              </w:rPr>
            </w:pPr>
            <w:r>
              <w:rPr>
                <w:sz w:val="21"/>
              </w:rPr>
              <w:t>DTLZ2 with 5 objectives</w:t>
            </w:r>
          </w:p>
        </w:tc>
        <w:tc>
          <w:tcPr>
            <w:tcW w:w="1008" w:type="dxa"/>
            <w:shd w:val="clear" w:color="auto" w:fill="FFFFFF"/>
            <w:tcMar>
              <w:top w:w="80" w:type="dxa"/>
              <w:left w:w="85" w:type="dxa"/>
              <w:bottom w:w="80" w:type="dxa"/>
              <w:right w:w="85" w:type="dxa"/>
            </w:tcMar>
            <w:vAlign w:val="center"/>
          </w:tcPr>
          <w:p w14:paraId="4CC04E1E" w14:textId="77777777" w:rsidR="000A5C6C" w:rsidRDefault="00000000">
            <w:pPr>
              <w:keepLines/>
              <w:spacing w:after="0" w:line="247" w:lineRule="auto"/>
              <w:jc w:val="left"/>
              <w:rPr>
                <w:rFonts w:hint="eastAsia"/>
              </w:rPr>
            </w:pPr>
            <w:r>
              <w:rPr>
                <w:sz w:val="21"/>
              </w:rPr>
              <w:t>0.436</w:t>
            </w:r>
          </w:p>
        </w:tc>
        <w:tc>
          <w:tcPr>
            <w:tcW w:w="1008" w:type="dxa"/>
            <w:shd w:val="clear" w:color="auto" w:fill="FFFFFF"/>
            <w:tcMar>
              <w:top w:w="80" w:type="dxa"/>
              <w:left w:w="85" w:type="dxa"/>
              <w:bottom w:w="80" w:type="dxa"/>
              <w:right w:w="85" w:type="dxa"/>
            </w:tcMar>
            <w:vAlign w:val="center"/>
          </w:tcPr>
          <w:p w14:paraId="0881B782" w14:textId="77777777" w:rsidR="000A5C6C" w:rsidRDefault="00000000">
            <w:pPr>
              <w:keepLines/>
              <w:spacing w:after="0" w:line="247" w:lineRule="auto"/>
              <w:jc w:val="left"/>
              <w:rPr>
                <w:rFonts w:hint="eastAsia"/>
              </w:rPr>
            </w:pPr>
            <w:r>
              <w:rPr>
                <w:sz w:val="21"/>
              </w:rPr>
              <w:t>0.368</w:t>
            </w:r>
          </w:p>
        </w:tc>
        <w:tc>
          <w:tcPr>
            <w:tcW w:w="1008" w:type="dxa"/>
            <w:shd w:val="clear" w:color="auto" w:fill="FFFFFF"/>
            <w:tcMar>
              <w:top w:w="80" w:type="dxa"/>
              <w:left w:w="85" w:type="dxa"/>
              <w:bottom w:w="80" w:type="dxa"/>
              <w:right w:w="85" w:type="dxa"/>
            </w:tcMar>
            <w:vAlign w:val="center"/>
          </w:tcPr>
          <w:p w14:paraId="7369AB33" w14:textId="77777777" w:rsidR="000A5C6C" w:rsidRDefault="00000000">
            <w:pPr>
              <w:keepLines/>
              <w:spacing w:after="0" w:line="247" w:lineRule="auto"/>
              <w:jc w:val="left"/>
              <w:rPr>
                <w:rFonts w:hint="eastAsia"/>
              </w:rPr>
            </w:pPr>
            <w:r>
              <w:rPr>
                <w:sz w:val="21"/>
              </w:rPr>
              <w:t>0.390</w:t>
            </w:r>
          </w:p>
        </w:tc>
        <w:tc>
          <w:tcPr>
            <w:tcW w:w="1440" w:type="dxa"/>
            <w:shd w:val="clear" w:color="auto" w:fill="FFFFFF"/>
            <w:tcMar>
              <w:top w:w="80" w:type="dxa"/>
              <w:left w:w="85" w:type="dxa"/>
              <w:bottom w:w="80" w:type="dxa"/>
              <w:right w:w="85" w:type="dxa"/>
            </w:tcMar>
            <w:vAlign w:val="center"/>
          </w:tcPr>
          <w:p w14:paraId="37D9AD7A" w14:textId="77777777" w:rsidR="000A5C6C" w:rsidRDefault="00000000">
            <w:pPr>
              <w:keepLines/>
              <w:spacing w:after="0" w:line="247" w:lineRule="auto"/>
              <w:jc w:val="left"/>
              <w:rPr>
                <w:rFonts w:hint="eastAsia"/>
              </w:rPr>
            </w:pPr>
            <w:r>
              <w:rPr>
                <w:sz w:val="21"/>
              </w:rPr>
              <w:t>0.368 A1</w:t>
            </w:r>
          </w:p>
        </w:tc>
        <w:tc>
          <w:tcPr>
            <w:tcW w:w="3456" w:type="dxa"/>
            <w:shd w:val="clear" w:color="auto" w:fill="FFFFFF"/>
            <w:tcMar>
              <w:top w:w="80" w:type="dxa"/>
              <w:left w:w="85" w:type="dxa"/>
              <w:bottom w:w="80" w:type="dxa"/>
              <w:right w:w="85" w:type="dxa"/>
            </w:tcMar>
            <w:vAlign w:val="center"/>
          </w:tcPr>
          <w:p w14:paraId="34E0F52B" w14:textId="77777777" w:rsidR="000A5C6C" w:rsidRDefault="00000000">
            <w:pPr>
              <w:keepLines/>
              <w:spacing w:after="0" w:line="247" w:lineRule="auto"/>
              <w:jc w:val="left"/>
              <w:rPr>
                <w:rFonts w:hint="eastAsia"/>
              </w:rPr>
            </w:pPr>
            <w:r>
              <w:rPr>
                <w:sz w:val="21"/>
              </w:rPr>
              <w:t>0.099 NSGA-III small</w:t>
            </w:r>
          </w:p>
        </w:tc>
      </w:tr>
    </w:tbl>
    <w:p w14:paraId="2E7CEDD0" w14:textId="77777777" w:rsidR="000A5C6C" w:rsidRDefault="00000000">
      <w:pPr>
        <w:pStyle w:val="BodyText"/>
        <w:spacing w:before="140"/>
        <w:rPr>
          <w:rFonts w:hint="eastAsia"/>
        </w:rPr>
      </w:pPr>
      <w:r>
        <w:t>The reported settings used 1,200 evaluations for each ZDT problem, 2,000 for each three-objective DTLZ problem, and 3,000 for the five-objective case. ADE used a Gaussian latent reference followed by a sigmoid transformation, whereas the standard methods searched the box directly. Both the parameterization and its sampling law affect finite-budget performance. A matched-prior comparison and a matched-physical-domain comparison answer different questions and should both be reported.</w:t>
      </w:r>
    </w:p>
    <w:p w14:paraId="09BC1B2F" w14:textId="77777777" w:rsidR="000A5C6C" w:rsidRDefault="00000000">
      <w:pPr>
        <w:pStyle w:val="BodyText"/>
        <w:rPr>
          <w:rFonts w:hint="eastAsia"/>
        </w:rPr>
      </w:pPr>
      <w:r>
        <w:t xml:space="preserve">The supplied study also reports mean absolute errors of </w:t>
      </w:r>
      <m:oMath>
        <m:r>
          <w:rPr>
            <w:rFonts w:ascii="Cambria Math" w:hAnsi="Cambria Math"/>
          </w:rPr>
          <m:t>0.034</m:t>
        </m:r>
      </m:oMath>
      <w:r>
        <w:t xml:space="preserve"> for full-log estimation and </w:t>
      </w:r>
      <m:oMath>
        <m:r>
          <w:rPr>
            <w:rFonts w:ascii="Cambria Math" w:hAnsi="Cambria Math"/>
          </w:rPr>
          <m:t>0.279</m:t>
        </m:r>
      </m:oMath>
      <w:r>
        <w:t xml:space="preserve"> for archive-only estimation of a fixed target mean in one ten-run setting. That observation is consistent with the selection concern in Proposition 3, but does not independently establish that every stored proposal density was correct. Validating the actual generation laws, final-step variance, and intermediate-state accounting is necessary before treating any such experiment as a test of Theorem 2.</w:t>
      </w:r>
    </w:p>
    <w:p w14:paraId="106B8CA7" w14:textId="77777777" w:rsidR="000A5C6C" w:rsidRDefault="00000000">
      <w:pPr>
        <w:pStyle w:val="BodyText"/>
        <w:rPr>
          <w:rFonts w:hint="eastAsia"/>
        </w:rPr>
      </w:pPr>
      <w:r>
        <w:t>No general speedup or superiority follows from these summaries. “Best listed” is a descriptive selection across configurations, not an unbiased estimate of the future performance of a configuration selected in advance. Paired seed-level differences, uncertainty intervals, tuning budgets, solver costs, and actual evaluation counts are needed for inferential comparisons. A threshold of two combined standard errors is not a substitute for a predeclared paired analysis, especially with configuration selection or strongly non-Gaussian outcomes.</w:t>
      </w:r>
    </w:p>
    <w:p w14:paraId="08FFAD73" w14:textId="77777777" w:rsidR="000A5C6C" w:rsidRDefault="00000000">
      <w:pPr>
        <w:pStyle w:val="Heading2"/>
        <w:rPr>
          <w:rFonts w:hint="eastAsia"/>
        </w:rPr>
      </w:pPr>
      <w:bookmarkStart w:id="34" w:name="newly-executed-mathematical-checks"/>
      <w:bookmarkEnd w:id="33"/>
      <w:r>
        <w:t>11.2 Newly executed mathematical checks</w:t>
      </w:r>
    </w:p>
    <w:p w14:paraId="53ADD2E4" w14:textId="77777777" w:rsidR="000A5C6C" w:rsidRDefault="00000000">
      <w:pPr>
        <w:pStyle w:val="FirstParagraph"/>
        <w:rPr>
          <w:rFonts w:hint="eastAsia"/>
        </w:rPr>
      </w:pPr>
      <w:r>
        <w:t>The checks use random seed 20261017, Python 3.12.14, NumPy 2.3.5, and SciPy 1.17.0. They exercise the reference kernels in Appendix A and the driver in Appendix B. No new claim about complete ADE benchmark performance, neural data analysis, or construction deployment is made.</w:t>
      </w:r>
    </w:p>
    <w:p w14:paraId="4E8064EC" w14:textId="77777777" w:rsidR="000A5C6C" w:rsidRDefault="00000000">
      <w:pPr>
        <w:pStyle w:val="Caption"/>
        <w:keepNext/>
        <w:rPr>
          <w:rFonts w:hint="eastAsia"/>
        </w:rPr>
      </w:pPr>
      <w:r>
        <w:lastRenderedPageBreak/>
        <w:t>Table 5. Checks executed for the mathematical claims.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88"/>
        <w:gridCol w:w="3816"/>
        <w:gridCol w:w="4032"/>
      </w:tblGrid>
      <w:tr w:rsidR="000A5C6C" w14:paraId="3A3531E5" w14:textId="77777777">
        <w:trPr>
          <w:cantSplit/>
          <w:tblHeader/>
          <w:jc w:val="center"/>
        </w:trPr>
        <w:tc>
          <w:tcPr>
            <w:tcW w:w="2088" w:type="dxa"/>
            <w:shd w:val="clear" w:color="auto" w:fill="EAEAEA"/>
            <w:tcMar>
              <w:top w:w="80" w:type="dxa"/>
              <w:left w:w="85" w:type="dxa"/>
              <w:bottom w:w="80" w:type="dxa"/>
              <w:right w:w="85" w:type="dxa"/>
            </w:tcMar>
            <w:vAlign w:val="center"/>
          </w:tcPr>
          <w:p w14:paraId="2EAC8162" w14:textId="77777777" w:rsidR="000A5C6C" w:rsidRDefault="00000000">
            <w:pPr>
              <w:keepNext/>
              <w:keepLines/>
              <w:spacing w:after="0" w:line="247" w:lineRule="auto"/>
              <w:jc w:val="left"/>
              <w:rPr>
                <w:rFonts w:hint="eastAsia"/>
              </w:rPr>
            </w:pPr>
            <w:r>
              <w:rPr>
                <w:b/>
                <w:sz w:val="21"/>
              </w:rPr>
              <w:t>Check</w:t>
            </w:r>
          </w:p>
        </w:tc>
        <w:tc>
          <w:tcPr>
            <w:tcW w:w="3816" w:type="dxa"/>
            <w:shd w:val="clear" w:color="auto" w:fill="EAEAEA"/>
            <w:tcMar>
              <w:top w:w="80" w:type="dxa"/>
              <w:left w:w="85" w:type="dxa"/>
              <w:bottom w:w="80" w:type="dxa"/>
              <w:right w:w="85" w:type="dxa"/>
            </w:tcMar>
            <w:vAlign w:val="center"/>
          </w:tcPr>
          <w:p w14:paraId="2AEC69AA" w14:textId="77777777" w:rsidR="000A5C6C" w:rsidRDefault="00000000">
            <w:pPr>
              <w:keepNext/>
              <w:keepLines/>
              <w:spacing w:after="0" w:line="247" w:lineRule="auto"/>
              <w:jc w:val="left"/>
              <w:rPr>
                <w:rFonts w:hint="eastAsia"/>
              </w:rPr>
            </w:pPr>
            <w:r>
              <w:rPr>
                <w:b/>
                <w:sz w:val="21"/>
              </w:rPr>
              <w:t>Construction</w:t>
            </w:r>
          </w:p>
        </w:tc>
        <w:tc>
          <w:tcPr>
            <w:tcW w:w="4032" w:type="dxa"/>
            <w:shd w:val="clear" w:color="auto" w:fill="EAEAEA"/>
            <w:tcMar>
              <w:top w:w="80" w:type="dxa"/>
              <w:left w:w="85" w:type="dxa"/>
              <w:bottom w:w="80" w:type="dxa"/>
              <w:right w:w="85" w:type="dxa"/>
            </w:tcMar>
            <w:vAlign w:val="center"/>
          </w:tcPr>
          <w:p w14:paraId="4A9E6929" w14:textId="77777777" w:rsidR="000A5C6C" w:rsidRDefault="00000000">
            <w:pPr>
              <w:keepNext/>
              <w:keepLines/>
              <w:spacing w:after="0" w:line="247" w:lineRule="auto"/>
              <w:jc w:val="left"/>
              <w:rPr>
                <w:rFonts w:hint="eastAsia"/>
              </w:rPr>
            </w:pPr>
            <w:r>
              <w:rPr>
                <w:b/>
                <w:sz w:val="21"/>
              </w:rPr>
              <w:t>Outcome</w:t>
            </w:r>
          </w:p>
        </w:tc>
      </w:tr>
      <w:tr w:rsidR="000A5C6C" w14:paraId="61561FEC" w14:textId="77777777">
        <w:trPr>
          <w:cantSplit/>
          <w:jc w:val="center"/>
        </w:trPr>
        <w:tc>
          <w:tcPr>
            <w:tcW w:w="2088" w:type="dxa"/>
            <w:shd w:val="clear" w:color="auto" w:fill="FFFFFF"/>
            <w:tcMar>
              <w:top w:w="80" w:type="dxa"/>
              <w:left w:w="85" w:type="dxa"/>
              <w:bottom w:w="80" w:type="dxa"/>
              <w:right w:w="85" w:type="dxa"/>
            </w:tcMar>
            <w:vAlign w:val="center"/>
          </w:tcPr>
          <w:p w14:paraId="25C7FC87" w14:textId="77777777" w:rsidR="000A5C6C" w:rsidRDefault="00000000">
            <w:pPr>
              <w:keepLines/>
              <w:spacing w:after="0" w:line="247" w:lineRule="auto"/>
              <w:jc w:val="left"/>
              <w:rPr>
                <w:rFonts w:hint="eastAsia"/>
              </w:rPr>
            </w:pPr>
            <w:r>
              <w:rPr>
                <w:sz w:val="21"/>
              </w:rPr>
              <w:t>Direction counts</w:t>
            </w:r>
          </w:p>
        </w:tc>
        <w:tc>
          <w:tcPr>
            <w:tcW w:w="3816" w:type="dxa"/>
            <w:shd w:val="clear" w:color="auto" w:fill="FFFFFF"/>
            <w:tcMar>
              <w:top w:w="80" w:type="dxa"/>
              <w:left w:w="85" w:type="dxa"/>
              <w:bottom w:w="80" w:type="dxa"/>
              <w:right w:w="85" w:type="dxa"/>
            </w:tcMar>
            <w:vAlign w:val="center"/>
          </w:tcPr>
          <w:p w14:paraId="042F94D3" w14:textId="77777777" w:rsidR="000A5C6C" w:rsidRDefault="00000000">
            <w:pPr>
              <w:keepLines/>
              <w:spacing w:after="0" w:line="247" w:lineRule="auto"/>
              <w:jc w:val="left"/>
              <w:rPr>
                <w:rFonts w:hint="eastAsia"/>
              </w:rPr>
            </w:pPr>
            <w:r>
              <w:rPr>
                <w:sz w:val="21"/>
              </w:rPr>
              <w:t>Integer simplex compositions</w:t>
            </w:r>
          </w:p>
        </w:tc>
        <w:tc>
          <w:tcPr>
            <w:tcW w:w="4032" w:type="dxa"/>
            <w:shd w:val="clear" w:color="auto" w:fill="FFFFFF"/>
            <w:tcMar>
              <w:top w:w="80" w:type="dxa"/>
              <w:left w:w="85" w:type="dxa"/>
              <w:bottom w:w="80" w:type="dxa"/>
              <w:right w:w="85" w:type="dxa"/>
            </w:tcMar>
            <w:vAlign w:val="center"/>
          </w:tcPr>
          <w:p w14:paraId="306D0499" w14:textId="77777777" w:rsidR="000A5C6C" w:rsidRDefault="00000000">
            <w:pPr>
              <w:keepLines/>
              <w:spacing w:after="0" w:line="247" w:lineRule="auto"/>
              <w:jc w:val="left"/>
              <w:rPr>
                <w:rFonts w:hint="eastAsia"/>
              </w:rPr>
            </w:pPr>
            <w:r>
              <w:rPr>
                <w:sz w:val="21"/>
              </w:rPr>
              <w:t>100 91 and 126 as in (2)</w:t>
            </w:r>
          </w:p>
        </w:tc>
      </w:tr>
      <w:tr w:rsidR="000A5C6C" w14:paraId="0C8E8574" w14:textId="77777777">
        <w:trPr>
          <w:cantSplit/>
          <w:jc w:val="center"/>
        </w:trPr>
        <w:tc>
          <w:tcPr>
            <w:tcW w:w="2088" w:type="dxa"/>
            <w:shd w:val="clear" w:color="auto" w:fill="FFFFFF"/>
            <w:tcMar>
              <w:top w:w="80" w:type="dxa"/>
              <w:left w:w="85" w:type="dxa"/>
              <w:bottom w:w="80" w:type="dxa"/>
              <w:right w:w="85" w:type="dxa"/>
            </w:tcMar>
            <w:vAlign w:val="center"/>
          </w:tcPr>
          <w:p w14:paraId="40137F5E" w14:textId="77777777" w:rsidR="000A5C6C" w:rsidRDefault="00000000">
            <w:pPr>
              <w:keepLines/>
              <w:spacing w:after="0" w:line="247" w:lineRule="auto"/>
              <w:jc w:val="left"/>
              <w:rPr>
                <w:rFonts w:hint="eastAsia"/>
              </w:rPr>
            </w:pPr>
            <w:r>
              <w:rPr>
                <w:sz w:val="21"/>
              </w:rPr>
              <w:t>Strength and fitness</w:t>
            </w:r>
          </w:p>
        </w:tc>
        <w:tc>
          <w:tcPr>
            <w:tcW w:w="3816" w:type="dxa"/>
            <w:shd w:val="clear" w:color="auto" w:fill="FFFFFF"/>
            <w:tcMar>
              <w:top w:w="80" w:type="dxa"/>
              <w:left w:w="85" w:type="dxa"/>
              <w:bottom w:w="80" w:type="dxa"/>
              <w:right w:w="85" w:type="dxa"/>
            </w:tcMar>
            <w:vAlign w:val="center"/>
          </w:tcPr>
          <w:p w14:paraId="470A22CC" w14:textId="77777777" w:rsidR="000A5C6C" w:rsidRDefault="00000000">
            <w:pPr>
              <w:keepLines/>
              <w:spacing w:after="0" w:line="247" w:lineRule="auto"/>
              <w:jc w:val="left"/>
              <w:rPr>
                <w:rFonts w:hint="eastAsia"/>
              </w:rPr>
            </w:pPr>
            <w:r>
              <w:rPr>
                <w:sz w:val="21"/>
              </w:rPr>
              <w:t>80 tied integer-coordinate archives with sizes 2 through 81</w:t>
            </w:r>
          </w:p>
        </w:tc>
        <w:tc>
          <w:tcPr>
            <w:tcW w:w="4032" w:type="dxa"/>
            <w:shd w:val="clear" w:color="auto" w:fill="FFFFFF"/>
            <w:tcMar>
              <w:top w:w="80" w:type="dxa"/>
              <w:left w:w="85" w:type="dxa"/>
              <w:bottom w:w="80" w:type="dxa"/>
              <w:right w:w="85" w:type="dxa"/>
            </w:tcMar>
            <w:vAlign w:val="center"/>
          </w:tcPr>
          <w:p w14:paraId="6AE5CA4B" w14:textId="77777777" w:rsidR="000A5C6C" w:rsidRDefault="00000000">
            <w:pPr>
              <w:keepLines/>
              <w:spacing w:after="0" w:line="247" w:lineRule="auto"/>
              <w:jc w:val="left"/>
              <w:rPr>
                <w:rFonts w:hint="eastAsia"/>
              </w:rPr>
            </w:pPr>
            <w:r>
              <w:rPr>
                <w:sz w:val="21"/>
              </w:rPr>
              <w:t>All first-front and dominance-order assertions passed over 28229 dominance pairs</w:t>
            </w:r>
          </w:p>
        </w:tc>
      </w:tr>
      <w:tr w:rsidR="000A5C6C" w14:paraId="36C7D38B" w14:textId="77777777">
        <w:trPr>
          <w:cantSplit/>
          <w:jc w:val="center"/>
        </w:trPr>
        <w:tc>
          <w:tcPr>
            <w:tcW w:w="2088" w:type="dxa"/>
            <w:shd w:val="clear" w:color="auto" w:fill="FFFFFF"/>
            <w:tcMar>
              <w:top w:w="80" w:type="dxa"/>
              <w:left w:w="85" w:type="dxa"/>
              <w:bottom w:w="80" w:type="dxa"/>
              <w:right w:w="85" w:type="dxa"/>
            </w:tcMar>
            <w:vAlign w:val="center"/>
          </w:tcPr>
          <w:p w14:paraId="52A25D53" w14:textId="77777777" w:rsidR="000A5C6C" w:rsidRDefault="00000000">
            <w:pPr>
              <w:keepLines/>
              <w:spacing w:after="0" w:line="247" w:lineRule="auto"/>
              <w:jc w:val="left"/>
              <w:rPr>
                <w:rFonts w:hint="eastAsia"/>
              </w:rPr>
            </w:pPr>
            <w:r>
              <w:rPr>
                <w:sz w:val="21"/>
              </w:rPr>
              <w:t>Composite coefficient</w:t>
            </w:r>
          </w:p>
        </w:tc>
        <w:tc>
          <w:tcPr>
            <w:tcW w:w="3816" w:type="dxa"/>
            <w:shd w:val="clear" w:color="auto" w:fill="FFFFFF"/>
            <w:tcMar>
              <w:top w:w="80" w:type="dxa"/>
              <w:left w:w="85" w:type="dxa"/>
              <w:bottom w:w="80" w:type="dxa"/>
              <w:right w:w="85" w:type="dxa"/>
            </w:tcMar>
            <w:vAlign w:val="center"/>
          </w:tcPr>
          <w:p w14:paraId="39E31D1B" w14:textId="77777777" w:rsidR="000A5C6C" w:rsidRDefault="00000000">
            <w:pPr>
              <w:keepLines/>
              <w:spacing w:after="0" w:line="247" w:lineRule="auto"/>
              <w:jc w:val="left"/>
              <w:rPr>
                <w:rFonts w:hint="eastAsia"/>
              </w:rPr>
            </w:pPr>
            <w:r>
              <w:rPr>
                <w:sz w:val="21"/>
              </w:rPr>
              <w:t>100 random secondary score vectors and an adversarial tie</w:t>
            </w:r>
          </w:p>
        </w:tc>
        <w:tc>
          <w:tcPr>
            <w:tcW w:w="4032" w:type="dxa"/>
            <w:shd w:val="clear" w:color="auto" w:fill="FFFFFF"/>
            <w:tcMar>
              <w:top w:w="80" w:type="dxa"/>
              <w:left w:w="85" w:type="dxa"/>
              <w:bottom w:w="80" w:type="dxa"/>
              <w:right w:w="85" w:type="dxa"/>
            </w:tcMar>
            <w:vAlign w:val="center"/>
          </w:tcPr>
          <w:p w14:paraId="58E07A7C" w14:textId="77777777" w:rsidR="000A5C6C" w:rsidRDefault="00000000">
            <w:pPr>
              <w:keepLines/>
              <w:spacing w:after="0" w:line="247" w:lineRule="auto"/>
              <w:jc w:val="left"/>
              <w:rPr>
                <w:rFonts w:hint="eastAsia"/>
              </w:rPr>
            </w:pPr>
            <w:r>
              <w:rPr>
                <w:sz w:val="21"/>
              </w:rPr>
              <w:t>Strict order below the gap; tie at the gap</w:t>
            </w:r>
          </w:p>
        </w:tc>
      </w:tr>
      <w:tr w:rsidR="000A5C6C" w14:paraId="005597FB" w14:textId="77777777">
        <w:trPr>
          <w:cantSplit/>
          <w:jc w:val="center"/>
        </w:trPr>
        <w:tc>
          <w:tcPr>
            <w:tcW w:w="2088" w:type="dxa"/>
            <w:shd w:val="clear" w:color="auto" w:fill="FFFFFF"/>
            <w:tcMar>
              <w:top w:w="80" w:type="dxa"/>
              <w:left w:w="85" w:type="dxa"/>
              <w:bottom w:w="80" w:type="dxa"/>
              <w:right w:w="85" w:type="dxa"/>
            </w:tcMar>
            <w:vAlign w:val="center"/>
          </w:tcPr>
          <w:p w14:paraId="2B0B55F0" w14:textId="77777777" w:rsidR="000A5C6C" w:rsidRDefault="00000000">
            <w:pPr>
              <w:keepLines/>
              <w:spacing w:after="0" w:line="247" w:lineRule="auto"/>
              <w:jc w:val="left"/>
              <w:rPr>
                <w:rFonts w:hint="eastAsia"/>
              </w:rPr>
            </w:pPr>
            <w:r>
              <w:rPr>
                <w:sz w:val="21"/>
              </w:rPr>
              <w:t>Line and ray</w:t>
            </w:r>
          </w:p>
        </w:tc>
        <w:tc>
          <w:tcPr>
            <w:tcW w:w="3816" w:type="dxa"/>
            <w:shd w:val="clear" w:color="auto" w:fill="FFFFFF"/>
            <w:tcMar>
              <w:top w:w="80" w:type="dxa"/>
              <w:left w:w="85" w:type="dxa"/>
              <w:bottom w:w="80" w:type="dxa"/>
              <w:right w:w="85" w:type="dxa"/>
            </w:tcMar>
            <w:vAlign w:val="center"/>
          </w:tcPr>
          <w:p w14:paraId="6CEC94E1" w14:textId="77777777" w:rsidR="000A5C6C" w:rsidRDefault="00000000">
            <w:pPr>
              <w:keepLines/>
              <w:spacing w:after="0" w:line="247" w:lineRule="auto"/>
              <w:jc w:val="left"/>
              <w:rPr>
                <w:rFonts w:hint="eastAsia"/>
              </w:rPr>
            </w:pPr>
            <w:r>
              <w:rPr>
                <w:sz w:val="21"/>
              </w:rPr>
              <w:t>60 nonnegative vectors against 91 directions plus a signed counterexample</w:t>
            </w:r>
          </w:p>
        </w:tc>
        <w:tc>
          <w:tcPr>
            <w:tcW w:w="4032" w:type="dxa"/>
            <w:shd w:val="clear" w:color="auto" w:fill="FFFFFF"/>
            <w:tcMar>
              <w:top w:w="80" w:type="dxa"/>
              <w:left w:w="85" w:type="dxa"/>
              <w:bottom w:w="80" w:type="dxa"/>
              <w:right w:w="85" w:type="dxa"/>
            </w:tcMar>
            <w:vAlign w:val="center"/>
          </w:tcPr>
          <w:p w14:paraId="4B185A86" w14:textId="77777777" w:rsidR="000A5C6C" w:rsidRDefault="00000000">
            <w:pPr>
              <w:keepLines/>
              <w:spacing w:after="0" w:line="247" w:lineRule="auto"/>
              <w:jc w:val="left"/>
              <w:rPr>
                <w:rFonts w:hint="eastAsia"/>
              </w:rPr>
            </w:pPr>
            <w:r>
              <w:rPr>
                <w:sz w:val="21"/>
              </w:rPr>
              <w:t>Maximum nonnegative discrepancy zero; signed distances differ</w:t>
            </w:r>
          </w:p>
        </w:tc>
      </w:tr>
      <w:tr w:rsidR="000A5C6C" w14:paraId="337CBD41" w14:textId="77777777">
        <w:trPr>
          <w:cantSplit/>
          <w:jc w:val="center"/>
        </w:trPr>
        <w:tc>
          <w:tcPr>
            <w:tcW w:w="2088" w:type="dxa"/>
            <w:shd w:val="clear" w:color="auto" w:fill="FFFFFF"/>
            <w:tcMar>
              <w:top w:w="80" w:type="dxa"/>
              <w:left w:w="85" w:type="dxa"/>
              <w:bottom w:w="80" w:type="dxa"/>
              <w:right w:w="85" w:type="dxa"/>
            </w:tcMar>
            <w:vAlign w:val="center"/>
          </w:tcPr>
          <w:p w14:paraId="6EB42EBB" w14:textId="77777777" w:rsidR="000A5C6C" w:rsidRDefault="00000000">
            <w:pPr>
              <w:keepLines/>
              <w:spacing w:after="0" w:line="247" w:lineRule="auto"/>
              <w:jc w:val="left"/>
              <w:rPr>
                <w:rFonts w:hint="eastAsia"/>
              </w:rPr>
            </w:pPr>
            <w:r>
              <w:rPr>
                <w:sz w:val="21"/>
              </w:rPr>
              <w:t>Protected truncation</w:t>
            </w:r>
          </w:p>
        </w:tc>
        <w:tc>
          <w:tcPr>
            <w:tcW w:w="3816" w:type="dxa"/>
            <w:shd w:val="clear" w:color="auto" w:fill="FFFFFF"/>
            <w:tcMar>
              <w:top w:w="80" w:type="dxa"/>
              <w:left w:w="85" w:type="dxa"/>
              <w:bottom w:w="80" w:type="dxa"/>
              <w:right w:w="85" w:type="dxa"/>
            </w:tcMar>
            <w:vAlign w:val="center"/>
          </w:tcPr>
          <w:p w14:paraId="11719EC5" w14:textId="77777777" w:rsidR="000A5C6C" w:rsidRDefault="00000000">
            <w:pPr>
              <w:keepLines/>
              <w:spacing w:after="0" w:line="247" w:lineRule="auto"/>
              <w:jc w:val="left"/>
              <w:rPr>
                <w:rFonts w:hint="eastAsia"/>
              </w:rPr>
            </w:pPr>
            <w:r>
              <w:rPr>
                <w:sz w:val="21"/>
              </w:rPr>
              <w:t>Three protected extrema and one interior alternative</w:t>
            </w:r>
          </w:p>
        </w:tc>
        <w:tc>
          <w:tcPr>
            <w:tcW w:w="4032" w:type="dxa"/>
            <w:shd w:val="clear" w:color="auto" w:fill="FFFFFF"/>
            <w:tcMar>
              <w:top w:w="80" w:type="dxa"/>
              <w:left w:w="85" w:type="dxa"/>
              <w:bottom w:w="80" w:type="dxa"/>
              <w:right w:w="85" w:type="dxa"/>
            </w:tcMar>
            <w:vAlign w:val="center"/>
          </w:tcPr>
          <w:p w14:paraId="4EE49D8B" w14:textId="77777777" w:rsidR="000A5C6C" w:rsidRDefault="00000000">
            <w:pPr>
              <w:keepLines/>
              <w:spacing w:after="0" w:line="247" w:lineRule="auto"/>
              <w:jc w:val="left"/>
              <w:rPr>
                <w:rFonts w:hint="eastAsia"/>
              </w:rPr>
            </w:pPr>
            <w:r>
              <w:rPr>
                <w:sz w:val="21"/>
              </w:rPr>
              <w:t>All protected records retained at capacity 3; capacity 2 rejected</w:t>
            </w:r>
          </w:p>
        </w:tc>
      </w:tr>
      <w:tr w:rsidR="000A5C6C" w14:paraId="084C0C10" w14:textId="77777777">
        <w:trPr>
          <w:cantSplit/>
          <w:jc w:val="center"/>
        </w:trPr>
        <w:tc>
          <w:tcPr>
            <w:tcW w:w="2088" w:type="dxa"/>
            <w:shd w:val="clear" w:color="auto" w:fill="FFFFFF"/>
            <w:tcMar>
              <w:top w:w="80" w:type="dxa"/>
              <w:left w:w="85" w:type="dxa"/>
              <w:bottom w:w="80" w:type="dxa"/>
              <w:right w:w="85" w:type="dxa"/>
            </w:tcMar>
            <w:vAlign w:val="center"/>
          </w:tcPr>
          <w:p w14:paraId="537545B2" w14:textId="77777777" w:rsidR="000A5C6C" w:rsidRDefault="00000000">
            <w:pPr>
              <w:keepLines/>
              <w:spacing w:after="0" w:line="247" w:lineRule="auto"/>
              <w:jc w:val="left"/>
              <w:rPr>
                <w:rFonts w:hint="eastAsia"/>
              </w:rPr>
            </w:pPr>
            <w:r>
              <w:rPr>
                <w:sz w:val="21"/>
              </w:rPr>
              <w:t>Duplicate merging</w:t>
            </w:r>
          </w:p>
        </w:tc>
        <w:tc>
          <w:tcPr>
            <w:tcW w:w="3816" w:type="dxa"/>
            <w:shd w:val="clear" w:color="auto" w:fill="FFFFFF"/>
            <w:tcMar>
              <w:top w:w="80" w:type="dxa"/>
              <w:left w:w="85" w:type="dxa"/>
              <w:bottom w:w="80" w:type="dxa"/>
              <w:right w:w="85" w:type="dxa"/>
            </w:tcMar>
            <w:vAlign w:val="center"/>
          </w:tcPr>
          <w:p w14:paraId="54FFAAC2" w14:textId="77777777" w:rsidR="000A5C6C" w:rsidRDefault="00000000">
            <w:pPr>
              <w:keepLines/>
              <w:spacing w:after="0" w:line="247" w:lineRule="auto"/>
              <w:jc w:val="left"/>
              <w:rPr>
                <w:rFonts w:hint="eastAsia"/>
              </w:rPr>
            </w:pPr>
            <w:r>
              <w:rPr>
                <w:sz w:val="21"/>
              </w:rPr>
              <w:t>Same origins with different proposal densities</w:t>
            </w:r>
          </w:p>
        </w:tc>
        <w:tc>
          <w:tcPr>
            <w:tcW w:w="4032" w:type="dxa"/>
            <w:shd w:val="clear" w:color="auto" w:fill="FFFFFF"/>
            <w:tcMar>
              <w:top w:w="80" w:type="dxa"/>
              <w:left w:w="85" w:type="dxa"/>
              <w:bottom w:w="80" w:type="dxa"/>
              <w:right w:w="85" w:type="dxa"/>
            </w:tcMar>
            <w:vAlign w:val="center"/>
          </w:tcPr>
          <w:p w14:paraId="6F46C04C" w14:textId="77777777" w:rsidR="000A5C6C" w:rsidRDefault="00000000">
            <w:pPr>
              <w:keepLines/>
              <w:spacing w:after="0" w:line="247" w:lineRule="auto"/>
              <w:jc w:val="left"/>
              <w:rPr>
                <w:rFonts w:hint="eastAsia"/>
              </w:rPr>
            </w:pPr>
            <w:r>
              <w:rPr>
                <w:sz w:val="21"/>
              </w:rPr>
              <w:t xml:space="preserve">Retrieval means agree within </w:t>
            </w:r>
            <m:oMath>
              <m:r>
                <w:rPr>
                  <w:rFonts w:ascii="Cambria Math" w:hAnsi="Cambria Math"/>
                </w:rPr>
                <m:t>2.8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17</m:t>
                  </m:r>
                </m:sup>
              </m:sSup>
            </m:oMath>
          </w:p>
        </w:tc>
      </w:tr>
      <w:tr w:rsidR="000A5C6C" w14:paraId="3C542BF2" w14:textId="77777777">
        <w:trPr>
          <w:cantSplit/>
          <w:jc w:val="center"/>
        </w:trPr>
        <w:tc>
          <w:tcPr>
            <w:tcW w:w="2088" w:type="dxa"/>
            <w:shd w:val="clear" w:color="auto" w:fill="FFFFFF"/>
            <w:tcMar>
              <w:top w:w="80" w:type="dxa"/>
              <w:left w:w="85" w:type="dxa"/>
              <w:bottom w:w="80" w:type="dxa"/>
              <w:right w:w="85" w:type="dxa"/>
            </w:tcMar>
            <w:vAlign w:val="center"/>
          </w:tcPr>
          <w:p w14:paraId="68777D61" w14:textId="77777777" w:rsidR="000A5C6C" w:rsidRDefault="00000000">
            <w:pPr>
              <w:keepLines/>
              <w:spacing w:after="0" w:line="247" w:lineRule="auto"/>
              <w:jc w:val="left"/>
              <w:rPr>
                <w:rFonts w:hint="eastAsia"/>
              </w:rPr>
            </w:pPr>
            <w:r>
              <w:rPr>
                <w:sz w:val="21"/>
              </w:rPr>
              <w:t>Selection and random retention</w:t>
            </w:r>
          </w:p>
        </w:tc>
        <w:tc>
          <w:tcPr>
            <w:tcW w:w="3816" w:type="dxa"/>
            <w:shd w:val="clear" w:color="auto" w:fill="FFFFFF"/>
            <w:tcMar>
              <w:top w:w="80" w:type="dxa"/>
              <w:left w:w="85" w:type="dxa"/>
              <w:bottom w:w="80" w:type="dxa"/>
              <w:right w:w="85" w:type="dxa"/>
            </w:tcMar>
            <w:vAlign w:val="center"/>
          </w:tcPr>
          <w:p w14:paraId="4B11DB96" w14:textId="77777777" w:rsidR="000A5C6C" w:rsidRDefault="00000000">
            <w:pPr>
              <w:keepLines/>
              <w:spacing w:after="0" w:line="247" w:lineRule="auto"/>
              <w:jc w:val="left"/>
              <w:rPr>
                <w:rFonts w:hint="eastAsia"/>
              </w:rPr>
            </w:pPr>
            <w:r>
              <w:rPr>
                <w:sz w:val="21"/>
              </w:rPr>
              <w:t>Uniform samples and a separate realized weighted log</w:t>
            </w:r>
          </w:p>
        </w:tc>
        <w:tc>
          <w:tcPr>
            <w:tcW w:w="4032" w:type="dxa"/>
            <w:shd w:val="clear" w:color="auto" w:fill="FFFFFF"/>
            <w:tcMar>
              <w:top w:w="80" w:type="dxa"/>
              <w:left w:w="85" w:type="dxa"/>
              <w:bottom w:w="80" w:type="dxa"/>
              <w:right w:w="85" w:type="dxa"/>
            </w:tcMar>
            <w:vAlign w:val="center"/>
          </w:tcPr>
          <w:p w14:paraId="0721F22C" w14:textId="77777777" w:rsidR="000A5C6C" w:rsidRDefault="00000000">
            <w:pPr>
              <w:keepLines/>
              <w:spacing w:after="0" w:line="247" w:lineRule="auto"/>
              <w:jc w:val="left"/>
              <w:rPr>
                <w:rFonts w:hint="eastAsia"/>
              </w:rPr>
            </w:pPr>
            <w:r>
              <w:rPr>
                <w:sz w:val="21"/>
              </w:rPr>
              <w:t>Elite selection changes the estimate; retention sums satisfy their probability contract</w:t>
            </w:r>
          </w:p>
        </w:tc>
      </w:tr>
      <w:tr w:rsidR="000A5C6C" w14:paraId="728B962B" w14:textId="77777777">
        <w:trPr>
          <w:cantSplit/>
          <w:jc w:val="center"/>
        </w:trPr>
        <w:tc>
          <w:tcPr>
            <w:tcW w:w="2088" w:type="dxa"/>
            <w:shd w:val="clear" w:color="auto" w:fill="FFFFFF"/>
            <w:tcMar>
              <w:top w:w="80" w:type="dxa"/>
              <w:left w:w="85" w:type="dxa"/>
              <w:bottom w:w="80" w:type="dxa"/>
              <w:right w:w="85" w:type="dxa"/>
            </w:tcMar>
            <w:vAlign w:val="center"/>
          </w:tcPr>
          <w:p w14:paraId="0426B1F8" w14:textId="77777777" w:rsidR="000A5C6C" w:rsidRDefault="00000000">
            <w:pPr>
              <w:keepLines/>
              <w:spacing w:after="0" w:line="247" w:lineRule="auto"/>
              <w:jc w:val="left"/>
              <w:rPr>
                <w:rFonts w:hint="eastAsia"/>
              </w:rPr>
            </w:pPr>
            <w:r>
              <w:rPr>
                <w:sz w:val="21"/>
              </w:rPr>
              <w:t>Approximate compression</w:t>
            </w:r>
          </w:p>
        </w:tc>
        <w:tc>
          <w:tcPr>
            <w:tcW w:w="3816" w:type="dxa"/>
            <w:shd w:val="clear" w:color="auto" w:fill="FFFFFF"/>
            <w:tcMar>
              <w:top w:w="80" w:type="dxa"/>
              <w:left w:w="85" w:type="dxa"/>
              <w:bottom w:w="80" w:type="dxa"/>
              <w:right w:w="85" w:type="dxa"/>
            </w:tcMar>
            <w:vAlign w:val="center"/>
          </w:tcPr>
          <w:p w14:paraId="5B861C68" w14:textId="77777777" w:rsidR="000A5C6C" w:rsidRDefault="00000000">
            <w:pPr>
              <w:keepLines/>
              <w:spacing w:after="0" w:line="247" w:lineRule="auto"/>
              <w:jc w:val="left"/>
              <w:rPr>
                <w:rFonts w:hint="eastAsia"/>
              </w:rPr>
            </w:pPr>
            <w:r>
              <w:rPr>
                <w:sz w:val="21"/>
              </w:rPr>
              <w:t>Four cluster counts and three retrieval scales</w:t>
            </w:r>
          </w:p>
        </w:tc>
        <w:tc>
          <w:tcPr>
            <w:tcW w:w="4032" w:type="dxa"/>
            <w:shd w:val="clear" w:color="auto" w:fill="FFFFFF"/>
            <w:tcMar>
              <w:top w:w="80" w:type="dxa"/>
              <w:left w:w="85" w:type="dxa"/>
              <w:bottom w:w="80" w:type="dxa"/>
              <w:right w:w="85" w:type="dxa"/>
            </w:tcMar>
            <w:vAlign w:val="center"/>
          </w:tcPr>
          <w:p w14:paraId="42FCAD27" w14:textId="77777777" w:rsidR="000A5C6C" w:rsidRDefault="00000000">
            <w:pPr>
              <w:keepLines/>
              <w:spacing w:after="0" w:line="247" w:lineRule="auto"/>
              <w:jc w:val="left"/>
              <w:rPr>
                <w:rFonts w:hint="eastAsia"/>
              </w:rPr>
            </w:pPr>
            <w:r>
              <w:rPr>
                <w:sz w:val="21"/>
              </w:rPr>
              <w:t>All 12 measured errors satisfy (8)</w:t>
            </w:r>
          </w:p>
        </w:tc>
      </w:tr>
    </w:tbl>
    <w:p w14:paraId="700CEA20" w14:textId="77777777" w:rsidR="000A5C6C" w:rsidRDefault="00000000">
      <w:pPr>
        <w:pStyle w:val="BodyText"/>
        <w:spacing w:before="140"/>
        <w:rPr>
          <w:rFonts w:hint="eastAsia"/>
        </w:rPr>
      </w:pPr>
      <w:r>
        <w:t xml:space="preserve">For 100,000 uniform draws the full mean was </w:t>
      </w:r>
      <m:oMath>
        <m:r>
          <w:rPr>
            <w:rFonts w:ascii="Cambria Math" w:hAnsi="Cambria Math"/>
          </w:rPr>
          <m:t>0.4996518</m:t>
        </m:r>
      </m:oMath>
      <w:r>
        <w:t xml:space="preserve">, while the smallest-64 archive mean was </w:t>
      </w:r>
      <m:oMath>
        <m:r>
          <w:rPr>
            <w:rFonts w:ascii="Cambria Math" w:hAnsi="Cambria Math"/>
          </w:rPr>
          <m:t>0.0003073</m:t>
        </m:r>
      </m:oMath>
      <w:r>
        <w:t xml:space="preserve">. Exact duplicate merging gave weight </w:t>
      </w:r>
      <m:oMath>
        <m:r>
          <w:rPr>
            <w:rFonts w:ascii="Cambria Math" w:hAnsi="Cambria Math"/>
          </w:rPr>
          <m:t>1.8246958</m:t>
        </m:r>
      </m:oMath>
      <w:r>
        <w:t xml:space="preserve"> instead of the incorrect count-based </w:t>
      </w:r>
      <m:oMath>
        <m:r>
          <w:rPr>
            <w:rFonts w:ascii="Cambria Math" w:hAnsi="Cambria Math"/>
          </w:rPr>
          <m:t>0.6657422</m:t>
        </m:r>
      </m:oMath>
      <w:r>
        <w:t xml:space="preserve">. In the 12 compression cases the largest origin-mean discrepancy was </w:t>
      </w:r>
      <m:oMath>
        <m:r>
          <w:rPr>
            <w:rFonts w:ascii="Cambria Math" w:hAnsi="Cambria Math"/>
          </w:rPr>
          <m:t>0.0260779</m:t>
        </m:r>
      </m:oMath>
      <w:r>
        <w:t>, below the corresponding proven bound. The bound is deliberately conservative; observed accuracy in a finite example does not establish accuracy at a narrower untested scale.</w:t>
      </w:r>
    </w:p>
    <w:p w14:paraId="3A7ECD3B" w14:textId="77777777" w:rsidR="000A5C6C" w:rsidRDefault="00000000">
      <w:pPr>
        <w:pStyle w:val="BodyText"/>
        <w:rPr>
          <w:rFonts w:hint="eastAsia"/>
        </w:rPr>
      </w:pPr>
      <w:r>
        <w:t xml:space="preserve">A separate conditional-retention check used 1,001 fixed states on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with weights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3x</m:t>
            </m:r>
          </m:sup>
        </m:sSup>
      </m:oMath>
      <w:r>
        <w:t xml:space="preserve"> and retention probability </w:t>
      </w:r>
      <m:oMath>
        <m:r>
          <w:rPr>
            <w:rFonts w:ascii="Cambria Math" w:hAnsi="Cambria Math"/>
          </w:rPr>
          <m:t>0.2</m:t>
        </m:r>
      </m:oMath>
      <w:r>
        <w:t xml:space="preserve">. Over 2,000 independent retention realizations, the average raw numerator differed from its full-log value by about </w:t>
      </w:r>
      <m:oMath>
        <m:r>
          <w:rPr>
            <w:rFonts w:ascii="Cambria Math" w:hAnsi="Cambria Math"/>
          </w:rPr>
          <m:t>0.0602</m:t>
        </m:r>
        <m:r>
          <m:rPr>
            <m:sty m:val="p"/>
          </m:rPr>
          <w:rPr>
            <w:rFonts w:ascii="Cambria Math" w:hAnsi="Cambria Math"/>
          </w:rPr>
          <m:t>%</m:t>
        </m:r>
      </m:oMath>
      <w:r>
        <w:t xml:space="preserve">. The full ratio was </w:t>
      </w:r>
      <m:oMath>
        <m:r>
          <w:rPr>
            <w:rFonts w:ascii="Cambria Math" w:hAnsi="Cambria Math"/>
          </w:rPr>
          <m:t>0.2805508</m:t>
        </m:r>
      </m:oMath>
      <w:r>
        <w:t xml:space="preserve"> and the average retained ratio was </w:t>
      </w:r>
      <m:oMath>
        <m:r>
          <w:rPr>
            <w:rFonts w:ascii="Cambria Math" w:hAnsi="Cambria Math"/>
          </w:rPr>
          <m:t>0.2813689</m:t>
        </m:r>
      </m:oMath>
      <w:r>
        <w:t>. These finite simulation values illustrate the difference between unbiased raw sums and a generally biased self-normalized ratio; they are not a proof of exact unbiasedness from a Monte Carlo coincidence.</w:t>
      </w:r>
    </w:p>
    <w:p w14:paraId="2D9410CC" w14:textId="77777777" w:rsidR="000A5C6C" w:rsidRDefault="00000000">
      <w:pPr>
        <w:pStyle w:val="Heading1"/>
        <w:rPr>
          <w:rFonts w:hint="eastAsia"/>
        </w:rPr>
      </w:pPr>
      <w:bookmarkStart w:id="35" w:name="evaluation-program-and-engineering-scope"/>
      <w:bookmarkEnd w:id="32"/>
      <w:bookmarkEnd w:id="34"/>
      <w:r>
        <w:t>12 Evaluation program and engineering scope</w:t>
      </w:r>
    </w:p>
    <w:p w14:paraId="24553D13" w14:textId="77777777" w:rsidR="000A5C6C" w:rsidRDefault="00000000">
      <w:pPr>
        <w:pStyle w:val="FirstParagraph"/>
        <w:rPr>
          <w:rFonts w:hint="eastAsia"/>
        </w:rPr>
      </w:pPr>
      <w:r>
        <w:t>A construction experiment should freeze physical units, knowledge versions, problem definitions, numerical solvers, feasibility rules, decoder behavior, and evaluation budgets before comparing archive policies. Evaluate archive usefulness separately from probability calibration. Verify that an improvement in a retrieval proxy survives actual geometry creation, analysis, and artifact verification.</w:t>
      </w:r>
    </w:p>
    <w:p w14:paraId="7514C902" w14:textId="77777777" w:rsidR="000A5C6C" w:rsidRDefault="00000000">
      <w:pPr>
        <w:pStyle w:val="Caption"/>
        <w:keepNext/>
        <w:rPr>
          <w:rFonts w:hint="eastAsia"/>
        </w:rPr>
      </w:pPr>
      <w:r>
        <w:lastRenderedPageBreak/>
        <w:t>Table 6. Ablations that isolate the proposed mechanisms.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24"/>
        <w:gridCol w:w="3600"/>
        <w:gridCol w:w="3312"/>
      </w:tblGrid>
      <w:tr w:rsidR="000A5C6C" w14:paraId="4872D491" w14:textId="77777777">
        <w:trPr>
          <w:cantSplit/>
          <w:tblHeader/>
          <w:jc w:val="center"/>
        </w:trPr>
        <w:tc>
          <w:tcPr>
            <w:tcW w:w="3024" w:type="dxa"/>
            <w:shd w:val="clear" w:color="auto" w:fill="EAEAEA"/>
            <w:tcMar>
              <w:top w:w="80" w:type="dxa"/>
              <w:left w:w="85" w:type="dxa"/>
              <w:bottom w:w="80" w:type="dxa"/>
              <w:right w:w="85" w:type="dxa"/>
            </w:tcMar>
            <w:vAlign w:val="center"/>
          </w:tcPr>
          <w:p w14:paraId="39703A07" w14:textId="77777777" w:rsidR="000A5C6C" w:rsidRDefault="00000000">
            <w:pPr>
              <w:keepNext/>
              <w:keepLines/>
              <w:spacing w:after="0" w:line="247" w:lineRule="auto"/>
              <w:jc w:val="left"/>
              <w:rPr>
                <w:rFonts w:hint="eastAsia"/>
              </w:rPr>
            </w:pPr>
            <w:r>
              <w:rPr>
                <w:b/>
                <w:sz w:val="21"/>
              </w:rPr>
              <w:t>Comparison</w:t>
            </w:r>
          </w:p>
        </w:tc>
        <w:tc>
          <w:tcPr>
            <w:tcW w:w="3600" w:type="dxa"/>
            <w:shd w:val="clear" w:color="auto" w:fill="EAEAEA"/>
            <w:tcMar>
              <w:top w:w="80" w:type="dxa"/>
              <w:left w:w="85" w:type="dxa"/>
              <w:bottom w:w="80" w:type="dxa"/>
              <w:right w:w="85" w:type="dxa"/>
            </w:tcMar>
            <w:vAlign w:val="center"/>
          </w:tcPr>
          <w:p w14:paraId="216EF264" w14:textId="77777777" w:rsidR="000A5C6C" w:rsidRDefault="00000000">
            <w:pPr>
              <w:keepNext/>
              <w:keepLines/>
              <w:spacing w:after="0" w:line="247" w:lineRule="auto"/>
              <w:jc w:val="left"/>
              <w:rPr>
                <w:rFonts w:hint="eastAsia"/>
              </w:rPr>
            </w:pPr>
            <w:r>
              <w:rPr>
                <w:b/>
                <w:sz w:val="21"/>
              </w:rPr>
              <w:t>Controls</w:t>
            </w:r>
          </w:p>
        </w:tc>
        <w:tc>
          <w:tcPr>
            <w:tcW w:w="3312" w:type="dxa"/>
            <w:shd w:val="clear" w:color="auto" w:fill="EAEAEA"/>
            <w:tcMar>
              <w:top w:w="80" w:type="dxa"/>
              <w:left w:w="85" w:type="dxa"/>
              <w:bottom w:w="80" w:type="dxa"/>
              <w:right w:w="85" w:type="dxa"/>
            </w:tcMar>
            <w:vAlign w:val="center"/>
          </w:tcPr>
          <w:p w14:paraId="3855A39F" w14:textId="77777777" w:rsidR="000A5C6C" w:rsidRDefault="00000000">
            <w:pPr>
              <w:keepNext/>
              <w:keepLines/>
              <w:spacing w:after="0" w:line="247" w:lineRule="auto"/>
              <w:jc w:val="left"/>
              <w:rPr>
                <w:rFonts w:hint="eastAsia"/>
              </w:rPr>
            </w:pPr>
            <w:r>
              <w:rPr>
                <w:b/>
                <w:sz w:val="21"/>
              </w:rPr>
              <w:t>Main outcomes</w:t>
            </w:r>
          </w:p>
        </w:tc>
      </w:tr>
      <w:tr w:rsidR="000A5C6C" w14:paraId="45E9BD68" w14:textId="77777777">
        <w:trPr>
          <w:cantSplit/>
          <w:jc w:val="center"/>
        </w:trPr>
        <w:tc>
          <w:tcPr>
            <w:tcW w:w="3024" w:type="dxa"/>
            <w:shd w:val="clear" w:color="auto" w:fill="FFFFFF"/>
            <w:tcMar>
              <w:top w:w="80" w:type="dxa"/>
              <w:left w:w="85" w:type="dxa"/>
              <w:bottom w:w="80" w:type="dxa"/>
              <w:right w:w="85" w:type="dxa"/>
            </w:tcMar>
            <w:vAlign w:val="center"/>
          </w:tcPr>
          <w:p w14:paraId="7851954A" w14:textId="77777777" w:rsidR="000A5C6C" w:rsidRDefault="00000000">
            <w:pPr>
              <w:keepNext/>
              <w:keepLines/>
              <w:spacing w:after="0" w:line="247" w:lineRule="auto"/>
              <w:jc w:val="left"/>
              <w:rPr>
                <w:rFonts w:hint="eastAsia"/>
              </w:rPr>
            </w:pPr>
            <w:r>
              <w:rPr>
                <w:sz w:val="21"/>
              </w:rPr>
              <w:t>No niche query versus reference-direction query</w:t>
            </w:r>
          </w:p>
        </w:tc>
        <w:tc>
          <w:tcPr>
            <w:tcW w:w="3600" w:type="dxa"/>
            <w:shd w:val="clear" w:color="auto" w:fill="FFFFFF"/>
            <w:tcMar>
              <w:top w:w="80" w:type="dxa"/>
              <w:left w:w="85" w:type="dxa"/>
              <w:bottom w:w="80" w:type="dxa"/>
              <w:right w:w="85" w:type="dxa"/>
            </w:tcMar>
            <w:vAlign w:val="center"/>
          </w:tcPr>
          <w:p w14:paraId="6CD9372F" w14:textId="77777777" w:rsidR="000A5C6C" w:rsidRDefault="00000000">
            <w:pPr>
              <w:keepNext/>
              <w:keepLines/>
              <w:spacing w:after="0" w:line="247" w:lineRule="auto"/>
              <w:jc w:val="left"/>
              <w:rPr>
                <w:rFonts w:hint="eastAsia"/>
              </w:rPr>
            </w:pPr>
            <w:r>
              <w:rPr>
                <w:sz w:val="21"/>
              </w:rPr>
              <w:t>Same primary score, proposal kernel, capacity, and evaluation budget</w:t>
            </w:r>
          </w:p>
        </w:tc>
        <w:tc>
          <w:tcPr>
            <w:tcW w:w="3312" w:type="dxa"/>
            <w:shd w:val="clear" w:color="auto" w:fill="FFFFFF"/>
            <w:tcMar>
              <w:top w:w="80" w:type="dxa"/>
              <w:left w:w="85" w:type="dxa"/>
              <w:bottom w:w="80" w:type="dxa"/>
              <w:right w:w="85" w:type="dxa"/>
            </w:tcMar>
            <w:vAlign w:val="center"/>
          </w:tcPr>
          <w:p w14:paraId="6426F74A" w14:textId="77777777" w:rsidR="000A5C6C" w:rsidRDefault="00000000">
            <w:pPr>
              <w:keepNext/>
              <w:keepLines/>
              <w:spacing w:after="0" w:line="247" w:lineRule="auto"/>
              <w:jc w:val="left"/>
              <w:rPr>
                <w:rFonts w:hint="eastAsia"/>
              </w:rPr>
            </w:pPr>
            <w:r>
              <w:rPr>
                <w:sz w:val="21"/>
              </w:rPr>
              <w:t>Verified coverage, objective gaps, and direction occupancy</w:t>
            </w:r>
          </w:p>
        </w:tc>
      </w:tr>
      <w:tr w:rsidR="000A5C6C" w14:paraId="00177AD2" w14:textId="77777777">
        <w:trPr>
          <w:cantSplit/>
          <w:jc w:val="center"/>
        </w:trPr>
        <w:tc>
          <w:tcPr>
            <w:tcW w:w="3024" w:type="dxa"/>
            <w:shd w:val="clear" w:color="auto" w:fill="FFFFFF"/>
            <w:tcMar>
              <w:top w:w="80" w:type="dxa"/>
              <w:left w:w="85" w:type="dxa"/>
              <w:bottom w:w="80" w:type="dxa"/>
              <w:right w:w="85" w:type="dxa"/>
            </w:tcMar>
            <w:vAlign w:val="center"/>
          </w:tcPr>
          <w:p w14:paraId="33140B5C" w14:textId="77777777" w:rsidR="000A5C6C" w:rsidRDefault="00000000">
            <w:pPr>
              <w:keepNext/>
              <w:keepLines/>
              <w:spacing w:after="0" w:line="247" w:lineRule="auto"/>
              <w:jc w:val="left"/>
              <w:rPr>
                <w:rFonts w:hint="eastAsia"/>
              </w:rPr>
            </w:pPr>
            <w:r>
              <w:rPr>
                <w:sz w:val="21"/>
              </w:rPr>
              <w:t>Front rank versus strength versus strength plus density</w:t>
            </w:r>
          </w:p>
        </w:tc>
        <w:tc>
          <w:tcPr>
            <w:tcW w:w="3600" w:type="dxa"/>
            <w:shd w:val="clear" w:color="auto" w:fill="FFFFFF"/>
            <w:tcMar>
              <w:top w:w="80" w:type="dxa"/>
              <w:left w:w="85" w:type="dxa"/>
              <w:bottom w:w="80" w:type="dxa"/>
              <w:right w:w="85" w:type="dxa"/>
            </w:tcMar>
            <w:vAlign w:val="center"/>
          </w:tcPr>
          <w:p w14:paraId="23049454" w14:textId="77777777" w:rsidR="000A5C6C" w:rsidRDefault="00000000">
            <w:pPr>
              <w:keepNext/>
              <w:keepLines/>
              <w:spacing w:after="0" w:line="247" w:lineRule="auto"/>
              <w:jc w:val="left"/>
              <w:rPr>
                <w:rFonts w:hint="eastAsia"/>
              </w:rPr>
            </w:pPr>
            <w:r>
              <w:rPr>
                <w:sz w:val="21"/>
              </w:rPr>
              <w:t>Same directions, archive policy, and score scaling protocol</w:t>
            </w:r>
          </w:p>
        </w:tc>
        <w:tc>
          <w:tcPr>
            <w:tcW w:w="3312" w:type="dxa"/>
            <w:shd w:val="clear" w:color="auto" w:fill="FFFFFF"/>
            <w:tcMar>
              <w:top w:w="80" w:type="dxa"/>
              <w:left w:w="85" w:type="dxa"/>
              <w:bottom w:w="80" w:type="dxa"/>
              <w:right w:w="85" w:type="dxa"/>
            </w:tcMar>
            <w:vAlign w:val="center"/>
          </w:tcPr>
          <w:p w14:paraId="01BB0E12" w14:textId="77777777" w:rsidR="000A5C6C" w:rsidRDefault="00000000">
            <w:pPr>
              <w:keepNext/>
              <w:keepLines/>
              <w:spacing w:after="0" w:line="247" w:lineRule="auto"/>
              <w:jc w:val="left"/>
              <w:rPr>
                <w:rFonts w:hint="eastAsia"/>
              </w:rPr>
            </w:pPr>
            <w:r>
              <w:rPr>
                <w:sz w:val="21"/>
              </w:rPr>
              <w:t>Actual primary gaps, near-front selection, and final quality</w:t>
            </w:r>
          </w:p>
        </w:tc>
      </w:tr>
      <w:tr w:rsidR="000A5C6C" w14:paraId="54FEE01D" w14:textId="77777777">
        <w:trPr>
          <w:cantSplit/>
          <w:jc w:val="center"/>
        </w:trPr>
        <w:tc>
          <w:tcPr>
            <w:tcW w:w="3024" w:type="dxa"/>
            <w:shd w:val="clear" w:color="auto" w:fill="FFFFFF"/>
            <w:tcMar>
              <w:top w:w="80" w:type="dxa"/>
              <w:left w:w="85" w:type="dxa"/>
              <w:bottom w:w="80" w:type="dxa"/>
              <w:right w:w="85" w:type="dxa"/>
            </w:tcMar>
            <w:vAlign w:val="center"/>
          </w:tcPr>
          <w:p w14:paraId="1FCF7933" w14:textId="77777777" w:rsidR="000A5C6C" w:rsidRDefault="00000000">
            <w:pPr>
              <w:keepNext/>
              <w:keepLines/>
              <w:spacing w:after="0" w:line="247" w:lineRule="auto"/>
              <w:jc w:val="left"/>
              <w:rPr>
                <w:rFonts w:hint="eastAsia"/>
              </w:rPr>
            </w:pPr>
            <w:r>
              <w:rPr>
                <w:sz w:val="21"/>
              </w:rPr>
              <w:t>Complete memory versus bounded archive</w:t>
            </w:r>
          </w:p>
        </w:tc>
        <w:tc>
          <w:tcPr>
            <w:tcW w:w="3600" w:type="dxa"/>
            <w:shd w:val="clear" w:color="auto" w:fill="FFFFFF"/>
            <w:tcMar>
              <w:top w:w="80" w:type="dxa"/>
              <w:left w:w="85" w:type="dxa"/>
              <w:bottom w:w="80" w:type="dxa"/>
              <w:right w:w="85" w:type="dxa"/>
            </w:tcMar>
            <w:vAlign w:val="center"/>
          </w:tcPr>
          <w:p w14:paraId="756958C2" w14:textId="77777777" w:rsidR="000A5C6C" w:rsidRDefault="00000000">
            <w:pPr>
              <w:keepNext/>
              <w:keepLines/>
              <w:spacing w:after="0" w:line="247" w:lineRule="auto"/>
              <w:jc w:val="left"/>
              <w:rPr>
                <w:rFonts w:hint="eastAsia"/>
              </w:rPr>
            </w:pPr>
            <w:r>
              <w:rPr>
                <w:sz w:val="21"/>
              </w:rPr>
              <w:t>Same sampling contract and evaluator budget</w:t>
            </w:r>
          </w:p>
        </w:tc>
        <w:tc>
          <w:tcPr>
            <w:tcW w:w="3312" w:type="dxa"/>
            <w:shd w:val="clear" w:color="auto" w:fill="FFFFFF"/>
            <w:tcMar>
              <w:top w:w="80" w:type="dxa"/>
              <w:left w:w="85" w:type="dxa"/>
              <w:bottom w:w="80" w:type="dxa"/>
              <w:right w:w="85" w:type="dxa"/>
            </w:tcMar>
            <w:vAlign w:val="center"/>
          </w:tcPr>
          <w:p w14:paraId="657F0565" w14:textId="77777777" w:rsidR="000A5C6C" w:rsidRDefault="00000000">
            <w:pPr>
              <w:keepNext/>
              <w:keepLines/>
              <w:spacing w:after="0" w:line="247" w:lineRule="auto"/>
              <w:jc w:val="left"/>
              <w:rPr>
                <w:rFonts w:hint="eastAsia"/>
              </w:rPr>
            </w:pPr>
            <w:r>
              <w:rPr>
                <w:sz w:val="21"/>
              </w:rPr>
              <w:t>Retrieval time, log-estimation error, and verified feasible alternatives</w:t>
            </w:r>
          </w:p>
        </w:tc>
      </w:tr>
      <w:tr w:rsidR="000A5C6C" w14:paraId="29DC763E" w14:textId="77777777">
        <w:trPr>
          <w:cantSplit/>
          <w:jc w:val="center"/>
        </w:trPr>
        <w:tc>
          <w:tcPr>
            <w:tcW w:w="3024" w:type="dxa"/>
            <w:shd w:val="clear" w:color="auto" w:fill="FFFFFF"/>
            <w:tcMar>
              <w:top w:w="80" w:type="dxa"/>
              <w:left w:w="85" w:type="dxa"/>
              <w:bottom w:w="80" w:type="dxa"/>
              <w:right w:w="85" w:type="dxa"/>
            </w:tcMar>
            <w:vAlign w:val="center"/>
          </w:tcPr>
          <w:p w14:paraId="50E88C01" w14:textId="77777777" w:rsidR="000A5C6C" w:rsidRDefault="00000000">
            <w:pPr>
              <w:keepNext/>
              <w:keepLines/>
              <w:spacing w:after="0" w:line="247" w:lineRule="auto"/>
              <w:jc w:val="left"/>
              <w:rPr>
                <w:rFonts w:hint="eastAsia"/>
              </w:rPr>
            </w:pPr>
            <w:r>
              <w:rPr>
                <w:sz w:val="21"/>
              </w:rPr>
              <w:t>Exact duplicates versus nearby-state compression</w:t>
            </w:r>
          </w:p>
        </w:tc>
        <w:tc>
          <w:tcPr>
            <w:tcW w:w="3600" w:type="dxa"/>
            <w:shd w:val="clear" w:color="auto" w:fill="FFFFFF"/>
            <w:tcMar>
              <w:top w:w="80" w:type="dxa"/>
              <w:left w:w="85" w:type="dxa"/>
              <w:bottom w:w="80" w:type="dxa"/>
              <w:right w:w="85" w:type="dxa"/>
            </w:tcMar>
            <w:vAlign w:val="center"/>
          </w:tcPr>
          <w:p w14:paraId="044FE98B" w14:textId="77777777" w:rsidR="000A5C6C" w:rsidRDefault="00000000">
            <w:pPr>
              <w:keepNext/>
              <w:keepLines/>
              <w:spacing w:after="0" w:line="247" w:lineRule="auto"/>
              <w:jc w:val="left"/>
              <w:rPr>
                <w:rFonts w:hint="eastAsia"/>
              </w:rPr>
            </w:pPr>
            <w:r>
              <w:rPr>
                <w:sz w:val="21"/>
              </w:rPr>
              <w:t>Same target and query family</w:t>
            </w:r>
          </w:p>
        </w:tc>
        <w:tc>
          <w:tcPr>
            <w:tcW w:w="3312" w:type="dxa"/>
            <w:shd w:val="clear" w:color="auto" w:fill="FFFFFF"/>
            <w:tcMar>
              <w:top w:w="80" w:type="dxa"/>
              <w:left w:w="85" w:type="dxa"/>
              <w:bottom w:w="80" w:type="dxa"/>
              <w:right w:w="85" w:type="dxa"/>
            </w:tcMar>
            <w:vAlign w:val="center"/>
          </w:tcPr>
          <w:p w14:paraId="08BF318C" w14:textId="77777777" w:rsidR="000A5C6C" w:rsidRDefault="00000000">
            <w:pPr>
              <w:keepNext/>
              <w:keepLines/>
              <w:spacing w:after="0" w:line="247" w:lineRule="auto"/>
              <w:jc w:val="left"/>
              <w:rPr>
                <w:rFonts w:hint="eastAsia"/>
              </w:rPr>
            </w:pPr>
            <w:r>
              <w:rPr>
                <w:sz w:val="21"/>
              </w:rPr>
              <w:t>Error by noise scale, bytes stored, and reconstruction validity</w:t>
            </w:r>
          </w:p>
        </w:tc>
      </w:tr>
      <w:tr w:rsidR="000A5C6C" w14:paraId="65FB64D1" w14:textId="77777777">
        <w:trPr>
          <w:cantSplit/>
          <w:jc w:val="center"/>
        </w:trPr>
        <w:tc>
          <w:tcPr>
            <w:tcW w:w="3024" w:type="dxa"/>
            <w:shd w:val="clear" w:color="auto" w:fill="FFFFFF"/>
            <w:tcMar>
              <w:top w:w="80" w:type="dxa"/>
              <w:left w:w="85" w:type="dxa"/>
              <w:bottom w:w="80" w:type="dxa"/>
              <w:right w:w="85" w:type="dxa"/>
            </w:tcMar>
            <w:vAlign w:val="center"/>
          </w:tcPr>
          <w:p w14:paraId="09B0ECB6" w14:textId="77777777" w:rsidR="000A5C6C" w:rsidRDefault="00000000">
            <w:pPr>
              <w:keepLines/>
              <w:spacing w:after="0" w:line="247" w:lineRule="auto"/>
              <w:jc w:val="left"/>
              <w:rPr>
                <w:rFonts w:hint="eastAsia"/>
              </w:rPr>
            </w:pPr>
            <w:r>
              <w:rPr>
                <w:sz w:val="21"/>
              </w:rPr>
              <w:t>Fixed versus revised harness</w:t>
            </w:r>
          </w:p>
        </w:tc>
        <w:tc>
          <w:tcPr>
            <w:tcW w:w="3600" w:type="dxa"/>
            <w:shd w:val="clear" w:color="auto" w:fill="FFFFFF"/>
            <w:tcMar>
              <w:top w:w="80" w:type="dxa"/>
              <w:left w:w="85" w:type="dxa"/>
              <w:bottom w:w="80" w:type="dxa"/>
              <w:right w:w="85" w:type="dxa"/>
            </w:tcMar>
            <w:vAlign w:val="center"/>
          </w:tcPr>
          <w:p w14:paraId="6375C0D5" w14:textId="77777777" w:rsidR="000A5C6C" w:rsidRDefault="00000000">
            <w:pPr>
              <w:keepLines/>
              <w:spacing w:after="0" w:line="247" w:lineRule="auto"/>
              <w:jc w:val="left"/>
              <w:rPr>
                <w:rFonts w:hint="eastAsia"/>
              </w:rPr>
            </w:pPr>
            <w:r>
              <w:rPr>
                <w:sz w:val="21"/>
              </w:rPr>
              <w:t>Fixed backbone, task split, and independent gate contract</w:t>
            </w:r>
          </w:p>
        </w:tc>
        <w:tc>
          <w:tcPr>
            <w:tcW w:w="3312" w:type="dxa"/>
            <w:shd w:val="clear" w:color="auto" w:fill="FFFFFF"/>
            <w:tcMar>
              <w:top w:w="80" w:type="dxa"/>
              <w:left w:w="85" w:type="dxa"/>
              <w:bottom w:w="80" w:type="dxa"/>
              <w:right w:w="85" w:type="dxa"/>
            </w:tcMar>
            <w:vAlign w:val="center"/>
          </w:tcPr>
          <w:p w14:paraId="3773867E" w14:textId="77777777" w:rsidR="000A5C6C" w:rsidRDefault="00000000">
            <w:pPr>
              <w:keepLines/>
              <w:spacing w:after="0" w:line="247" w:lineRule="auto"/>
              <w:jc w:val="left"/>
              <w:rPr>
                <w:rFonts w:hint="eastAsia"/>
              </w:rPr>
            </w:pPr>
            <w:r>
              <w:rPr>
                <w:sz w:val="21"/>
              </w:rPr>
              <w:t>Joint verification pass rate, cost, regressions, and provenance completeness</w:t>
            </w:r>
          </w:p>
        </w:tc>
      </w:tr>
    </w:tbl>
    <w:p w14:paraId="785785FB" w14:textId="77777777" w:rsidR="000A5C6C" w:rsidRDefault="00000000">
      <w:pPr>
        <w:pStyle w:val="BodyText"/>
        <w:spacing w:before="140"/>
        <w:rPr>
          <w:rFonts w:hint="eastAsia"/>
        </w:rPr>
      </w:pPr>
      <w:r>
        <w:t>Use a fixed external reference for IGD+, or disclose how that reference was constructed and its uncertainty. For a growing full archive, adding evaluated objective vectors cannot increase IGD+: each reference point minimizes its positive-part distance over a larger set. Nondominated pruning preserves this metric. A bounded proposal archive can lose an alternative and increase its own IGD+, so it should not be confused with the complete reporting set. Engineering reviewers may also need a decision-space coverage metric when distinct designs realize similar objective vectors.</w:t>
      </w:r>
    </w:p>
    <w:p w14:paraId="50BBE924" w14:textId="77777777" w:rsidR="000A5C6C" w:rsidRDefault="00000000">
      <w:pPr>
        <w:pStyle w:val="BodyText"/>
        <w:rPr>
          <w:rFonts w:hint="eastAsia"/>
        </w:rPr>
      </w:pPr>
      <w:r>
        <w:t>The mathematical contribution is the separation of archive geometry, probability correction, exact compression, approximation error, and exploration. The neuroscience identifies plausible functional comparisons that generate software experiments. The harness connects these mechanisms to an executable engineering workflow around fixed model weights. Adaptive front coverage, changing target families, mixed-variable decoded probabilities, and validated industrial performance remain distinct problems requiring their own evidence.</w:t>
      </w:r>
    </w:p>
    <w:p w14:paraId="53EBE6C3" w14:textId="77777777" w:rsidR="000A5C6C" w:rsidRDefault="00000000">
      <w:pPr>
        <w:pStyle w:val="Heading1"/>
        <w:rPr>
          <w:rFonts w:hint="eastAsia"/>
        </w:rPr>
      </w:pPr>
      <w:bookmarkStart w:id="36" w:name="references"/>
      <w:bookmarkEnd w:id="35"/>
      <w:r>
        <w:t>References</w:t>
      </w:r>
    </w:p>
    <w:p w14:paraId="1C00BB22" w14:textId="77777777" w:rsidR="000A5C6C" w:rsidRDefault="00000000">
      <w:pPr>
        <w:pStyle w:val="FirstParagraph"/>
        <w:keepLines/>
        <w:spacing w:after="140"/>
        <w:ind w:left="360" w:hanging="360"/>
        <w:jc w:val="left"/>
        <w:rPr>
          <w:rFonts w:hint="eastAsia"/>
        </w:rPr>
      </w:pPr>
      <w:r>
        <w:rPr>
          <w:sz w:val="21"/>
        </w:rPr>
        <w:t>[1] Ghosh, D. P. (2026). Niches, Strength and Memory. Supplied revised manuscript dated 16 October 2026. Source of the reported ADE benchmark means in Section 11.1.</w:t>
      </w:r>
    </w:p>
    <w:p w14:paraId="6317B73B" w14:textId="77777777" w:rsidR="000A5C6C" w:rsidRDefault="00000000">
      <w:pPr>
        <w:pStyle w:val="BodyText"/>
        <w:keepLines/>
        <w:spacing w:after="140"/>
        <w:ind w:left="360" w:hanging="360"/>
        <w:jc w:val="left"/>
        <w:rPr>
          <w:rFonts w:hint="eastAsia"/>
        </w:rPr>
      </w:pPr>
      <w:r>
        <w:rPr>
          <w:sz w:val="21"/>
        </w:rPr>
        <w:t xml:space="preserve">[2] Deb, K., and Jain, H. (2014). An Evolutionary Many-Objective Optimization Algorithm Using Reference-Point-Based Nondominated Sorting Approach, Part I: Solving Problems With Box Constraints. IEEE Transactions on Evolutionary Computation, 18(4), 577–601. </w:t>
      </w:r>
      <w:hyperlink r:id="rId9">
        <w:r>
          <w:t>https://doi.org/10.1109/TEVC.2013.2281535</w:t>
        </w:r>
      </w:hyperlink>
    </w:p>
    <w:p w14:paraId="1FDD2EE6" w14:textId="77777777" w:rsidR="000A5C6C" w:rsidRDefault="00000000">
      <w:pPr>
        <w:pStyle w:val="BodyText"/>
        <w:keepLines/>
        <w:spacing w:after="140"/>
        <w:ind w:left="360" w:hanging="360"/>
        <w:jc w:val="left"/>
        <w:rPr>
          <w:rFonts w:hint="eastAsia"/>
        </w:rPr>
      </w:pPr>
      <w:r>
        <w:rPr>
          <w:sz w:val="21"/>
        </w:rPr>
        <w:t xml:space="preserve">[3] Zitzler, E., Laumanns, M., and Thiele, L. (2001). SPEA2: Improving the Strength Pareto Evolutionary Algorithm. TIK Report 103, ETH Zurich. </w:t>
      </w:r>
      <w:hyperlink r:id="rId10">
        <w:r>
          <w:t>https://tik-db.ee.ethz.ch/db/public/tik/?db=publications&amp;form=report_single_publication&amp;publication_id=1287</w:t>
        </w:r>
      </w:hyperlink>
    </w:p>
    <w:p w14:paraId="035CE694" w14:textId="77777777" w:rsidR="000A5C6C" w:rsidRDefault="00000000">
      <w:pPr>
        <w:pStyle w:val="BodyText"/>
        <w:keepLines/>
        <w:spacing w:after="140"/>
        <w:ind w:left="360" w:hanging="360"/>
        <w:jc w:val="left"/>
        <w:rPr>
          <w:rFonts w:hint="eastAsia"/>
        </w:rPr>
      </w:pPr>
      <w:r>
        <w:rPr>
          <w:sz w:val="21"/>
        </w:rPr>
        <w:t xml:space="preserve">[4] Deb, K., Pratap, A., Agarwal, S., and Meyarivan, T. (2002). A fast and elitist multiobjective genetic algorithm: NSGA-II. IEEE Transactions on Evolutionary Computation, 6(2), 182–197. </w:t>
      </w:r>
      <w:hyperlink r:id="rId11">
        <w:r>
          <w:t>https://doi.org/10.1109/4235.996017</w:t>
        </w:r>
      </w:hyperlink>
    </w:p>
    <w:p w14:paraId="1E067803" w14:textId="77777777" w:rsidR="000A5C6C" w:rsidRDefault="00000000">
      <w:pPr>
        <w:pStyle w:val="BodyText"/>
        <w:keepLines/>
        <w:spacing w:after="140"/>
        <w:ind w:left="360" w:hanging="360"/>
        <w:jc w:val="left"/>
        <w:rPr>
          <w:rFonts w:hint="eastAsia"/>
        </w:rPr>
      </w:pPr>
      <w:r>
        <w:rPr>
          <w:sz w:val="21"/>
        </w:rPr>
        <w:lastRenderedPageBreak/>
        <w:t xml:space="preserve">[5] Blank, J., and Deb, K. (2020). pymoo: Multi-Objective Optimization in Python. IEEE Access, 8, 89497–89509. </w:t>
      </w:r>
      <w:hyperlink r:id="rId12">
        <w:r>
          <w:t>https://doi.org/10.1109/ACCESS.2020.2990567</w:t>
        </w:r>
      </w:hyperlink>
      <w:r>
        <w:rPr>
          <w:sz w:val="21"/>
        </w:rPr>
        <w:t xml:space="preserve">. Implementation documentation: </w:t>
      </w:r>
      <w:hyperlink r:id="rId13">
        <w:r>
          <w:t>https://pymoo.org/algorithms/moo/nsga3.html</w:t>
        </w:r>
      </w:hyperlink>
      <w:r>
        <w:rPr>
          <w:sz w:val="21"/>
        </w:rPr>
        <w:t xml:space="preserve"> and </w:t>
      </w:r>
      <w:hyperlink r:id="rId14">
        <w:r>
          <w:t>https://pymoo.org/algorithms/moo/spea2.html</w:t>
        </w:r>
      </w:hyperlink>
    </w:p>
    <w:p w14:paraId="7936C010" w14:textId="77777777" w:rsidR="000A5C6C" w:rsidRDefault="00000000">
      <w:pPr>
        <w:pStyle w:val="BodyText"/>
        <w:keepLines/>
        <w:spacing w:after="140"/>
        <w:ind w:left="360" w:hanging="360"/>
        <w:jc w:val="left"/>
        <w:rPr>
          <w:rFonts w:hint="eastAsia"/>
        </w:rPr>
      </w:pPr>
      <w:r>
        <w:rPr>
          <w:sz w:val="21"/>
        </w:rPr>
        <w:t xml:space="preserve">[6] Tallman, C. W., Steinmetz, P. N., and Wixted, J. T. (2025). Neuronal allocation and sparse coding of episodic memories in the human hippocampus. Scientific Reports, 15, 40430. Published 18 November 2025. </w:t>
      </w:r>
      <w:hyperlink r:id="rId15">
        <w:r>
          <w:t>https://doi.org/10.1038/s41598-025-21967-7</w:t>
        </w:r>
      </w:hyperlink>
    </w:p>
    <w:p w14:paraId="44730FC3" w14:textId="77777777" w:rsidR="000A5C6C" w:rsidRDefault="00000000">
      <w:pPr>
        <w:pStyle w:val="BodyText"/>
        <w:keepLines/>
        <w:spacing w:after="140"/>
        <w:ind w:left="360" w:hanging="360"/>
        <w:jc w:val="left"/>
        <w:rPr>
          <w:rFonts w:hint="eastAsia"/>
        </w:rPr>
      </w:pPr>
      <w:r>
        <w:rPr>
          <w:sz w:val="21"/>
        </w:rPr>
        <w:t xml:space="preserve">[7] Ko, S. Y., et al. (2025). Systems consolidation reorganizes hippocampal engram circuitry. Nature, 643, 735–743. Published online 14 May 2025. </w:t>
      </w:r>
      <w:hyperlink r:id="rId16">
        <w:r>
          <w:t>https://doi.org/10.1038/s41586-025-08993-1</w:t>
        </w:r>
      </w:hyperlink>
    </w:p>
    <w:p w14:paraId="0D307FB0" w14:textId="77777777" w:rsidR="000A5C6C" w:rsidRDefault="00000000">
      <w:pPr>
        <w:pStyle w:val="BodyText"/>
        <w:keepLines/>
        <w:spacing w:after="140"/>
        <w:ind w:left="360" w:hanging="360"/>
        <w:jc w:val="left"/>
        <w:rPr>
          <w:rFonts w:hint="eastAsia"/>
        </w:rPr>
      </w:pPr>
      <w:r>
        <w:rPr>
          <w:sz w:val="21"/>
        </w:rPr>
        <w:t xml:space="preserve">[8] Spens, E., and Burgess, N. (2026). Hippocampo-neocortical interaction as compressive retrieval-augmented generation. Nature Communications, 17, 7971. Published 25 June 2026. </w:t>
      </w:r>
      <w:hyperlink r:id="rId17">
        <w:r>
          <w:t>https://doi.org/10.1038/s41467-026-74357-6</w:t>
        </w:r>
      </w:hyperlink>
    </w:p>
    <w:p w14:paraId="189F403B" w14:textId="77777777" w:rsidR="000A5C6C" w:rsidRDefault="00000000">
      <w:pPr>
        <w:pStyle w:val="BodyText"/>
        <w:keepLines/>
        <w:spacing w:after="140"/>
        <w:ind w:left="360" w:hanging="360"/>
        <w:jc w:val="left"/>
        <w:rPr>
          <w:rFonts w:hint="eastAsia"/>
        </w:rPr>
      </w:pPr>
      <w:r>
        <w:rPr>
          <w:sz w:val="21"/>
        </w:rPr>
        <w:t xml:space="preserve">[9] Wei, C., Guan, H., Zhu, M., Zhou, K., He, J., Zhou, X., Chen, H., and Shen, Y. (2026). Self-Evolving Agent Harness. arXiv:2610.18813v1, 13 October. Preprint. </w:t>
      </w:r>
      <w:hyperlink r:id="rId18">
        <w:r>
          <w:t>https://arxiv.org/abs/2610.18813</w:t>
        </w:r>
      </w:hyperlink>
    </w:p>
    <w:p w14:paraId="306FE13D" w14:textId="77777777" w:rsidR="000A5C6C" w:rsidRDefault="00000000">
      <w:pPr>
        <w:pStyle w:val="BodyText"/>
        <w:keepLines/>
        <w:spacing w:after="140"/>
        <w:ind w:left="360" w:hanging="360"/>
        <w:jc w:val="left"/>
        <w:rPr>
          <w:rFonts w:hint="eastAsia"/>
        </w:rPr>
      </w:pPr>
      <w:r>
        <w:rPr>
          <w:sz w:val="21"/>
        </w:rPr>
        <w:t xml:space="preserve">[10] Yu, W., Miculicich, L., Mishra, B. D., Chen, J., Li, S., Fredrikson, M., Pfister, T., and Le, L. T. (2026). Harmony Harness: Multi-Objective Self-Evolution of Agent Harnesses. arXiv:2610.15150v1, 10 October. Preprint. </w:t>
      </w:r>
      <w:hyperlink r:id="rId19">
        <w:r>
          <w:t>https://arxiv.org/abs/2610.15150</w:t>
        </w:r>
      </w:hyperlink>
    </w:p>
    <w:p w14:paraId="4F20B7C7" w14:textId="77777777" w:rsidR="000A5C6C" w:rsidRDefault="00000000">
      <w:pPr>
        <w:pStyle w:val="Heading1"/>
        <w:rPr>
          <w:rFonts w:hint="eastAsia"/>
        </w:rPr>
      </w:pPr>
      <w:bookmarkStart w:id="37" w:name="appendix-a-executed-reference-kernels"/>
      <w:bookmarkEnd w:id="36"/>
      <w:r>
        <w:t>Appendix A Executed reference kernels</w:t>
      </w:r>
    </w:p>
    <w:p w14:paraId="3537263C" w14:textId="77777777" w:rsidR="000A5C6C" w:rsidRDefault="00000000">
      <w:pPr>
        <w:pStyle w:val="FirstParagraph"/>
        <w:rPr>
          <w:rFonts w:hint="eastAsia"/>
        </w:rPr>
      </w:pPr>
      <w:r>
        <w:t xml:space="preserve">Save this listing as </w:t>
      </w:r>
      <w:r>
        <w:rPr>
          <w:rStyle w:val="VerbatimChar"/>
        </w:rPr>
        <w:t>reference.py</w:t>
      </w:r>
      <w:r>
        <w:t>. It implements the checked finite-archive operations, not a complete ADE optimizer or a replacement implementation of NSGA-III or SPEA2. Objectives and geometry inputs are finite and dimensionally compatible. Distances are computed in a declared normalized representation; the code does not estimate NSGA-III hyperplane intercepts. Truncation operates on the supplied set and does not implement environmental filling. Protected IDs are positions in that set. The singleton density convention is explicitly zero. Stable tie rules use the input order unless the niche occupancy tie is randomized by the supplied generator.</w:t>
      </w:r>
    </w:p>
    <w:p w14:paraId="1FC29694" w14:textId="77777777" w:rsidR="000A5C6C" w:rsidRDefault="00000000">
      <w:pPr>
        <w:pStyle w:val="SourceCode"/>
        <w:keepLines/>
        <w:spacing w:before="80" w:after="80"/>
        <w:rPr>
          <w:rFonts w:hint="eastAsia"/>
        </w:rPr>
      </w:pPr>
      <w:r>
        <w:t>"""Finite archive kernels for Niches Strength and Memory."""</w:t>
      </w:r>
      <w:r>
        <w:br/>
        <w:t>import numpy as np</w:t>
      </w:r>
    </w:p>
    <w:p w14:paraId="071769E3" w14:textId="77777777" w:rsidR="000A5C6C" w:rsidRDefault="00000000">
      <w:pPr>
        <w:pStyle w:val="SourceCode"/>
        <w:keepLines/>
        <w:spacing w:before="80" w:after="80"/>
        <w:rPr>
          <w:rFonts w:hint="eastAsia"/>
        </w:rPr>
      </w:pPr>
      <w:r>
        <w:br/>
        <w:t>def directions(m, h):</w:t>
      </w:r>
      <w:r>
        <w:br/>
        <w:t xml:space="preserve">    if m &lt; 2 or h &lt; 1:</w:t>
      </w:r>
      <w:r>
        <w:br/>
        <w:t xml:space="preserve">        raise ValueError('need m &gt;= 2 and h &gt;= 1')</w:t>
      </w:r>
      <w:r>
        <w:br/>
        <w:t xml:space="preserve">    def compositions(left, slots):</w:t>
      </w:r>
      <w:r>
        <w:br/>
        <w:t xml:space="preserve">        if slots == 1:</w:t>
      </w:r>
      <w:r>
        <w:br/>
        <w:t xml:space="preserve">            yield [left]</w:t>
      </w:r>
      <w:r>
        <w:br/>
        <w:t xml:space="preserve">        else:</w:t>
      </w:r>
      <w:r>
        <w:br/>
        <w:t xml:space="preserve">            for k in range(left + 1):</w:t>
      </w:r>
      <w:r>
        <w:br/>
        <w:t xml:space="preserve">                for rest in compositions(left - k, slots - 1):</w:t>
      </w:r>
      <w:r>
        <w:br/>
        <w:t xml:space="preserve">                    yield [k] + rest</w:t>
      </w:r>
      <w:r>
        <w:br/>
        <w:t xml:space="preserve">    return np.array(list(compositions(h, m)), float) / h</w:t>
      </w:r>
    </w:p>
    <w:p w14:paraId="2845CCD5" w14:textId="77777777" w:rsidR="000A5C6C" w:rsidRDefault="00000000">
      <w:pPr>
        <w:pStyle w:val="SourceCode"/>
        <w:keepLines/>
        <w:spacing w:before="80" w:after="80"/>
        <w:rPr>
          <w:rFonts w:hint="eastAsia"/>
        </w:rPr>
      </w:pPr>
      <w:r>
        <w:lastRenderedPageBreak/>
        <w:br/>
        <w:t>def scores(f, k=1):</w:t>
      </w:r>
      <w:r>
        <w:br/>
        <w:t xml:space="preserve">    f = np.asarray(f, float)</w:t>
      </w:r>
      <w:r>
        <w:br/>
        <w:t xml:space="preserve">    n = len(f)</w:t>
      </w:r>
      <w:r>
        <w:br/>
        <w:t xml:space="preserve">    if f.ndim != 2 or n == 0 or not np.isfinite(f).all():</w:t>
      </w:r>
      <w:r>
        <w:br/>
        <w:t xml:space="preserve">        raise ValueError('need a nonempty finite objective matrix')</w:t>
      </w:r>
      <w:r>
        <w:br/>
        <w:t xml:space="preserve">    dom = np.all(f[:, None] &lt;= f[None, :], axis=2)</w:t>
      </w:r>
      <w:r>
        <w:br/>
        <w:t xml:space="preserve">    dom &amp;= np.any(f[:, None] &lt; f[None, :], axis=2)</w:t>
      </w:r>
      <w:r>
        <w:br/>
        <w:t xml:space="preserve">    strength = dom.sum(axis=1)</w:t>
      </w:r>
      <w:r>
        <w:br/>
        <w:t xml:space="preserve">    raw = dom.T @ strength</w:t>
      </w:r>
      <w:r>
        <w:br/>
        <w:t xml:space="preserve">    rank = np.zeros(n, int)</w:t>
      </w:r>
      <w:r>
        <w:br/>
        <w:t xml:space="preserve">    for j in np.lexsort(f.T[::-1]):</w:t>
      </w:r>
      <w:r>
        <w:br/>
        <w:t xml:space="preserve">        a = rank[dom[:, j]]</w:t>
      </w:r>
      <w:r>
        <w:br/>
        <w:t xml:space="preserve">        if len(a):</w:t>
      </w:r>
      <w:r>
        <w:br/>
        <w:t xml:space="preserve">            rank[j] = 1 + a.max()</w:t>
      </w:r>
      <w:r>
        <w:br/>
        <w:t xml:space="preserve">    density = np.zeros(n)</w:t>
      </w:r>
      <w:r>
        <w:br/>
        <w:t xml:space="preserve">    if n &gt; 1:</w:t>
      </w:r>
      <w:r>
        <w:br/>
        <w:t xml:space="preserve">        if not 1 &lt;= k &lt; n:</w:t>
      </w:r>
      <w:r>
        <w:br/>
        <w:t xml:space="preserve">            raise ValueError('need 1 &lt;= k &lt; archive size')</w:t>
      </w:r>
      <w:r>
        <w:br/>
        <w:t xml:space="preserve">        d = np.linalg.norm(f[:, None] - f[None, :], axis=2)</w:t>
      </w:r>
      <w:r>
        <w:br/>
        <w:t xml:space="preserve">        np.fill_diagonal(d, np.inf)</w:t>
      </w:r>
      <w:r>
        <w:br/>
        <w:t xml:space="preserve">        density = 1 / (np.sort(d, axis=1)[:, k-1] + 2)</w:t>
      </w:r>
      <w:r>
        <w:br/>
        <w:t xml:space="preserve">    return rank, strength, raw, density</w:t>
      </w:r>
    </w:p>
    <w:p w14:paraId="18CFD708" w14:textId="77777777" w:rsidR="000A5C6C" w:rsidRDefault="00000000">
      <w:pPr>
        <w:pStyle w:val="SourceCode"/>
        <w:keepLines/>
        <w:spacing w:before="80" w:after="80"/>
        <w:rPr>
          <w:rFonts w:hint="eastAsia"/>
        </w:rPr>
      </w:pPr>
      <w:r>
        <w:br/>
        <w:t>def perpendicular(v, w, ray=True):</w:t>
      </w:r>
      <w:r>
        <w:br/>
        <w:t xml:space="preserve">    v, w = np.asarray(v, float), np.asarray(w, float)</w:t>
      </w:r>
      <w:r>
        <w:br/>
        <w:t xml:space="preserve">    w = w / np.linalg.norm(w, axis=1, keepdims=True)</w:t>
      </w:r>
      <w:r>
        <w:br/>
        <w:t xml:space="preserve">    projection = v @ w.T</w:t>
      </w:r>
      <w:r>
        <w:br/>
        <w:t xml:space="preserve">    if ray:</w:t>
      </w:r>
      <w:r>
        <w:br/>
        <w:t xml:space="preserve">        projection = np.maximum(projection, 0)</w:t>
      </w:r>
      <w:r>
        <w:br/>
        <w:t xml:space="preserve">    residual = v[:, None] - projection[:, :, None]*w[None]</w:t>
      </w:r>
      <w:r>
        <w:br/>
        <w:t xml:space="preserve">    return np.linalg.norm(residual, axis=2)</w:t>
      </w:r>
    </w:p>
    <w:p w14:paraId="7879049A" w14:textId="77777777" w:rsidR="000A5C6C" w:rsidRDefault="00000000">
      <w:pPr>
        <w:pStyle w:val="SourceCode"/>
        <w:keepLines/>
        <w:spacing w:before="80" w:after="80"/>
        <w:rPr>
          <w:rFonts w:hint="eastAsia"/>
        </w:rPr>
      </w:pPr>
      <w:r>
        <w:br/>
        <w:t>def niche(v, first, w, rng):</w:t>
      </w:r>
      <w:r>
        <w:br/>
        <w:t xml:space="preserve">    distance = perpendicular(v, w)</w:t>
      </w:r>
      <w:r>
        <w:br/>
        <w:t xml:space="preserve">    associated = distance.argmin(axis=1)</w:t>
      </w:r>
      <w:r>
        <w:br/>
        <w:t xml:space="preserve">    eligible = np.unique(associated)</w:t>
      </w:r>
      <w:r>
        <w:br/>
        <w:t xml:space="preserve">    count = np.bincount(associated[np.asarray(first, bool)],</w:t>
      </w:r>
      <w:r>
        <w:br/>
        <w:t xml:space="preserve">                        minlength=len(w))</w:t>
      </w:r>
      <w:r>
        <w:br/>
        <w:t xml:space="preserve">    least = eligible[count[eligible] == count[eligible].min()]</w:t>
      </w:r>
      <w:r>
        <w:br/>
        <w:t xml:space="preserve">    j = int(rng.choice(least))</w:t>
      </w:r>
      <w:r>
        <w:br/>
        <w:t xml:space="preserve">    d = distance[:, j]</w:t>
      </w:r>
      <w:r>
        <w:br/>
        <w:t xml:space="preserve">    normalized = d / d.max() if d.max() &gt; 0 else np.zeros(len(d))</w:t>
      </w:r>
      <w:r>
        <w:br/>
        <w:t xml:space="preserve">    return j, normalized, count</w:t>
      </w:r>
    </w:p>
    <w:p w14:paraId="55B278B6" w14:textId="77777777" w:rsidR="000A5C6C" w:rsidRDefault="00000000">
      <w:pPr>
        <w:pStyle w:val="SourceCode"/>
        <w:keepLines/>
        <w:spacing w:before="80" w:after="80"/>
        <w:rPr>
          <w:rFonts w:hint="eastAsia"/>
        </w:rPr>
      </w:pPr>
      <w:r>
        <w:br/>
        <w:t>def truncate(v, capacity, protected=()):</w:t>
      </w:r>
      <w:r>
        <w:br/>
        <w:t xml:space="preserve">    """Lexicographic distance truncation; exact protected IDs."""</w:t>
      </w:r>
      <w:r>
        <w:br/>
        <w:t xml:space="preserve">    v = np.asarray(v, float)</w:t>
      </w:r>
      <w:r>
        <w:br/>
        <w:t xml:space="preserve">    keep = list(range(len(v)))</w:t>
      </w:r>
      <w:r>
        <w:br/>
        <w:t xml:space="preserve">    protected = set(protected)</w:t>
      </w:r>
      <w:r>
        <w:br/>
        <w:t xml:space="preserve">    if capacity &lt; 0 or len(protected) &gt; capacity:</w:t>
      </w:r>
      <w:r>
        <w:br/>
        <w:t xml:space="preserve">        raise ValueError('capacity cannot retain protected records')</w:t>
      </w:r>
      <w:r>
        <w:br/>
        <w:t xml:space="preserve">    if not protected.issubset(keep):</w:t>
      </w:r>
      <w:r>
        <w:br/>
        <w:t xml:space="preserve">        raise ValueError('protected ID absent')</w:t>
      </w:r>
      <w:r>
        <w:br/>
        <w:t xml:space="preserve">    d = np.linalg.norm(v[:, None] - v[None, :], axis=2)</w:t>
      </w:r>
      <w:r>
        <w:br/>
        <w:t xml:space="preserve">    while len(keep) &gt; capacity:</w:t>
      </w:r>
      <w:r>
        <w:br/>
        <w:t xml:space="preserve">        candidates = [i for i in keep if i not in protected]</w:t>
      </w:r>
      <w:r>
        <w:br/>
        <w:t xml:space="preserve">        def key(i):</w:t>
      </w:r>
      <w:r>
        <w:br/>
        <w:t xml:space="preserve">            return tuple(sorted(d[i, j] for j in keep if j != i))+(i,)</w:t>
      </w:r>
      <w:r>
        <w:br/>
        <w:t xml:space="preserve">        keep.remove(min(candidates, key=key))</w:t>
      </w:r>
      <w:r>
        <w:br/>
        <w:t xml:space="preserve">    return np.array(keep, int)</w:t>
      </w:r>
    </w:p>
    <w:p w14:paraId="3ACDC631" w14:textId="77777777" w:rsidR="000A5C6C" w:rsidRDefault="00000000">
      <w:pPr>
        <w:pStyle w:val="SourceCode"/>
        <w:keepLines/>
        <w:spacing w:before="80" w:after="80"/>
        <w:rPr>
          <w:rFonts w:hint="eastAsia"/>
        </w:rPr>
      </w:pPr>
      <w:r>
        <w:lastRenderedPageBreak/>
        <w:br/>
        <w:t>def primary_gap(c):</w:t>
      </w:r>
      <w:r>
        <w:br/>
        <w:t xml:space="preserve">    difference = np.diff(np.unique(np.asarray(c, float)))</w:t>
      </w:r>
      <w:r>
        <w:br/>
        <w:t xml:space="preserve">    return float(difference.min()) if len(difference) else np.inf</w:t>
      </w:r>
    </w:p>
    <w:p w14:paraId="03392B1C" w14:textId="77777777" w:rsidR="000A5C6C" w:rsidRDefault="00000000">
      <w:pPr>
        <w:pStyle w:val="SourceCode"/>
        <w:keepLines/>
        <w:spacing w:before="80" w:after="80"/>
        <w:rPr>
          <w:rFonts w:hint="eastAsia"/>
        </w:rPr>
      </w:pPr>
      <w:r>
        <w:br/>
        <w:t>def readout(y, logweight, query, a):</w:t>
      </w:r>
      <w:r>
        <w:br/>
        <w:t xml:space="preserve">    y, query = np.asarray(y, float), np.asarray(query, float)</w:t>
      </w:r>
      <w:r>
        <w:br/>
        <w:t xml:space="preserve">    if not 0 &lt; a &lt; 1:</w:t>
      </w:r>
      <w:r>
        <w:br/>
        <w:t xml:space="preserve">        raise ValueError('need 0 &lt; a &lt; 1')</w:t>
      </w:r>
      <w:r>
        <w:br/>
        <w:t xml:space="preserve">    logits = np.asarray(logweight) - np.sum(</w:t>
      </w:r>
      <w:r>
        <w:br/>
        <w:t xml:space="preserve">        (query - np.sqrt(a)*y)**2, axis=1)/(2*(1-a))</w:t>
      </w:r>
      <w:r>
        <w:br/>
        <w:t xml:space="preserve">    w = np.exp(logits-logits.max())</w:t>
      </w:r>
      <w:r>
        <w:br/>
        <w:t xml:space="preserve">    return w @ y / w.sum()</w:t>
      </w:r>
    </w:p>
    <w:p w14:paraId="43377477" w14:textId="77777777" w:rsidR="000A5C6C" w:rsidRDefault="00000000">
      <w:pPr>
        <w:pStyle w:val="Heading1"/>
        <w:rPr>
          <w:rFonts w:hint="eastAsia"/>
        </w:rPr>
      </w:pPr>
      <w:bookmarkStart w:id="38" w:name="appendix-b-reproduction-driver"/>
      <w:bookmarkEnd w:id="37"/>
      <w:r>
        <w:t>Appendix B Reproduction driver</w:t>
      </w:r>
    </w:p>
    <w:p w14:paraId="417BC1EA" w14:textId="77777777" w:rsidR="000A5C6C" w:rsidRDefault="00000000">
      <w:pPr>
        <w:pStyle w:val="FirstParagraph"/>
        <w:rPr>
          <w:rFonts w:hint="eastAsia"/>
        </w:rPr>
      </w:pPr>
      <w:r>
        <w:t xml:space="preserve">Save this listing as </w:t>
      </w:r>
      <w:r>
        <w:rPr>
          <w:rStyle w:val="VerbatimChar"/>
        </w:rPr>
        <w:t>checks.py</w:t>
      </w:r>
      <w:r>
        <w:t xml:space="preserve"> beside Appendix A and run </w:t>
      </w:r>
      <w:r>
        <w:rPr>
          <w:rStyle w:val="VerbatimChar"/>
        </w:rPr>
        <w:t>python checks.py</w:t>
      </w:r>
      <w:r>
        <w:t>. It reproduces the Section 11.2 numerical results; generating the two figures is unnecessary for the checks. The uniform-sample example intentionally uses an elitist memory to exhibit selection bias. The random-retention example conditions on a separate realized log and uses independent Bernoulli retention. The compression example holds target-specific weights fixed while approximating origins and returned values. All displayed random results refer to this seed and software environment.</w:t>
      </w:r>
    </w:p>
    <w:p w14:paraId="43CAFFD4" w14:textId="77777777" w:rsidR="000A5C6C" w:rsidRDefault="00000000">
      <w:pPr>
        <w:pStyle w:val="SourceCode"/>
        <w:keepLines/>
        <w:spacing w:before="80" w:after="80"/>
        <w:rPr>
          <w:rFonts w:hint="eastAsia"/>
        </w:rPr>
      </w:pPr>
      <w:r>
        <w:t>import json, platform</w:t>
      </w:r>
      <w:r>
        <w:br/>
        <w:t>import numpy as np</w:t>
      </w:r>
      <w:r>
        <w:br/>
        <w:t>import scipy</w:t>
      </w:r>
      <w:r>
        <w:br/>
        <w:t>from scipy.special import logsumexp</w:t>
      </w:r>
      <w:r>
        <w:br/>
        <w:t>from reference import directions, scores, perpendicular, niche</w:t>
      </w:r>
      <w:r>
        <w:br/>
        <w:t>from reference import truncate, primary_gap, readout</w:t>
      </w:r>
    </w:p>
    <w:p w14:paraId="5DC54F57" w14:textId="77777777" w:rsidR="000A5C6C" w:rsidRDefault="00000000">
      <w:pPr>
        <w:pStyle w:val="SourceCode"/>
        <w:keepLines/>
        <w:spacing w:before="80" w:after="80"/>
        <w:rPr>
          <w:rFonts w:hint="eastAsia"/>
        </w:rPr>
      </w:pPr>
      <w:r>
        <w:t>rng=np.random.default_rng(20261017)</w:t>
      </w:r>
      <w:r>
        <w:br/>
        <w:t>out={'seed':20261017,'python':platform.python_version(),</w:t>
      </w:r>
      <w:r>
        <w:br/>
        <w:t xml:space="preserve">     'numpy':np.__version__,'scipy':scipy.__version__}</w:t>
      </w:r>
      <w:r>
        <w:br/>
        <w:t>count=[len(directions(m,h)) for m,h in [(2,99),(3,12),(5,5)]]</w:t>
      </w:r>
      <w:r>
        <w:br/>
        <w:t>assert count==[100,91,126]</w:t>
      </w:r>
      <w:r>
        <w:br/>
        <w:t>out['directions']=count</w:t>
      </w:r>
    </w:p>
    <w:p w14:paraId="7581A8F3" w14:textId="77777777" w:rsidR="000A5C6C" w:rsidRDefault="00000000">
      <w:pPr>
        <w:pStyle w:val="SourceCode"/>
        <w:keepLines/>
        <w:spacing w:before="80" w:after="80"/>
        <w:rPr>
          <w:rFonts w:hint="eastAsia"/>
        </w:rPr>
      </w:pPr>
      <w:r>
        <w:t># Test exact dominance and SPEA2 fitness statements on tied data.</w:t>
      </w:r>
      <w:r>
        <w:br/>
        <w:t>checked=0; margin=[]</w:t>
      </w:r>
      <w:r>
        <w:br/>
        <w:t>for n in range(2,82):</w:t>
      </w:r>
      <w:r>
        <w:br/>
        <w:t xml:space="preserve">    f=rng.integers(0,12,(n,3)).astype(float)</w:t>
      </w:r>
      <w:r>
        <w:br/>
        <w:t xml:space="preserve">    r,s,R,D=scores(f,max(1,int(np.sqrt(n))))</w:t>
      </w:r>
      <w:r>
        <w:br/>
        <w:t xml:space="preserve">    assert np.array_equal(R==0,r==0)</w:t>
      </w:r>
      <w:r>
        <w:br/>
        <w:t xml:space="preserve">    assert np.all((D&gt;0)&amp;(D&lt;=.5))</w:t>
      </w:r>
      <w:r>
        <w:br/>
        <w:t xml:space="preserve">    assert np.all((R+D)[r==0]&lt;=.5)</w:t>
      </w:r>
      <w:r>
        <w:br/>
        <w:t xml:space="preserve">    assert np.all((R+D)[r&gt;0]&gt;1)</w:t>
      </w:r>
      <w:r>
        <w:br/>
        <w:t xml:space="preserve">    for i in range(n):</w:t>
      </w:r>
      <w:r>
        <w:br/>
        <w:t xml:space="preserve">        for j in range(n):</w:t>
      </w:r>
      <w:r>
        <w:br/>
        <w:t xml:space="preserve">            if np.all(f[i]&lt;=f[j]) and np.any(f[i]&lt;f[j]):</w:t>
      </w:r>
      <w:r>
        <w:br/>
        <w:t xml:space="preserve">                assert R[j]&gt;=R[i]+s[i]</w:t>
      </w:r>
      <w:r>
        <w:br/>
        <w:t xml:space="preserve">                margin.append(float((R+D)[j]-(R+D)[i]))</w:t>
      </w:r>
      <w:r>
        <w:br/>
        <w:t xml:space="preserve">                checked+=1</w:t>
      </w:r>
      <w:r>
        <w:br/>
        <w:t>out['fitness']={'archives':80,'dominance_pairs':checked,</w:t>
      </w:r>
      <w:r>
        <w:br/>
        <w:t xml:space="preserve">                'minimum_gap':min(margin)}</w:t>
      </w:r>
    </w:p>
    <w:p w14:paraId="0A3B6525" w14:textId="77777777" w:rsidR="000A5C6C" w:rsidRDefault="00000000">
      <w:pPr>
        <w:pStyle w:val="SourceCode"/>
        <w:keepLines/>
        <w:spacing w:before="80" w:after="80"/>
        <w:rPr>
          <w:rFonts w:hint="eastAsia"/>
        </w:rPr>
      </w:pPr>
      <w:r>
        <w:lastRenderedPageBreak/>
        <w:t># Uniform composite bound and an adversarial endpoint tie.</w:t>
      </w:r>
      <w:r>
        <w:br/>
        <w:t>c=np.array([0.,.25,.5,1.]); d=np.array([1.,0.,.5,0.])</w:t>
      </w:r>
      <w:r>
        <w:br/>
        <w:t>g=primary_gap(c)</w:t>
      </w:r>
      <w:r>
        <w:br/>
        <w:t>assert c[0]+g*d[0]==c[1]+g*d[1]</w:t>
      </w:r>
      <w:r>
        <w:br/>
        <w:t>for rep in range(100):</w:t>
      </w:r>
      <w:r>
        <w:br/>
        <w:t xml:space="preserve">    secondary=rng.random(4)</w:t>
      </w:r>
      <w:r>
        <w:br/>
        <w:t xml:space="preserve">    composite=c+.9*g*secondary</w:t>
      </w:r>
      <w:r>
        <w:br/>
        <w:t xml:space="preserve">    assert np.all(np.diff(composite)&gt;0)</w:t>
      </w:r>
      <w:r>
        <w:br/>
        <w:t>out['composite']={'gap':g,'strict_cases':100,'tie_at_gamma_gap':True}</w:t>
      </w:r>
    </w:p>
    <w:p w14:paraId="23A40174" w14:textId="77777777" w:rsidR="000A5C6C" w:rsidRDefault="00000000">
      <w:pPr>
        <w:pStyle w:val="SourceCode"/>
        <w:keepLines/>
        <w:spacing w:before="80" w:after="80"/>
        <w:rPr>
          <w:rFonts w:hint="eastAsia"/>
        </w:rPr>
      </w:pPr>
      <w:r>
        <w:t># Line and ray distances agree in the nonnegative orthant.</w:t>
      </w:r>
      <w:r>
        <w:br/>
        <w:t>f=rng.random((60,3));w=directions(3,12)</w:t>
      </w:r>
      <w:r>
        <w:br/>
        <w:t>diff=np.max(np.abs(perpendicular(f,w,False)-perpendicular(f,w,True)))</w:t>
      </w:r>
      <w:r>
        <w:br/>
        <w:t>assert diff&lt;1e-12</w:t>
      </w:r>
      <w:r>
        <w:br/>
        <w:t>assert abs(perpendicular([[-1,0]],[[1,0]],False)[0,0])&lt;1e-12</w:t>
      </w:r>
      <w:r>
        <w:br/>
        <w:t>assert perpendicular([[-1,0]],[[1,0]],True)[0,0]==1</w:t>
      </w:r>
      <w:r>
        <w:br/>
        <w:t>out['ray_line_max_error']=float(diff)</w:t>
      </w:r>
    </w:p>
    <w:p w14:paraId="65D87DC7" w14:textId="77777777" w:rsidR="000A5C6C" w:rsidRDefault="00000000">
      <w:pPr>
        <w:pStyle w:val="SourceCode"/>
        <w:keepLines/>
        <w:spacing w:before="80" w:after="80"/>
        <w:rPr>
          <w:rFonts w:hint="eastAsia"/>
        </w:rPr>
      </w:pPr>
      <w:r>
        <w:t># Niche choice must use a least-occupied eligible direction.</w:t>
      </w:r>
      <w:r>
        <w:br/>
        <w:t>first = scores(f)[0] == 0</w:t>
      </w:r>
      <w:r>
        <w:br/>
        <w:t>j, distance, occupancy = niche(f, first, w, np.random.default_rng(42))</w:t>
      </w:r>
      <w:r>
        <w:br/>
        <w:t>eligible = np.unique(perpendicular(f, w).argmin(axis=1))</w:t>
      </w:r>
      <w:r>
        <w:br/>
        <w:t>assert j in eligible and occupancy[j] == occupancy[eligible].min()</w:t>
      </w:r>
      <w:r>
        <w:br/>
        <w:t>j0, zero, _ = niche(np.zeros((3,3)), np.ones(3,bool), w,</w:t>
      </w:r>
      <w:r>
        <w:br/>
        <w:t xml:space="preserve">                    np.random.default_rng(42))</w:t>
      </w:r>
      <w:r>
        <w:br/>
        <w:t>assert j0 == 0 and np.all(zero == 0)</w:t>
      </w:r>
      <w:r>
        <w:br/>
        <w:t>out['niche'] = {'least_occupied':True,'zero_extent_distance_finite':True}</w:t>
      </w:r>
    </w:p>
    <w:p w14:paraId="3D5E35CD" w14:textId="77777777" w:rsidR="000A5C6C" w:rsidRDefault="00000000">
      <w:pPr>
        <w:pStyle w:val="SourceCode"/>
        <w:keepLines/>
        <w:spacing w:before="80" w:after="80"/>
        <w:rPr>
          <w:rFonts w:hint="eastAsia"/>
        </w:rPr>
      </w:pPr>
      <w:r>
        <w:t># Truncation respects specified protected records or rejects the request.</w:t>
      </w:r>
      <w:r>
        <w:br/>
        <w:t>f=np.array([[0.,1.,1.],[1.,0.,1.],[1.,1.,0.],[.7,.7,.7]])</w:t>
      </w:r>
      <w:r>
        <w:br/>
        <w:t>keep=truncate(f,3,protected=[0,1,2])</w:t>
      </w:r>
      <w:r>
        <w:br/>
        <w:t>assert np.array_equal(keep,[0,1,2])</w:t>
      </w:r>
      <w:r>
        <w:br/>
        <w:t>try:</w:t>
      </w:r>
      <w:r>
        <w:br/>
        <w:t xml:space="preserve">    truncate(f,2,protected=[0,1,2])</w:t>
      </w:r>
      <w:r>
        <w:br/>
        <w:t xml:space="preserve">    raise AssertionError('infeasible protection accepted')</w:t>
      </w:r>
      <w:r>
        <w:br/>
        <w:t>except ValueError:</w:t>
      </w:r>
      <w:r>
        <w:br/>
        <w:t xml:space="preserve">    pass</w:t>
      </w:r>
      <w:r>
        <w:br/>
        <w:t>out['truncation']={'kept':keep.tolist(),'infeasible_protection_rejected':True}</w:t>
      </w:r>
    </w:p>
    <w:p w14:paraId="6242D2A3" w14:textId="77777777" w:rsidR="000A5C6C" w:rsidRDefault="00000000">
      <w:pPr>
        <w:pStyle w:val="SourceCode"/>
        <w:keepLines/>
        <w:spacing w:before="80" w:after="80"/>
        <w:rPr>
          <w:rFonts w:hint="eastAsia"/>
        </w:rPr>
      </w:pPr>
      <w:r>
        <w:t># Duplicate origins and equal responses, but different draw probabilities.</w:t>
      </w:r>
      <w:r>
        <w:br/>
        <w:t>y=np.array([[.1,.2],[.1,.2],[.8,.4]])</w:t>
      </w:r>
      <w:r>
        <w:br/>
        <w:t>q=np.array([-.5,-2.,-1.5]); logprior=np.array([-1.,-1.,-1.])</w:t>
      </w:r>
      <w:r>
        <w:br/>
        <w:t>loss=np.array([.3,.3,.7]); logw=logprior-2*loss-q</w:t>
      </w:r>
      <w:r>
        <w:br/>
        <w:t>merged=np.array([logsumexp(logw[:2]),logw[2]])</w:t>
      </w:r>
      <w:r>
        <w:br/>
        <w:t>m1=readout(y,logw,[.4,.3],.6)</w:t>
      </w:r>
      <w:r>
        <w:br/>
        <w:t>m2=readout(y[[0,2]],merged,[.4,.3],.6)</w:t>
      </w:r>
      <w:r>
        <w:br/>
        <w:t>assert np.max(np.abs(m1-m2))&lt;1e-14</w:t>
      </w:r>
      <w:r>
        <w:br/>
        <w:t>out['merge']={'weight':float(np.exp(merged[0])),</w:t>
      </w:r>
      <w:r>
        <w:br/>
        <w:t xml:space="preserve"> 'wrong_count_weight':float(2*np.exp(logw[0])),</w:t>
      </w:r>
      <w:r>
        <w:br/>
        <w:t xml:space="preserve"> 'mean_error':float(np.max(np.abs(m1-m2)))}</w:t>
      </w:r>
    </w:p>
    <w:p w14:paraId="389796E6" w14:textId="77777777" w:rsidR="000A5C6C" w:rsidRDefault="00000000">
      <w:pPr>
        <w:pStyle w:val="SourceCode"/>
        <w:keepLines/>
        <w:spacing w:before="80" w:after="80"/>
        <w:rPr>
          <w:rFonts w:hint="eastAsia"/>
        </w:rPr>
      </w:pPr>
      <w:r>
        <w:t># Archive-only selection has permanent probability-estimation bias.</w:t>
      </w:r>
      <w:r>
        <w:br/>
        <w:t>x=rng.random(100000); full=np.cumsum(x)/np.arange(1,len(x)+1)</w:t>
      </w:r>
      <w:r>
        <w:br/>
        <w:t># The 64 smallest sampled values constitute a deliberately elitist memory.</w:t>
      </w:r>
      <w:r>
        <w:br/>
        <w:t>small=np.partition(x,63)[:64]</w:t>
      </w:r>
      <w:r>
        <w:br/>
        <w:t>out['selection']={'reference_mean':.5,'full_log_mean':float(x.mean()),</w:t>
      </w:r>
      <w:r>
        <w:br/>
        <w:t xml:space="preserve">                  'elite_64_mean':float(small.mean())}</w:t>
      </w:r>
    </w:p>
    <w:p w14:paraId="2A84CDAC" w14:textId="77777777" w:rsidR="000A5C6C" w:rsidRDefault="00000000">
      <w:pPr>
        <w:pStyle w:val="SourceCode"/>
        <w:keepLines/>
        <w:spacing w:before="80" w:after="80"/>
        <w:rPr>
          <w:rFonts w:hint="eastAsia"/>
        </w:rPr>
      </w:pPr>
      <w:r>
        <w:lastRenderedPageBreak/>
        <w:t># Conditional random retention: unbiased raw numerator, biased ratio allowed.</w:t>
      </w:r>
      <w:r>
        <w:br/>
        <w:t>base_x=np.linspace(0,1,1001); base_w=np.exp(-3*base_x)</w:t>
      </w:r>
      <w:r>
        <w:br/>
        <w:t>full_mean=float(base_w@base_x/base_w.sum())</w:t>
      </w:r>
      <w:r>
        <w:br/>
        <w:t>retained=[]; numer=[]</w:t>
      </w:r>
      <w:r>
        <w:br/>
        <w:t>for rep in range(2000):</w:t>
      </w:r>
      <w:r>
        <w:br/>
        <w:t xml:space="preserve">    selected=rng.random(len(base_x))&lt;.2</w:t>
      </w:r>
      <w:r>
        <w:br/>
        <w:t xml:space="preserve">    w=base_w[selected]/.2</w:t>
      </w:r>
      <w:r>
        <w:br/>
        <w:t xml:space="preserve">    retained.append(float(w@base_x[selected]/w.sum()))</w:t>
      </w:r>
      <w:r>
        <w:br/>
        <w:t xml:space="preserve">    numer.append(float(w@base_x[selected]))</w:t>
      </w:r>
      <w:r>
        <w:br/>
        <w:t>out['random_retention']={'full_ratio':full_mean,</w:t>
      </w:r>
      <w:r>
        <w:br/>
        <w:t xml:space="preserve"> 'retained_ratio_average':float(np.mean(retained)),</w:t>
      </w:r>
      <w:r>
        <w:br/>
        <w:t xml:space="preserve"> 'raw_numerator_relative_error':float(abs(np.mean(numer)-base_w@base_x)/(base_w@base_x))}</w:t>
      </w:r>
    </w:p>
    <w:p w14:paraId="43D30A56" w14:textId="77777777" w:rsidR="000A5C6C" w:rsidRDefault="00000000">
      <w:pPr>
        <w:pStyle w:val="SourceCode"/>
        <w:keepLines/>
        <w:spacing w:before="80" w:after="80"/>
        <w:rPr>
          <w:rFonts w:hint="eastAsia"/>
        </w:rPr>
      </w:pPr>
      <w:r>
        <w:t># Approximate compression: fixed target weights and bounded origin perturbation.</w:t>
      </w:r>
      <w:r>
        <w:br/>
        <w:t>y=np.sort(rng.uniform(-1,1,2000))[:,None]</w:t>
      </w:r>
      <w:r>
        <w:br/>
        <w:t>lw=-2*y[:,0]**2</w:t>
      </w:r>
      <w:r>
        <w:br/>
        <w:t>rows=[]; curves=[]</w:t>
      </w:r>
      <w:r>
        <w:br/>
        <w:t>for bins in [4,8,16,32]:</w:t>
      </w:r>
      <w:r>
        <w:br/>
        <w:t xml:space="preserve">    cluster=np.minimum(((y[:,0]+1)*bins/2).astype(int),bins-1)</w:t>
      </w:r>
      <w:r>
        <w:br/>
        <w:t xml:space="preserve">    centers=[]; masses=[];delta=0</w:t>
      </w:r>
      <w:r>
        <w:br/>
        <w:t xml:space="preserve">    for c0 in range(bins):</w:t>
      </w:r>
      <w:r>
        <w:br/>
        <w:t xml:space="preserve">        a0=np.flatnonzero(cluster==c0)</w:t>
      </w:r>
      <w:r>
        <w:br/>
        <w:t xml:space="preserve">        center=float(np.mean(y[a0,0])); centers.append([center])</w:t>
      </w:r>
      <w:r>
        <w:br/>
        <w:t xml:space="preserve">        masses.append(logsumexp(lw[a0]))</w:t>
      </w:r>
      <w:r>
        <w:br/>
        <w:t xml:space="preserve">        delta=max(delta,float(np.max(abs(y[a0,0]-center))))</w:t>
      </w:r>
      <w:r>
        <w:br/>
        <w:t xml:space="preserve">    for a in [.2,.8,.98]:</w:t>
      </w:r>
      <w:r>
        <w:br/>
        <w:t xml:space="preserve">        err=float(abs(readout(y,lw,[.3],a)[0]-</w:t>
      </w:r>
      <w:r>
        <w:br/>
        <w:t xml:space="preserve">                      readout(centers,masses,[.3],a)[0]))</w:t>
      </w:r>
      <w:r>
        <w:br/>
        <w:t xml:space="preserve">        L=np.sqrt(a)*(.3+np.sqrt(a))/(1-a)</w:t>
      </w:r>
      <w:r>
        <w:br/>
        <w:t xml:space="preserve">        bound=delta+2*min(1,float(np.expm1(min(2*L*delta,50))))</w:t>
      </w:r>
      <w:r>
        <w:br/>
        <w:t xml:space="preserve">        assert err&lt;=bound+1e-12</w:t>
      </w:r>
      <w:r>
        <w:br/>
        <w:t xml:space="preserve">        rows.append([bins,a,delta,err,bound])</w:t>
      </w:r>
      <w:r>
        <w:br/>
        <w:t>out['compression']={'cases':len(rows),'max_error':max(r[3] for r in rows),</w:t>
      </w:r>
      <w:r>
        <w:br/>
        <w:t xml:space="preserve">                    'minimum_bound_slack':min(r[4]-r[3] for r in rows)}</w:t>
      </w:r>
    </w:p>
    <w:p w14:paraId="124070B1" w14:textId="77777777" w:rsidR="000A5C6C" w:rsidRDefault="00000000">
      <w:pPr>
        <w:pStyle w:val="SourceCode"/>
        <w:keepLines/>
        <w:spacing w:before="80" w:after="80"/>
        <w:rPr>
          <w:rFonts w:hint="eastAsia"/>
        </w:rPr>
      </w:pPr>
      <w:r>
        <w:t># Analytic fixed-escape probability under a defensive reference.</w:t>
      </w:r>
      <w:r>
        <w:br/>
        <w:t>out['escape']={'epsilon':.1,'reference_mass':.02,</w:t>
      </w:r>
      <w:r>
        <w:br/>
        <w:t xml:space="preserve"> 'attempts_for_95_percent_hit':int(np.ceil(np.log(.05)/np.log(1-.1*.02)))}</w:t>
      </w:r>
      <w:r>
        <w:br/>
        <w:t>print(json.dumps(out,indent=2))</w:t>
      </w:r>
      <w:bookmarkEnd w:id="38"/>
    </w:p>
    <w:sectPr w:rsidR="000A5C6C" w:rsidSect="00034616">
      <w:footerReference w:type="default" r:id="rId20"/>
      <w:pgSz w:w="12240" w:h="15840"/>
      <w:pgMar w:top="1051" w:right="1152" w:bottom="1037"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06DDF" w14:textId="77777777" w:rsidR="007E04B7" w:rsidRDefault="007E04B7">
      <w:pPr>
        <w:spacing w:after="0" w:line="240" w:lineRule="auto"/>
        <w:rPr>
          <w:rFonts w:hint="eastAsia"/>
        </w:rPr>
      </w:pPr>
      <w:r>
        <w:separator/>
      </w:r>
    </w:p>
  </w:endnote>
  <w:endnote w:type="continuationSeparator" w:id="0">
    <w:p w14:paraId="54D01181" w14:textId="77777777" w:rsidR="007E04B7" w:rsidRDefault="007E04B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Nimbus Roman">
    <w:altName w:val="Cambria"/>
    <w:panose1 w:val="00000000000000000000"/>
    <w:charset w:val="00"/>
    <w:family w:val="roman"/>
    <w:notTrueType/>
    <w:pitch w:val="default"/>
  </w:font>
  <w:font w:name="Nimbus Sans">
    <w:altName w:val="Cambria"/>
    <w:panose1 w:val="00000000000000000000"/>
    <w:charset w:val="00"/>
    <w:family w:val="roman"/>
    <w:notTrueType/>
    <w:pitch w:val="default"/>
  </w:font>
  <w:font w:name="Courier">
    <w:panose1 w:val="020704090202050204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ejaVu Sans Mono">
    <w:altName w:val="Verdan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5E9A3" w14:textId="77777777" w:rsidR="000A5C6C" w:rsidRDefault="00000000">
    <w:pPr>
      <w:pStyle w:val="Footer"/>
      <w:jc w:val="center"/>
      <w:rPr>
        <w:rFonts w:hint="eastAsia"/>
      </w:rPr>
    </w:pPr>
    <w:r>
      <w:fldChar w:fldCharType="begin"/>
    </w:r>
    <w:r>
      <w:instrText>PAGE</w:instrText>
    </w:r>
    <w:r>
      <w:rPr>
        <w:rFonts w:hint="eastAsia"/>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7300FD" w14:textId="77777777" w:rsidR="007E04B7" w:rsidRDefault="007E04B7">
      <w:pPr>
        <w:rPr>
          <w:rFonts w:hint="eastAsia"/>
        </w:rPr>
      </w:pPr>
      <w:r>
        <w:separator/>
      </w:r>
    </w:p>
  </w:footnote>
  <w:footnote w:type="continuationSeparator" w:id="0">
    <w:p w14:paraId="1C45578D" w14:textId="77777777" w:rsidR="007E04B7" w:rsidRDefault="007E04B7">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6BD4149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0A99411"/>
    <w:multiLevelType w:val="multilevel"/>
    <w:tmpl w:val="17F8F24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365839533">
    <w:abstractNumId w:val="8"/>
  </w:num>
  <w:num w:numId="2" w16cid:durableId="1987977146">
    <w:abstractNumId w:val="6"/>
  </w:num>
  <w:num w:numId="3" w16cid:durableId="63187046">
    <w:abstractNumId w:val="5"/>
  </w:num>
  <w:num w:numId="4" w16cid:durableId="1730959800">
    <w:abstractNumId w:val="4"/>
  </w:num>
  <w:num w:numId="5" w16cid:durableId="1217623382">
    <w:abstractNumId w:val="7"/>
  </w:num>
  <w:num w:numId="6" w16cid:durableId="878511167">
    <w:abstractNumId w:val="3"/>
  </w:num>
  <w:num w:numId="7" w16cid:durableId="184373118">
    <w:abstractNumId w:val="2"/>
  </w:num>
  <w:num w:numId="8" w16cid:durableId="1211721760">
    <w:abstractNumId w:val="1"/>
  </w:num>
  <w:num w:numId="9" w16cid:durableId="496964563">
    <w:abstractNumId w:val="0"/>
  </w:num>
  <w:num w:numId="10" w16cid:durableId="473644787">
    <w:abstractNumId w:val="9"/>
  </w:num>
  <w:num w:numId="11" w16cid:durableId="149186520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A5C6C"/>
    <w:rsid w:val="000A5C6C"/>
    <w:rsid w:val="003A10CA"/>
    <w:rsid w:val="007E04B7"/>
    <w:rsid w:val="00D05D66"/>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62348"/>
  <w15:docId w15:val="{FAFC00CB-4A2F-4A2B-BE8A-84B2221C3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10" w:line="259" w:lineRule="auto"/>
      <w:jc w:val="both"/>
    </w:pPr>
    <w:rPr>
      <w:rFonts w:ascii="Nimbus Roman" w:hAnsi="Nimbus Roman"/>
      <w:color w:val="000000"/>
      <w:sz w:val="23"/>
    </w:rPr>
  </w:style>
  <w:style w:type="paragraph" w:styleId="Heading1">
    <w:name w:val="heading 1"/>
    <w:basedOn w:val="Normal"/>
    <w:next w:val="Normal"/>
    <w:link w:val="Heading1Char"/>
    <w:uiPriority w:val="9"/>
    <w:qFormat/>
    <w:rsid w:val="00FC693F"/>
    <w:pPr>
      <w:keepNext/>
      <w:keepLines/>
      <w:spacing w:before="260" w:after="100"/>
      <w:outlineLvl w:val="0"/>
    </w:pPr>
    <w:rPr>
      <w:rFonts w:ascii="Nimbus Sans" w:hAnsi="Nimbus Sans"/>
      <w:b/>
      <w:bCs/>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Nimbus Sans" w:hAnsi="Nimbus Sans"/>
      <w:b/>
      <w:bCs/>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Nimbus Sans" w:hAnsi="Nimbus Sans"/>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color w:val="000000"/>
    </w:rPr>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b/>
      <w:bCs/>
      <w:color w:val="000000"/>
      <w:sz w:val="28"/>
      <w:szCs w:val="28"/>
    </w:rPr>
  </w:style>
  <w:style w:type="character" w:customStyle="1" w:styleId="Heading2Char">
    <w:name w:val="Heading 2 Char"/>
    <w:basedOn w:val="DefaultParagraphFont"/>
    <w:link w:val="Heading2"/>
    <w:uiPriority w:val="9"/>
    <w:rsid w:val="00FC693F"/>
    <w:rPr>
      <w:b/>
      <w:bCs/>
      <w:color w:val="000000"/>
      <w:sz w:val="26"/>
      <w:szCs w:val="26"/>
    </w:rPr>
  </w:style>
  <w:style w:type="character" w:customStyle="1" w:styleId="Heading3Char">
    <w:name w:val="Heading 3 Char"/>
    <w:basedOn w:val="DefaultParagraphFont"/>
    <w:link w:val="Heading3"/>
    <w:uiPriority w:val="9"/>
    <w:rsid w:val="00FC693F"/>
    <w:rPr>
      <w:b/>
      <w:bCs/>
      <w:color w:val="000000"/>
    </w:rPr>
  </w:style>
  <w:style w:type="paragraph" w:styleId="Title">
    <w:name w:val="Title"/>
    <w:basedOn w:val="Normal"/>
    <w:next w:val="Normal"/>
    <w:link w:val="TitleChar"/>
    <w:uiPriority w:val="10"/>
    <w:qFormat/>
    <w:rsid w:val="00FC693F"/>
    <w:pPr>
      <w:keepNext/>
      <w:spacing w:before="120" w:after="120" w:line="240" w:lineRule="auto"/>
      <w:contextualSpacing/>
      <w:jc w:val="center"/>
    </w:pPr>
    <w:rPr>
      <w:b/>
      <w:spacing w:val="5"/>
      <w:kern w:val="28"/>
      <w:sz w:val="46"/>
      <w:szCs w:val="52"/>
    </w:rPr>
  </w:style>
  <w:style w:type="character" w:customStyle="1" w:styleId="TitleChar">
    <w:name w:val="Title Char"/>
    <w:basedOn w:val="DefaultParagraphFont"/>
    <w:link w:val="Title"/>
    <w:uiPriority w:val="10"/>
    <w:rsid w:val="00FC693F"/>
    <w:rPr>
      <w:color w:val="000000"/>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20"/>
      <w:jc w:val="center"/>
    </w:pPr>
    <w:rPr>
      <w:i/>
      <w:iCs/>
      <w:spacing w:val="15"/>
      <w:sz w:val="26"/>
      <w:szCs w:val="24"/>
    </w:rPr>
  </w:style>
  <w:style w:type="character" w:customStyle="1" w:styleId="SubtitleChar">
    <w:name w:val="Subtitle Char"/>
    <w:basedOn w:val="DefaultParagraphFont"/>
    <w:link w:val="Subtitle"/>
    <w:uiPriority w:val="11"/>
    <w:rsid w:val="00FC693F"/>
    <w:rPr>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b/>
      <w:bCs/>
      <w:i/>
      <w:iCs/>
      <w:color w:val="000000"/>
    </w:rPr>
  </w:style>
  <w:style w:type="character" w:customStyle="1" w:styleId="Heading5Char">
    <w:name w:val="Heading 5 Char"/>
    <w:basedOn w:val="DefaultParagraphFont"/>
    <w:link w:val="Heading5"/>
    <w:uiPriority w:val="9"/>
    <w:semiHidden/>
    <w:rsid w:val="00FC693F"/>
    <w:rPr>
      <w:color w:val="000000"/>
    </w:rPr>
  </w:style>
  <w:style w:type="character" w:customStyle="1" w:styleId="Heading6Char">
    <w:name w:val="Heading 6 Char"/>
    <w:basedOn w:val="DefaultParagraphFont"/>
    <w:link w:val="Heading6"/>
    <w:uiPriority w:val="9"/>
    <w:semiHidden/>
    <w:rsid w:val="00FC693F"/>
    <w:rPr>
      <w:i/>
      <w:iCs/>
      <w:color w:val="000000"/>
    </w:rPr>
  </w:style>
  <w:style w:type="character" w:customStyle="1" w:styleId="Heading7Char">
    <w:name w:val="Heading 7 Char"/>
    <w:basedOn w:val="DefaultParagraphFont"/>
    <w:link w:val="Heading7"/>
    <w:uiPriority w:val="9"/>
    <w:semiHidden/>
    <w:rsid w:val="00FC693F"/>
    <w:rPr>
      <w:i/>
      <w:iCs/>
      <w:color w:val="000000"/>
    </w:rPr>
  </w:style>
  <w:style w:type="character" w:customStyle="1" w:styleId="Heading8Char">
    <w:name w:val="Heading 8 Char"/>
    <w:basedOn w:val="DefaultParagraphFont"/>
    <w:link w:val="Heading8"/>
    <w:uiPriority w:val="9"/>
    <w:semiHidden/>
    <w:rsid w:val="00FC693F"/>
    <w:rPr>
      <w:color w:val="000000"/>
      <w:sz w:val="20"/>
      <w:szCs w:val="20"/>
    </w:rPr>
  </w:style>
  <w:style w:type="character" w:customStyle="1" w:styleId="Heading9Char">
    <w:name w:val="Heading 9 Char"/>
    <w:basedOn w:val="DefaultParagraphFont"/>
    <w:link w:val="Heading9"/>
    <w:uiPriority w:val="9"/>
    <w:semiHidden/>
    <w:rsid w:val="00FC693F"/>
    <w:rPr>
      <w:i/>
      <w:iCs/>
      <w:color w:val="000000"/>
      <w:sz w:val="20"/>
      <w:szCs w:val="20"/>
    </w:rPr>
  </w:style>
  <w:style w:type="paragraph" w:styleId="Caption">
    <w:name w:val="caption"/>
    <w:basedOn w:val="Normal"/>
    <w:next w:val="Normal"/>
    <w:uiPriority w:val="35"/>
    <w:semiHidden/>
    <w:unhideWhenUsed/>
    <w:qFormat/>
    <w:rsid w:val="00FC693F"/>
    <w:pPr>
      <w:spacing w:before="60" w:after="140" w:line="250" w:lineRule="auto"/>
      <w:jc w:val="left"/>
    </w:pPr>
    <w:rPr>
      <w:bCs/>
      <w:sz w:val="21"/>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pPr>
      <w:spacing w:after="110" w:line="259" w:lineRule="auto"/>
      <w:jc w:val="both"/>
    </w:pPr>
    <w:rPr>
      <w:rFonts w:ascii="Nimbus Roman" w:hAnsi="Nimbus Roman"/>
      <w:color w:val="000000"/>
      <w:sz w:val="23"/>
    </w:rPr>
  </w:style>
  <w:style w:type="paragraph" w:customStyle="1" w:styleId="Compact">
    <w:name w:val="Compact"/>
    <w:pPr>
      <w:spacing w:after="110" w:line="259" w:lineRule="auto"/>
      <w:jc w:val="both"/>
    </w:pPr>
    <w:rPr>
      <w:rFonts w:ascii="Nimbus Roman" w:hAnsi="Nimbus Roman"/>
      <w:color w:val="000000"/>
      <w:sz w:val="23"/>
    </w:rPr>
  </w:style>
  <w:style w:type="paragraph" w:customStyle="1" w:styleId="Author">
    <w:name w:val="Author"/>
    <w:pPr>
      <w:keepNext/>
      <w:spacing w:after="80"/>
      <w:jc w:val="center"/>
    </w:pPr>
    <w:rPr>
      <w:rFonts w:ascii="Nimbus Roman" w:hAnsi="Nimbus Roman"/>
      <w:color w:val="000000"/>
      <w:sz w:val="23"/>
    </w:rPr>
  </w:style>
  <w:style w:type="paragraph" w:customStyle="1" w:styleId="Date1">
    <w:name w:val="Date1"/>
    <w:pPr>
      <w:keepNext/>
      <w:spacing w:after="80"/>
      <w:jc w:val="center"/>
    </w:pPr>
    <w:rPr>
      <w:rFonts w:ascii="Nimbus Roman" w:hAnsi="Nimbus Roman"/>
      <w:color w:val="000000"/>
      <w:sz w:val="21"/>
    </w:rPr>
  </w:style>
  <w:style w:type="paragraph" w:customStyle="1" w:styleId="SourceCode">
    <w:name w:val="Source Code"/>
    <w:pPr>
      <w:widowControl w:val="0"/>
      <w:spacing w:after="0" w:line="220" w:lineRule="exact"/>
    </w:pPr>
    <w:rPr>
      <w:rFonts w:ascii="DejaVu Sans Mono" w:hAnsi="DejaVu Sans Mono"/>
      <w:color w:val="000000"/>
      <w:sz w:val="18"/>
    </w:rPr>
  </w:style>
  <w:style w:type="character" w:customStyle="1" w:styleId="VerbatimChar">
    <w:name w:val="Verbatim Char"/>
    <w:rPr>
      <w:rFonts w:ascii="DejaVu Sans Mono" w:hAnsi="DejaVu Sans Mono"/>
      <w:color w:val="000000"/>
      <w:sz w:val="20"/>
    </w:rPr>
  </w:style>
  <w:style w:type="paragraph" w:customStyle="1" w:styleId="ImageCaption">
    <w:name w:val="Image Caption"/>
    <w:pPr>
      <w:spacing w:before="60" w:after="140" w:line="250" w:lineRule="auto"/>
    </w:pPr>
    <w:rPr>
      <w:rFonts w:ascii="Nimbus Roman" w:hAnsi="Nimbus Roman"/>
      <w:color w:val="000000"/>
      <w:sz w:val="21"/>
    </w:rPr>
  </w:style>
  <w:style w:type="paragraph" w:customStyle="1" w:styleId="TableCaption">
    <w:name w:val="Table Caption"/>
    <w:pPr>
      <w:spacing w:before="60" w:after="140" w:line="250" w:lineRule="auto"/>
    </w:pPr>
    <w:rPr>
      <w:rFonts w:ascii="Nimbus Roman" w:hAnsi="Nimbus Roman"/>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pymoo.org/algorithms/moo/nsga3.html" TargetMode="External"/><Relationship Id="rId18" Type="http://schemas.openxmlformats.org/officeDocument/2006/relationships/hyperlink" Target="https://arxiv.org/abs/2610.18813"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doi.org/10.1109/ACCESS.2020.2990567" TargetMode="External"/><Relationship Id="rId17" Type="http://schemas.openxmlformats.org/officeDocument/2006/relationships/hyperlink" Target="https://doi.org/10.1038/s41467-026-74357-6" TargetMode="External"/><Relationship Id="rId2" Type="http://schemas.openxmlformats.org/officeDocument/2006/relationships/styles" Target="styles.xml"/><Relationship Id="rId16" Type="http://schemas.openxmlformats.org/officeDocument/2006/relationships/hyperlink" Target="https://doi.org/10.1038/s41586-025-08993-1"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09/4235.996017" TargetMode="External"/><Relationship Id="rId5" Type="http://schemas.openxmlformats.org/officeDocument/2006/relationships/footnotes" Target="footnotes.xml"/><Relationship Id="rId15" Type="http://schemas.openxmlformats.org/officeDocument/2006/relationships/hyperlink" Target="https://doi.org/10.1038/s41598-025-21967-7" TargetMode="External"/><Relationship Id="rId10" Type="http://schemas.openxmlformats.org/officeDocument/2006/relationships/hyperlink" Target="https://tik-db.ee.ethz.ch/db/public/tik/?db=publications&amp;form=report_single_publication&amp;publication_id=1287" TargetMode="External"/><Relationship Id="rId19" Type="http://schemas.openxmlformats.org/officeDocument/2006/relationships/hyperlink" Target="https://arxiv.org/abs/2610.15150" TargetMode="External"/><Relationship Id="rId4" Type="http://schemas.openxmlformats.org/officeDocument/2006/relationships/webSettings" Target="webSettings.xml"/><Relationship Id="rId9" Type="http://schemas.openxmlformats.org/officeDocument/2006/relationships/hyperlink" Target="https://doi.org/10.1109/TEVC.2013.2281535" TargetMode="External"/><Relationship Id="rId14" Type="http://schemas.openxmlformats.org/officeDocument/2006/relationships/hyperlink" Target="https://pymoo.org/algorithms/moo/spea2.htm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22</Pages>
  <Words>9220</Words>
  <Characters>52560</Characters>
  <Application>Microsoft Office Word</Application>
  <DocSecurity>0</DocSecurity>
  <Lines>438</Lines>
  <Paragraphs>123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Niches Strength and Memory</dc:title>
  <dc:subject>Rigorous niche selection, strength fitness, memory compression, neural evidence and construction harnesses</dc:subject>
  <dc:creator>Debi Prasad Ghosh</dc:creator>
  <cp:keywords>ADE; NSGA-III; SPEA2; memory; compression; neuroscience; construction harness</cp:keywords>
  <dc:description/>
  <cp:lastModifiedBy>Debiprasad Ghosh</cp:lastModifiedBy>
  <cp:revision>2</cp:revision>
  <dcterms:created xsi:type="dcterms:W3CDTF">2026-10-17T16:34:00Z</dcterms:created>
  <dcterms:modified xsi:type="dcterms:W3CDTF">2026-10-17T16:47:00Z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Revised 17 October 2026</vt:lpwstr>
  </property>
  <property fmtid="{D5CDD505-2E9C-101B-9397-08002B2CF9AE}" pid="3" name="subtitle">
    <vt:lpwstr>Rigorous archive selection and retrieval for multi objective ADE and engineering harnesses</vt:lpwstr>
  </property>
</Properties>
</file>