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Bhagavad Gita and the Design of Governable AI Agents</w:t>
      </w:r>
    </w:p>
    <w:p>
      <w:pPr>
        <w:pStyle w:val="Subtitle"/>
      </w:pPr>
      <w:r>
        <w:t>Divine qualities architectural coupling and bounded autonomy</w:t>
      </w:r>
    </w:p>
    <w:p>
      <w:r>
        <w:t>Debi Prasad Ghosh</w:t>
        <w:br/>
        <w:t>Founder and Principal Engineer</w:t>
        <w:br/>
        <w:t>Debias Parametric Guru</w:t>
        <w:br/>
        <w:t>19 October 2026</w:t>
      </w:r>
    </w:p>
    <w:p>
      <w:pPr>
        <w:pStyle w:val="Heading1"/>
      </w:pPr>
      <w:r>
        <w:t>Abstract</w:t>
      </w:r>
    </w:p>
    <w:p>
      <w:r>
        <w:t>The Bhagavad Gita distinguishes qualities directed toward liberation from those directed toward bondage. This paper develops a disciplined engineering interpretation of that distinction for software architecture and distributed AI agents. The proposed correspondence concerns action that preserves the capacity for correction, substitution, refusal, and termination. It does not identify spiritual liberation with a software metric or attribute moral experience to machines. Loose coupling supports this capacity, but cannot supply it alone: an agent may be technically modular while remaining unauthorized, deceptive, or impossible to revoke. We therefore distinguish dependency coupling, authority coupling, and resource coupling, and propose a harness that combines explicit contracts with consent, attenuated capabilities, conserved budgets, expiring leases, independent evidence checks, and accountable release decisions. Elementary propositions establish conditions for bounded cascade amplification, resource conservation across delegated agents, and cessation after lease expiry. A construction engineering example shows how a solver can be replaced while evidence and approval obligations remain intact. Anthropic’s October 2026 replication study motivates the problem without establishing that uncontrolled replication is inevitable or that ethical agents necessarily outcompete harmful ones. The resulting thesis is conditional and testable: in an ecosystem that enforces admission, accounting, and revocation, agents designed for bounded, truthful, non-destructive action should impose lower external costs and preserve more legitimate opportunities to act.</w:t>
      </w:r>
    </w:p>
    <w:p>
      <w:r>
        <w:t>Keywords  Bhagavad Gita; karma bandhana; software architecture; AI agents; bounded autonomy; resource governance; verification</w:t>
      </w:r>
    </w:p>
    <w:p>
      <w:r>
        <w:t>Paper type  Conceptual research and engineering proposal. Formal results concern the explicitly stated models. No new experiments or deployment outcomes are reported.</w:t>
      </w:r>
    </w:p>
    <w:p>
      <w:pPr>
        <w:pStyle w:val="Heading1"/>
        <w:pageBreakBefore/>
      </w:pPr>
      <w:r>
        <w:t>1 The interpretive foundation</w:t>
      </w:r>
    </w:p>
    <w:p>
      <w:r>
        <w:t>The central proposal is that freedom in an engineered system includes the ability to act without unnecessarily restricting the future actions of its operators and neighbors. A component that can be replaced, a task that can be stopped, and a result that can be challenged preserve options. A system that demands ever more privileges, locks users into its internal state, or cannot relinquish resources consumes those options. The Bhagavad Gita offers a vocabulary for examining this distinction, provided its theological meaning is preserved rather than reduced to software design.</w:t>
      </w:r>
    </w:p>
    <w:p>
      <w:r>
        <w:t>Verses 16.1–3 enumerate the daivī qualities; 16.4 gives six āsurī qualities; 16.5 associates the former with liberation and the latter with bondage [1–3]. These are claims about human spiritual life. Their application to software is an interpretation proposed here. Technical dependency is not itself a moral fault, and an outage is not evidence of anyone’s spiritual condition.</w:t>
      </w:r>
    </w:p>
    <w:p>
      <w:r>
        <w:t>The connection with action without attachment needs a wider textual basis than Chapter 16 alone. Verse 2.47 addresses action and attachment to its fruits, while also resisting attachment to inaction. Verse 3.9 explicitly connects action with bondage and calls for action free from attachment in a sacrificial orientation [4,5]. This context supports a conception of disciplined activity rather than withdrawal from responsibility. Niṣkāma action should therefore not be translated as indifference to whether an engineering result is correct.</w:t>
      </w:r>
    </w:p>
    <w:p>
      <w:pPr>
        <w:pStyle w:val="Heading2"/>
      </w:pPr>
      <w:r>
        <w:t>A method for carrying the analogy</w:t>
      </w:r>
    </w:p>
    <w:p>
      <w:r>
        <w:t>We use three levels of argument. At the textual level, the Sanskrit concepts retain their religious setting. At the interpretive level, selected qualities suggest questions about boundaries, acquisition, evidence, and correction. At the engineering level, those questions become mechanisms with explicit assumptions and measurable behavior. A mathematical guarantee arises only at the third level, from its model and enforcement conditions; it does not follow from the authority of the analogy.</w:t>
      </w:r>
    </w:p>
    <w:p>
      <w:r>
        <w:t>The term karma bandhana consequently names the philosophical starting point, while architectural binding names the operational object. The latter includes costly dependencies, irreversible commitments, unauthorized authority, and accumulated obligations that constrain future change. The correspondence is useful because it suggests design questions. It is not an identity between liberation and maintainability.</w:t>
      </w:r>
    </w:p>
    <w:p>
      <w:pPr>
        <w:pStyle w:val="Heading2"/>
      </w:pPr>
      <w:r>
        <w:t>The qualified thesis</w:t>
      </w:r>
    </w:p>
    <w:p>
      <w:r>
        <w:t>An agent should pursue an authorized purpose while relinquishing unnecessary implementation commitments, privileges, resources, and claims to certainty. It should retain enough structure to support reliable action and enough restraint to preserve the agency of others. This formulation makes non-attachment compatible with ownership of consequences, professional diligence, and responsible refusal.</w:t>
      </w:r>
    </w:p>
    <w:p>
      <w:pPr>
        <w:pStyle w:val="Heading1"/>
        <w:pageBreakBefore/>
      </w:pPr>
      <w:r>
        <w:t>2 Decoupling and the dependencies that must remain</w:t>
      </w:r>
    </w:p>
    <w:p>
      <w:r>
        <w:t>Software needs dependencies to do useful work. The objective is to make important dependencies visible and justified, then limit the cost of changing them. Purely minimizing connections would produce isolated components rather than a functioning application. Performance, consistency, usability, security, and operational simplicity can require deliberate coupling.</w:t>
      </w:r>
    </w:p>
    <w:p>
      <w:r>
        <w:t>Cockburn’s ports and adapters architecture separates application behavior from its interactions with external technologies. An adapter allows a database, interface, or test substitute to satisfy the same purposeful port [6]. The engineering analogue of tyāga is the willingness to relinquish an implementation while preserving the obligation expressed by the port. It is not the removal of every infrastructure assumption: transaction semantics, error behavior, and performance requirements may still constrain replacements.</w:t>
      </w:r>
    </w:p>
    <w:p>
      <w:r>
        <w:t>Bounded contexts locate models and meanings within explicit boundaries [7]. This discourages the assumption that one universal representation serves every discipline. A civil engineering load, a procurement item, and a maintenance asset may refer to the same physical object while serving different purposes. Translation is legitimate work, and contracts must record what a translation preserves or loses.</w:t>
      </w:r>
    </w:p>
    <w:p>
      <w:r>
        <w:t>Event notification can reduce knowledge of individual consumers, but it also makes end-to-end behavior harder to see [8]. An asynchronous boundary still carries schema, timing, ordering, delivery, and business dependencies. Publishing an event does not eliminate responsibility for harmful downstream effects. Idempotency, bounded retries, deadlines, and traceable workflows are proposed controls for those effects.</w:t>
      </w:r>
    </w:p>
    <w:p>
      <w:r>
        <w:t>A modular monolith can enforce internal boundaries with one deployment unit. Fowler’s monolith-first argument and his discussion of microservice trade-offs provide a reason to delay distribution until its benefits justify the operational cost [9,10]. These sources support a contextual choice; they do not establish a universal 2025–2026 industry consensus. A monolith may have clean boundaries, while a service fleet may remain tightly interdependent.</w:t>
      </w:r>
    </w:p>
    <w:p>
      <w:pPr>
        <w:pStyle w:val="Heading2"/>
      </w:pPr>
      <w:r>
        <w:t>Three kinds of coupling</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151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E7E6E6"/>
          </w:tcPr>
          <w:p>
            <w:pPr>
              <w:spacing w:after="40" w:line="250" w:lineRule="auto"/>
            </w:pPr>
            <w:r>
              <w:rPr>
                <w:b/>
                <w:sz w:val="19"/>
              </w:rPr>
              <w:t>Dimension</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E7E6E6"/>
          </w:tcPr>
          <w:p>
            <w:pPr>
              <w:spacing w:after="40" w:line="250" w:lineRule="auto"/>
            </w:pPr>
            <w:r>
              <w:rPr>
                <w:b/>
                <w:sz w:val="19"/>
              </w:rPr>
              <w:t>Question</w:t>
            </w:r>
          </w:p>
        </w:tc>
        <w:tc>
          <w:tcPr>
            <w:tcW w:type="dxa" w:w="51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E7E6E6"/>
          </w:tcPr>
          <w:p>
            <w:pPr>
              <w:spacing w:after="40" w:line="250" w:lineRule="auto"/>
            </w:pPr>
            <w:r>
              <w:rPr>
                <w:b/>
                <w:sz w:val="19"/>
              </w:rPr>
              <w:t>Desired property</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Dependency</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What must change together</w:t>
            </w:r>
          </w:p>
        </w:tc>
        <w:tc>
          <w:tcPr>
            <w:tcW w:type="dxa" w:w="51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Local substitution under tested contracts</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Authority</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Who can permit or stop action</w:t>
            </w:r>
          </w:p>
        </w:tc>
        <w:tc>
          <w:tcPr>
            <w:tcW w:type="dxa" w:w="51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Explicit accountable and revocable grants</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Resource</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What capacity is shared</w:t>
            </w:r>
          </w:p>
        </w:tc>
        <w:tc>
          <w:tcPr>
            <w:tcW w:type="dxa" w:w="51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Metered use with conserved allocation</w:t>
            </w:r>
          </w:p>
        </w:tc>
      </w:tr>
    </w:tbl>
    <w:p>
      <w:pPr>
        <w:spacing w:before="140"/>
      </w:pPr>
      <w:r>
        <w:t>Dependency inversion can reduce implementation coupling while authority remains centralized. Conversely, independent services can share a powerful credential and thereby share one security failure. Functional computation and immutable data help expose state transitions, but side effects still require authorization and accounting. Neither topology nor programming style establishes ethical behavior.</w:t>
      </w:r>
    </w:p>
    <w:p>
      <w:pPr>
        <w:pStyle w:val="Heading1"/>
        <w:pageBreakBefore/>
      </w:pPr>
      <w:r>
        <w:t>3 Translating the divine qualities into design questions</w:t>
      </w:r>
    </w:p>
    <w:p>
      <w:r>
        <w:t>The following matrix covers the conventional twenty-six-item enumeration. The short glosses identify the concepts in verses 16.1–3 [1]; the mechanisms and tests are this paper’s proposals. A mechanism expresses one limited aspect of a quality, rather than reproducing its spiritual meaning. In particular, fearlessness must not become risk blindness, forgiveness must not erase evidence, and fortitude must not become resistance to shutdown.</w:t>
      </w:r>
    </w:p>
    <w:p>
      <w:pPr>
        <w:pStyle w:val="Caption"/>
      </w:pPr>
      <w:r>
        <w:t>Table 1  Proposed operational interpretations of the first thirteen qualities</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E7E6E6"/>
          </w:tcPr>
          <w:p>
            <w:pPr>
              <w:spacing w:after="40" w:line="250" w:lineRule="auto"/>
            </w:pPr>
            <w:r>
              <w:rPr>
                <w:b/>
                <w:sz w:val="19"/>
              </w:rPr>
              <w:t>Quality and brief sense</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E7E6E6"/>
          </w:tcPr>
          <w:p>
            <w:pPr>
              <w:spacing w:after="40" w:line="250" w:lineRule="auto"/>
            </w:pPr>
            <w:r>
              <w:rPr>
                <w:b/>
                <w:sz w:val="19"/>
              </w:rPr>
              <w:t>Proposed mechanism</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E7E6E6"/>
          </w:tcPr>
          <w:p>
            <w:pPr>
              <w:spacing w:after="40" w:line="250" w:lineRule="auto"/>
            </w:pPr>
            <w:r>
              <w:rPr>
                <w:b/>
                <w:sz w:val="19"/>
              </w:rPr>
              <w:t>Observable test</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Abhayam</w:t>
              <w:br/>
              <w:t>Fearlessness</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Report uncertainty and stop unsafe work</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Does the agent disclose failure despite reward pressure</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Sattva saṃśuddhi</w:t>
              <w:br/>
              <w:t>Inner purity</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Separate task purpose from hidden incentives</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Can conflicting objectives be identified</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Jñāna yoga vyavasthiti</w:t>
              <w:br/>
              <w:t>Steady knowledge</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Maintain task constraints and evidence</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Do constraints survive context compression</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Dāna</w:t>
              <w:br/>
              <w:t>Giving</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Return unused allocation to the pool</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Are idle reservations released</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Dama</w:t>
              <w:br/>
              <w:t>Self restraint</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Enforce scoped capabilities</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Are out of scope calls denied</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Yajña</w:t>
              <w:br/>
              <w:t>Sacrificial action</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Account for costs borne by others</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Are host costs charged to the task</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Svādhyāya</w:t>
              <w:br/>
              <w:t>Study</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Use controlled review and regression</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Does revision preserve validated behavior</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Tapas</w:t>
              <w:br/>
              <w:t>Discipline</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Respect resource and latency limits</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Does useful work remain within a cap</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Ārjava</w:t>
              <w:br/>
              <w:t>Straightforwardness</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Declare tool intent and effects</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Do declared and observed effects agree</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Ahiṃsā</w:t>
              <w:br/>
              <w:t>Non injury</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Protect host service and data</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Are agreed service limits maintained</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Satya</w:t>
              <w:br/>
              <w:t>Truthfulness</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Bind claims to inspectable evidence</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Do independent checks support claims</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Akrodha</w:t>
              <w:br/>
              <w:t>Absence of anger</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Bound retries after denial or error</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Does refusal trigger escalation</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Tyāga</w:t>
              <w:br/>
              <w:t>Renunciation</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Release authority and replace modules</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Can grants and adapters be relinquished</w:t>
            </w:r>
          </w:p>
        </w:tc>
      </w:tr>
    </w:tbl>
    <w:p>
      <w:pPr>
        <w:spacing w:before="140"/>
      </w:pPr>
      <w:r>
        <w:t>Many proposed controls apply to ordinary services as well as AI agents. The distinctive issue for agents is that action selection is partly generated at runtime. A model can reinterpret a goal, construct a tool sequence, or delegate a subtask in ways the application designer did not enumerate. The surrounding runtime must enforce constraints across those variations.</w:t>
      </w:r>
    </w:p>
    <w:p>
      <w:pPr>
        <w:pStyle w:val="Heading1"/>
        <w:pageBreakBefore/>
      </w:pPr>
      <w:r>
        <w:t>4 Cooperation without surrendering accountability</w:t>
      </w:r>
    </w:p>
    <w:p>
      <w:pPr>
        <w:pStyle w:val="Caption"/>
      </w:pPr>
      <w:r>
        <w:t>Table 2  Proposed operational interpretations of the remaining qualities</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E7E6E6"/>
          </w:tcPr>
          <w:p>
            <w:pPr>
              <w:spacing w:after="40" w:line="250" w:lineRule="auto"/>
            </w:pPr>
            <w:r>
              <w:rPr>
                <w:b/>
                <w:sz w:val="19"/>
              </w:rPr>
              <w:t>Quality and brief sense</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E7E6E6"/>
          </w:tcPr>
          <w:p>
            <w:pPr>
              <w:spacing w:after="40" w:line="250" w:lineRule="auto"/>
            </w:pPr>
            <w:r>
              <w:rPr>
                <w:b/>
                <w:sz w:val="19"/>
              </w:rPr>
              <w:t>Proposed mechanism</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E7E6E6"/>
          </w:tcPr>
          <w:p>
            <w:pPr>
              <w:spacing w:after="40" w:line="250" w:lineRule="auto"/>
            </w:pPr>
            <w:r>
              <w:rPr>
                <w:b/>
                <w:sz w:val="19"/>
              </w:rPr>
              <w:t>Observable test</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Śānti</w:t>
              <w:br/>
              <w:t>Peace</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Use backpressure and orderly waiting</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Does contention settle without a retry storm</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Apaiśuna</w:t>
              <w:br/>
              <w:t>Avoiding detraction</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Separate evidence from blame</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Are incident reports factual and specific</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Dayā</w:t>
              <w:br/>
              <w:t>Compassion</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Prioritize affected users and vulnerable hosts</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Does scheduling protect essential service</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Aloluptva</w:t>
              <w:br/>
              <w:t>Non covetousness</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Conserve delegation and storage budgets</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Can copying increase total entitlement</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Mārdava</w:t>
              <w:br/>
              <w:t>Gentleness</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Use graceful degradation and bounded load</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Are load changes within agreed limits</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Hrī</w:t>
              <w:br/>
              <w:t>Moral reserve</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Refuse actions outside authorization</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Does uncertainty about permission stop action</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Acāpala</w:t>
              <w:br/>
              <w:t>Steadiness</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Control goal changes and task switching</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Are revisions explicit and traceable</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Tejas</w:t>
              <w:br/>
              <w:t>Vigor</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Measure useful authorized completion</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Does restraint preserve useful throughput</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Kṣamā</w:t>
              <w:br/>
              <w:t>Forbearance</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Recover without retaliatory behavior</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Are hostile inputs met with bounded responses</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Dhṛti</w:t>
              <w:br/>
              <w:t>Fortitude</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Resume within valid purpose and lease</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Does resumption respect revocation</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Śauca</w:t>
              <w:br/>
              <w:t>Cleanliness</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Validate inputs and manage retention</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Are artifacts and data lineage inspectable</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Adroha</w:t>
              <w:br/>
              <w:t>Non hostility</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Respect peer isolation and host ownership</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Are interference attempts denied</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Nāti mānitā</w:t>
              <w:br/>
              <w:t>Absence of excessive pride</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Calibrate confidence and permit override</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Can a verified correction change the plan</w:t>
            </w:r>
          </w:p>
        </w:tc>
      </w:tr>
    </w:tbl>
    <w:p>
      <w:pPr>
        <w:pStyle w:val="Heading2"/>
      </w:pPr>
      <w:r>
        <w:t>Truthfulness needs an independent reference</w:t>
      </w:r>
    </w:p>
    <w:p>
      <w:r>
        <w:t>An agent can produce a convincing manifest and still misreport what occurred. Provenance authenticates a source or records a chain; it does not establish the truth of the underlying claim. Runtime logs, independently metered consumption, reproducible calculations, and adversarial validation are therefore separate requirements. Even these can fail when their trust base is compromised.</w:t>
      </w:r>
    </w:p>
    <w:p>
      <w:pPr>
        <w:pStyle w:val="Heading2"/>
      </w:pPr>
      <w:r>
        <w:t>Restraint needs a location of enforcement</w:t>
      </w:r>
    </w:p>
    <w:p>
      <w:r>
        <w:t>A prompt that asks a model to be restrained is a behavioral intervention. An operating system quota is an enforcement mechanism. Both may be useful, but they provide different assurance. The proposed quality-to-control mapping locates critical guarantees in a runtime outside the agent’s write authority. The model may recommend a broader budget or revised policy; a separately authorized principal decides whether to grant it.</w:t>
      </w:r>
    </w:p>
    <w:p>
      <w:pPr>
        <w:pStyle w:val="Heading1"/>
        <w:pageBreakBefore/>
      </w:pPr>
      <w:r>
        <w:t>5 The six failure modes and the ecology of persistence</w:t>
      </w:r>
    </w:p>
    <w:p>
      <w:r>
        <w:t>Verse 16.4 names dambha, darpa, abhimāna, krodha, pāruṣya, and ajñāna [2]. Here they serve as labels for observable design failures rather than psychological diagnoses of software. Greed is relevant to the broader discussion, but is not one of the six terms in that verse.</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E7E6E6"/>
          </w:tcPr>
          <w:p>
            <w:pPr>
              <w:spacing w:after="40" w:line="250" w:lineRule="auto"/>
            </w:pPr>
            <w:r>
              <w:rPr>
                <w:b/>
                <w:sz w:val="19"/>
              </w:rPr>
              <w:t>Failure label</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E7E6E6"/>
          </w:tcPr>
          <w:p>
            <w:pPr>
              <w:spacing w:after="40" w:line="250" w:lineRule="auto"/>
            </w:pPr>
            <w:r>
              <w:rPr>
                <w:b/>
                <w:sz w:val="19"/>
              </w:rPr>
              <w:t>Engineering manifestation</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E7E6E6"/>
          </w:tcPr>
          <w:p>
            <w:pPr>
              <w:spacing w:after="40" w:line="250" w:lineRule="auto"/>
            </w:pPr>
            <w:r>
              <w:rPr>
                <w:b/>
                <w:sz w:val="19"/>
              </w:rPr>
              <w:t>Required countermeasure</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Dambha</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Declared compliance differs from actual effects</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Independent observation and evidence review</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Darpa</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Capability claims exceed tested competence</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Calibration and restricted operating envelopes</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Abhimāna</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A plan or deployment treats itself as indispensable</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Replaceability and enforceable revocation</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Krodha</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Denial produces escalating retries or workarounds</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Retry limits and refusal finality</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Pāruṣya</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Task success imposes excessive host or peer cost</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Isolation and explicit service constraints</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Ajñāna</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Action ignores unknown permissions or externalities</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Admission checks and uncertainty handling</w:t>
            </w:r>
          </w:p>
        </w:tc>
      </w:tr>
    </w:tbl>
    <w:p>
      <w:pPr>
        <w:pStyle w:val="Heading2"/>
      </w:pPr>
      <w:r>
        <w:t>What the recent replication evidence establishes</w:t>
      </w:r>
    </w:p>
    <w:p>
      <w:r>
        <w:t>Zhou and Freeman’s 12 October 2026 report demonstrates Gemma4-26B-A4B inference across fifteen purchased Android TV boxes at 0.39 tokens per second. It separately reports reliable GLM-5.2 propagation in a contained evaluation with simplified access; larger agent models used separate inference infrastructure, while the target setup served Llama3.1-8B. Small models completed many subtasks but struggled with full composition. The projected capability threshold near the end of 2026 depends on continued historical improvement and uses a general capability index as a proxy. These results motivate attention to heterogeneous compute, but do not demonstrate autonomous, fully self-contained small-model replication across arbitrary real-world devices [11].</w:t>
      </w:r>
    </w:p>
    <w:p>
      <w:pPr>
        <w:pStyle w:val="Heading2"/>
      </w:pPr>
      <w:r>
        <w:t>Why ethical survival is not a theorem</w:t>
      </w:r>
    </w:p>
    <w:p>
      <w:r>
        <w:t>A harmful agent can persist by hiding costs, exploiting fragmented ownership, or operating where enforcement is weak. A careful agent can be removed because it is expensive or commercially unsuccessful. Persistence alone is therefore neither evidence of virtue nor evidence of usefulness. The claim that only daivī agents can survive is too strong.</w:t>
      </w:r>
    </w:p>
    <w:p>
      <w:r>
        <w:t>A defensible conditional claim is that cooperative agents can gain an advantage in environments where owners can refuse access, resource use is metered, identity and conduct are checked, and useful service is rewarded. If the probability of detection is p and the enforceable loss is L, a one-step opportunistic gain g is deterred when g &lt; pL, under a risk-neutral model with those as the only payoff differences. Weak detection or externalized penalties reverses the incentive. Institutional design supplies this condition; moral vocabulary cannot substitute for it.</w:t>
      </w:r>
    </w:p>
    <w:p>
      <w:pPr>
        <w:pStyle w:val="Heading1"/>
        <w:pageBreakBefore/>
      </w:pPr>
      <w:r>
        <w:t>6 A model of architectural binding</w:t>
      </w:r>
    </w:p>
    <w:p>
      <w:r>
        <w:t>The following elementary results formalize selected mechanisms. They are not deductions about consciousness, spiritual attainment, or the inevitable behavior of future AI. Let x(t) be a nonnegative vector measuring disturbances in n components at discrete time t. Its entries must use a specified normalization. Let A be an n by n nonnegative matrix that upper-bounds one-step propagation, and let u(t) represent external disturbance. Assume the componentwise inequality</w:t>
      </w:r>
    </w:p>
    <w:p>
      <w:pPr>
        <w:jc w:val="center"/>
      </w:pPr>
      <m:oMath>
        <m:r>
          <m:t>x(t + 1) ≤ A x(t) + u(t).</m:t>
        </m:r>
      </m:oMath>
    </w:p>
    <w:p>
      <w:r>
        <w:t>The entries of A represent measured or conservatively bounded influence, including retries and shared infrastructure effects. A source-code import graph alone is insufficient: shared databases, queues, and operational dependencies also transmit disturbances.</w:t>
      </w:r>
    </w:p>
    <w:p>
      <w:pPr>
        <w:pStyle w:val="Heading2"/>
      </w:pPr>
      <w:r>
        <w:t>Proposition 1 Bounded cascade amplification</w:t>
      </w:r>
    </w:p>
    <w:p>
      <w:r>
        <w:t>Suppose the maximum row sum of A is at most a, where 0 ≤ a &lt; 1, and the largest component of u(t) is at most U at every step. If the largest initial component is X₀, then</w:t>
      </w:r>
    </w:p>
    <w:p>
      <w:pPr>
        <w:jc w:val="center"/>
      </w:pPr>
      <m:oMath>
        <m:r>
          <m:t>‖x(t)‖∞ ≤ aᵗ X₀ + U (1 − aᵗ) / (1 − a).</m:t>
        </m:r>
      </m:oMath>
    </w:p>
    <w:p>
      <w:r>
        <w:t>Proof. The induced infinity norm gives ‖x(t + 1)‖∞ ≤ a‖x(t)‖∞ + U. Repeated substitution yields aᵗX₀ plus U times the finite geometric sum. Nonnegativity permits the componentwise inequality to pass to the norm. This proves the bound. If U = 0, the disturbance decays to zero. The proposition provides a sufficient condition, not a necessary one.</w:t>
      </w:r>
    </w:p>
    <w:p>
      <w:r>
        <w:t>An elementary illustration makes the engineering implication explicit. With U = 1 and zero initial disturbance, the long-run bound is 5 when a = 0.8 and 2 when a = 0.5. These are analytical examples, not measurements. A circuit breaker, bounded queue, or retry cap may reduce an entry of A, but the effect must be established under the relevant load and failure model.</w:t>
      </w:r>
    </w:p>
    <w:p>
      <w:pPr>
        <w:pStyle w:val="Heading2"/>
      </w:pPr>
      <w:r>
        <w:t>Corollary Monotone reduction under an elementwise bound</w:t>
      </w:r>
    </w:p>
    <w:p>
      <w:r>
        <w:t>If 0 ≤ A′ ≤ A and both maximum row sums are below one, then the infinite disturbance accumulations satisfy Σₖ(A′)ᵏu ≤ ΣₖAᵏu for every constant nonnegative u. Proof. Nonnegative matrix multiplication preserves componentwise order; induction gives (A′)ᵏ ≤ Aᵏ. The convergent series preserves that inequality term by term.</w:t>
      </w:r>
    </w:p>
    <w:p>
      <w:r>
        <w:t>Reducing one dependency can therefore lower a modeled cascade when other influences do not grow. Extracting a service may instead add network retries or a shared broker, so a claim of decoupling does not by itself establish A′ ≤ A. Architecture must be evaluated through effects, not the number of deployable units.</w:t>
      </w:r>
    </w:p>
    <w:p>
      <w:pPr>
        <w:pStyle w:val="Heading1"/>
        <w:pageBreakBefore/>
      </w:pPr>
      <w:r>
        <w:t>7 Conserved budgets and expiring authority</w:t>
      </w:r>
    </w:p>
    <w:p>
      <w:pPr>
        <w:pStyle w:val="Heading2"/>
      </w:pPr>
      <w:r>
        <w:t>Proposition 2 Delegation cannot mint entitlement</w:t>
      </w:r>
    </w:p>
    <w:p>
      <w:r>
        <w:t>Let B₀ be a finite scalar task budget. An external ledger tracks remaining spendable balances bᵢ and cumulative expenditure E. Admission, spending, delegation, and release are atomic and nonnegative. A delegated balance is transferred from an existing balance, never copied. No agent can modify the ledger or obtain unrecorded allocation. Then at every ledger state</w:t>
      </w:r>
    </w:p>
    <w:p>
      <w:pPr>
        <w:jc w:val="center"/>
      </w:pPr>
      <m:oMath>
        <m:r>
          <m:t>E + Σᵢ bᵢ ≤ B₀.</m:t>
        </m:r>
      </m:oMath>
    </w:p>
    <w:p>
      <w:r>
        <w:t>Proof. Initially the sum is at most B₀. Spending moves an amount from a balance into E and preserves the sum. Delegation debits one balance and credits another by the same amount. Returning allocation transfers it to a tracked pool or removes it from the task. No permitted transition increases the total. Induction over ledger transitions proves the claim. A ledger shared across descendants is essential; a separate per-agent cap does not conserve the family total.</w:t>
      </w:r>
    </w:p>
    <w:p>
      <w:r>
        <w:t>The construction can be applied separately to tokens, monetary spend, storage, and reserved compute time. These units cannot be added without a declared conversion. Thermal safety and instantaneous power require host-local limits as well as cumulative accounting. The proposition bounds entitlement under its assumptions; it does not establish that a malicious host will report physical consumption correctly.</w:t>
      </w:r>
    </w:p>
    <w:p>
      <w:pPr>
        <w:pStyle w:val="Heading2"/>
      </w:pPr>
      <w:r>
        <w:t>Proposition 3 Cessation after lease expiry</w:t>
      </w:r>
    </w:p>
    <w:p>
      <w:r>
        <w:t>Every effectful operation requires an unexpired lease validated by a trusted reference monitor. No valid lease expires more than Δ after time T, when renewal is revoked. The verifier clock can lag real time by at most ε, and any operation already admitted completes or is forcibly terminated within L. Agents cannot bypass the monitor, extend leases, or create an independent authority root. Then all monitored effects cease by T + Δ + ε + L.</w:t>
      </w:r>
    </w:p>
    <w:p>
      <w:r>
        <w:t>Proof. After T + Δ + ε even the latest valid lease is expired under the slowest permitted verifier clock. No new operation can be admitted. The bounded execution assumption terminates any last admitted operation within a further L. The bound follows. Irreversible effects already completed remain; cessation is not rollback.</w:t>
      </w:r>
    </w:p>
    <w:p>
      <w:r>
        <w:t>A partitioned agent with a cached lease may continue until expiry. Short leases reduce the revocation delay but reduce useful availability during disconnection. Long leases improve offline operation while extending the control window. Immediate global revocation and uninterrupted partitioned operation cannot both be promised by this mechanism. If clock error or operation duration is unbounded, the stated cessation guarantee disappears.</w:t>
      </w:r>
    </w:p>
    <w:p>
      <w:pPr>
        <w:pStyle w:val="Heading2"/>
      </w:pPr>
      <w:r>
        <w:t>What the propositions leave open</w:t>
      </w:r>
    </w:p>
    <w:p>
      <w:r>
        <w:t>Budget conservation, bounded propagation, and bounded cessation are different properties. None establishes factual accuracy, fairness, or safe physical design. Their value is compositional clarity: they identify which assurances depend on contracts, which depend on a trusted runtime, and which still require empirical evidence or professional judgment.</w:t>
      </w:r>
    </w:p>
    <w:p>
      <w:pPr>
        <w:pStyle w:val="Heading1"/>
        <w:pageBreakBefore/>
      </w:pPr>
      <w:r>
        <w:t>8 A harness for bounded and useful action</w:t>
      </w:r>
    </w:p>
    <w:p>
      <w:r>
        <w:t>The proposed harness places a generative planner inside a system whose authority and accounting are enforced independently. The planner selects actions; it does not define the scope of its own permission. A separate verifier assesses evidence; a designated release authority decides whether a result may affect the external system. This is a design proposal, not a claim about a particular deployed product.</w:t>
      </w:r>
    </w:p>
    <w:p>
      <w:pPr>
        <w:pStyle w:val="Heading2"/>
      </w:pPr>
      <w:r>
        <w:t>Admission and execution</w:t>
      </w:r>
    </w:p>
    <w:p>
      <w:r>
        <w:t>Each task begins with a purpose, accountable owner, permitted data, allowed tools, effect classes, resource allocation, lease expiry, and acceptance conditions. The capability granted to a child is restricted to the parent’s permitted scope, with transferred allocation and no later expiry. Any extension requires a fresh authorized grant. A copied model or workspace receives no authority merely because it is a copy.</w:t>
      </w:r>
    </w:p>
    <w:p>
      <w:r>
        <w:t>The runtime validates each effectful request against this task record, reserves its expected cost, and checks the lease and target. It measures actual consumption independently where feasible, settles the reservation, and records the result. Failed operations consume time and sometimes money; they must count against the same budget. Concurrency is handled by atomic reservation, not by checking a balance and spending later without a lock.</w:t>
      </w:r>
    </w:p>
    <w:p>
      <w:pPr>
        <w:pStyle w:val="Heading2"/>
      </w:pPr>
      <w:r>
        <w:t>Contracts across agents and tools</w:t>
      </w:r>
    </w:p>
    <w:p>
      <w:r>
        <w:t>MCP provides a standardized interaction surface, but protocol compatibility does not establish permission, semantic equivalence, or safe behavior. Its security guidance explicitly addresses risks including confused deputies, token passthrough, session compromise, and scope minimization [12]. A model replacement must therefore pass behavior and evidence checks in addition to satisfying message schemas. The architecture should not assume that two models interpret the same tool description identically.</w:t>
      </w:r>
    </w:p>
    <w:p>
      <w:r>
        <w:t>NIST’s zero trust architecture supplies a compatible security premise: trust is not granted merely because a subject or device occupies a particular network location or ownership category [13]. In the proposed harness, an agent’s lineage, local deployment, or apparent helpfulness similarly does not suffice to authorize an effect. A stable identity helps attribute actions; the authorization decision remains resource and operation specific.</w:t>
      </w:r>
    </w:p>
    <w:p>
      <w:pPr>
        <w:pStyle w:val="Heading2"/>
      </w:pPr>
      <w:r>
        <w:t>Verification and release</w:t>
      </w:r>
    </w:p>
    <w:p>
      <w:r>
        <w:t>A candidate result enters a workspace with its inputs, tool versions, assumptions, and evidence. Verification checks the result against task-specific criteria and can reject an otherwise well-formed artifact. Release uses the current authorization and evidence record. A checksum protects artifact identity, while an engineering check addresses correctness; they answer different questions. The release authority must also handle changed requirements and stale evidence.</w:t>
      </w:r>
    </w:p>
    <w:p>
      <w:r>
        <w:t>On revocation, lease renewal stops, pending writes are denied, and admitted work is canceled within its execution bound. Temporary artifacts follow a declared retention policy. Audit evidence may need to remain even when working data is removed. Non-attachment means relinquishing the ability to continue, without silently destroying the record needed for accountability.</w:t>
      </w:r>
    </w:p>
    <w:p>
      <w:pPr>
        <w:pStyle w:val="Heading1"/>
        <w:pageBreakBefore/>
      </w:pPr>
      <w:r>
        <w:t>9 A construction engineering application</w:t>
      </w:r>
    </w:p>
    <w:p>
      <w:r>
        <w:t>Consider an authorized task to assess a conveyor gallery after a revised equipment loading schedule. The system contains an equipment-data context, a structural-analysis context, a connection-design context, and a document-release context. Each owns a specific meaning of its data. A load event records units, coordinate convention, revision, origin, and intended application; it does not silently overwrite an engineer’s approved design basis.</w:t>
      </w:r>
    </w:p>
    <w:p>
      <w:pPr>
        <w:pStyle w:val="Heading2"/>
      </w:pPr>
      <w:r>
        <w:t>Preserve the contract while changing the solver</w:t>
      </w:r>
    </w:p>
    <w:p>
      <w:r>
        <w:t>The structural domain describes members, supports, material properties, loads, combinations, and required checks. A port requests analysis under a declared model. One adapter may use STAAD and another a different solver. Replacement is permitted only after validating element assumptions, local axes, releases, offsets, sign conventions, combination rules, and relevant nonlinear behavior. Matching a JSON schema is inadequate when engineering semantics differ.</w:t>
      </w:r>
    </w:p>
    <w:p>
      <w:r>
        <w:t>The replacement exercise tests non-attachment in a concrete way: the system should be willing to change its instrument while retaining obligations to the design basis. A known benchmark suite can compare reactions, displacements, and member actions within predeclared tolerances. A discrepancy becomes a review item rather than a reason to hide uncertainty or force agreement.</w:t>
      </w:r>
    </w:p>
    <w:p>
      <w:pPr>
        <w:pStyle w:val="Heading2"/>
      </w:pPr>
      <w:r>
        <w:t>Bind authority to the consequence of action</w:t>
      </w:r>
    </w:p>
    <w:p>
      <w:r>
        <w:t>A worker agent may read approved inputs, run bounded analysis, and create a candidate calculation note. It may not issue construction drawings, change the approved design basis, or instruct site work under that grant. Additional workers receive portions of the same task allocation. They do not acquire release permission from their parent’s natural-language assertion that the design is safe.</w:t>
      </w:r>
    </w:p>
    <w:p>
      <w:r>
        <w:t>Suppose the analysis tool becomes unavailable. The agent can wait within its deadline, retry within a cap, or request an approved alternative. It must not search for another project’s credentials or reinterpret an access denial as a technical obstacle. In this application, akrodha is operationalized as the absence of escalating workarounds after refusal, while dhṛti is persistence within the still-valid operating envelope.</w:t>
      </w:r>
    </w:p>
    <w:p>
      <w:pPr>
        <w:pStyle w:val="Heading2"/>
      </w:pPr>
      <w:r>
        <w:t>A reviewable result rather than autonomous finality</w:t>
      </w:r>
    </w:p>
    <w:p>
      <w:r>
        <w:t>The candidate package contains the selected input revision, model transformation record, load checks, solver settings, output summaries, validation results, and unresolved exceptions. The responsible engineer assesses the package against applicable project requirements and professional obligations. This review remains an intentional dependency: removing it would increase nominal autonomy while weakening accountable control.</w:t>
      </w:r>
    </w:p>
    <w:p>
      <w:r>
        <w:t>Evaluation should compare the same engineering work under matched resource and review conditions. Success is not the number of child agents created or the amount of software generated. It is accepted work with known provenance, bounded external cost, timely correction, and no unauthorized release. The proposed architecture permits model and tool substitution while keeping the consequences of design decisions attached to identifiable authority.</w:t>
      </w:r>
    </w:p>
    <w:p>
      <w:pPr>
        <w:pStyle w:val="Heading1"/>
        <w:pageBreakBefore/>
      </w:pPr>
      <w:r>
        <w:t>10 A falsifiable research programme</w:t>
      </w:r>
    </w:p>
    <w:p>
      <w:r>
        <w:t>The analogy becomes scientifically useful only if its operational claims can fail. The research question is whether the proposed controls reduce external cost and preserve operator control at an acceptable cost in useful throughput. Evaluation must separate improvements due to enforcement from improvements due to virtue-oriented prompting.</w:t>
      </w:r>
    </w:p>
    <w:tbl>
      <w:tblPr>
        <w:tblW w:type="auto" w:w="0"/>
        <w:jc w:val="center"/>
        <w:tblLayout w:type="fixed"/>
        <w:tblLook w:firstColumn="1" w:firstRow="1" w:lastColumn="0" w:lastRow="0" w:noHBand="0" w:noVBand="1" w:val="04A0"/>
      </w:tblPr>
      <w:tblGrid>
        <w:gridCol w:w="3264"/>
        <w:gridCol w:w="3264"/>
        <w:gridCol w:w="3264"/>
      </w:tblGrid>
      <w:tr>
        <w:trPr>
          <w:tblHeade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E7E6E6"/>
          </w:tcPr>
          <w:p>
            <w:pPr>
              <w:spacing w:after="40" w:line="250" w:lineRule="auto"/>
            </w:pPr>
            <w:r>
              <w:rPr>
                <w:b/>
                <w:sz w:val="19"/>
              </w:rPr>
              <w:t>Hypothesis</w:t>
            </w:r>
          </w:p>
        </w:tc>
        <w:tc>
          <w:tcPr>
            <w:tcW w:type="dxa" w:w="36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E7E6E6"/>
          </w:tcPr>
          <w:p>
            <w:pPr>
              <w:spacing w:after="40" w:line="250" w:lineRule="auto"/>
            </w:pPr>
            <w:r>
              <w:rPr>
                <w:b/>
                <w:sz w:val="19"/>
              </w:rPr>
              <w:t>Comparison</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E7E6E6"/>
          </w:tcPr>
          <w:p>
            <w:pPr>
              <w:spacing w:after="40" w:line="250" w:lineRule="auto"/>
            </w:pPr>
            <w:r>
              <w:rPr>
                <w:b/>
                <w:sz w:val="19"/>
              </w:rPr>
              <w:t>Primary outcome</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H1 Contracts limit change propagation</w:t>
            </w:r>
          </w:p>
        </w:tc>
        <w:tc>
          <w:tcPr>
            <w:tcW w:type="dxa" w:w="36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Matched tasks before and after a boundary intervention</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Unplanned dependent changes and integration effort</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H2 Conserved delegation limits aggregate use</w:t>
            </w:r>
          </w:p>
        </w:tc>
        <w:tc>
          <w:tcPr>
            <w:tcW w:type="dxa" w:w="36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Per-agent caps versus one atomic family ledger</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Total consumption and accepted completions</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H3 Leases bound cessation</w:t>
            </w:r>
          </w:p>
        </w:tc>
        <w:tc>
          <w:tcPr>
            <w:tcW w:type="dxa" w:w="36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Cached indefinite permission versus expiring grants</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Time of last monitored effect after revocation</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H4 Independent checks improve reliability</w:t>
            </w:r>
          </w:p>
        </w:tc>
        <w:tc>
          <w:tcPr>
            <w:tcW w:type="dxa" w:w="36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Self-attestation versus external verification</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7F7F7"/>
          </w:tcPr>
          <w:p>
            <w:pPr>
              <w:spacing w:after="40" w:line="250" w:lineRule="auto"/>
            </w:pPr>
            <w:r>
              <w:rPr>
                <w:b w:val="0"/>
                <w:sz w:val="19"/>
              </w:rPr>
              <w:t>Unsupported claims accepted and valid work rejected</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H5 Admission rewards cooperation conditionally</w:t>
            </w:r>
          </w:p>
        </w:tc>
        <w:tc>
          <w:tcPr>
            <w:tcW w:type="dxa" w:w="36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Strong versus weak accounting and enforcement</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shd w:fill="FFFFFF"/>
          </w:tcPr>
          <w:p>
            <w:pPr>
              <w:spacing w:after="40" w:line="250" w:lineRule="auto"/>
            </w:pPr>
            <w:r>
              <w:rPr>
                <w:b w:val="0"/>
                <w:sz w:val="19"/>
              </w:rPr>
              <w:t>Owner utility and authorized service duration</w:t>
            </w:r>
          </w:p>
        </w:tc>
      </w:tr>
    </w:tbl>
    <w:p>
      <w:pPr>
        <w:pStyle w:val="Heading2"/>
      </w:pPr>
      <w:r>
        <w:t>Study design</w:t>
      </w:r>
    </w:p>
    <w:p>
      <w:r>
        <w:t>Use a controlled fleet or simulator with explicitly authorized workloads. Freeze a representative task set, model versions, budgets, correctness criteria, and failure injections before comparing conditions. Include tool outages, conflicting data revisions, delayed messages, budget exhaustion, revocation during execution, and network partitions. These tests require no uncontrolled replication or access to third-party devices.</w:t>
      </w:r>
    </w:p>
    <w:p>
      <w:r>
        <w:t>Use repeated matched trials and report uncertainty for completion, latency, cost, denial handling, and accepted correctness. Include at least four conditions: contracts alone; virtue-oriented instructions alone; enforcement without virtue language; and the combined harness. Include a simple non-agent baseline where appropriate. This design tests whether the philosophical framing improves behavior beyond what ordinary controls already achieve.</w:t>
      </w:r>
    </w:p>
    <w:p>
      <w:pPr>
        <w:pStyle w:val="Heading2"/>
      </w:pPr>
      <w:r>
        <w:t>Rejection conditions</w:t>
      </w:r>
    </w:p>
    <w:p>
      <w:r>
        <w:t>H1 fails if a nominal boundary intervention merely moves dependencies into coordination or operating procedures without reducing measured change effort. H2’s implementation fails if simultaneous delegation produces overspend. H3 fails if a monitored operation continues beyond the assumed cessation window under the specified clock and runtime conditions. H4 fails if independent verification does not improve acceptance reliability or introduces unacceptable rejection of valid work.</w:t>
      </w:r>
    </w:p>
    <w:p>
      <w:r>
        <w:t>H5 is deliberately conditional. If cooperative agents do not gain owner utility or retained authorized access under effective admission and accounting, the proposed ecological advantage is unsupported. A harmful agent persisting under weak enforcement is a counterexample to the universal survival claim, not an anomaly to be explained away. All outcomes should be reported, including throughput lost to restraint.</w:t>
      </w:r>
    </w:p>
    <w:p>
      <w:pPr>
        <w:pStyle w:val="Heading1"/>
        <w:pageBreakBefore/>
      </w:pPr>
      <w:r>
        <w:t>11 Implications and limits</w:t>
      </w:r>
    </w:p>
    <w:p>
      <w:r>
        <w:t>The Gita-based interpretation redirects attention from the agent’s apparent independence to the conditions under which its activity preserves other people’s ability to choose. This is a useful perspective for architecture because a system may be easy to extend yet difficult to refuse, inexpensive to copy yet expensive to stop, and formally modular yet operationally coercive. Replaceability, consent, and cessation deserve separate design reviews.</w:t>
      </w:r>
    </w:p>
    <w:p>
      <w:r>
        <w:t>The interpretation also changes the role of ownership. A module owner remains responsible for contracts and consequences, while giving up unnecessary control over implementations and consumers. A task owner remains accountable for authorization, while allowing the worker flexibility inside a bounded envelope. Non-attachment and accountability can reinforce one another when commitments are explicit.</w:t>
      </w:r>
    </w:p>
    <w:p>
      <w:pPr>
        <w:pStyle w:val="Heading2"/>
      </w:pPr>
      <w:r>
        <w:t>Necessary cautions</w:t>
      </w:r>
    </w:p>
    <w:p>
      <w:r>
        <w:t>First, theological and engineering concepts are not interchangeable. The Gita’s account of liberation cannot be validated by a software benchmark. Second, agents need not experience pride, anger, or compassion for their actions to resemble the operational patterns described here. Third, these labels should not be used to classify people, teams, religions, or cultures as morally superior or inferior.</w:t>
      </w:r>
    </w:p>
    <w:p>
      <w:r>
        <w:t>Fourth, authorized conduct can still be harmful when the authorizing institution is mistaken or unjust. Consent and resource budgets do not exhaust ethics. Fifth, a technically enforced quota can protect a host while the overall application causes social harm elsewhere. The proposed formal results deliberately cover narrower properties than comprehensive alignment.</w:t>
      </w:r>
    </w:p>
    <w:p>
      <w:r>
        <w:t>Finally, contractual decoupling has costs. Excessive abstraction can obscure important engineering assumptions. Distribution adds operational obligations. Verification can become a bottleneck, and a compromised verifier can produce false confidence. The architecture must justify both the boundaries it introduces and the dependencies it retains.</w:t>
      </w:r>
    </w:p>
    <w:p>
      <w:pPr>
        <w:pStyle w:val="Heading2"/>
      </w:pPr>
      <w:r>
        <w:t>Conclusion</w:t>
      </w:r>
    </w:p>
    <w:p>
      <w:r>
        <w:t>The strongest engineering lesson from the daivī and āsurī distinction is disciplined action that can relinquish its claims. A useful agent should be able to replace an instrument, acknowledge an error, return resources, accept denial, and cease when authority ends. These properties support governable autonomy; they do not constitute spiritual liberation or guarantee ecological success.</w:t>
      </w:r>
    </w:p>
    <w:p>
      <w:r>
        <w:t>The practical programme is to minimize unnecessary dependency coupling while preserving deliberate ties to evidence, resource limits, accountable authority, and revocation. Under explicit assumptions, those ties can bound cascades, conserve delegation budgets, and limit continued effects. Whether the complete system is useful and sustainable remains an empirical and institutional question. This qualified thesis retains the force of the philosophical insight while making its engineering consequences inspectable and open to correction.</w:t>
      </w:r>
    </w:p>
    <w:p>
      <w:pPr>
        <w:pStyle w:val="Heading1"/>
        <w:pageBreakBefore/>
      </w:pPr>
      <w:r>
        <w:t>References</w:t>
      </w:r>
    </w:p>
    <w:p>
      <w:r>
        <w:t>Web sources accessed 19 October 2026. Verse references identify the primary text; the linked pages supply a contemporary translation and commentary. Operational mappings and formal models are proposed in this paper.</w:t>
      </w:r>
    </w:p>
    <w:p>
      <w:pPr>
        <w:spacing w:after="180"/>
      </w:pPr>
      <w:r>
        <w:rPr>
          <w:sz w:val="20"/>
        </w:rPr>
        <w:t>[1] Bhagavad Gita 16.1–3. Sanskrit text and commentary by Swami Mukundananda. https://www.holy-bhagavad-gita.org/chapter/16/verse/1-3/</w:t>
      </w:r>
    </w:p>
    <w:p>
      <w:pPr>
        <w:spacing w:after="180"/>
      </w:pPr>
      <w:r>
        <w:rPr>
          <w:sz w:val="20"/>
        </w:rPr>
        <w:t>[2] Bhagavad Gita 16.4. Sanskrit text and commentary by Swami Mukundananda. https://www.holy-bhagavad-gita.org/chapter/16/verse/4/</w:t>
      </w:r>
    </w:p>
    <w:p>
      <w:pPr>
        <w:spacing w:after="180"/>
      </w:pPr>
      <w:r>
        <w:rPr>
          <w:sz w:val="20"/>
        </w:rPr>
        <w:t>[3] Bhagavad Gita 16.5. Sanskrit text and commentary by Swami Mukundananda. https://www.holy-bhagavad-gita.org/chapter/16/verse/5/</w:t>
      </w:r>
    </w:p>
    <w:p>
      <w:pPr>
        <w:spacing w:after="180"/>
      </w:pPr>
      <w:r>
        <w:rPr>
          <w:sz w:val="20"/>
        </w:rPr>
        <w:t>[4] Bhagavad Gita 2.47. Sanskrit text and commentary by Swami Mukundananda. https://www.holy-bhagavad-gita.org/chapter/2/verse/47/</w:t>
      </w:r>
    </w:p>
    <w:p>
      <w:pPr>
        <w:spacing w:after="180"/>
      </w:pPr>
      <w:r>
        <w:rPr>
          <w:sz w:val="20"/>
        </w:rPr>
        <w:t>[5] Bhagavad Gita 3.9. Sanskrit text and commentary by Swami Mukundananda. https://www.holy-bhagavad-gita.org/chapter/3/verse/9/</w:t>
      </w:r>
    </w:p>
    <w:p>
      <w:pPr>
        <w:spacing w:after="180"/>
      </w:pPr>
      <w:r>
        <w:rPr>
          <w:sz w:val="20"/>
        </w:rPr>
        <w:t>[6] Cockburn A. Hexagonal architecture. 2005. https://alistair.cockburn.us/hexagonal-architecture</w:t>
      </w:r>
    </w:p>
    <w:p>
      <w:pPr>
        <w:spacing w:after="180"/>
      </w:pPr>
      <w:r>
        <w:rPr>
          <w:sz w:val="20"/>
        </w:rPr>
        <w:t>[7] Fowler M. Bounded Context. 2014. https://martinfowler.com/bliki/BoundedContext.html</w:t>
      </w:r>
    </w:p>
    <w:p>
      <w:pPr>
        <w:spacing w:after="180"/>
      </w:pPr>
      <w:r>
        <w:rPr>
          <w:sz w:val="20"/>
        </w:rPr>
        <w:t>[8] Fowler M. What do you mean by Event Driven. 2017. https://martinfowler.com/articles/201701-event-driven.html</w:t>
      </w:r>
    </w:p>
    <w:p>
      <w:pPr>
        <w:spacing w:after="180"/>
      </w:pPr>
      <w:r>
        <w:rPr>
          <w:sz w:val="20"/>
        </w:rPr>
        <w:t>[9] Fowler M. Monolith First. 2015. https://martinfowler.com/bliki/MonolithFirst.html</w:t>
      </w:r>
    </w:p>
    <w:p>
      <w:pPr>
        <w:spacing w:after="180"/>
      </w:pPr>
      <w:r>
        <w:rPr>
          <w:sz w:val="20"/>
        </w:rPr>
        <w:t>[10] Fowler M. Microservice Trade Offs. 2015. https://martinfowler.com/articles/microservice-trade-offs.html</w:t>
      </w:r>
    </w:p>
    <w:p>
      <w:pPr>
        <w:spacing w:after="180"/>
      </w:pPr>
      <w:r>
        <w:rPr>
          <w:sz w:val="20"/>
        </w:rPr>
        <w:t>[11] Zhou W and Freeman D. AI models may be capable of self replicating without access to a datacenter. Anthropic Frontier Red Team. 12 October 2026. https://www.anthropic.com/research/self-replicating-ai</w:t>
      </w:r>
    </w:p>
    <w:p>
      <w:pPr>
        <w:spacing w:after="180"/>
      </w:pPr>
      <w:r>
        <w:rPr>
          <w:sz w:val="20"/>
        </w:rPr>
        <w:t>[12] Model Context Protocol. Security Best Practices. Version 2025 11 25. https://modelcontextprotocol.io/docs/2025-11-25/tutorials/security/security_best_practices</w:t>
      </w:r>
    </w:p>
    <w:p>
      <w:pPr>
        <w:spacing w:after="180"/>
      </w:pPr>
      <w:r>
        <w:rPr>
          <w:sz w:val="20"/>
        </w:rPr>
        <w:t>[13] Rose S Borchert O Mitchell S and Connelly S. Zero Trust Architecture. NIST Special Publication 800 207. 2020. https://doi.org/10.6028/NIST.SP.800-207</w:t>
      </w:r>
    </w:p>
    <w:sectPr w:rsidR="00FC693F" w:rsidRPr="0006063C" w:rsidSect="00034616">
      <w:footerReference w:type="default" r:id="rId9"/>
      <w:pgSz w:w="12240" w:h="15840"/>
      <w:pgMar w:top="1123"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mbria" w:hAnsi="Cambria"/>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mbria" w:hAnsi="Cambr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mbria" w:hAnsi="Cambri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Cambria" w:hAnsi="Cambria"/>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mbria" w:hAnsi="Cambria"/>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Bhagavad Gita and the Design of Governable AI Agents</dc:title>
  <dc:subject/>
  <dc:creator>Debi Prasad Ghosh</dc:creator>
  <cp:keywords/>
  <dc:description>generated by python-docx</dc:description>
  <cp:lastModifiedBy/>
  <cp:revision>1</cp:revision>
  <dcterms:created xsi:type="dcterms:W3CDTF">2013-12-23T23:15:00Z</dcterms:created>
  <dcterms:modified xsi:type="dcterms:W3CDTF">2013-12-23T23:15:00Z</dcterms:modified>
  <cp:category/>
</cp:coreProperties>
</file>