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5E17A" w14:textId="77777777" w:rsidR="007672C2" w:rsidRPr="0062617A" w:rsidRDefault="00000000">
      <w:pPr>
        <w:pStyle w:val="Title"/>
        <w:rPr>
          <w:rFonts w:hint="eastAsia"/>
          <w:sz w:val="44"/>
          <w:szCs w:val="44"/>
        </w:rPr>
      </w:pPr>
      <w:r w:rsidRPr="0062617A">
        <w:rPr>
          <w:sz w:val="44"/>
          <w:szCs w:val="44"/>
        </w:rPr>
        <w:t>The Hidden Transformer in Diffusion Evolution</w:t>
      </w:r>
    </w:p>
    <w:p w14:paraId="68A7EBBF" w14:textId="77777777" w:rsidR="007672C2" w:rsidRPr="0062617A" w:rsidRDefault="00000000">
      <w:pPr>
        <w:pStyle w:val="Subtitle"/>
        <w:rPr>
          <w:rFonts w:hint="eastAsia"/>
          <w:color w:val="00B0F0"/>
          <w:sz w:val="24"/>
          <w:szCs w:val="22"/>
        </w:rPr>
      </w:pPr>
      <w:r w:rsidRPr="0062617A">
        <w:rPr>
          <w:color w:val="00B0F0"/>
          <w:sz w:val="24"/>
          <w:szCs w:val="22"/>
        </w:rPr>
        <w:t>Exact attention retrieval with corrected dynamics and certified approximation bounds</w:t>
      </w:r>
    </w:p>
    <w:p w14:paraId="0D0BE3D8" w14:textId="77777777" w:rsidR="007672C2" w:rsidRDefault="00000000">
      <w:pPr>
        <w:pStyle w:val="Author"/>
        <w:rPr>
          <w:rFonts w:hint="eastAsia"/>
        </w:rPr>
      </w:pPr>
      <w:r>
        <w:t>Debi Prasad Ghosh</w:t>
      </w:r>
    </w:p>
    <w:p w14:paraId="1C3086B3" w14:textId="77777777" w:rsidR="007672C2" w:rsidRDefault="00000000">
      <w:pPr>
        <w:pStyle w:val="Date1"/>
        <w:rPr>
          <w:rFonts w:hint="eastAsia"/>
        </w:rPr>
      </w:pPr>
      <w:r>
        <w:t>Revised research manuscript • 17 October 2026</w:t>
      </w:r>
    </w:p>
    <w:p w14:paraId="0CAC4178" w14:textId="77777777" w:rsidR="007672C2" w:rsidRDefault="00000000">
      <w:pPr>
        <w:pStyle w:val="FirstParagraph"/>
        <w:rPr>
          <w:rFonts w:hint="eastAsia"/>
        </w:rPr>
      </w:pPr>
      <w:r>
        <w:rPr>
          <w:i/>
          <w:iCs/>
        </w:rPr>
        <w:t>Founder and Principal Engineer, Debias Parametric Guru, Kolkata, India</w:t>
      </w:r>
    </w:p>
    <w:p w14:paraId="47585429" w14:textId="77777777" w:rsidR="007672C2" w:rsidRDefault="00000000">
      <w:pPr>
        <w:pStyle w:val="Heading1"/>
        <w:spacing w:before="240"/>
        <w:rPr>
          <w:rFonts w:hint="eastAsia"/>
        </w:rPr>
      </w:pPr>
      <w:bookmarkStart w:id="0" w:name="abstract"/>
      <w:r>
        <w:t>Abstract</w:t>
      </w:r>
    </w:p>
    <w:p w14:paraId="22A1923F" w14:textId="77777777" w:rsidR="007672C2" w:rsidRDefault="00000000">
      <w:pPr>
        <w:pStyle w:val="FirstParagraph"/>
        <w:rPr>
          <w:rFonts w:hint="eastAsia"/>
        </w:rPr>
      </w:pPr>
      <w:r>
        <w:t>Diffusion Evolution retrieves a loss-weighted Gaussian-kernel mean from its current population. We show exactly how this read is biased dot-product attention: the query is the current individual, the keys are scaled population vectors, the values are the population vectors, and the key bias contains both the loss weight and a squared-norm correction. The identity extends to positive-definite observation covariance and valid importance weights. It identifies an attention-based population algorithm without learned projections; it does not identify a complete Transformer. We derive the retrieval Jacobian, a fixed-memory Hopfield descent inequality and the exact reverse conditional for a finite Gaussian diffusion model. These results distinguish a local posterior mean from a full score field and quantify the posterior covariance omitted by a mean-based reverse proposal.</w:t>
      </w:r>
    </w:p>
    <w:p w14:paraId="2B743D33" w14:textId="77777777" w:rsidR="007672C2" w:rsidRDefault="00000000">
      <w:pPr>
        <w:pStyle w:val="BodyText"/>
        <w:rPr>
          <w:rFonts w:hint="eastAsia"/>
        </w:rPr>
      </w:pPr>
      <w:r>
        <w:t xml:space="preserve">We also characterize the entire stochasticity range of the DDIM-type step. Its normalized-coordinate drift is a convex interpolation, while its unnormalized drift can expand the population for a nonempty interval of positive noise parameters. For computation, we derive an omitted-mass certificate for sparse attention and an exact shared-feature covariance formula that gives a ratio-aware random-feature error bound. Narrow bandwidth alone implies neither sparse attention nor unavoidable random-feature failure: duplicate keys remain dense, and recentering changes random-feature variance while preserving the exact Gaussian retrieval. Fresh numerical checks verify the identity on 216 configurations with maximum absolute error below </w:t>
      </w:r>
      <m:oMath>
        <m:r>
          <w:rPr>
            <w:rFonts w:ascii="Cambria Math" w:hAnsi="Cambria Math"/>
          </w:rPr>
          <m:t>4.3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validate covariance and derivative formulas, and demonstrate the effect of recentering. Earlier population, clustering and timing measurements are retained as separately identified reported results. The paper provides exact local identities and testable approximation criteria, rather than a universal claim of faster optimization or Transformer-equivalent learning.</w:t>
      </w:r>
    </w:p>
    <w:p w14:paraId="255C9DDA" w14:textId="77777777" w:rsidR="007672C2" w:rsidRDefault="00000000">
      <w:pPr>
        <w:pStyle w:val="BodyText"/>
        <w:rPr>
          <w:rFonts w:hint="eastAsia"/>
        </w:rPr>
      </w:pPr>
      <w:r>
        <w:rPr>
          <w:b/>
          <w:bCs/>
        </w:rPr>
        <w:t>Keywords:</w:t>
      </w:r>
      <w:r>
        <w:t xml:space="preserve"> Diffusion Evolution; Autoregressive Diffusion Evolution; softmax attention; empirical Bayes; Hopfield retrieval; reverse diffusion; random features; sparse retrieval; ratio estimation.</w:t>
      </w:r>
    </w:p>
    <w:p w14:paraId="6D20833E" w14:textId="77777777" w:rsidR="007672C2" w:rsidRDefault="00000000">
      <w:pPr>
        <w:pStyle w:val="Heading1"/>
        <w:rPr>
          <w:rFonts w:hint="eastAsia"/>
        </w:rPr>
      </w:pPr>
      <w:bookmarkStart w:id="1" w:name="introduction"/>
      <w:bookmarkEnd w:id="0"/>
      <w:r>
        <w:t>1 Introduction</w:t>
      </w:r>
    </w:p>
    <w:p w14:paraId="1357D391" w14:textId="77777777" w:rsidR="007672C2" w:rsidRDefault="00000000">
      <w:pPr>
        <w:pStyle w:val="FirstParagraph"/>
        <w:rPr>
          <w:rFonts w:hint="eastAsia"/>
        </w:rPr>
      </w:pPr>
      <w:r>
        <w:t>Diffusion Evolution replaces a trained denoiser by a computation over the current population [1]. Each individual’s target is a loss-weighted, Gaussian-kernel-weighted average of the individuals, normalized to sum to one. The calculation has the structure of attention: pairwise similarities, row normalization and a weighted sum of stored values, repeated over successive population updates. The question is whether this resemblance is algebraically exact and which conclusions follow from it.</w:t>
      </w:r>
    </w:p>
    <w:p w14:paraId="2B5C26D6" w14:textId="77777777" w:rsidR="007672C2" w:rsidRDefault="00000000">
      <w:pPr>
        <w:pStyle w:val="BodyText"/>
        <w:rPr>
          <w:rFonts w:hint="eastAsia"/>
        </w:rPr>
      </w:pPr>
      <w:r>
        <w:t xml:space="preserve">The exact statement concerns the retrieval operator. Expanding a Gaussian squared distance gives a dot product, a per-key norm penalty and a per-query term that cancels in normalization. Loss weights become additive key biases. This construction needs neither equal-norm particles nor learned projections. A full population read is self-attention when queries and memories come from </w:t>
      </w:r>
      <w:r>
        <w:lastRenderedPageBreak/>
        <w:t>the same population; an external archive gives cross-attention. The remaining update combines the read with a residual coefficient and optional Gaussian noise.</w:t>
      </w:r>
    </w:p>
    <w:p w14:paraId="094AAC53" w14:textId="77777777" w:rsidR="007672C2" w:rsidRDefault="00000000">
      <w:pPr>
        <w:pStyle w:val="BodyText"/>
        <w:rPr>
          <w:rFonts w:hint="eastAsia"/>
        </w:rPr>
      </w:pPr>
      <w:r>
        <w:t>This distinction matters for both mathematics and implementation. Attention returns a mean, whose geometry can differ from the support of the underlying posterior. Layerwise attention identities do not imply a common energy for an evolving population. An efficient attention approximation must control the normalized read, not merely one unnormalized kernel value. Narrow kernels can coexist with dense clusters, and a parameter-free retrieval can still depend strongly on loss scaling, schedules and externally supplied evaluations.</w:t>
      </w:r>
    </w:p>
    <w:p w14:paraId="10C191B2" w14:textId="77777777" w:rsidR="007672C2" w:rsidRDefault="00000000">
      <w:pPr>
        <w:pStyle w:val="BodyText"/>
        <w:rPr>
          <w:rFonts w:hint="eastAsia"/>
        </w:rPr>
      </w:pPr>
      <w:r>
        <w:t>The analysis develops three consequences. First, the read admits explicit derivatives and a fixed-memory energy interpretation. Second, the DDIM-type proposal has a precise geometry over the full noise-parameter range, including intermediate settings. Third, approximation errors can be tied to omitted probability mass and shared random-feature moments. These statements make it possible to assess when an attention acceleration is justified without assuming that a Transformer theorem or one timing result transfers unchanged to Diffusion Evolution.</w:t>
      </w:r>
    </w:p>
    <w:p w14:paraId="6CFF0D36" w14:textId="77777777" w:rsidR="007672C2" w:rsidRDefault="00000000">
      <w:pPr>
        <w:pStyle w:val="Heading2"/>
        <w:rPr>
          <w:rFonts w:hint="eastAsia"/>
        </w:rPr>
      </w:pPr>
      <w:bookmarkStart w:id="2" w:name="relation-to-existing-research"/>
      <w:r>
        <w:t>1.1 Relation to existing research</w:t>
      </w:r>
    </w:p>
    <w:p w14:paraId="0FAACFA0" w14:textId="77777777" w:rsidR="007672C2" w:rsidRDefault="00000000">
      <w:pPr>
        <w:pStyle w:val="FirstParagraph"/>
        <w:rPr>
          <w:rFonts w:hint="eastAsia"/>
        </w:rPr>
      </w:pPr>
      <w:r>
        <w:t>Diffusion Evolution [1] supplies the population retrieval and proposal studied here. DDIM [2] and DDPM [3] provide the corresponding diffusion schedules and Gaussian transition formulas. Standard attention [4], modern Hopfield retrieval [5], interacting-particle analyses [6,7] and pure-attention rank-collapse results [8] describe related operators under their own assumptions. Positive random features [9] motivate a factorized evaluation of exponential dot products. Diffusion has also been studied as associative memory [10].</w:t>
      </w:r>
    </w:p>
    <w:p w14:paraId="26EBDC1B" w14:textId="77777777" w:rsidR="007672C2" w:rsidRDefault="00000000">
      <w:pPr>
        <w:pStyle w:val="BodyText"/>
        <w:rPr>
          <w:rFonts w:hint="eastAsia"/>
        </w:rPr>
      </w:pPr>
      <w:r>
        <w:t>Recent Gaussian Kernel Attention [11] removes learned query, key and value projections from an attention module while retaining a learned bandwidth and output projection. Its existence reinforces a useful architectural distinction: a Gaussian retrieval mechanism can be embedded in a trained Transformer, but a population optimizer with the same kernel does not thereby acquire that model’s trained computation. The present contribution is a precise specialization to externally weighted evolving particles, together with schedule, reverse-law and approximation analysis. The attention identity itself is an instance of Gaussian posterior retrieval, not a claim of discovering a new universal equivalence.</w:t>
      </w:r>
    </w:p>
    <w:p w14:paraId="4167CD60" w14:textId="77777777" w:rsidR="007672C2" w:rsidRDefault="00000000">
      <w:pPr>
        <w:pStyle w:val="Heading1"/>
        <w:rPr>
          <w:rFonts w:hint="eastAsia"/>
        </w:rPr>
      </w:pPr>
      <w:bookmarkStart w:id="3" w:name="background-and-notation"/>
      <w:bookmarkEnd w:id="1"/>
      <w:bookmarkEnd w:id="2"/>
      <w:r>
        <w:t>2 Background and notation</w:t>
      </w:r>
    </w:p>
    <w:p w14:paraId="463EC659" w14:textId="77777777" w:rsidR="007672C2" w:rsidRDefault="00000000">
      <w:pPr>
        <w:pStyle w:val="Heading2"/>
        <w:rPr>
          <w:rFonts w:hint="eastAsia"/>
        </w:rPr>
      </w:pPr>
      <w:bookmarkStart w:id="4" w:name="a-finite-empirical-retrieval-model"/>
      <w:r>
        <w:t>2.1 A finite empirical retrieval model</w:t>
      </w:r>
    </w:p>
    <w:p w14:paraId="714C2270" w14:textId="77777777" w:rsidR="007672C2" w:rsidRDefault="00000000">
      <w:pPr>
        <w:pStyle w:val="FirstParagraph"/>
        <w:keepNext/>
        <w:rPr>
          <w:rFonts w:hint="eastAsia"/>
        </w:rPr>
      </w:pPr>
      <w:r>
        <w:t xml:space="preserve">Let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be memory particles, with </w:t>
      </w: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0</m:t>
        </m:r>
      </m:oMath>
      <w:r>
        <w:t xml:space="preserve"> and at least one positive weight. Their normalized masses define a finite empirical prior. At a fixed noise index </w:t>
      </w:r>
      <m:oMath>
        <m:r>
          <w:rPr>
            <w:rFonts w:ascii="Cambria Math" w:hAnsi="Cambria Math"/>
          </w:rPr>
          <m:t>t</m:t>
        </m:r>
      </m:oMath>
      <w:r>
        <w:t xml:space="preserve">, let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&lt;</m:t>
        </m:r>
        <m:r>
          <w:rPr>
            <w:rFonts w:ascii="Cambria Math" w:hAnsi="Cambria Math"/>
          </w:rPr>
          <m:t>1</m:t>
        </m:r>
      </m:oMath>
      <w:r>
        <w:t xml:space="preserve">,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 and</w:t>
      </w:r>
    </w:p>
    <w:p w14:paraId="10D2284A"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r>
            <w:rPr>
              <w:rFonts w:ascii="Cambria Math" w:hAnsi="Cambria Math"/>
            </w:rPr>
            <m:t>Y</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τ</m:t>
                  </m:r>
                </m:e>
                <m:sub>
                  <m:r>
                    <w:rPr>
                      <w:rFonts w:ascii="Cambria Math" w:hAnsi="Cambria Math"/>
                    </w:rPr>
                    <m:t>t</m:t>
                  </m:r>
                </m:sub>
              </m:sSub>
            </m:e>
          </m:rad>
          <m:r>
            <m:rPr>
              <m:nor/>
            </m:rPr>
            <m:t>    </m:t>
          </m:r>
          <m:r>
            <w:rPr>
              <w:rFonts w:ascii="Cambria Math" w:hAnsi="Cambria Math"/>
            </w:rPr>
            <m:t>Ξ</m:t>
          </m:r>
          <m:r>
            <m:rPr>
              <m:sty m:val="p"/>
            </m:rPr>
            <w:rPr>
              <w:rFonts w:ascii="Cambria Math" w:hAnsi="Cambria Math"/>
            </w:rPr>
            <m:t>,</m:t>
          </m:r>
          <m:r>
            <m:rPr>
              <m:nor/>
            </m:rPr>
            <m:t>    </m:t>
          </m:r>
          <m:r>
            <w:rPr>
              <w:rFonts w:ascii="Cambria Math" w:hAnsi="Cambria Math"/>
            </w:rPr>
            <m:t>Ξ</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r>
            <m:rPr>
              <m:sty m:val="p"/>
            </m:rPr>
            <w:rPr>
              <w:rFonts w:ascii="Cambria Math" w:hAnsi="Cambria Math"/>
            </w:rPr>
            <m:t>.</m:t>
          </m:r>
          <m:r>
            <m:rPr>
              <m:nor/>
            </m:rPr>
            <m:t>    (1)</m:t>
          </m:r>
        </m:oMath>
      </m:oMathPara>
    </w:p>
    <w:p w14:paraId="69604D43" w14:textId="77777777" w:rsidR="007672C2" w:rsidRDefault="00000000">
      <w:pPr>
        <w:pStyle w:val="FirstParagraph"/>
        <w:keepNext/>
        <w:rPr>
          <w:rFonts w:hint="eastAsia"/>
        </w:rPr>
      </w:pPr>
      <w:r>
        <w:t xml:space="preserve">The cumulative signal coefficient decreases in the forward direction,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&gt;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&gt;⋯&gt;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Optimization runs in the reverse index direction. For isotropic observation density </w:t>
      </w:r>
      <m:oMath>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m:rPr>
            <m:scr m:val="script"/>
            <m:sty m:val="p"/>
          </m:rPr>
          <w:rPr>
            <w:rFonts w:ascii="Cambria Math" w:hAnsi="Cambria Math"/>
          </w:rPr>
          <m:t>=N</m:t>
        </m:r>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sSub>
              <m:sSubPr>
                <m:ctrlPr>
                  <w:rPr>
                    <w:rFonts w:ascii="Cambria Math" w:hAnsi="Cambria Math"/>
                  </w:rPr>
                </m:ctrlPr>
              </m:sSubPr>
              <m:e>
                <m:r>
                  <w:rPr>
                    <w:rFonts w:ascii="Cambria Math" w:hAnsi="Cambria Math"/>
                  </w:rPr>
                  <m:t>I</m:t>
                </m:r>
              </m:e>
              <m:sub>
                <m:r>
                  <w:rPr>
                    <w:rFonts w:ascii="Cambria Math" w:hAnsi="Cambria Math"/>
                  </w:rPr>
                  <m:t>D</m:t>
                </m:r>
              </m:sub>
            </m:sSub>
          </m:e>
        </m:d>
      </m:oMath>
      <w:r>
        <w:t>, define responsibilities and retrieval:</w:t>
      </w:r>
    </w:p>
    <w:p w14:paraId="2E80EDE4"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tj</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num>
            <m:den>
              <m:nary>
                <m:naryPr>
                  <m:chr m:val="∑"/>
                  <m:limLoc m:val="undOvr"/>
                  <m:supHide m:val="1"/>
                  <m:ctrlPr>
                    <w:rPr>
                      <w:rFonts w:ascii="Cambria Math" w:hAnsi="Cambria Math"/>
                    </w:rPr>
                  </m:ctrlPr>
                </m:naryPr>
                <m:sub>
                  <m:r>
                    <m:rPr>
                      <m:scr m:val="script"/>
                      <m:sty m:val="p"/>
                    </m:rP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w</m:t>
                      </m:r>
                    </m:e>
                    <m:sub>
                      <m:r>
                        <m:rPr>
                          <m:scr m:val="script"/>
                          <m:sty m:val="p"/>
                        </m:rPr>
                        <w:rPr>
                          <w:rFonts w:ascii="Cambria Math" w:hAnsi="Cambria Math"/>
                        </w:rPr>
                        <m:t>l</m:t>
                      </m:r>
                    </m:sub>
                  </m:sSub>
                </m:e>
              </m:nary>
              <m:sSub>
                <m:sSubPr>
                  <m:ctrlPr>
                    <w:rPr>
                      <w:rFonts w:ascii="Cambria Math" w:hAnsi="Cambria Math"/>
                    </w:rPr>
                  </m:ctrlPr>
                </m:sSubPr>
                <m:e>
                  <m:r>
                    <w:rPr>
                      <w:rFonts w:ascii="Cambria Math" w:hAnsi="Cambria Math"/>
                    </w:rPr>
                    <m:t>K</m:t>
                  </m:r>
                </m:e>
                <m:sub>
                  <m:r>
                    <w:rPr>
                      <w:rFonts w:ascii="Cambria Math" w:hAnsi="Cambria Math"/>
                    </w:rPr>
                    <m:t>t</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m:rPr>
                          <m:scr m:val="script"/>
                          <m:sty m:val="p"/>
                        </m:rPr>
                        <w:rPr>
                          <w:rFonts w:ascii="Cambria Math" w:hAnsi="Cambria Math"/>
                        </w:rPr>
                        <m:t>l</m:t>
                      </m:r>
                    </m:sub>
                  </m:sSub>
                </m:e>
              </m:d>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tj</m:t>
                  </m:r>
                </m:sub>
              </m:sSub>
            </m:e>
          </m:nary>
          <m:d>
            <m:dPr>
              <m:ctrlPr>
                <w:rPr>
                  <w:rFonts w:ascii="Cambria Math" w:hAnsi="Cambria Math"/>
                </w:rPr>
              </m:ctrlPr>
            </m:dPr>
            <m:e>
              <m:r>
                <w:rPr>
                  <w:rFonts w:ascii="Cambria Math" w:hAnsi="Cambria Math"/>
                </w:rPr>
                <m:t>q</m:t>
              </m:r>
            </m:e>
          </m:d>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nor/>
            </m:rPr>
            <m:t>    (2)</m:t>
          </m:r>
        </m:oMath>
      </m:oMathPara>
    </w:p>
    <w:p w14:paraId="2333028C" w14:textId="77777777" w:rsidR="007672C2" w:rsidRDefault="00000000">
      <w:pPr>
        <w:pStyle w:val="FirstParagraph"/>
        <w:rPr>
          <w:rFonts w:hint="eastAsia"/>
        </w:rPr>
      </w:pPr>
      <w:r>
        <w:lastRenderedPageBreak/>
        <w:t xml:space="preserve">For a frozen empirical prior, this is exactly </w:t>
      </w:r>
      <m:oMath>
        <m:r>
          <m:rPr>
            <m:scr m:val="double-struck"/>
            <m:sty m:val="p"/>
          </m:rPr>
          <w:rPr>
            <w:rFonts w:ascii="Cambria Math" w:hAnsi="Cambria Math"/>
          </w:rPr>
          <m:t>E[</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oMath>
      <w:r>
        <w:t xml:space="preserve">. In Diffusion Evolution, the current population is reused as the memory, commonly with </w:t>
      </w:r>
      <m:oMath>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βJ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oMath>
      <w:r>
        <w:t xml:space="preserve"> for a minimized dimensionless loss </w:t>
      </w:r>
      <m:oMath>
        <m:r>
          <w:rPr>
            <w:rFonts w:ascii="Cambria Math" w:hAnsi="Cambria Math"/>
          </w:rPr>
          <m:t>J</m:t>
        </m:r>
      </m:oMath>
      <w:r>
        <w:t xml:space="preserve"> and selection parameter </w:t>
      </w:r>
      <m:oMath>
        <m:r>
          <w:rPr>
            <w:rFonts w:ascii="Cambria Math" w:hAnsi="Cambria Math"/>
          </w:rPr>
          <m:t>β</m:t>
        </m:r>
        <m:r>
          <m:rPr>
            <m:sty m:val="p"/>
          </m:rPr>
          <w:rPr>
            <w:rFonts w:ascii="Cambria Math" w:hAnsi="Cambria Math"/>
          </w:rPr>
          <m:t>≥</m:t>
        </m:r>
        <m:r>
          <w:rPr>
            <w:rFonts w:ascii="Cambria Math" w:hAnsi="Cambria Math"/>
          </w:rPr>
          <m:t>0</m:t>
        </m:r>
      </m:oMath>
      <w:r>
        <w:t>. Refreshing the population refreshes the empirical prior. Thus a retrieval can be exact for its current finite model without being an unbiased estimate of a fixed global target density.</w:t>
      </w:r>
    </w:p>
    <w:p w14:paraId="76F5699B" w14:textId="77777777" w:rsidR="007672C2" w:rsidRDefault="00000000">
      <w:pPr>
        <w:pStyle w:val="Caption"/>
        <w:keepNext/>
        <w:rPr>
          <w:rFonts w:hint="eastAsia"/>
        </w:rPr>
      </w:pPr>
      <w:r>
        <w:t>Table 1. Notation and distinct roles.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28"/>
        <w:gridCol w:w="8208"/>
      </w:tblGrid>
      <w:tr w:rsidR="007672C2" w14:paraId="2171A89A" w14:textId="77777777">
        <w:trPr>
          <w:cantSplit/>
          <w:tblHeader/>
          <w:jc w:val="center"/>
        </w:trPr>
        <w:tc>
          <w:tcPr>
            <w:tcW w:w="1728" w:type="dxa"/>
            <w:shd w:val="clear" w:color="auto" w:fill="EAEAEA"/>
            <w:tcMar>
              <w:top w:w="80" w:type="dxa"/>
              <w:left w:w="85" w:type="dxa"/>
              <w:bottom w:w="80" w:type="dxa"/>
              <w:right w:w="85" w:type="dxa"/>
            </w:tcMar>
            <w:vAlign w:val="center"/>
          </w:tcPr>
          <w:p w14:paraId="3FE15AB7" w14:textId="77777777" w:rsidR="007672C2" w:rsidRDefault="00000000">
            <w:pPr>
              <w:keepNext/>
              <w:keepLines/>
              <w:spacing w:after="0" w:line="247" w:lineRule="auto"/>
              <w:jc w:val="left"/>
              <w:rPr>
                <w:rFonts w:hint="eastAsia"/>
              </w:rPr>
            </w:pPr>
            <w:r>
              <w:rPr>
                <w:b/>
                <w:sz w:val="21"/>
              </w:rPr>
              <w:t>Symbol</w:t>
            </w:r>
          </w:p>
        </w:tc>
        <w:tc>
          <w:tcPr>
            <w:tcW w:w="8208" w:type="dxa"/>
            <w:shd w:val="clear" w:color="auto" w:fill="EAEAEA"/>
            <w:tcMar>
              <w:top w:w="80" w:type="dxa"/>
              <w:left w:w="85" w:type="dxa"/>
              <w:bottom w:w="80" w:type="dxa"/>
              <w:right w:w="85" w:type="dxa"/>
            </w:tcMar>
            <w:vAlign w:val="center"/>
          </w:tcPr>
          <w:p w14:paraId="4361FE9D" w14:textId="77777777" w:rsidR="007672C2" w:rsidRDefault="00000000">
            <w:pPr>
              <w:keepNext/>
              <w:keepLines/>
              <w:spacing w:after="0" w:line="247" w:lineRule="auto"/>
              <w:jc w:val="left"/>
              <w:rPr>
                <w:rFonts w:hint="eastAsia"/>
              </w:rPr>
            </w:pPr>
            <w:r>
              <w:rPr>
                <w:b/>
                <w:sz w:val="21"/>
              </w:rPr>
              <w:t>Meaning</w:t>
            </w:r>
          </w:p>
        </w:tc>
      </w:tr>
      <w:tr w:rsidR="007672C2" w14:paraId="1E3FB2A4" w14:textId="77777777">
        <w:trPr>
          <w:cantSplit/>
          <w:jc w:val="center"/>
        </w:trPr>
        <w:tc>
          <w:tcPr>
            <w:tcW w:w="1728" w:type="dxa"/>
            <w:shd w:val="clear" w:color="auto" w:fill="FFFFFF"/>
            <w:tcMar>
              <w:top w:w="80" w:type="dxa"/>
              <w:left w:w="85" w:type="dxa"/>
              <w:bottom w:w="80" w:type="dxa"/>
              <w:right w:w="85" w:type="dxa"/>
            </w:tcMar>
            <w:vAlign w:val="center"/>
          </w:tcPr>
          <w:p w14:paraId="205DCE13" w14:textId="77777777" w:rsidR="007672C2" w:rsidRDefault="00000000">
            <w:pPr>
              <w:keepLines/>
              <w:spacing w:after="0" w:line="247" w:lineRule="auto"/>
              <w:jc w:val="left"/>
              <w:rPr>
                <w:rFonts w:hint="eastAsia"/>
              </w:rPr>
            </w:pPr>
            <m:oMathPara>
              <m:oMath>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oMath>
            </m:oMathPara>
          </w:p>
        </w:tc>
        <w:tc>
          <w:tcPr>
            <w:tcW w:w="8208" w:type="dxa"/>
            <w:shd w:val="clear" w:color="auto" w:fill="FFFFFF"/>
            <w:tcMar>
              <w:top w:w="80" w:type="dxa"/>
              <w:left w:w="85" w:type="dxa"/>
              <w:bottom w:w="80" w:type="dxa"/>
              <w:right w:w="85" w:type="dxa"/>
            </w:tcMar>
            <w:vAlign w:val="center"/>
          </w:tcPr>
          <w:p w14:paraId="49B7763C" w14:textId="77777777" w:rsidR="007672C2" w:rsidRDefault="00000000">
            <w:pPr>
              <w:keepLines/>
              <w:spacing w:after="0" w:line="247" w:lineRule="auto"/>
              <w:jc w:val="left"/>
              <w:rPr>
                <w:rFonts w:hint="eastAsia"/>
              </w:rPr>
            </w:pPr>
            <w:r>
              <w:rPr>
                <w:sz w:val="21"/>
              </w:rPr>
              <w:t>Population size, design dimension and scheduled update count</w:t>
            </w:r>
          </w:p>
        </w:tc>
      </w:tr>
      <w:tr w:rsidR="007672C2" w14:paraId="08BF97AD" w14:textId="77777777">
        <w:trPr>
          <w:cantSplit/>
          <w:jc w:val="center"/>
        </w:trPr>
        <w:tc>
          <w:tcPr>
            <w:tcW w:w="1728" w:type="dxa"/>
            <w:shd w:val="clear" w:color="auto" w:fill="FFFFFF"/>
            <w:tcMar>
              <w:top w:w="80" w:type="dxa"/>
              <w:left w:w="85" w:type="dxa"/>
              <w:bottom w:w="80" w:type="dxa"/>
              <w:right w:w="85" w:type="dxa"/>
            </w:tcMar>
            <w:vAlign w:val="center"/>
          </w:tcPr>
          <w:p w14:paraId="0CB50510" w14:textId="77777777" w:rsidR="007672C2" w:rsidRDefault="00000000">
            <w:pPr>
              <w:keepLines/>
              <w:spacing w:after="0" w:line="247" w:lineRule="auto"/>
              <w:jc w:val="left"/>
              <w:rPr>
                <w:rFonts w:hint="eastAsia"/>
              </w:rPr>
            </w:pPr>
            <m:oMathPara>
              <m:oMath>
                <m:r>
                  <w:rPr>
                    <w:rFonts w:ascii="Cambria Math" w:hAnsi="Cambria Math"/>
                  </w:rPr>
                  <m:t>t</m:t>
                </m:r>
              </m:oMath>
            </m:oMathPara>
          </w:p>
        </w:tc>
        <w:tc>
          <w:tcPr>
            <w:tcW w:w="8208" w:type="dxa"/>
            <w:shd w:val="clear" w:color="auto" w:fill="FFFFFF"/>
            <w:tcMar>
              <w:top w:w="80" w:type="dxa"/>
              <w:left w:w="85" w:type="dxa"/>
              <w:bottom w:w="80" w:type="dxa"/>
              <w:right w:w="85" w:type="dxa"/>
            </w:tcMar>
            <w:vAlign w:val="center"/>
          </w:tcPr>
          <w:p w14:paraId="178FF53B" w14:textId="77777777" w:rsidR="007672C2" w:rsidRDefault="00000000">
            <w:pPr>
              <w:keepLines/>
              <w:spacing w:after="0" w:line="247" w:lineRule="auto"/>
              <w:jc w:val="left"/>
              <w:rPr>
                <w:rFonts w:hint="eastAsia"/>
              </w:rPr>
            </w:pPr>
            <w:r>
              <w:rPr>
                <w:sz w:val="21"/>
              </w:rPr>
              <w:t>Diffusion index, traversed downward during optimization</w:t>
            </w:r>
          </w:p>
        </w:tc>
      </w:tr>
      <w:tr w:rsidR="007672C2" w14:paraId="6A112EFC" w14:textId="77777777">
        <w:trPr>
          <w:cantSplit/>
          <w:jc w:val="center"/>
        </w:trPr>
        <w:tc>
          <w:tcPr>
            <w:tcW w:w="1728" w:type="dxa"/>
            <w:shd w:val="clear" w:color="auto" w:fill="FFFFFF"/>
            <w:tcMar>
              <w:top w:w="80" w:type="dxa"/>
              <w:left w:w="85" w:type="dxa"/>
              <w:bottom w:w="80" w:type="dxa"/>
              <w:right w:w="85" w:type="dxa"/>
            </w:tcMar>
            <w:vAlign w:val="center"/>
          </w:tcPr>
          <w:p w14:paraId="392A8703" w14:textId="77777777" w:rsidR="007672C2" w:rsidRDefault="00000000">
            <w:pPr>
              <w:keepLines/>
              <w:spacing w:after="0" w:line="247" w:lineRule="auto"/>
              <w:jc w:val="left"/>
              <w:rPr>
                <w:rFonts w:hint="eastAsia"/>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oMath>
            </m:oMathPara>
          </w:p>
        </w:tc>
        <w:tc>
          <w:tcPr>
            <w:tcW w:w="8208" w:type="dxa"/>
            <w:shd w:val="clear" w:color="auto" w:fill="FFFFFF"/>
            <w:tcMar>
              <w:top w:w="80" w:type="dxa"/>
              <w:left w:w="85" w:type="dxa"/>
              <w:bottom w:w="80" w:type="dxa"/>
              <w:right w:w="85" w:type="dxa"/>
            </w:tcMar>
            <w:vAlign w:val="center"/>
          </w:tcPr>
          <w:p w14:paraId="2F8A5CA7" w14:textId="77777777" w:rsidR="007672C2" w:rsidRDefault="00000000">
            <w:pPr>
              <w:keepLines/>
              <w:spacing w:after="0" w:line="247" w:lineRule="auto"/>
              <w:jc w:val="left"/>
              <w:rPr>
                <w:rFonts w:hint="eastAsia"/>
              </w:rPr>
            </w:pPr>
            <w:r>
              <w:rPr>
                <w:sz w:val="21"/>
              </w:rPr>
              <w:t>Cumulative signal coefficient and observation variance</w:t>
            </w:r>
          </w:p>
        </w:tc>
      </w:tr>
      <w:tr w:rsidR="007672C2" w14:paraId="7FFBDA3F" w14:textId="77777777">
        <w:trPr>
          <w:cantSplit/>
          <w:jc w:val="center"/>
        </w:trPr>
        <w:tc>
          <w:tcPr>
            <w:tcW w:w="1728" w:type="dxa"/>
            <w:shd w:val="clear" w:color="auto" w:fill="FFFFFF"/>
            <w:tcMar>
              <w:top w:w="80" w:type="dxa"/>
              <w:left w:w="85" w:type="dxa"/>
              <w:bottom w:w="80" w:type="dxa"/>
              <w:right w:w="85" w:type="dxa"/>
            </w:tcMar>
            <w:vAlign w:val="center"/>
          </w:tcPr>
          <w:p w14:paraId="30445BDB" w14:textId="77777777" w:rsidR="007672C2" w:rsidRDefault="00000000">
            <w:pPr>
              <w:keepLines/>
              <w:spacing w:after="0" w:line="247" w:lineRule="auto"/>
              <w:jc w:val="left"/>
              <w:rPr>
                <w:rFonts w:hint="eastAsia"/>
              </w:rPr>
            </w:pPr>
            <m:oMathPara>
              <m:oMath>
                <m:r>
                  <w:rPr>
                    <w:rFonts w:ascii="Cambria Math" w:hAnsi="Cambria Math"/>
                  </w:rPr>
                  <m:t>β</m:t>
                </m:r>
              </m:oMath>
            </m:oMathPara>
          </w:p>
        </w:tc>
        <w:tc>
          <w:tcPr>
            <w:tcW w:w="8208" w:type="dxa"/>
            <w:shd w:val="clear" w:color="auto" w:fill="FFFFFF"/>
            <w:tcMar>
              <w:top w:w="80" w:type="dxa"/>
              <w:left w:w="85" w:type="dxa"/>
              <w:bottom w:w="80" w:type="dxa"/>
              <w:right w:w="85" w:type="dxa"/>
            </w:tcMar>
            <w:vAlign w:val="center"/>
          </w:tcPr>
          <w:p w14:paraId="4984A006" w14:textId="77777777" w:rsidR="007672C2" w:rsidRDefault="00000000">
            <w:pPr>
              <w:keepLines/>
              <w:spacing w:after="0" w:line="247" w:lineRule="auto"/>
              <w:jc w:val="left"/>
              <w:rPr>
                <w:rFonts w:hint="eastAsia"/>
              </w:rPr>
            </w:pPr>
            <w:r>
              <w:rPr>
                <w:sz w:val="21"/>
              </w:rPr>
              <w:t xml:space="preserve">Inverse temperature of the loss weight, distinct from </w:t>
            </w:r>
            <m:oMath>
              <m:sSub>
                <m:sSubPr>
                  <m:ctrlPr>
                    <w:rPr>
                      <w:rFonts w:ascii="Cambria Math" w:hAnsi="Cambria Math"/>
                    </w:rPr>
                  </m:ctrlPr>
                </m:sSubPr>
                <m:e>
                  <m:r>
                    <w:rPr>
                      <w:rFonts w:ascii="Cambria Math" w:hAnsi="Cambria Math"/>
                    </w:rPr>
                    <m:t>a</m:t>
                  </m:r>
                </m:e>
                <m:sub>
                  <m:r>
                    <w:rPr>
                      <w:rFonts w:ascii="Cambria Math" w:hAnsi="Cambria Math"/>
                    </w:rPr>
                    <m:t>t</m:t>
                  </m:r>
                </m:sub>
              </m:sSub>
            </m:oMath>
          </w:p>
        </w:tc>
      </w:tr>
      <w:tr w:rsidR="007672C2" w14:paraId="7F4A4407" w14:textId="77777777">
        <w:trPr>
          <w:cantSplit/>
          <w:jc w:val="center"/>
        </w:trPr>
        <w:tc>
          <w:tcPr>
            <w:tcW w:w="1728" w:type="dxa"/>
            <w:shd w:val="clear" w:color="auto" w:fill="FFFFFF"/>
            <w:tcMar>
              <w:top w:w="80" w:type="dxa"/>
              <w:left w:w="85" w:type="dxa"/>
              <w:bottom w:w="80" w:type="dxa"/>
              <w:right w:w="85" w:type="dxa"/>
            </w:tcMar>
            <w:vAlign w:val="center"/>
          </w:tcPr>
          <w:p w14:paraId="7BF09B71" w14:textId="77777777" w:rsidR="007672C2" w:rsidRDefault="00000000">
            <w:pPr>
              <w:keepLines/>
              <w:spacing w:after="0" w:line="247" w:lineRule="auto"/>
              <w:jc w:val="left"/>
              <w:rPr>
                <w:rFonts w:hint="eastAsia"/>
              </w:rPr>
            </w:pPr>
            <m:oMathPara>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m:oMathPara>
          </w:p>
        </w:tc>
        <w:tc>
          <w:tcPr>
            <w:tcW w:w="8208" w:type="dxa"/>
            <w:shd w:val="clear" w:color="auto" w:fill="FFFFFF"/>
            <w:tcMar>
              <w:top w:w="80" w:type="dxa"/>
              <w:left w:w="85" w:type="dxa"/>
              <w:bottom w:w="80" w:type="dxa"/>
              <w:right w:w="85" w:type="dxa"/>
            </w:tcMar>
            <w:vAlign w:val="center"/>
          </w:tcPr>
          <w:p w14:paraId="5888484B" w14:textId="77777777" w:rsidR="007672C2" w:rsidRDefault="00000000">
            <w:pPr>
              <w:keepLines/>
              <w:spacing w:after="0" w:line="247" w:lineRule="auto"/>
              <w:jc w:val="left"/>
              <w:rPr>
                <w:rFonts w:hint="eastAsia"/>
              </w:rPr>
            </w:pPr>
            <w:r>
              <w:rPr>
                <w:sz w:val="21"/>
              </w:rPr>
              <w:t>Query, memory particle, attention key and value</w:t>
            </w:r>
          </w:p>
        </w:tc>
      </w:tr>
      <w:tr w:rsidR="007672C2" w14:paraId="34B8546A" w14:textId="77777777">
        <w:trPr>
          <w:cantSplit/>
          <w:jc w:val="center"/>
        </w:trPr>
        <w:tc>
          <w:tcPr>
            <w:tcW w:w="1728" w:type="dxa"/>
            <w:shd w:val="clear" w:color="auto" w:fill="FFFFFF"/>
            <w:tcMar>
              <w:top w:w="80" w:type="dxa"/>
              <w:left w:w="85" w:type="dxa"/>
              <w:bottom w:w="80" w:type="dxa"/>
              <w:right w:w="85" w:type="dxa"/>
            </w:tcMar>
            <w:vAlign w:val="center"/>
          </w:tcPr>
          <w:p w14:paraId="5F20B820" w14:textId="77777777" w:rsidR="007672C2" w:rsidRDefault="00000000">
            <w:pPr>
              <w:keepLines/>
              <w:spacing w:after="0" w:line="247" w:lineRule="auto"/>
              <w:jc w:val="left"/>
              <w:rPr>
                <w:rFonts w:hint="eastAsia"/>
              </w:rPr>
            </w:pPr>
            <m:oMathPara>
              <m:oMath>
                <m:sSub>
                  <m:sSubPr>
                    <m:ctrlPr>
                      <w:rPr>
                        <w:rFonts w:ascii="Cambria Math" w:hAnsi="Cambria Math"/>
                      </w:rPr>
                    </m:ctrlPr>
                  </m:sSubPr>
                  <m:e>
                    <m:r>
                      <w:rPr>
                        <w:rFonts w:ascii="Cambria Math" w:hAnsi="Cambria Math"/>
                      </w:rPr>
                      <m:t>r</m:t>
                    </m:r>
                  </m:e>
                  <m:sub>
                    <m:r>
                      <w:rPr>
                        <w:rFonts w:ascii="Cambria Math" w:hAnsi="Cambria Math"/>
                      </w:rPr>
                      <m:t>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oMath>
            </m:oMathPara>
          </w:p>
        </w:tc>
        <w:tc>
          <w:tcPr>
            <w:tcW w:w="8208" w:type="dxa"/>
            <w:shd w:val="clear" w:color="auto" w:fill="FFFFFF"/>
            <w:tcMar>
              <w:top w:w="80" w:type="dxa"/>
              <w:left w:w="85" w:type="dxa"/>
              <w:bottom w:w="80" w:type="dxa"/>
              <w:right w:w="85" w:type="dxa"/>
            </w:tcMar>
            <w:vAlign w:val="center"/>
          </w:tcPr>
          <w:p w14:paraId="05449FEF" w14:textId="77777777" w:rsidR="007672C2" w:rsidRDefault="00000000">
            <w:pPr>
              <w:keepLines/>
              <w:spacing w:after="0" w:line="247" w:lineRule="auto"/>
              <w:jc w:val="left"/>
              <w:rPr>
                <w:rFonts w:hint="eastAsia"/>
              </w:rPr>
            </w:pPr>
            <w:r>
              <w:rPr>
                <w:sz w:val="21"/>
              </w:rPr>
              <w:t>Normalized responsibility and posterior value mean</w:t>
            </w:r>
          </w:p>
        </w:tc>
      </w:tr>
      <w:tr w:rsidR="007672C2" w14:paraId="771C9B96" w14:textId="77777777">
        <w:trPr>
          <w:cantSplit/>
          <w:jc w:val="center"/>
        </w:trPr>
        <w:tc>
          <w:tcPr>
            <w:tcW w:w="1728" w:type="dxa"/>
            <w:shd w:val="clear" w:color="auto" w:fill="FFFFFF"/>
            <w:tcMar>
              <w:top w:w="80" w:type="dxa"/>
              <w:left w:w="85" w:type="dxa"/>
              <w:bottom w:w="80" w:type="dxa"/>
              <w:right w:w="85" w:type="dxa"/>
            </w:tcMar>
            <w:vAlign w:val="center"/>
          </w:tcPr>
          <w:p w14:paraId="1E8B3004" w14:textId="77777777" w:rsidR="007672C2" w:rsidRDefault="00000000">
            <w:pPr>
              <w:keepLines/>
              <w:spacing w:after="0" w:line="247" w:lineRule="auto"/>
              <w:jc w:val="left"/>
              <w:rPr>
                <w:rFonts w:hint="eastAsia"/>
              </w:rPr>
            </w:pPr>
            <m:oMathPara>
              <m:oMath>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oMath>
            </m:oMathPara>
          </w:p>
        </w:tc>
        <w:tc>
          <w:tcPr>
            <w:tcW w:w="8208" w:type="dxa"/>
            <w:shd w:val="clear" w:color="auto" w:fill="FFFFFF"/>
            <w:tcMar>
              <w:top w:w="80" w:type="dxa"/>
              <w:left w:w="85" w:type="dxa"/>
              <w:bottom w:w="80" w:type="dxa"/>
              <w:right w:w="85" w:type="dxa"/>
            </w:tcMar>
            <w:vAlign w:val="center"/>
          </w:tcPr>
          <w:p w14:paraId="5CBDC432" w14:textId="77777777" w:rsidR="007672C2" w:rsidRDefault="00000000">
            <w:pPr>
              <w:keepLines/>
              <w:spacing w:after="0" w:line="247" w:lineRule="auto"/>
              <w:jc w:val="left"/>
              <w:rPr>
                <w:rFonts w:hint="eastAsia"/>
              </w:rPr>
            </w:pPr>
            <w:r>
              <w:rPr>
                <w:sz w:val="21"/>
              </w:rPr>
              <w:t>Stochasticity parameter and fresh-noise standard deviation</w:t>
            </w:r>
          </w:p>
        </w:tc>
      </w:tr>
      <w:tr w:rsidR="007672C2" w14:paraId="15F6A98A" w14:textId="77777777">
        <w:trPr>
          <w:cantSplit/>
          <w:jc w:val="center"/>
        </w:trPr>
        <w:tc>
          <w:tcPr>
            <w:tcW w:w="1728" w:type="dxa"/>
            <w:shd w:val="clear" w:color="auto" w:fill="FFFFFF"/>
            <w:tcMar>
              <w:top w:w="80" w:type="dxa"/>
              <w:left w:w="85" w:type="dxa"/>
              <w:bottom w:w="80" w:type="dxa"/>
              <w:right w:w="85" w:type="dxa"/>
            </w:tcMar>
            <w:vAlign w:val="center"/>
          </w:tcPr>
          <w:p w14:paraId="1F89B923" w14:textId="77777777" w:rsidR="007672C2" w:rsidRDefault="00000000">
            <w:pPr>
              <w:keepLines/>
              <w:spacing w:after="0" w:line="247" w:lineRule="auto"/>
              <w:jc w:val="left"/>
              <w:rPr>
                <w:rFonts w:hint="eastAsia"/>
              </w:rPr>
            </w:pPr>
            <m:oMathPara>
              <m:oMath>
                <m:r>
                  <w:rPr>
                    <w:rFonts w:ascii="Cambria Math" w:hAnsi="Cambria Math"/>
                  </w:rPr>
                  <m:t>R</m:t>
                </m:r>
              </m:oMath>
            </m:oMathPara>
          </w:p>
        </w:tc>
        <w:tc>
          <w:tcPr>
            <w:tcW w:w="8208" w:type="dxa"/>
            <w:shd w:val="clear" w:color="auto" w:fill="FFFFFF"/>
            <w:tcMar>
              <w:top w:w="80" w:type="dxa"/>
              <w:left w:w="85" w:type="dxa"/>
              <w:bottom w:w="80" w:type="dxa"/>
              <w:right w:w="85" w:type="dxa"/>
            </w:tcMar>
            <w:vAlign w:val="center"/>
          </w:tcPr>
          <w:p w14:paraId="01904012" w14:textId="77777777" w:rsidR="007672C2" w:rsidRDefault="00000000">
            <w:pPr>
              <w:keepLines/>
              <w:spacing w:after="0" w:line="247" w:lineRule="auto"/>
              <w:jc w:val="left"/>
              <w:rPr>
                <w:rFonts w:hint="eastAsia"/>
              </w:rPr>
            </w:pPr>
            <w:r>
              <w:rPr>
                <w:sz w:val="21"/>
              </w:rPr>
              <w:t>Diameter of the value set in Euclidean norm</w:t>
            </w:r>
          </w:p>
        </w:tc>
      </w:tr>
      <w:tr w:rsidR="007672C2" w14:paraId="17B98F5C" w14:textId="77777777">
        <w:trPr>
          <w:cantSplit/>
          <w:jc w:val="center"/>
        </w:trPr>
        <w:tc>
          <w:tcPr>
            <w:tcW w:w="1728" w:type="dxa"/>
            <w:shd w:val="clear" w:color="auto" w:fill="FFFFFF"/>
            <w:tcMar>
              <w:top w:w="80" w:type="dxa"/>
              <w:left w:w="85" w:type="dxa"/>
              <w:bottom w:w="80" w:type="dxa"/>
              <w:right w:w="85" w:type="dxa"/>
            </w:tcMar>
            <w:vAlign w:val="center"/>
          </w:tcPr>
          <w:p w14:paraId="32D2D30D" w14:textId="77777777" w:rsidR="007672C2" w:rsidRDefault="00000000">
            <w:pPr>
              <w:keepLines/>
              <w:spacing w:after="0" w:line="247" w:lineRule="auto"/>
              <w:jc w:val="left"/>
              <w:rPr>
                <w:rFonts w:hint="eastAsia"/>
              </w:rPr>
            </w:pPr>
            <m:oMathPara>
              <m:oMath>
                <m:r>
                  <w:rPr>
                    <w:rFonts w:ascii="Cambria Math" w:hAnsi="Cambria Math"/>
                  </w:rPr>
                  <m:t>M</m:t>
                </m:r>
              </m:oMath>
            </m:oMathPara>
          </w:p>
        </w:tc>
        <w:tc>
          <w:tcPr>
            <w:tcW w:w="8208" w:type="dxa"/>
            <w:shd w:val="clear" w:color="auto" w:fill="FFFFFF"/>
            <w:tcMar>
              <w:top w:w="80" w:type="dxa"/>
              <w:left w:w="85" w:type="dxa"/>
              <w:bottom w:w="80" w:type="dxa"/>
              <w:right w:w="85" w:type="dxa"/>
            </w:tcMar>
            <w:vAlign w:val="center"/>
          </w:tcPr>
          <w:p w14:paraId="5CF75660" w14:textId="77777777" w:rsidR="007672C2" w:rsidRDefault="00000000">
            <w:pPr>
              <w:keepLines/>
              <w:spacing w:after="0" w:line="247" w:lineRule="auto"/>
              <w:jc w:val="left"/>
              <w:rPr>
                <w:rFonts w:hint="eastAsia"/>
              </w:rPr>
            </w:pPr>
            <w:r>
              <w:rPr>
                <w:sz w:val="21"/>
              </w:rPr>
              <w:t>Number of independent Gaussian random features</w:t>
            </w:r>
          </w:p>
        </w:tc>
      </w:tr>
    </w:tbl>
    <w:p w14:paraId="44BD7C8F" w14:textId="77777777" w:rsidR="007672C2" w:rsidRDefault="00000000">
      <w:pPr>
        <w:pStyle w:val="Heading2"/>
        <w:rPr>
          <w:rFonts w:hint="eastAsia"/>
        </w:rPr>
      </w:pPr>
      <w:bookmarkStart w:id="5" w:name="the-population-proposal"/>
      <w:bookmarkEnd w:id="4"/>
      <w:r>
        <w:t>2.2 The population proposal</w:t>
      </w:r>
    </w:p>
    <w:p w14:paraId="3460665F" w14:textId="77777777" w:rsidR="007672C2" w:rsidRDefault="00000000">
      <w:pPr>
        <w:pStyle w:val="FirstParagraph"/>
        <w:keepNext/>
        <w:rPr>
          <w:rFonts w:hint="eastAsia"/>
        </w:rPr>
      </w:pPr>
      <w:r>
        <w:t xml:space="preserve">For one reverse step write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oMath>
      <w:r>
        <w:t xml:space="preserve"> with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b</m:t>
        </m:r>
        <m:r>
          <m:rPr>
            <m:sty m:val="p"/>
          </m:rPr>
          <w:rPr>
            <w:rFonts w:ascii="Cambria Math" w:hAnsi="Cambria Math"/>
          </w:rPr>
          <m:t>≤</m:t>
        </m:r>
        <m:r>
          <w:rPr>
            <w:rFonts w:ascii="Cambria Math" w:hAnsi="Cambria Math"/>
          </w:rPr>
          <m:t>1</m:t>
        </m:r>
      </m:oMath>
      <w:r>
        <w:t>. The DDIM-type proposal is</w:t>
      </w:r>
    </w:p>
    <w:p w14:paraId="71441DFB"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ξ</m:t>
          </m:r>
          <m:r>
            <m:rPr>
              <m:sty m:val="p"/>
            </m:rPr>
            <w:rPr>
              <w:rFonts w:ascii="Cambria Math" w:hAnsi="Cambria Math"/>
            </w:rPr>
            <m:t>,</m:t>
          </m:r>
          <m:r>
            <m:rPr>
              <m:nor/>
            </m:rPr>
            <m:t>    </m:t>
          </m:r>
          <m:r>
            <w:rPr>
              <w:rFonts w:ascii="Cambria Math" w:hAnsi="Cambria Math"/>
            </w:rPr>
            <m:t>ξ</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r>
            <m:rPr>
              <m:sty m:val="p"/>
            </m:rPr>
            <w:rPr>
              <w:rFonts w:ascii="Cambria Math" w:hAnsi="Cambria Math"/>
            </w:rPr>
            <m:t>,</m:t>
          </m:r>
          <m:r>
            <m:rPr>
              <m:nor/>
            </m:rPr>
            <m:t>    (3)</m:t>
          </m:r>
        </m:oMath>
      </m:oMathPara>
    </w:p>
    <w:p w14:paraId="5D3F0D5C" w14:textId="77777777" w:rsidR="007672C2" w:rsidRDefault="00000000">
      <w:pPr>
        <w:pStyle w:val="FirstParagraph"/>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d>
              </m:e>
              <m:e>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num>
                          <m:den>
                            <m:r>
                              <w:rPr>
                                <w:rFonts w:ascii="Cambria Math" w:hAnsi="Cambria Math"/>
                              </w:rPr>
                              <m:t>1</m:t>
                            </m:r>
                            <m:r>
                              <m:rPr>
                                <m:sty m:val="p"/>
                              </m:rPr>
                              <w:rPr>
                                <w:rFonts w:ascii="Cambria Math" w:hAnsi="Cambria Math"/>
                              </w:rPr>
                              <m:t>-</m:t>
                            </m:r>
                            <m:r>
                              <w:rPr>
                                <w:rFonts w:ascii="Cambria Math" w:hAnsi="Cambria Math"/>
                              </w:rPr>
                              <m:t>a</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ad>
                      <m:radPr>
                        <m:degHide m:val="1"/>
                        <m:ctrlPr>
                          <w:rPr>
                            <w:rFonts w:ascii="Cambria Math" w:hAnsi="Cambria Math"/>
                          </w:rPr>
                        </m:ctrlPr>
                      </m:radPr>
                      <m:deg/>
                      <m:e>
                        <m:r>
                          <w:rPr>
                            <w:rFonts w:ascii="Cambria Math" w:hAnsi="Cambria Math"/>
                          </w:rPr>
                          <m:t>a</m:t>
                        </m:r>
                      </m:e>
                    </m:rad>
                  </m:e>
                </m:d>
                <m:r>
                  <m:rPr>
                    <m:sty m:val="p"/>
                  </m:rPr>
                  <w:rPr>
                    <w:rFonts w:ascii="Cambria Math" w:hAnsi="Cambria Math"/>
                  </w:rPr>
                  <m:t>,</m:t>
                </m:r>
              </m:e>
            </m:mr>
            <m:mr>
              <m:e>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e>
              <m:e>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e>
                    </m:d>
                  </m:num>
                  <m:den>
                    <m:r>
                      <w:rPr>
                        <w:rFonts w:ascii="Cambria Math" w:hAnsi="Cambria Math"/>
                      </w:rPr>
                      <m:t>1</m:t>
                    </m:r>
                    <m:r>
                      <m:rPr>
                        <m:sty m:val="p"/>
                      </m:rPr>
                      <w:rPr>
                        <w:rFonts w:ascii="Cambria Math" w:hAnsi="Cambria Math"/>
                      </w:rPr>
                      <m:t>-</m:t>
                    </m:r>
                    <m:r>
                      <w:rPr>
                        <w:rFonts w:ascii="Cambria Math" w:hAnsi="Cambria Math"/>
                      </w:rPr>
                      <m:t>a</m:t>
                    </m:r>
                  </m:den>
                </m:f>
                <m:r>
                  <m:rPr>
                    <m:sty m:val="p"/>
                  </m:rPr>
                  <w:rPr>
                    <w:rFonts w:ascii="Cambria Math" w:hAnsi="Cambria Math"/>
                  </w:rPr>
                  <m:t>,</m:t>
                </m:r>
                <m:r>
                  <m:rPr>
                    <m:nor/>
                  </m:rPr>
                  <m:t>    </m:t>
                </m:r>
                <m:r>
                  <w:rPr>
                    <w:rFonts w:ascii="Cambria Math" w:hAnsi="Cambria Math"/>
                  </w:rPr>
                  <m:t>0</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1</m:t>
                </m:r>
                <m:r>
                  <m:rPr>
                    <m:sty m:val="p"/>
                  </m:rPr>
                  <w:rPr>
                    <w:rFonts w:ascii="Cambria Math" w:hAnsi="Cambria Math"/>
                  </w:rPr>
                  <m:t>.</m:t>
                </m:r>
              </m:e>
            </m:mr>
          </m:m>
          <m:r>
            <m:rPr>
              <m:nor/>
            </m:rPr>
            <m:t>    (4)</m:t>
          </m:r>
        </m:oMath>
      </m:oMathPara>
    </w:p>
    <w:p w14:paraId="56F060E8" w14:textId="77777777" w:rsidR="007672C2" w:rsidRDefault="00000000">
      <w:pPr>
        <w:pStyle w:val="FirstParagraph"/>
        <w:rPr>
          <w:rFonts w:hint="eastAsia"/>
        </w:rPr>
      </w:pPr>
      <w:r>
        <w:t xml:space="preserve">Fresh noise is independent conditional on the current population. These are proposal coefficients. Recomputing a finite empirical mean at each population update does not by itself make (3) an exact sampler for a fixed engineering target. At the ideal final endpoint </w:t>
      </w:r>
      <m:oMath>
        <m:r>
          <w:rPr>
            <w:rFonts w:ascii="Cambria Math" w:hAnsi="Cambria Math"/>
          </w:rPr>
          <m:t>b</m:t>
        </m:r>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1</m:t>
        </m:r>
      </m:oMath>
      <w:r>
        <w:t>; a schedule clipped below one instead terminates at a positive observation variance.</w:t>
      </w:r>
    </w:p>
    <w:p w14:paraId="5EC27FFE" w14:textId="77777777" w:rsidR="007672C2" w:rsidRDefault="00000000">
      <w:pPr>
        <w:pStyle w:val="BodyText"/>
        <w:rPr>
          <w:rFonts w:hint="eastAsia"/>
        </w:rPr>
      </w:pPr>
      <w:r>
        <w:t xml:space="preserve">The abbreviation DE refers here to </w:t>
      </w:r>
      <w:r>
        <w:rPr>
          <w:b/>
          <w:bCs/>
        </w:rPr>
        <w:t>Diffusion Evolution</w:t>
      </w:r>
      <w:r>
        <w:t>, rather than Differential Evolution. ADE denotes the wider Autoregressive Diffusion Evolution construction in which evaluated population or archive updates influence subsequent proposals [13]. The attention identity applies to a finite Gaussian read in either setting; it does not require every ADE component to be an attention layer.</w:t>
      </w:r>
    </w:p>
    <w:p w14:paraId="66B519B3" w14:textId="77777777" w:rsidR="007672C2" w:rsidRDefault="00000000">
      <w:pPr>
        <w:pStyle w:val="Heading1"/>
        <w:rPr>
          <w:rFonts w:hint="eastAsia"/>
        </w:rPr>
      </w:pPr>
      <w:bookmarkStart w:id="6" w:name="the-exact-attention-identity"/>
      <w:bookmarkEnd w:id="3"/>
      <w:bookmarkEnd w:id="5"/>
      <w:r>
        <w:lastRenderedPageBreak/>
        <w:t>3 The exact attention identity</w:t>
      </w:r>
    </w:p>
    <w:p w14:paraId="4CA7CD7B" w14:textId="77777777" w:rsidR="007672C2" w:rsidRDefault="00000000">
      <w:pPr>
        <w:pStyle w:val="Heading2"/>
        <w:rPr>
          <w:rFonts w:hint="eastAsia"/>
        </w:rPr>
      </w:pPr>
      <w:bookmarkStart w:id="7" w:name="biased-attention-and-general-covariance"/>
      <w:r>
        <w:t>3.1 Biased attention and general covariance</w:t>
      </w:r>
    </w:p>
    <w:p w14:paraId="5C82BF46" w14:textId="77777777" w:rsidR="007672C2" w:rsidRDefault="00000000">
      <w:pPr>
        <w:pStyle w:val="FirstParagraph"/>
        <w:keepNext/>
        <w:keepLines/>
        <w:rPr>
          <w:rFonts w:hint="eastAsia"/>
        </w:rPr>
      </w:pPr>
      <w:r>
        <w:rPr>
          <w:b/>
          <w:bCs/>
        </w:rPr>
        <w:t>Theorem 1 — Gaussian retrieval is biased attention.</w:t>
      </w:r>
      <w:r>
        <w:t xml:space="preserve"> For the finite model in (1)–(2),</w:t>
      </w:r>
    </w:p>
    <w:p w14:paraId="1EF0C73C"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m:rPr>
                      <m:sty m:val="p"/>
                    </m:rPr>
                    <w:rPr>
                      <w:rFonts w:ascii="Cambria Math" w:hAnsi="Cambria Math"/>
                    </w:rPr>
                    <m:t>softmax</m:t>
                  </m:r>
                </m:e>
                <m:sub>
                  <m:r>
                    <w:rPr>
                      <w:rFonts w:ascii="Cambria Math" w:hAnsi="Cambria Math"/>
                    </w:rPr>
                    <m:t>j</m:t>
                  </m:r>
                </m:sub>
              </m:sSub>
            </m:e>
          </m:nary>
          <m:r>
            <w:rPr>
              <w:rFonts w:ascii="Cambria Math" w:hAnsi="Cambria Math"/>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k</m:t>
                      </m:r>
                    </m:e>
                    <m:sub>
                      <m:r>
                        <w:rPr>
                          <w:rFonts w:ascii="Cambria Math" w:hAnsi="Cambria Math"/>
                        </w:rPr>
                        <m:t>j</m:t>
                      </m:r>
                    </m:sub>
                  </m:sSub>
                </m:num>
                <m:den>
                  <m:sSub>
                    <m:sSubPr>
                      <m:ctrlPr>
                        <w:rPr>
                          <w:rFonts w:ascii="Cambria Math" w:hAnsi="Cambria Math"/>
                        </w:rPr>
                      </m:ctrlPr>
                    </m:sSubPr>
                    <m:e>
                      <m:r>
                        <w:rPr>
                          <w:rFonts w:ascii="Cambria Math" w:hAnsi="Cambria Math"/>
                        </w:rPr>
                        <m:t>τ</m:t>
                      </m:r>
                    </m:e>
                    <m:sub>
                      <m:r>
                        <w:rPr>
                          <w:rFonts w:ascii="Cambria Math" w:hAnsi="Cambria Math"/>
                        </w:rPr>
                        <m:t>t</m:t>
                      </m:r>
                    </m:sub>
                  </m:sSub>
                </m:den>
              </m:f>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tj</m:t>
                  </m:r>
                </m:sub>
              </m:sSub>
            </m:e>
          </m:d>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nor/>
            </m:rPr>
            <m:t>    (5)</m:t>
          </m:r>
        </m:oMath>
      </m:oMathPara>
    </w:p>
    <w:p w14:paraId="1618045E" w14:textId="77777777" w:rsidR="007672C2" w:rsidRDefault="00000000">
      <w:pPr>
        <w:pStyle w:val="FirstParagraph"/>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tj</m:t>
              </m:r>
            </m:sub>
          </m:sSub>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
                <m:sSubPr>
                  <m:ctrlPr>
                    <w:rPr>
                      <w:rFonts w:ascii="Cambria Math" w:hAnsi="Cambria Math"/>
                    </w:rPr>
                  </m:ctrlPr>
                </m:sSubPr>
                <m:e>
                  <m:r>
                    <w:rPr>
                      <w:rFonts w:ascii="Cambria Math" w:hAnsi="Cambria Math"/>
                    </w:rPr>
                    <m:t>τ</m:t>
                  </m:r>
                </m:e>
                <m:sub>
                  <m:r>
                    <w:rPr>
                      <w:rFonts w:ascii="Cambria Math" w:hAnsi="Cambria Math"/>
                    </w:rPr>
                    <m:t>t</m:t>
                  </m:r>
                </m:sub>
              </m:sSub>
            </m:den>
          </m:f>
          <m:r>
            <m:rPr>
              <m:sty m:val="p"/>
            </m:rPr>
            <w:rPr>
              <w:rFonts w:ascii="Cambria Math" w:hAnsi="Cambria Math"/>
            </w:rPr>
            <m:t>.</m:t>
          </m:r>
          <m:r>
            <m:rPr>
              <m:nor/>
            </m:rPr>
            <m:t>    (6)</m:t>
          </m:r>
        </m:oMath>
      </m:oMathPara>
    </w:p>
    <w:p w14:paraId="326C4D23" w14:textId="77777777" w:rsidR="007672C2" w:rsidRDefault="00000000">
      <w:pPr>
        <w:pStyle w:val="FirstParagraph"/>
        <w:rPr>
          <w:rFonts w:hint="eastAsia"/>
        </w:rPr>
      </w:pPr>
      <w:r>
        <w:t xml:space="preserve">A zero-weight particle is masked with logit </w:t>
      </w:r>
      <m:oMath>
        <m:r>
          <m:rPr>
            <m:sty m:val="p"/>
          </m:rPr>
          <w:rPr>
            <w:rFonts w:ascii="Cambria Math" w:hAnsi="Cambria Math"/>
          </w:rPr>
          <m:t>-∞</m:t>
        </m:r>
      </m:oMath>
      <w:r>
        <w:t>.</w:t>
      </w:r>
    </w:p>
    <w:p w14:paraId="7FD7FA06" w14:textId="77777777" w:rsidR="007672C2" w:rsidRDefault="00000000">
      <w:pPr>
        <w:pStyle w:val="BodyText"/>
        <w:keepNext/>
        <w:rPr>
          <w:rFonts w:hint="eastAsia"/>
        </w:rPr>
      </w:pPr>
      <w:r>
        <w:rPr>
          <w:b/>
          <w:bCs/>
        </w:rPr>
        <w:t>Proof.</w:t>
      </w:r>
      <w:r>
        <w:t xml:space="preserve"> Expand the logarithm of the unnormalized weight:</w:t>
      </w:r>
    </w:p>
    <w:p w14:paraId="1B9FAEDE" w14:textId="77777777" w:rsidR="007672C2" w:rsidRDefault="00000000">
      <w:pPr>
        <w:pStyle w:val="BodyText"/>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e>
                </m:d>
              </m:e>
              <m:e>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
                      <m:sSubPr>
                        <m:ctrlPr>
                          <w:rPr>
                            <w:rFonts w:ascii="Cambria Math" w:hAnsi="Cambria Math"/>
                          </w:rPr>
                        </m:ctrlPr>
                      </m:sSubPr>
                      <m:e>
                        <m:r>
                          <w:rPr>
                            <w:rFonts w:ascii="Cambria Math" w:hAnsi="Cambria Math"/>
                          </w:rPr>
                          <m:t>τ</m:t>
                        </m:r>
                      </m:e>
                      <m:sub>
                        <m:r>
                          <w:rPr>
                            <w:rFonts w:ascii="Cambria Math" w:hAnsi="Cambria Math"/>
                          </w:rPr>
                          <m:t>t</m:t>
                        </m:r>
                      </m:sub>
                    </m:sSub>
                  </m:den>
                </m:f>
                <m:r>
                  <m:rPr>
                    <m:sty m:val="p"/>
                  </m:rPr>
                  <w:rPr>
                    <w:rFonts w:ascii="Cambria Math" w:hAnsi="Cambria Math"/>
                  </w:rPr>
                  <m:t>,</m:t>
                </m:r>
              </m:e>
            </m:mr>
            <m:mr>
              <m:e>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d>
                  <m:dPr>
                    <m:ctrlPr>
                      <w:rPr>
                        <w:rFonts w:ascii="Cambria Math" w:hAnsi="Cambria Math"/>
                      </w:rPr>
                    </m:ctrlPr>
                  </m:dPr>
                  <m:e>
                    <m:r>
                      <w:rPr>
                        <w:rFonts w:ascii="Cambria Math" w:hAnsi="Cambria Math"/>
                      </w:rPr>
                      <m:t>q</m:t>
                    </m:r>
                  </m:e>
                </m:d>
              </m:e>
              <m:e>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y</m:t>
                        </m:r>
                      </m:e>
                      <m:sub>
                        <m:r>
                          <w:rPr>
                            <w:rFonts w:ascii="Cambria Math" w:hAnsi="Cambria Math"/>
                          </w:rPr>
                          <m:t>j</m:t>
                        </m:r>
                      </m:sub>
                    </m:sSub>
                  </m:num>
                  <m:den>
                    <m:sSub>
                      <m:sSubPr>
                        <m:ctrlPr>
                          <w:rPr>
                            <w:rFonts w:ascii="Cambria Math" w:hAnsi="Cambria Math"/>
                          </w:rPr>
                        </m:ctrlPr>
                      </m:sSubPr>
                      <m:e>
                        <m:r>
                          <w:rPr>
                            <w:rFonts w:ascii="Cambria Math" w:hAnsi="Cambria Math"/>
                          </w:rPr>
                          <m:t>τ</m:t>
                        </m:r>
                      </m:e>
                      <m:sub>
                        <m:r>
                          <w:rPr>
                            <w:rFonts w:ascii="Cambria Math" w:hAnsi="Cambria Math"/>
                          </w:rPr>
                          <m:t>t</m:t>
                        </m:r>
                      </m:sub>
                    </m:sSub>
                  </m:den>
                </m:f>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
                      <m:sSubPr>
                        <m:ctrlPr>
                          <w:rPr>
                            <w:rFonts w:ascii="Cambria Math" w:hAnsi="Cambria Math"/>
                          </w:rPr>
                        </m:ctrlPr>
                      </m:sSubPr>
                      <m:e>
                        <m:r>
                          <w:rPr>
                            <w:rFonts w:ascii="Cambria Math" w:hAnsi="Cambria Math"/>
                          </w:rPr>
                          <m:t>τ</m:t>
                        </m:r>
                      </m:e>
                      <m:sub>
                        <m:r>
                          <w:rPr>
                            <w:rFonts w:ascii="Cambria Math" w:hAnsi="Cambria Math"/>
                          </w:rPr>
                          <m:t>t</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b>
                      <m:sSubPr>
                        <m:ctrlPr>
                          <w:rPr>
                            <w:rFonts w:ascii="Cambria Math" w:hAnsi="Cambria Math"/>
                          </w:rPr>
                        </m:ctrlPr>
                      </m:sSubPr>
                      <m:e>
                        <m:r>
                          <w:rPr>
                            <w:rFonts w:ascii="Cambria Math" w:hAnsi="Cambria Math"/>
                          </w:rPr>
                          <m:t>τ</m:t>
                        </m:r>
                      </m:e>
                      <m:sub>
                        <m:r>
                          <w:rPr>
                            <w:rFonts w:ascii="Cambria Math" w:hAnsi="Cambria Math"/>
                          </w:rPr>
                          <m:t>t</m:t>
                        </m:r>
                      </m:sub>
                    </m:sSub>
                  </m:den>
                </m:f>
                <m:r>
                  <m:rPr>
                    <m:sty m:val="p"/>
                  </m:rPr>
                  <w:rPr>
                    <w:rFonts w:ascii="Cambria Math" w:hAnsi="Cambria Math"/>
                  </w:rPr>
                  <m:t>.</m:t>
                </m:r>
              </m:e>
            </m:mr>
          </m:m>
          <m:r>
            <m:rPr>
              <m:nor/>
            </m:rPr>
            <m:t>    (7)</m:t>
          </m:r>
        </m:oMath>
      </m:oMathPara>
    </w:p>
    <w:p w14:paraId="580449B2" w14:textId="77777777" w:rsidR="007672C2" w:rsidRDefault="00000000">
      <w:pPr>
        <w:pStyle w:val="FirstParagraph"/>
        <w:rPr>
          <w:rFonts w:hint="eastAsia"/>
        </w:rPr>
      </w:pPr>
      <w:r>
        <w:t xml:space="preserve">The final term and Gaussian prefactor are common across keys. They cancel in row normalization, leaving (5)–(6). </w:t>
      </w:r>
      <m:oMath>
        <m:r>
          <m:rPr>
            <m:sty m:val="p"/>
          </m:rPr>
          <w:rPr>
            <w:rFonts w:ascii="Cambria Math" w:hAnsi="Cambria Math"/>
          </w:rPr>
          <m:t>▫</m:t>
        </m:r>
      </m:oMath>
    </w:p>
    <w:p w14:paraId="378C23B5" w14:textId="77777777" w:rsidR="007672C2" w:rsidRDefault="00000000">
      <w:pPr>
        <w:pStyle w:val="BodyText"/>
        <w:rPr>
          <w:rFonts w:hint="eastAsia"/>
        </w:rPr>
      </w:pPr>
      <w:r>
        <w:t xml:space="preserve">The explicit temperature convention is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oMath>
      <w:r>
        <w:t xml:space="preserve">. If a software API uses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k</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rescale its inputs or supply an explicit scale; the API’s default is not automatically the desired kernel. No equal-norm approximation is required. Dropping the norm bias changes the read unless the retained key norms are all equal.</w:t>
      </w:r>
    </w:p>
    <w:p w14:paraId="16429BC4" w14:textId="77777777" w:rsidR="007672C2" w:rsidRDefault="00000000">
      <w:pPr>
        <w:pStyle w:val="BodyText"/>
        <w:keepNext/>
        <w:keepLines/>
        <w:rPr>
          <w:rFonts w:hint="eastAsia"/>
        </w:rPr>
      </w:pPr>
      <w:r>
        <w:rPr>
          <w:b/>
          <w:bCs/>
        </w:rPr>
        <w:t>Corollary 2 — Common positive-definite covariance.</w:t>
      </w:r>
      <w:r>
        <w:t xml:space="preserve"> Replace </w:t>
      </w:r>
      <m:oMath>
        <m:sSub>
          <m:sSubPr>
            <m:ctrlPr>
              <w:rPr>
                <w:rFonts w:ascii="Cambria Math" w:hAnsi="Cambria Math"/>
              </w:rPr>
            </m:ctrlPr>
          </m:sSubPr>
          <m:e>
            <m:r>
              <w:rPr>
                <w:rFonts w:ascii="Cambria Math" w:hAnsi="Cambria Math"/>
              </w:rPr>
              <m:t>τ</m:t>
            </m:r>
          </m:e>
          <m:sub>
            <m:r>
              <w:rPr>
                <w:rFonts w:ascii="Cambria Math" w:hAnsi="Cambria Math"/>
              </w:rPr>
              <m:t>t</m:t>
            </m:r>
          </m:sub>
        </m:sSub>
        <m:sSub>
          <m:sSubPr>
            <m:ctrlPr>
              <w:rPr>
                <w:rFonts w:ascii="Cambria Math" w:hAnsi="Cambria Math"/>
              </w:rPr>
            </m:ctrlPr>
          </m:sSubPr>
          <m:e>
            <m:r>
              <w:rPr>
                <w:rFonts w:ascii="Cambria Math" w:hAnsi="Cambria Math"/>
              </w:rPr>
              <m:t>I</m:t>
            </m:r>
          </m:e>
          <m:sub>
            <m:r>
              <w:rPr>
                <w:rFonts w:ascii="Cambria Math" w:hAnsi="Cambria Math"/>
              </w:rPr>
              <m:t>D</m:t>
            </m:r>
          </m:sub>
        </m:sSub>
      </m:oMath>
      <w:r>
        <w:t xml:space="preserve"> by a fixed positive-definite covariance </w:t>
      </w:r>
      <m:oMath>
        <m:r>
          <w:rPr>
            <w:rFonts w:ascii="Cambria Math" w:hAnsi="Cambria Math"/>
          </w:rPr>
          <m:t>Σ</m:t>
        </m:r>
      </m:oMath>
      <w:r>
        <w:t>. The logits become</w:t>
      </w:r>
    </w:p>
    <w:p w14:paraId="145E6CD9" w14:textId="77777777" w:rsidR="007672C2" w:rsidRDefault="00000000">
      <w:pPr>
        <w:pStyle w:val="BodyText"/>
        <w:keepLines/>
        <w:spacing w:before="60" w:after="120"/>
        <w:jc w:val="center"/>
        <w:rPr>
          <w:rFonts w:hint="eastAsia"/>
        </w:rPr>
      </w:pPr>
      <m:oMathPara>
        <m:oMathParaPr>
          <m:jc m:val="center"/>
        </m:oMathParaP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sSup>
            <m:sSupPr>
              <m:ctrlPr>
                <w:rPr>
                  <w:rFonts w:ascii="Cambria Math" w:hAnsi="Cambria Math"/>
                </w:rPr>
              </m:ctrlPr>
            </m:sSupPr>
            <m:e>
              <m:r>
                <w:rPr>
                  <w:rFonts w:ascii="Cambria Math" w:hAnsi="Cambria Math"/>
                </w:rPr>
                <m:t>q</m:t>
              </m:r>
            </m:e>
            <m:sup>
              <m:r>
                <m:rPr>
                  <m:sty m:val="p"/>
                </m:rPr>
                <w:rPr>
                  <w:rFonts w:ascii="Cambria Math" w:hAnsi="Cambria Math"/>
                </w:rPr>
                <m:t>⊤</m:t>
              </m:r>
            </m:sup>
          </m:sSup>
          <m:sSup>
            <m:sSupPr>
              <m:ctrlPr>
                <w:rPr>
                  <w:rFonts w:ascii="Cambria Math" w:hAnsi="Cambria Math"/>
                </w:rPr>
              </m:ctrlPr>
            </m:sSupPr>
            <m:e>
              <m:r>
                <w:rPr>
                  <w:rFonts w:ascii="Cambria Math" w:hAnsi="Cambria Math"/>
                </w:rPr>
                <m:t>Σ</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num>
            <m:den>
              <m:r>
                <w:rPr>
                  <w:rFonts w:ascii="Cambria Math" w:hAnsi="Cambria Math"/>
                </w:rPr>
                <m:t>2</m:t>
              </m:r>
            </m:den>
          </m:f>
          <m:sSubSup>
            <m:sSubSupPr>
              <m:ctrlPr>
                <w:rPr>
                  <w:rFonts w:ascii="Cambria Math" w:hAnsi="Cambria Math"/>
                </w:rPr>
              </m:ctrlPr>
            </m:sSubSupPr>
            <m:e>
              <m:r>
                <w:rPr>
                  <w:rFonts w:ascii="Cambria Math" w:hAnsi="Cambria Math"/>
                </w:rPr>
                <m:t>y</m:t>
              </m:r>
            </m:e>
            <m:sub>
              <m:r>
                <w:rPr>
                  <w:rFonts w:ascii="Cambria Math" w:hAnsi="Cambria Math"/>
                </w:rPr>
                <m:t>j</m:t>
              </m:r>
            </m:sub>
            <m:sup>
              <m:r>
                <m:rPr>
                  <m:sty m:val="p"/>
                </m:rPr>
                <w:rPr>
                  <w:rFonts w:ascii="Cambria Math" w:hAnsi="Cambria Math"/>
                </w:rPr>
                <m:t>⊤</m:t>
              </m:r>
            </m:sup>
          </m:sSubSup>
          <m:sSup>
            <m:sSupPr>
              <m:ctrlPr>
                <w:rPr>
                  <w:rFonts w:ascii="Cambria Math" w:hAnsi="Cambria Math"/>
                </w:rPr>
              </m:ctrlPr>
            </m:sSupPr>
            <m:e>
              <m:r>
                <w:rPr>
                  <w:rFonts w:ascii="Cambria Math" w:hAnsi="Cambria Math"/>
                </w:rPr>
                <m:t>Σ</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nor/>
            </m:rPr>
            <m:t>    (8)</m:t>
          </m:r>
        </m:oMath>
      </m:oMathPara>
    </w:p>
    <w:p w14:paraId="05826E9E" w14:textId="77777777" w:rsidR="007672C2" w:rsidRDefault="00000000">
      <w:pPr>
        <w:pStyle w:val="FirstParagraph"/>
        <w:rPr>
          <w:rFonts w:hint="eastAsia"/>
        </w:rPr>
      </w:pPr>
      <w:r>
        <w:rPr>
          <w:b/>
          <w:bCs/>
        </w:rPr>
        <w:t>Proof.</w:t>
      </w:r>
      <w:r>
        <w:t xml:space="preserve"> Expand the Mahalanobis squared distance. Its query-only term and common determinant prefactor cancel. Whitening gives ordinary dot-product attention. </w:t>
      </w:r>
      <m:oMath>
        <m:r>
          <m:rPr>
            <m:sty m:val="p"/>
          </m:rPr>
          <w:rPr>
            <w:rFonts w:ascii="Cambria Math" w:hAnsi="Cambria Math"/>
          </w:rPr>
          <m:t>▫</m:t>
        </m:r>
      </m:oMath>
    </w:p>
    <w:p w14:paraId="77DA5632" w14:textId="77777777" w:rsidR="007672C2" w:rsidRDefault="00000000">
      <w:pPr>
        <w:pStyle w:val="BodyText"/>
        <w:rPr>
          <w:rFonts w:hint="eastAsia"/>
        </w:rPr>
      </w:pPr>
      <w:r>
        <w:t>If covariance differs by key, a key-dependent determinant and a query-dependent quadratic term remain. The simple fixed-dimensional linear query–key form in (8) then needs modification, for example a quadratic feature lift. Singular covariance requires a support-aware observation model rather than an inverse inserted formally.</w:t>
      </w:r>
    </w:p>
    <w:p w14:paraId="0E29C237" w14:textId="77777777" w:rsidR="007672C2" w:rsidRDefault="00000000">
      <w:pPr>
        <w:pStyle w:val="Heading2"/>
        <w:rPr>
          <w:rFonts w:hint="eastAsia"/>
        </w:rPr>
      </w:pPr>
      <w:bookmarkStart w:id="8" w:name="what-weight-corrections-change"/>
      <w:bookmarkEnd w:id="7"/>
      <w:r>
        <w:t>3.2 What weight corrections change</w:t>
      </w:r>
    </w:p>
    <w:p w14:paraId="730C69CE" w14:textId="77777777" w:rsidR="007672C2" w:rsidRDefault="00000000">
      <w:pPr>
        <w:pStyle w:val="FirstParagraph"/>
        <w:keepNext/>
        <w:rPr>
          <w:rFonts w:hint="eastAsia"/>
        </w:rPr>
      </w:pPr>
      <w:r>
        <w:t xml:space="preserve">For fixed particle locations, multiplying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by a positive correction changes only the additive key bias in this representation. Valid importance weights from a known generating density </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toward a prior density </w:t>
      </w:r>
      <m:oMath>
        <m:r>
          <w:rPr>
            <w:rFonts w:ascii="Cambria Math" w:hAnsi="Cambria Math"/>
          </w:rPr>
          <m:t>ν</m:t>
        </m:r>
      </m:oMath>
      <w:r>
        <w:t xml:space="preserve"> have the form</w:t>
      </w:r>
    </w:p>
    <w:p w14:paraId="3E43FC05" w14:textId="77777777" w:rsidR="007672C2"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βJ</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+log</m:t>
          </m:r>
          <m:r>
            <w:rPr>
              <w:rFonts w:ascii="Cambria Math" w:hAnsi="Cambria Math"/>
            </w:rPr>
            <m:t>ν</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r>
            <m:rPr>
              <m:sty m:val="p"/>
            </m:rPr>
            <w:rPr>
              <w:rFonts w:ascii="Cambria Math" w:hAnsi="Cambria Math"/>
            </w:rPr>
            <m:t>.</m:t>
          </m:r>
          <m:r>
            <m:rPr>
              <m:nor/>
            </m:rPr>
            <m:t>    (9)</m:t>
          </m:r>
        </m:oMath>
      </m:oMathPara>
    </w:p>
    <w:p w14:paraId="51283324" w14:textId="77777777" w:rsidR="007672C2" w:rsidRDefault="00000000">
      <w:pPr>
        <w:pStyle w:val="FirstParagraph"/>
        <w:rPr>
          <w:rFonts w:hint="eastAsia"/>
        </w:rPr>
      </w:pPr>
      <w:r>
        <w:t xml:space="preserve">They require matching reference measures, appropriate support and the actual conditional proposal density for an adaptive draw. Normalizing a finite weighted sample produces a self-normalized estimator, generally biased at finite </w:t>
      </w:r>
      <m:oMath>
        <m:r>
          <w:rPr>
            <w:rFonts w:ascii="Cambria Math" w:hAnsi="Cambria Math"/>
          </w:rPr>
          <m:t>N</m:t>
        </m:r>
      </m:oMath>
      <w:r>
        <w:t>. An occupancy density fitted to the archive is not automatically its historical proposal density.</w:t>
      </w:r>
    </w:p>
    <w:p w14:paraId="0E3ED86E" w14:textId="77777777" w:rsidR="007672C2" w:rsidRDefault="00000000">
      <w:pPr>
        <w:pStyle w:val="BodyText"/>
        <w:rPr>
          <w:rFonts w:hint="eastAsia"/>
        </w:rPr>
      </w:pPr>
      <w:r>
        <w:lastRenderedPageBreak/>
        <w:t>The phrase “only a key bias” is local to a frozen read. The new attention weights change the output mean; that changes the next population and therefore future queries, keys, values and evaluated losses. An external evaluator can consequently influence the entire trajectory. The identity does not justify saying that evaluator information can never reach later value vectors.</w:t>
      </w:r>
    </w:p>
    <w:p w14:paraId="1C019A1A" w14:textId="77777777" w:rsidR="007672C2" w:rsidRDefault="00000000">
      <w:pPr>
        <w:pStyle w:val="Heading2"/>
        <w:rPr>
          <w:rFonts w:hint="eastAsia"/>
        </w:rPr>
      </w:pPr>
      <w:bookmarkStart w:id="9" w:name="X37b3d529a67dd4560f7b82949befaf1f4b403fc"/>
      <w:bookmarkEnd w:id="8"/>
      <w:r>
        <w:t>3.3 Jacobian and fixed memory Hopfield dynamics</w:t>
      </w:r>
    </w:p>
    <w:p w14:paraId="04819C62" w14:textId="77777777" w:rsidR="007672C2" w:rsidRDefault="00000000">
      <w:pPr>
        <w:pStyle w:val="FirstParagraph"/>
        <w:rPr>
          <w:rFonts w:hint="eastAsia"/>
        </w:rPr>
      </w:pPr>
      <w:r>
        <w:t xml:space="preserve">Let </w:t>
      </w:r>
      <m:oMath>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oMath>
      <w:r>
        <w:t xml:space="preserve"> and freeze the memory locations, weights and schedule. Write </w:t>
      </w:r>
      <m:oMath>
        <m:sSub>
          <m:sSubPr>
            <m:ctrlPr>
              <w:rPr>
                <w:rFonts w:ascii="Cambria Math" w:hAnsi="Cambria Math"/>
              </w:rPr>
            </m:ctrlPr>
          </m:sSubPr>
          <m:e>
            <m:r>
              <w:rPr>
                <w:rFonts w:ascii="Cambria Math" w:hAnsi="Cambria Math"/>
              </w:rPr>
              <m:t>C</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=Cov</m:t>
        </m:r>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q</m:t>
            </m:r>
          </m:e>
        </m:d>
      </m:oMath>
      <w:r>
        <w:t>.</w:t>
      </w:r>
    </w:p>
    <w:p w14:paraId="7B591345" w14:textId="77777777" w:rsidR="007672C2" w:rsidRDefault="00000000">
      <w:pPr>
        <w:pStyle w:val="BodyText"/>
        <w:keepNext/>
        <w:keepLines/>
        <w:rPr>
          <w:rFonts w:hint="eastAsia"/>
        </w:rPr>
      </w:pPr>
      <w:r>
        <w:rPr>
          <w:b/>
          <w:bCs/>
        </w:rPr>
        <w:t>Proposition 3 — Retrieval derivative and Lipschitz bound.</w:t>
      </w:r>
    </w:p>
    <w:p w14:paraId="23453CB3"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q</m:t>
              </m:r>
            </m:sub>
          </m:sSub>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C</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r>
            <m:rPr>
              <m:nor/>
            </m:rPr>
            <m:t>    </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4</m:t>
              </m:r>
            </m:den>
          </m:f>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r>
            <m:rPr>
              <m:nor/>
            </m:rPr>
            <m:t>    (10)</m:t>
          </m:r>
        </m:oMath>
      </m:oMathPara>
    </w:p>
    <w:p w14:paraId="3236519B" w14:textId="77777777" w:rsidR="007672C2" w:rsidRDefault="00000000">
      <w:pPr>
        <w:pStyle w:val="FirstParagraph"/>
        <w:rPr>
          <w:rFonts w:hint="eastAsia"/>
        </w:rPr>
      </w:pPr>
      <w:r>
        <w:rPr>
          <w:b/>
          <w:bCs/>
        </w:rPr>
        <w:t>Proof.</w:t>
      </w:r>
      <w:r>
        <w:t xml:space="preserve"> Differentiate each softmax responsibility: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sSub>
          <m:sSubPr>
            <m:ctrlPr>
              <w:rPr>
                <w:rFonts w:ascii="Cambria Math" w:hAnsi="Cambria Math"/>
              </w:rPr>
            </m:ctrlPr>
          </m:sSubPr>
          <m:e>
            <m:r>
              <w:rPr>
                <w:rFonts w:ascii="Cambria Math" w:hAnsi="Cambria Math"/>
              </w:rPr>
              <m:t>r</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e>
        </m:d>
      </m:oMath>
      <w:r>
        <w:t xml:space="preserve">. Summing </w:t>
      </w:r>
      <m:oMath>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j</m:t>
            </m:r>
          </m:sub>
          <m:sup>
            <m:r>
              <m:rPr>
                <m:sty m:val="p"/>
              </m:rPr>
              <w:rPr>
                <w:rFonts w:ascii="Cambria Math" w:hAnsi="Cambria Math"/>
              </w:rPr>
              <m:t>⊤</m:t>
            </m:r>
          </m:sup>
        </m:sSubSup>
      </m:oMath>
      <w:r>
        <w:t xml:space="preserve"> gives the covariance. For every unit vector </w:t>
      </w:r>
      <m:oMath>
        <m:r>
          <w:rPr>
            <w:rFonts w:ascii="Cambria Math" w:hAnsi="Cambria Math"/>
          </w:rPr>
          <m:t>u</m:t>
        </m:r>
      </m:oMath>
      <w:r>
        <w:t xml:space="preserve">, the scalar values </w:t>
      </w: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lie in an interval of length at most </w:t>
      </w:r>
      <m:oMath>
        <m:r>
          <w:rPr>
            <w:rFonts w:ascii="Cambria Math" w:hAnsi="Cambria Math"/>
          </w:rPr>
          <m:t>R</m:t>
        </m:r>
      </m:oMath>
      <w:r>
        <w:t xml:space="preserve">, so their variance is at most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4</m:t>
        </m:r>
      </m:oMath>
      <w:r>
        <w:t xml:space="preserve">. Bound the Jacobian operator norm and integrate along the query segment. </w:t>
      </w:r>
      <m:oMath>
        <m:r>
          <m:rPr>
            <m:sty m:val="p"/>
          </m:rPr>
          <w:rPr>
            <w:rFonts w:ascii="Cambria Math" w:hAnsi="Cambria Math"/>
          </w:rPr>
          <m:t>▫</m:t>
        </m:r>
      </m:oMath>
    </w:p>
    <w:p w14:paraId="68E57216" w14:textId="77777777" w:rsidR="007672C2" w:rsidRDefault="00000000">
      <w:pPr>
        <w:pStyle w:val="BodyText"/>
        <w:rPr>
          <w:rFonts w:hint="eastAsia"/>
        </w:rPr>
      </w:pPr>
      <w:r>
        <w:t xml:space="preserve">A sufficient contraction condition for repeated frozen-memory reads is </w:t>
      </w:r>
      <m:oMath>
        <m:sSub>
          <m:sSubPr>
            <m:ctrlPr>
              <w:rPr>
                <w:rFonts w:ascii="Cambria Math" w:hAnsi="Cambria Math"/>
              </w:rPr>
            </m:ctrlPr>
          </m:sSubPr>
          <m:e>
            <m:r>
              <w:rPr>
                <w:rFonts w:ascii="Cambria Math" w:hAnsi="Cambria Math"/>
              </w:rPr>
              <m:t>c</m:t>
            </m:r>
          </m:e>
          <m:sub>
            <m:r>
              <w:rPr>
                <w:rFonts w:ascii="Cambria Math" w:hAnsi="Cambria Math"/>
              </w:rPr>
              <m:t>t</m:t>
            </m:r>
          </m:sub>
        </m:sSub>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4</m:t>
        </m:r>
        <m:r>
          <m:rPr>
            <m:sty m:val="p"/>
          </m:rPr>
          <w:rPr>
            <w:rFonts w:ascii="Cambria Math" w:hAnsi="Cambria Math"/>
          </w:rPr>
          <m:t>&lt;</m:t>
        </m:r>
        <m:r>
          <w:rPr>
            <w:rFonts w:ascii="Cambria Math" w:hAnsi="Cambria Math"/>
          </w:rPr>
          <m:t>1</m:t>
        </m:r>
      </m:oMath>
      <w:r>
        <w:t xml:space="preserve">. It is not necessary. As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rises,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rises, but </w:t>
      </w:r>
      <m:oMath>
        <m:r>
          <w:rPr>
            <w:rFonts w:ascii="Cambria Math" w:hAnsi="Cambria Math"/>
          </w:rPr>
          <m:t>R</m:t>
        </m:r>
      </m:oMath>
      <w:r>
        <w:t xml:space="preserve"> and the posterior covariance can change in an evolving population. A schedule alone does not determine the actual derivative norm.</w:t>
      </w:r>
    </w:p>
    <w:p w14:paraId="45569A79" w14:textId="77777777" w:rsidR="007672C2" w:rsidRDefault="00000000">
      <w:pPr>
        <w:pStyle w:val="BodyText"/>
        <w:keepNext/>
        <w:keepLines/>
        <w:rPr>
          <w:rFonts w:hint="eastAsia"/>
        </w:rPr>
      </w:pPr>
      <w:r>
        <w:rPr>
          <w:b/>
          <w:bCs/>
        </w:rPr>
        <w:t>Proposition 4 — Frozen memory energy descent.</w:t>
      </w:r>
      <w:r>
        <w:t xml:space="preserve"> Define</w:t>
      </w:r>
    </w:p>
    <w:p w14:paraId="2670DDB0"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t</m:t>
                  </m:r>
                </m:sub>
              </m:sSub>
            </m:den>
          </m:f>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tj</m:t>
                  </m:r>
                </m:sub>
              </m:sSub>
            </m:e>
          </m:d>
          <m:r>
            <m:rPr>
              <m:sty m:val="p"/>
            </m:rPr>
            <w:rPr>
              <w:rFonts w:ascii="Cambria Math" w:hAnsi="Cambria Math"/>
            </w:rPr>
            <m:t>.</m:t>
          </m:r>
          <m:r>
            <m:rPr>
              <m:nor/>
            </m:rPr>
            <m:t>    (11)</m:t>
          </m:r>
        </m:oMath>
      </m:oMathPara>
    </w:p>
    <w:p w14:paraId="52F57896" w14:textId="77777777" w:rsidR="007672C2" w:rsidRDefault="00000000">
      <w:pPr>
        <w:pStyle w:val="FirstParagraph"/>
        <w:keepNext/>
        <w:rPr>
          <w:rFonts w:hint="eastAsia"/>
        </w:rPr>
      </w:pPr>
      <w:r>
        <w:t xml:space="preserve">Then </w:t>
      </w:r>
      <m:oMath>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oMath>
      <w:r>
        <w:t xml:space="preserve"> and</w:t>
      </w:r>
    </w:p>
    <w:p w14:paraId="2E1FEF8E"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m:rPr>
              <m:nor/>
            </m:rPr>
            <m:t>    (12)</m:t>
          </m:r>
        </m:oMath>
      </m:oMathPara>
    </w:p>
    <w:p w14:paraId="1A35E4FE" w14:textId="77777777" w:rsidR="007672C2" w:rsidRDefault="00000000">
      <w:pPr>
        <w:pStyle w:val="FirstParagraph"/>
        <w:rPr>
          <w:rFonts w:hint="eastAsia"/>
        </w:rPr>
      </w:pPr>
      <w:r>
        <w:rPr>
          <w:b/>
          <w:bCs/>
        </w:rPr>
        <w:t>Proof.</w:t>
      </w:r>
      <w:r>
        <w:t xml:space="preserve"> Let </w:t>
      </w:r>
      <m:oMath>
        <m:r>
          <w:rPr>
            <w:rFonts w:ascii="Cambria Math" w:hAnsi="Cambria Math"/>
          </w:rPr>
          <m:t>F</m:t>
        </m:r>
        <m:d>
          <m:dPr>
            <m:ctrlPr>
              <w:rPr>
                <w:rFonts w:ascii="Cambria Math" w:hAnsi="Cambria Math"/>
              </w:rPr>
            </m:ctrlPr>
          </m:dPr>
          <m:e>
            <m:r>
              <w:rPr>
                <w:rFonts w:ascii="Cambria Math" w:hAnsi="Cambria Math"/>
              </w:rPr>
              <m:t>q</m:t>
            </m:r>
          </m:e>
        </m:d>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r>
              <w:rPr>
                <w:rFonts w:ascii="Cambria Math" w:hAnsi="Cambria Math"/>
              </w:rPr>
              <m:t>1</m:t>
            </m:r>
          </m:sup>
        </m:sSubSup>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sSup>
              <m:sSupPr>
                <m:ctrlPr>
                  <w:rPr>
                    <w:rFonts w:ascii="Cambria Math" w:hAnsi="Cambria Math"/>
                  </w:rPr>
                </m:ctrlPr>
              </m:sSupPr>
              <m:e>
                <m:r>
                  <w:rPr>
                    <w:rFonts w:ascii="Cambria Math" w:hAnsi="Cambria Math"/>
                  </w:rPr>
                  <m:t>q</m:t>
                </m:r>
              </m:e>
              <m:sup>
                <m:r>
                  <m:rPr>
                    <m:sty m:val="p"/>
                  </m:rPr>
                  <w:rPr>
                    <w:rFonts w:ascii="Cambria Math" w:hAnsi="Cambria Math"/>
                  </w:rPr>
                  <m:t>⊤</m:t>
                </m:r>
              </m:sup>
            </m:sSup>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tj</m:t>
                </m:r>
              </m:sub>
            </m:sSub>
          </m:e>
        </m:d>
      </m:oMath>
      <w:r>
        <w:t xml:space="preserve">, whose gradient is </w:t>
      </w:r>
      <m:oMath>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oMath>
      <w:r>
        <w:t xml:space="preserve"> and which is convex. Its tangent lower bound makes </w:t>
      </w:r>
      <m:oMath>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sSup>
          <m:sSupPr>
            <m:ctrlPr>
              <w:rPr>
                <w:rFonts w:ascii="Cambria Math" w:hAnsi="Cambria Math"/>
              </w:rPr>
            </m:ctrlPr>
          </m:sSupPr>
          <m:e>
            <m:d>
              <m:dPr>
                <m:ctrlPr>
                  <w:rPr>
                    <w:rFonts w:ascii="Cambria Math" w:hAnsi="Cambria Math"/>
                  </w:rPr>
                </m:ctrlPr>
              </m:dPr>
              <m:e>
                <m:r>
                  <w:rPr>
                    <w:rFonts w:ascii="Cambria Math" w:hAnsi="Cambria Math"/>
                  </w:rPr>
                  <m:t>q</m:t>
                </m:r>
              </m:e>
            </m:d>
          </m:e>
          <m:sup>
            <m:r>
              <m:rPr>
                <m:sty m:val="p"/>
              </m:rPr>
              <w:rPr>
                <w:rFonts w:ascii="Cambria Math" w:hAnsi="Cambria Math"/>
              </w:rPr>
              <m:t>⊤</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q</m:t>
            </m:r>
          </m:e>
        </m:d>
      </m:oMath>
      <w:r>
        <w:t xml:space="preserve"> an upper bound on </w:t>
      </w:r>
      <m:oMath>
        <m:sSub>
          <m:sSubPr>
            <m:ctrlPr>
              <w:rPr>
                <w:rFonts w:ascii="Cambria Math" w:hAnsi="Cambria Math"/>
              </w:rPr>
            </m:ctrlPr>
          </m:sSubPr>
          <m:e>
            <m:r>
              <m:rPr>
                <m:scr m:val="script"/>
                <m:sty m:val="p"/>
              </m:rPr>
              <w:rPr>
                <w:rFonts w:ascii="Cambria Math" w:hAnsi="Cambria Math"/>
              </w:rPr>
              <m:t>E</m:t>
            </m:r>
          </m:e>
          <m:sub>
            <m:r>
              <w:rPr>
                <w:rFonts w:ascii="Cambria Math" w:hAnsi="Cambria Math"/>
              </w:rPr>
              <m:t>t</m:t>
            </m:r>
          </m:sub>
        </m:sSub>
        <m:d>
          <m:dPr>
            <m:ctrlPr>
              <w:rPr>
                <w:rFonts w:ascii="Cambria Math" w:hAnsi="Cambria Math"/>
              </w:rPr>
            </m:ctrlPr>
          </m:dPr>
          <m:e>
            <m:r>
              <w:rPr>
                <w:rFonts w:ascii="Cambria Math" w:hAnsi="Cambria Math"/>
              </w:rPr>
              <m:t>x</m:t>
            </m:r>
          </m:e>
        </m:d>
      </m:oMath>
      <w:r>
        <w:t xml:space="preserve">, tight at </w:t>
      </w:r>
      <m:oMath>
        <m:r>
          <w:rPr>
            <w:rFonts w:ascii="Cambria Math" w:hAnsi="Cambria Math"/>
          </w:rPr>
          <m:t>x</m:t>
        </m:r>
        <m:r>
          <m:rPr>
            <m:sty m:val="p"/>
          </m:rPr>
          <w:rPr>
            <w:rFonts w:ascii="Cambria Math" w:hAnsi="Cambria Math"/>
          </w:rPr>
          <m:t>=</m:t>
        </m:r>
        <m:r>
          <w:rPr>
            <w:rFonts w:ascii="Cambria Math" w:hAnsi="Cambria Math"/>
          </w:rPr>
          <m:t>q</m:t>
        </m:r>
      </m:oMath>
      <w:r>
        <w:t xml:space="preserve">. This quadratic is minimized at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oMath>
      <w:r>
        <w:t xml:space="preserve">, reducing its value by half the squared displacement. Differentiation gives the gradient. </w:t>
      </w:r>
      <m:oMath>
        <m:r>
          <m:rPr>
            <m:sty m:val="p"/>
          </m:rPr>
          <w:rPr>
            <w:rFonts w:ascii="Cambria Math" w:hAnsi="Cambria Math"/>
          </w:rPr>
          <m:t>▫</m:t>
        </m:r>
      </m:oMath>
    </w:p>
    <w:p w14:paraId="209EA5EA" w14:textId="77777777" w:rsidR="007672C2" w:rsidRDefault="00000000">
      <w:pPr>
        <w:pStyle w:val="BodyText"/>
        <w:rPr>
          <w:rFonts w:hint="eastAsia"/>
        </w:rPr>
      </w:pPr>
      <w:r>
        <w:t>This is the energy structure behind the modern Hopfield correspondence [5]. The population algorithm changes its memories, weights and schedule, and also uses residual and noisy moves. Equation (12) therefore supplies no common Lyapunov function or global optimization theorem for the full run.</w:t>
      </w:r>
    </w:p>
    <w:p w14:paraId="014FB9FC" w14:textId="77777777" w:rsidR="007672C2" w:rsidRDefault="00000000">
      <w:pPr>
        <w:pStyle w:val="Heading2"/>
        <w:rPr>
          <w:rFonts w:hint="eastAsia"/>
        </w:rPr>
      </w:pPr>
      <w:bookmarkStart w:id="10" w:name="equivariance-and-what-is-actually-tied"/>
      <w:bookmarkEnd w:id="9"/>
      <w:r>
        <w:t>3.4 Equivariance and what is actually tied</w:t>
      </w:r>
    </w:p>
    <w:p w14:paraId="6A9E9FF5" w14:textId="77777777" w:rsidR="007672C2" w:rsidRDefault="00000000">
      <w:pPr>
        <w:pStyle w:val="FirstParagraph"/>
        <w:rPr>
          <w:rFonts w:hint="eastAsia"/>
        </w:rPr>
      </w:pPr>
      <w:r>
        <w:t>Permuting the memory particles and their weights leaves an external query read unchanged; permuting a population used as both queries and memories permutes the rows of the output. A stochastic full step is equivariant in law under exchangeable noise, and pathwise if the noise rows are permuted too. No positional information is present unless explicitly supplied.</w:t>
      </w:r>
    </w:p>
    <w:p w14:paraId="626B68AC" w14:textId="77777777" w:rsidR="007672C2" w:rsidRDefault="00000000">
      <w:pPr>
        <w:pStyle w:val="BodyText"/>
        <w:rPr>
          <w:rFonts w:hint="eastAsia"/>
        </w:rPr>
      </w:pPr>
      <w:r>
        <w:t xml:space="preserve">The operator formula and absence of learned projections are shared across steps. The numeric keys, values and loss biases are not fixed parameters: they change with the population, and the schedule changes the temperature, norm bias, residual and noise. The accurate architectural description is an </w:t>
      </w:r>
      <w:r>
        <w:rPr>
          <w:b/>
          <w:bCs/>
        </w:rPr>
        <w:lastRenderedPageBreak/>
        <w:t>attention-based population process without learned projection weights</w:t>
      </w:r>
      <w:r>
        <w:t xml:space="preserve">. “Parameter-free” is shorthand only for the absence of trained neural weights; </w:t>
      </w:r>
      <m:oMath>
        <m:r>
          <w:rPr>
            <w:rFonts w:ascii="Cambria Math" w:hAnsi="Cambria Math"/>
          </w:rPr>
          <m:t>β</m:t>
        </m:r>
      </m:oMath>
      <w:r>
        <w:t>, the schedule, population size and approximation settings remain parameters.</w:t>
      </w:r>
    </w:p>
    <w:p w14:paraId="4D9B7EA7" w14:textId="77777777" w:rsidR="007672C2" w:rsidRDefault="00000000">
      <w:pPr>
        <w:pStyle w:val="Heading1"/>
        <w:rPr>
          <w:rFonts w:hint="eastAsia"/>
        </w:rPr>
      </w:pPr>
      <w:bookmarkStart w:id="11" w:name="X5e737405089304ae38fde08ad002e711c130695"/>
      <w:bookmarkEnd w:id="6"/>
      <w:bookmarkEnd w:id="10"/>
      <w:r>
        <w:t>4 What the identity implies about the full step</w:t>
      </w:r>
    </w:p>
    <w:p w14:paraId="6156A349" w14:textId="77777777" w:rsidR="007672C2" w:rsidRDefault="00000000">
      <w:pPr>
        <w:pStyle w:val="Heading2"/>
        <w:rPr>
          <w:rFonts w:hint="eastAsia"/>
        </w:rPr>
      </w:pPr>
      <w:bookmarkStart w:id="12" w:name="architectural-scope"/>
      <w:r>
        <w:t>4.1 Architectural scope</w:t>
      </w:r>
    </w:p>
    <w:p w14:paraId="53C30075" w14:textId="77777777" w:rsidR="007672C2" w:rsidRDefault="00000000">
      <w:pPr>
        <w:pStyle w:val="Caption"/>
        <w:keepNext/>
        <w:rPr>
          <w:rFonts w:hint="eastAsia"/>
        </w:rPr>
      </w:pPr>
      <w:r>
        <w:t>Table 2. Standard Transformer components and the population update.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3960"/>
        <w:gridCol w:w="3600"/>
      </w:tblGrid>
      <w:tr w:rsidR="007672C2" w14:paraId="220D3641" w14:textId="77777777">
        <w:trPr>
          <w:cantSplit/>
          <w:tblHeader/>
          <w:jc w:val="center"/>
        </w:trPr>
        <w:tc>
          <w:tcPr>
            <w:tcW w:w="2376" w:type="dxa"/>
            <w:shd w:val="clear" w:color="auto" w:fill="EAEAEA"/>
            <w:tcMar>
              <w:top w:w="80" w:type="dxa"/>
              <w:left w:w="85" w:type="dxa"/>
              <w:bottom w:w="80" w:type="dxa"/>
              <w:right w:w="85" w:type="dxa"/>
            </w:tcMar>
            <w:vAlign w:val="center"/>
          </w:tcPr>
          <w:p w14:paraId="7AF579A4" w14:textId="77777777" w:rsidR="007672C2" w:rsidRDefault="00000000">
            <w:pPr>
              <w:keepNext/>
              <w:keepLines/>
              <w:spacing w:after="0" w:line="247" w:lineRule="auto"/>
              <w:jc w:val="left"/>
              <w:rPr>
                <w:rFonts w:hint="eastAsia"/>
              </w:rPr>
            </w:pPr>
            <w:r>
              <w:rPr>
                <w:b/>
                <w:sz w:val="21"/>
              </w:rPr>
              <w:t>Component</w:t>
            </w:r>
          </w:p>
        </w:tc>
        <w:tc>
          <w:tcPr>
            <w:tcW w:w="3960" w:type="dxa"/>
            <w:shd w:val="clear" w:color="auto" w:fill="EAEAEA"/>
            <w:tcMar>
              <w:top w:w="80" w:type="dxa"/>
              <w:left w:w="85" w:type="dxa"/>
              <w:bottom w:w="80" w:type="dxa"/>
              <w:right w:w="85" w:type="dxa"/>
            </w:tcMar>
            <w:vAlign w:val="center"/>
          </w:tcPr>
          <w:p w14:paraId="3648936C" w14:textId="77777777" w:rsidR="007672C2" w:rsidRDefault="00000000">
            <w:pPr>
              <w:keepNext/>
              <w:keepLines/>
              <w:spacing w:after="0" w:line="247" w:lineRule="auto"/>
              <w:jc w:val="left"/>
              <w:rPr>
                <w:rFonts w:hint="eastAsia"/>
              </w:rPr>
            </w:pPr>
            <w:r>
              <w:rPr>
                <w:b/>
                <w:sz w:val="21"/>
              </w:rPr>
              <w:t>Diffusion Evolution realization</w:t>
            </w:r>
          </w:p>
        </w:tc>
        <w:tc>
          <w:tcPr>
            <w:tcW w:w="3600" w:type="dxa"/>
            <w:shd w:val="clear" w:color="auto" w:fill="EAEAEA"/>
            <w:tcMar>
              <w:top w:w="80" w:type="dxa"/>
              <w:left w:w="85" w:type="dxa"/>
              <w:bottom w:w="80" w:type="dxa"/>
              <w:right w:w="85" w:type="dxa"/>
            </w:tcMar>
            <w:vAlign w:val="center"/>
          </w:tcPr>
          <w:p w14:paraId="194C600B" w14:textId="77777777" w:rsidR="007672C2" w:rsidRDefault="00000000">
            <w:pPr>
              <w:keepNext/>
              <w:keepLines/>
              <w:spacing w:after="0" w:line="247" w:lineRule="auto"/>
              <w:jc w:val="left"/>
              <w:rPr>
                <w:rFonts w:hint="eastAsia"/>
              </w:rPr>
            </w:pPr>
            <w:r>
              <w:rPr>
                <w:b/>
                <w:sz w:val="21"/>
              </w:rPr>
              <w:t>Scope</w:t>
            </w:r>
          </w:p>
        </w:tc>
      </w:tr>
      <w:tr w:rsidR="007672C2" w14:paraId="65E17C5B" w14:textId="77777777">
        <w:trPr>
          <w:cantSplit/>
          <w:jc w:val="center"/>
        </w:trPr>
        <w:tc>
          <w:tcPr>
            <w:tcW w:w="2376" w:type="dxa"/>
            <w:shd w:val="clear" w:color="auto" w:fill="FFFFFF"/>
            <w:tcMar>
              <w:top w:w="80" w:type="dxa"/>
              <w:left w:w="85" w:type="dxa"/>
              <w:bottom w:w="80" w:type="dxa"/>
              <w:right w:w="85" w:type="dxa"/>
            </w:tcMar>
            <w:vAlign w:val="center"/>
          </w:tcPr>
          <w:p w14:paraId="6FE70E30" w14:textId="77777777" w:rsidR="007672C2" w:rsidRDefault="00000000">
            <w:pPr>
              <w:keepLines/>
              <w:spacing w:after="0" w:line="247" w:lineRule="auto"/>
              <w:jc w:val="left"/>
              <w:rPr>
                <w:rFonts w:hint="eastAsia"/>
              </w:rPr>
            </w:pPr>
            <w:r>
              <w:rPr>
                <w:sz w:val="21"/>
              </w:rPr>
              <w:t>Query, key and value projections</w:t>
            </w:r>
          </w:p>
        </w:tc>
        <w:tc>
          <w:tcPr>
            <w:tcW w:w="3960" w:type="dxa"/>
            <w:shd w:val="clear" w:color="auto" w:fill="FFFFFF"/>
            <w:tcMar>
              <w:top w:w="80" w:type="dxa"/>
              <w:left w:w="85" w:type="dxa"/>
              <w:bottom w:w="80" w:type="dxa"/>
              <w:right w:w="85" w:type="dxa"/>
            </w:tcMar>
            <w:vAlign w:val="center"/>
          </w:tcPr>
          <w:p w14:paraId="0E183895" w14:textId="77777777" w:rsidR="007672C2" w:rsidRDefault="00000000">
            <w:pPr>
              <w:keepLines/>
              <w:spacing w:after="0" w:line="247" w:lineRule="auto"/>
              <w:jc w:val="left"/>
              <w:rPr>
                <w:rFonts w:hint="eastAsia"/>
              </w:rPr>
            </w:pPr>
            <w:r>
              <w:rPr>
                <w:sz w:val="21"/>
              </w:rPr>
              <w:t>Fixed identity and signal rescaling</w:t>
            </w:r>
          </w:p>
        </w:tc>
        <w:tc>
          <w:tcPr>
            <w:tcW w:w="3600" w:type="dxa"/>
            <w:shd w:val="clear" w:color="auto" w:fill="FFFFFF"/>
            <w:tcMar>
              <w:top w:w="80" w:type="dxa"/>
              <w:left w:w="85" w:type="dxa"/>
              <w:bottom w:w="80" w:type="dxa"/>
              <w:right w:w="85" w:type="dxa"/>
            </w:tcMar>
            <w:vAlign w:val="center"/>
          </w:tcPr>
          <w:p w14:paraId="523F6A65" w14:textId="77777777" w:rsidR="007672C2" w:rsidRDefault="00000000">
            <w:pPr>
              <w:keepLines/>
              <w:spacing w:after="0" w:line="247" w:lineRule="auto"/>
              <w:jc w:val="left"/>
              <w:rPr>
                <w:rFonts w:hint="eastAsia"/>
              </w:rPr>
            </w:pPr>
            <w:r>
              <w:rPr>
                <w:sz w:val="21"/>
              </w:rPr>
              <w:t>No learned projections in this read</w:t>
            </w:r>
          </w:p>
        </w:tc>
      </w:tr>
      <w:tr w:rsidR="007672C2" w14:paraId="1C1CEE08" w14:textId="77777777">
        <w:trPr>
          <w:cantSplit/>
          <w:jc w:val="center"/>
        </w:trPr>
        <w:tc>
          <w:tcPr>
            <w:tcW w:w="2376" w:type="dxa"/>
            <w:shd w:val="clear" w:color="auto" w:fill="FFFFFF"/>
            <w:tcMar>
              <w:top w:w="80" w:type="dxa"/>
              <w:left w:w="85" w:type="dxa"/>
              <w:bottom w:w="80" w:type="dxa"/>
              <w:right w:w="85" w:type="dxa"/>
            </w:tcMar>
            <w:vAlign w:val="center"/>
          </w:tcPr>
          <w:p w14:paraId="166C9CD5" w14:textId="77777777" w:rsidR="007672C2" w:rsidRDefault="00000000">
            <w:pPr>
              <w:keepLines/>
              <w:spacing w:after="0" w:line="247" w:lineRule="auto"/>
              <w:jc w:val="left"/>
              <w:rPr>
                <w:rFonts w:hint="eastAsia"/>
              </w:rPr>
            </w:pPr>
            <w:r>
              <w:rPr>
                <w:sz w:val="21"/>
              </w:rPr>
              <w:t>Dot-product score and softmax</w:t>
            </w:r>
          </w:p>
        </w:tc>
        <w:tc>
          <w:tcPr>
            <w:tcW w:w="3960" w:type="dxa"/>
            <w:shd w:val="clear" w:color="auto" w:fill="FFFFFF"/>
            <w:tcMar>
              <w:top w:w="80" w:type="dxa"/>
              <w:left w:w="85" w:type="dxa"/>
              <w:bottom w:w="80" w:type="dxa"/>
              <w:right w:w="85" w:type="dxa"/>
            </w:tcMar>
            <w:vAlign w:val="center"/>
          </w:tcPr>
          <w:p w14:paraId="5FC94ED3" w14:textId="77777777" w:rsidR="007672C2" w:rsidRDefault="00000000">
            <w:pPr>
              <w:keepLines/>
              <w:spacing w:after="0" w:line="247" w:lineRule="auto"/>
              <w:jc w:val="left"/>
              <w:rPr>
                <w:rFonts w:hint="eastAsia"/>
              </w:rPr>
            </w:pPr>
            <w:r>
              <w:rPr>
                <w:sz w:val="21"/>
              </w:rPr>
              <w:t>Equations (5)–(6)</w:t>
            </w:r>
          </w:p>
        </w:tc>
        <w:tc>
          <w:tcPr>
            <w:tcW w:w="3600" w:type="dxa"/>
            <w:shd w:val="clear" w:color="auto" w:fill="FFFFFF"/>
            <w:tcMar>
              <w:top w:w="80" w:type="dxa"/>
              <w:left w:w="85" w:type="dxa"/>
              <w:bottom w:w="80" w:type="dxa"/>
              <w:right w:w="85" w:type="dxa"/>
            </w:tcMar>
            <w:vAlign w:val="center"/>
          </w:tcPr>
          <w:p w14:paraId="48E1DE60" w14:textId="77777777" w:rsidR="007672C2" w:rsidRDefault="00000000">
            <w:pPr>
              <w:keepLines/>
              <w:spacing w:after="0" w:line="247" w:lineRule="auto"/>
              <w:jc w:val="left"/>
              <w:rPr>
                <w:rFonts w:hint="eastAsia"/>
              </w:rPr>
            </w:pPr>
            <w:r>
              <w:rPr>
                <w:sz w:val="21"/>
              </w:rPr>
              <w:t>Exact attention identity</w:t>
            </w:r>
          </w:p>
        </w:tc>
      </w:tr>
      <w:tr w:rsidR="007672C2" w14:paraId="76600FD1" w14:textId="77777777">
        <w:trPr>
          <w:cantSplit/>
          <w:jc w:val="center"/>
        </w:trPr>
        <w:tc>
          <w:tcPr>
            <w:tcW w:w="2376" w:type="dxa"/>
            <w:shd w:val="clear" w:color="auto" w:fill="FFFFFF"/>
            <w:tcMar>
              <w:top w:w="80" w:type="dxa"/>
              <w:left w:w="85" w:type="dxa"/>
              <w:bottom w:w="80" w:type="dxa"/>
              <w:right w:w="85" w:type="dxa"/>
            </w:tcMar>
            <w:vAlign w:val="center"/>
          </w:tcPr>
          <w:p w14:paraId="1CE464A0" w14:textId="77777777" w:rsidR="007672C2" w:rsidRDefault="00000000">
            <w:pPr>
              <w:keepLines/>
              <w:spacing w:after="0" w:line="247" w:lineRule="auto"/>
              <w:jc w:val="left"/>
              <w:rPr>
                <w:rFonts w:hint="eastAsia"/>
              </w:rPr>
            </w:pPr>
            <w:r>
              <w:rPr>
                <w:sz w:val="21"/>
              </w:rPr>
              <w:t>Key bias</w:t>
            </w:r>
          </w:p>
        </w:tc>
        <w:tc>
          <w:tcPr>
            <w:tcW w:w="3960" w:type="dxa"/>
            <w:shd w:val="clear" w:color="auto" w:fill="FFFFFF"/>
            <w:tcMar>
              <w:top w:w="80" w:type="dxa"/>
              <w:left w:w="85" w:type="dxa"/>
              <w:bottom w:w="80" w:type="dxa"/>
              <w:right w:w="85" w:type="dxa"/>
            </w:tcMar>
            <w:vAlign w:val="center"/>
          </w:tcPr>
          <w:p w14:paraId="00F51F0D" w14:textId="77777777" w:rsidR="007672C2" w:rsidRDefault="00000000">
            <w:pPr>
              <w:keepLines/>
              <w:spacing w:after="0" w:line="247" w:lineRule="auto"/>
              <w:jc w:val="left"/>
              <w:rPr>
                <w:rFonts w:hint="eastAsia"/>
              </w:rPr>
            </w:pPr>
            <w:r>
              <w:rPr>
                <w:sz w:val="21"/>
              </w:rPr>
              <w:t>Loss weight and squared-norm term</w:t>
            </w:r>
          </w:p>
        </w:tc>
        <w:tc>
          <w:tcPr>
            <w:tcW w:w="3600" w:type="dxa"/>
            <w:shd w:val="clear" w:color="auto" w:fill="FFFFFF"/>
            <w:tcMar>
              <w:top w:w="80" w:type="dxa"/>
              <w:left w:w="85" w:type="dxa"/>
              <w:bottom w:w="80" w:type="dxa"/>
              <w:right w:w="85" w:type="dxa"/>
            </w:tcMar>
            <w:vAlign w:val="center"/>
          </w:tcPr>
          <w:p w14:paraId="56B4EFCB" w14:textId="77777777" w:rsidR="007672C2" w:rsidRDefault="00000000">
            <w:pPr>
              <w:keepLines/>
              <w:spacing w:after="0" w:line="247" w:lineRule="auto"/>
              <w:jc w:val="left"/>
              <w:rPr>
                <w:rFonts w:hint="eastAsia"/>
              </w:rPr>
            </w:pPr>
            <w:r>
              <w:rPr>
                <w:sz w:val="21"/>
              </w:rPr>
              <w:t>Recomputed from the current memory</w:t>
            </w:r>
          </w:p>
        </w:tc>
      </w:tr>
      <w:tr w:rsidR="007672C2" w14:paraId="2A130FCB" w14:textId="77777777">
        <w:trPr>
          <w:cantSplit/>
          <w:jc w:val="center"/>
        </w:trPr>
        <w:tc>
          <w:tcPr>
            <w:tcW w:w="2376" w:type="dxa"/>
            <w:shd w:val="clear" w:color="auto" w:fill="FFFFFF"/>
            <w:tcMar>
              <w:top w:w="80" w:type="dxa"/>
              <w:left w:w="85" w:type="dxa"/>
              <w:bottom w:w="80" w:type="dxa"/>
              <w:right w:w="85" w:type="dxa"/>
            </w:tcMar>
            <w:vAlign w:val="center"/>
          </w:tcPr>
          <w:p w14:paraId="5E4BBEC2" w14:textId="77777777" w:rsidR="007672C2" w:rsidRDefault="00000000">
            <w:pPr>
              <w:keepLines/>
              <w:spacing w:after="0" w:line="247" w:lineRule="auto"/>
              <w:jc w:val="left"/>
              <w:rPr>
                <w:rFonts w:hint="eastAsia"/>
              </w:rPr>
            </w:pPr>
            <w:r>
              <w:rPr>
                <w:sz w:val="21"/>
              </w:rPr>
              <w:t>Multiple heads</w:t>
            </w:r>
          </w:p>
        </w:tc>
        <w:tc>
          <w:tcPr>
            <w:tcW w:w="3960" w:type="dxa"/>
            <w:shd w:val="clear" w:color="auto" w:fill="FFFFFF"/>
            <w:tcMar>
              <w:top w:w="80" w:type="dxa"/>
              <w:left w:w="85" w:type="dxa"/>
              <w:bottom w:w="80" w:type="dxa"/>
              <w:right w:w="85" w:type="dxa"/>
            </w:tcMar>
            <w:vAlign w:val="center"/>
          </w:tcPr>
          <w:p w14:paraId="1AE1FFCE" w14:textId="77777777" w:rsidR="007672C2" w:rsidRDefault="00000000">
            <w:pPr>
              <w:keepLines/>
              <w:spacing w:after="0" w:line="247" w:lineRule="auto"/>
              <w:jc w:val="left"/>
              <w:rPr>
                <w:rFonts w:hint="eastAsia"/>
              </w:rPr>
            </w:pPr>
            <w:r>
              <w:rPr>
                <w:sz w:val="21"/>
              </w:rPr>
              <w:t>One read in the stated algorithm</w:t>
            </w:r>
          </w:p>
        </w:tc>
        <w:tc>
          <w:tcPr>
            <w:tcW w:w="3600" w:type="dxa"/>
            <w:shd w:val="clear" w:color="auto" w:fill="FFFFFF"/>
            <w:tcMar>
              <w:top w:w="80" w:type="dxa"/>
              <w:left w:w="85" w:type="dxa"/>
              <w:bottom w:w="80" w:type="dxa"/>
              <w:right w:w="85" w:type="dxa"/>
            </w:tcMar>
            <w:vAlign w:val="center"/>
          </w:tcPr>
          <w:p w14:paraId="6B1F47D1" w14:textId="77777777" w:rsidR="007672C2" w:rsidRDefault="00000000">
            <w:pPr>
              <w:keepLines/>
              <w:spacing w:after="0" w:line="247" w:lineRule="auto"/>
              <w:jc w:val="left"/>
              <w:rPr>
                <w:rFonts w:hint="eastAsia"/>
              </w:rPr>
            </w:pPr>
            <w:r>
              <w:rPr>
                <w:sz w:val="21"/>
              </w:rPr>
              <w:t>Additional heads would be a design change</w:t>
            </w:r>
          </w:p>
        </w:tc>
      </w:tr>
      <w:tr w:rsidR="007672C2" w14:paraId="5EBDEE29" w14:textId="77777777">
        <w:trPr>
          <w:cantSplit/>
          <w:jc w:val="center"/>
        </w:trPr>
        <w:tc>
          <w:tcPr>
            <w:tcW w:w="2376" w:type="dxa"/>
            <w:shd w:val="clear" w:color="auto" w:fill="FFFFFF"/>
            <w:tcMar>
              <w:top w:w="80" w:type="dxa"/>
              <w:left w:w="85" w:type="dxa"/>
              <w:bottom w:w="80" w:type="dxa"/>
              <w:right w:w="85" w:type="dxa"/>
            </w:tcMar>
            <w:vAlign w:val="center"/>
          </w:tcPr>
          <w:p w14:paraId="3851A3C1" w14:textId="77777777" w:rsidR="007672C2" w:rsidRDefault="00000000">
            <w:pPr>
              <w:keepLines/>
              <w:spacing w:after="0" w:line="247" w:lineRule="auto"/>
              <w:jc w:val="left"/>
              <w:rPr>
                <w:rFonts w:hint="eastAsia"/>
              </w:rPr>
            </w:pPr>
            <w:r>
              <w:rPr>
                <w:sz w:val="21"/>
              </w:rPr>
              <w:t>Residual</w:t>
            </w:r>
          </w:p>
        </w:tc>
        <w:tc>
          <w:tcPr>
            <w:tcW w:w="3960" w:type="dxa"/>
            <w:shd w:val="clear" w:color="auto" w:fill="FFFFFF"/>
            <w:tcMar>
              <w:top w:w="80" w:type="dxa"/>
              <w:left w:w="85" w:type="dxa"/>
              <w:bottom w:w="80" w:type="dxa"/>
              <w:right w:w="85" w:type="dxa"/>
            </w:tcMar>
            <w:vAlign w:val="center"/>
          </w:tcPr>
          <w:p w14:paraId="2F04081E" w14:textId="77777777" w:rsidR="007672C2" w:rsidRDefault="00000000">
            <w:pPr>
              <w:keepLines/>
              <w:spacing w:after="0" w:line="247" w:lineRule="auto"/>
              <w:jc w:val="left"/>
              <w:rPr>
                <w:rFonts w:hint="eastAsia"/>
              </w:rPr>
            </w:pPr>
            <w:r>
              <w:rPr>
                <w:sz w:val="21"/>
              </w:rPr>
              <w:t>Schedule-dependent interpolation after coordinate scaling</w:t>
            </w:r>
          </w:p>
        </w:tc>
        <w:tc>
          <w:tcPr>
            <w:tcW w:w="3600" w:type="dxa"/>
            <w:shd w:val="clear" w:color="auto" w:fill="FFFFFF"/>
            <w:tcMar>
              <w:top w:w="80" w:type="dxa"/>
              <w:left w:w="85" w:type="dxa"/>
              <w:bottom w:w="80" w:type="dxa"/>
              <w:right w:w="85" w:type="dxa"/>
            </w:tcMar>
            <w:vAlign w:val="center"/>
          </w:tcPr>
          <w:p w14:paraId="48B83B0B" w14:textId="77777777" w:rsidR="007672C2" w:rsidRDefault="00000000">
            <w:pPr>
              <w:keepLines/>
              <w:spacing w:after="0" w:line="247" w:lineRule="auto"/>
              <w:jc w:val="left"/>
              <w:rPr>
                <w:rFonts w:hint="eastAsia"/>
              </w:rPr>
            </w:pPr>
            <w:r>
              <w:rPr>
                <w:sz w:val="21"/>
              </w:rPr>
              <w:t>Different from an unrestricted residual sum</w:t>
            </w:r>
          </w:p>
        </w:tc>
      </w:tr>
      <w:tr w:rsidR="007672C2" w14:paraId="7E94D329" w14:textId="77777777">
        <w:trPr>
          <w:cantSplit/>
          <w:jc w:val="center"/>
        </w:trPr>
        <w:tc>
          <w:tcPr>
            <w:tcW w:w="2376" w:type="dxa"/>
            <w:shd w:val="clear" w:color="auto" w:fill="FFFFFF"/>
            <w:tcMar>
              <w:top w:w="80" w:type="dxa"/>
              <w:left w:w="85" w:type="dxa"/>
              <w:bottom w:w="80" w:type="dxa"/>
              <w:right w:w="85" w:type="dxa"/>
            </w:tcMar>
            <w:vAlign w:val="center"/>
          </w:tcPr>
          <w:p w14:paraId="37667A94" w14:textId="77777777" w:rsidR="007672C2" w:rsidRDefault="00000000">
            <w:pPr>
              <w:keepLines/>
              <w:spacing w:after="0" w:line="247" w:lineRule="auto"/>
              <w:jc w:val="left"/>
              <w:rPr>
                <w:rFonts w:hint="eastAsia"/>
              </w:rPr>
            </w:pPr>
            <w:r>
              <w:rPr>
                <w:sz w:val="21"/>
              </w:rPr>
              <w:t>Position-wise MLP</w:t>
            </w:r>
          </w:p>
        </w:tc>
        <w:tc>
          <w:tcPr>
            <w:tcW w:w="3960" w:type="dxa"/>
            <w:shd w:val="clear" w:color="auto" w:fill="FFFFFF"/>
            <w:tcMar>
              <w:top w:w="80" w:type="dxa"/>
              <w:left w:w="85" w:type="dxa"/>
              <w:bottom w:w="80" w:type="dxa"/>
              <w:right w:w="85" w:type="dxa"/>
            </w:tcMar>
            <w:vAlign w:val="center"/>
          </w:tcPr>
          <w:p w14:paraId="717957E1" w14:textId="77777777" w:rsidR="007672C2" w:rsidRDefault="00000000">
            <w:pPr>
              <w:keepLines/>
              <w:spacing w:after="0" w:line="247" w:lineRule="auto"/>
              <w:jc w:val="left"/>
              <w:rPr>
                <w:rFonts w:hint="eastAsia"/>
              </w:rPr>
            </w:pPr>
            <w:r>
              <w:rPr>
                <w:sz w:val="21"/>
              </w:rPr>
              <w:t>Absent</w:t>
            </w:r>
          </w:p>
        </w:tc>
        <w:tc>
          <w:tcPr>
            <w:tcW w:w="3600" w:type="dxa"/>
            <w:shd w:val="clear" w:color="auto" w:fill="FFFFFF"/>
            <w:tcMar>
              <w:top w:w="80" w:type="dxa"/>
              <w:left w:w="85" w:type="dxa"/>
              <w:bottom w:w="80" w:type="dxa"/>
              <w:right w:w="85" w:type="dxa"/>
            </w:tcMar>
            <w:vAlign w:val="center"/>
          </w:tcPr>
          <w:p w14:paraId="572D43F4" w14:textId="77777777" w:rsidR="007672C2" w:rsidRDefault="00000000">
            <w:pPr>
              <w:keepLines/>
              <w:spacing w:after="0" w:line="247" w:lineRule="auto"/>
              <w:jc w:val="left"/>
              <w:rPr>
                <w:rFonts w:hint="eastAsia"/>
              </w:rPr>
            </w:pPr>
            <w:r>
              <w:rPr>
                <w:sz w:val="21"/>
              </w:rPr>
              <w:t>Noise does not reproduce a learned MLP</w:t>
            </w:r>
          </w:p>
        </w:tc>
      </w:tr>
      <w:tr w:rsidR="007672C2" w14:paraId="3F522021" w14:textId="77777777">
        <w:trPr>
          <w:cantSplit/>
          <w:jc w:val="center"/>
        </w:trPr>
        <w:tc>
          <w:tcPr>
            <w:tcW w:w="2376" w:type="dxa"/>
            <w:shd w:val="clear" w:color="auto" w:fill="FFFFFF"/>
            <w:tcMar>
              <w:top w:w="80" w:type="dxa"/>
              <w:left w:w="85" w:type="dxa"/>
              <w:bottom w:w="80" w:type="dxa"/>
              <w:right w:w="85" w:type="dxa"/>
            </w:tcMar>
            <w:vAlign w:val="center"/>
          </w:tcPr>
          <w:p w14:paraId="2E75BED6" w14:textId="77777777" w:rsidR="007672C2" w:rsidRDefault="00000000">
            <w:pPr>
              <w:keepLines/>
              <w:spacing w:after="0" w:line="247" w:lineRule="auto"/>
              <w:jc w:val="left"/>
              <w:rPr>
                <w:rFonts w:hint="eastAsia"/>
              </w:rPr>
            </w:pPr>
            <w:r>
              <w:rPr>
                <w:sz w:val="21"/>
              </w:rPr>
              <w:t>Layer normalization</w:t>
            </w:r>
          </w:p>
        </w:tc>
        <w:tc>
          <w:tcPr>
            <w:tcW w:w="3960" w:type="dxa"/>
            <w:shd w:val="clear" w:color="auto" w:fill="FFFFFF"/>
            <w:tcMar>
              <w:top w:w="80" w:type="dxa"/>
              <w:left w:w="85" w:type="dxa"/>
              <w:bottom w:w="80" w:type="dxa"/>
              <w:right w:w="85" w:type="dxa"/>
            </w:tcMar>
            <w:vAlign w:val="center"/>
          </w:tcPr>
          <w:p w14:paraId="7626E3CB" w14:textId="77777777" w:rsidR="007672C2" w:rsidRDefault="00000000">
            <w:pPr>
              <w:keepLines/>
              <w:spacing w:after="0" w:line="247" w:lineRule="auto"/>
              <w:jc w:val="left"/>
              <w:rPr>
                <w:rFonts w:hint="eastAsia"/>
              </w:rPr>
            </w:pPr>
            <w:r>
              <w:rPr>
                <w:sz w:val="21"/>
              </w:rPr>
              <w:t>Absent</w:t>
            </w:r>
          </w:p>
        </w:tc>
        <w:tc>
          <w:tcPr>
            <w:tcW w:w="3600" w:type="dxa"/>
            <w:shd w:val="clear" w:color="auto" w:fill="FFFFFF"/>
            <w:tcMar>
              <w:top w:w="80" w:type="dxa"/>
              <w:left w:w="85" w:type="dxa"/>
              <w:bottom w:w="80" w:type="dxa"/>
              <w:right w:w="85" w:type="dxa"/>
            </w:tcMar>
            <w:vAlign w:val="center"/>
          </w:tcPr>
          <w:p w14:paraId="4CFDCA99" w14:textId="77777777" w:rsidR="007672C2" w:rsidRDefault="00000000">
            <w:pPr>
              <w:keepLines/>
              <w:spacing w:after="0" w:line="247" w:lineRule="auto"/>
              <w:jc w:val="left"/>
              <w:rPr>
                <w:rFonts w:hint="eastAsia"/>
              </w:rPr>
            </w:pPr>
            <w:r>
              <w:rPr>
                <w:sz w:val="21"/>
              </w:rPr>
              <w:t>Signal rescaling is not layer normalization</w:t>
            </w:r>
          </w:p>
        </w:tc>
      </w:tr>
      <w:tr w:rsidR="007672C2" w14:paraId="2EAA421E" w14:textId="77777777">
        <w:trPr>
          <w:cantSplit/>
          <w:jc w:val="center"/>
        </w:trPr>
        <w:tc>
          <w:tcPr>
            <w:tcW w:w="2376" w:type="dxa"/>
            <w:shd w:val="clear" w:color="auto" w:fill="FFFFFF"/>
            <w:tcMar>
              <w:top w:w="80" w:type="dxa"/>
              <w:left w:w="85" w:type="dxa"/>
              <w:bottom w:w="80" w:type="dxa"/>
              <w:right w:w="85" w:type="dxa"/>
            </w:tcMar>
            <w:vAlign w:val="center"/>
          </w:tcPr>
          <w:p w14:paraId="4CA775F1" w14:textId="77777777" w:rsidR="007672C2" w:rsidRDefault="00000000">
            <w:pPr>
              <w:keepLines/>
              <w:spacing w:after="0" w:line="247" w:lineRule="auto"/>
              <w:jc w:val="left"/>
              <w:rPr>
                <w:rFonts w:hint="eastAsia"/>
              </w:rPr>
            </w:pPr>
            <w:r>
              <w:rPr>
                <w:sz w:val="21"/>
              </w:rPr>
              <w:t>Positional representation</w:t>
            </w:r>
          </w:p>
        </w:tc>
        <w:tc>
          <w:tcPr>
            <w:tcW w:w="3960" w:type="dxa"/>
            <w:shd w:val="clear" w:color="auto" w:fill="FFFFFF"/>
            <w:tcMar>
              <w:top w:w="80" w:type="dxa"/>
              <w:left w:w="85" w:type="dxa"/>
              <w:bottom w:w="80" w:type="dxa"/>
              <w:right w:w="85" w:type="dxa"/>
            </w:tcMar>
            <w:vAlign w:val="center"/>
          </w:tcPr>
          <w:p w14:paraId="4F64843A" w14:textId="77777777" w:rsidR="007672C2" w:rsidRDefault="00000000">
            <w:pPr>
              <w:keepLines/>
              <w:spacing w:after="0" w:line="247" w:lineRule="auto"/>
              <w:jc w:val="left"/>
              <w:rPr>
                <w:rFonts w:hint="eastAsia"/>
              </w:rPr>
            </w:pPr>
            <w:r>
              <w:rPr>
                <w:sz w:val="21"/>
              </w:rPr>
              <w:t>Absent</w:t>
            </w:r>
          </w:p>
        </w:tc>
        <w:tc>
          <w:tcPr>
            <w:tcW w:w="3600" w:type="dxa"/>
            <w:shd w:val="clear" w:color="auto" w:fill="FFFFFF"/>
            <w:tcMar>
              <w:top w:w="80" w:type="dxa"/>
              <w:left w:w="85" w:type="dxa"/>
              <w:bottom w:w="80" w:type="dxa"/>
              <w:right w:w="85" w:type="dxa"/>
            </w:tcMar>
            <w:vAlign w:val="center"/>
          </w:tcPr>
          <w:p w14:paraId="5E319191" w14:textId="77777777" w:rsidR="007672C2" w:rsidRDefault="00000000">
            <w:pPr>
              <w:keepLines/>
              <w:spacing w:after="0" w:line="247" w:lineRule="auto"/>
              <w:jc w:val="left"/>
              <w:rPr>
                <w:rFonts w:hint="eastAsia"/>
              </w:rPr>
            </w:pPr>
            <w:r>
              <w:rPr>
                <w:sz w:val="21"/>
              </w:rPr>
              <w:t>Set-valued rather than ordered-token input</w:t>
            </w:r>
          </w:p>
        </w:tc>
      </w:tr>
      <w:tr w:rsidR="007672C2" w14:paraId="4136A26A" w14:textId="77777777">
        <w:trPr>
          <w:cantSplit/>
          <w:jc w:val="center"/>
        </w:trPr>
        <w:tc>
          <w:tcPr>
            <w:tcW w:w="2376" w:type="dxa"/>
            <w:shd w:val="clear" w:color="auto" w:fill="FFFFFF"/>
            <w:tcMar>
              <w:top w:w="80" w:type="dxa"/>
              <w:left w:w="85" w:type="dxa"/>
              <w:bottom w:w="80" w:type="dxa"/>
              <w:right w:w="85" w:type="dxa"/>
            </w:tcMar>
            <w:vAlign w:val="center"/>
          </w:tcPr>
          <w:p w14:paraId="54B73597" w14:textId="77777777" w:rsidR="007672C2" w:rsidRDefault="00000000">
            <w:pPr>
              <w:keepLines/>
              <w:spacing w:after="0" w:line="247" w:lineRule="auto"/>
              <w:jc w:val="left"/>
              <w:rPr>
                <w:rFonts w:hint="eastAsia"/>
              </w:rPr>
            </w:pPr>
            <w:r>
              <w:rPr>
                <w:sz w:val="21"/>
              </w:rPr>
              <w:t>External evaluation</w:t>
            </w:r>
          </w:p>
        </w:tc>
        <w:tc>
          <w:tcPr>
            <w:tcW w:w="3960" w:type="dxa"/>
            <w:shd w:val="clear" w:color="auto" w:fill="FFFFFF"/>
            <w:tcMar>
              <w:top w:w="80" w:type="dxa"/>
              <w:left w:w="85" w:type="dxa"/>
              <w:bottom w:w="80" w:type="dxa"/>
              <w:right w:w="85" w:type="dxa"/>
            </w:tcMar>
            <w:vAlign w:val="center"/>
          </w:tcPr>
          <w:p w14:paraId="138FC0A5" w14:textId="77777777" w:rsidR="007672C2" w:rsidRDefault="00000000">
            <w:pPr>
              <w:keepLines/>
              <w:spacing w:after="0" w:line="247" w:lineRule="auto"/>
              <w:jc w:val="left"/>
              <w:rPr>
                <w:rFonts w:hint="eastAsia"/>
              </w:rPr>
            </w:pPr>
            <w:r>
              <w:rPr>
                <w:sz w:val="21"/>
              </w:rPr>
              <w:t>Supplies loss weights</w:t>
            </w:r>
          </w:p>
        </w:tc>
        <w:tc>
          <w:tcPr>
            <w:tcW w:w="3600" w:type="dxa"/>
            <w:shd w:val="clear" w:color="auto" w:fill="FFFFFF"/>
            <w:tcMar>
              <w:top w:w="80" w:type="dxa"/>
              <w:left w:w="85" w:type="dxa"/>
              <w:bottom w:w="80" w:type="dxa"/>
              <w:right w:w="85" w:type="dxa"/>
            </w:tcMar>
            <w:vAlign w:val="center"/>
          </w:tcPr>
          <w:p w14:paraId="0CDE24CE" w14:textId="77777777" w:rsidR="007672C2" w:rsidRDefault="00000000">
            <w:pPr>
              <w:keepLines/>
              <w:spacing w:after="0" w:line="247" w:lineRule="auto"/>
              <w:jc w:val="left"/>
              <w:rPr>
                <w:rFonts w:hint="eastAsia"/>
              </w:rPr>
            </w:pPr>
            <w:r>
              <w:rPr>
                <w:sz w:val="21"/>
              </w:rPr>
              <w:t>Optimization depends on this external signal</w:t>
            </w:r>
          </w:p>
        </w:tc>
      </w:tr>
    </w:tbl>
    <w:p w14:paraId="6801A375" w14:textId="77777777" w:rsidR="007672C2" w:rsidRDefault="00000000">
      <w:pPr>
        <w:pStyle w:val="BodyText"/>
        <w:spacing w:before="140"/>
        <w:rPr>
          <w:rFonts w:hint="eastAsia"/>
        </w:rPr>
      </w:pPr>
      <w:r>
        <w:t>A trained Transformer contains components and learned state absent from this construction [4]. Conversely, Gaussian kernel modules can be placed inside trained architectures [11]. A continuous-time or large-population limit requires its own scaling, regularity and convergence argument. An attention operator is not itself an equilibrium probability measure. The interacting-particle viewpoint [6,7] motivates analysis but does not supply a limit theorem for every scheduled DE implementation.</w:t>
      </w:r>
    </w:p>
    <w:p w14:paraId="21E8AF60" w14:textId="77777777" w:rsidR="007672C2" w:rsidRDefault="00000000">
      <w:pPr>
        <w:pStyle w:val="Heading2"/>
        <w:rPr>
          <w:rFonts w:hint="eastAsia"/>
        </w:rPr>
      </w:pPr>
      <w:bookmarkStart w:id="13" w:name="Xde5085d953d229687016edda7e21293680a8ec2"/>
      <w:bookmarkEnd w:id="12"/>
      <w:r>
        <w:t>4.2 Normalized interpolation and the complete novelty threshold</w:t>
      </w:r>
    </w:p>
    <w:p w14:paraId="769CB09E" w14:textId="77777777" w:rsidR="007672C2" w:rsidRDefault="00000000">
      <w:pPr>
        <w:pStyle w:val="FirstParagraph"/>
        <w:keepNext/>
        <w:keepLines/>
        <w:rPr>
          <w:rFonts w:hint="eastAsia"/>
        </w:rPr>
      </w:pPr>
      <w:r>
        <w:rPr>
          <w:b/>
          <w:bCs/>
        </w:rPr>
        <w:t>Theorem 5 — Geometry of the scheduled drift.</w:t>
      </w:r>
      <w:r>
        <w:t xml:space="preserve"> For (4),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0</m:t>
        </m:r>
      </m:oMath>
      <w:r>
        <w:t xml:space="preserve"> and the scaled state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oMath>
      <w:r>
        <w:t xml:space="preserve"> obeys</w:t>
      </w:r>
    </w:p>
    <w:p w14:paraId="743086D2"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e>
          </m:d>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t</m:t>
                  </m:r>
                </m:sub>
              </m:sSub>
            </m:num>
            <m:den>
              <m:rad>
                <m:radPr>
                  <m:degHide m:val="1"/>
                  <m:ctrlPr>
                    <w:rPr>
                      <w:rFonts w:ascii="Cambria Math" w:hAnsi="Cambria Math"/>
                    </w:rPr>
                  </m:ctrlPr>
                </m:radPr>
                <m:deg/>
                <m:e>
                  <m:r>
                    <w:rPr>
                      <w:rFonts w:ascii="Cambria Math" w:hAnsi="Cambria Math"/>
                    </w:rPr>
                    <m:t>b</m:t>
                  </m:r>
                </m:e>
              </m:rad>
            </m:den>
          </m:f>
          <m:r>
            <w:rPr>
              <w:rFonts w:ascii="Cambria Math" w:hAnsi="Cambria Math"/>
            </w:rPr>
            <m:t>ξ</m:t>
          </m:r>
          <m:r>
            <m:rPr>
              <m:sty m:val="p"/>
            </m:rPr>
            <w:rPr>
              <w:rFonts w:ascii="Cambria Math" w:hAnsi="Cambria Math"/>
            </w:rPr>
            <m:t>,</m:t>
          </m:r>
          <m:r>
            <m:rPr>
              <m:nor/>
            </m:rPr>
            <m:t>    </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ad>
            <m:radPr>
              <m:degHide m:val="1"/>
              <m:ctrlPr>
                <w:rPr>
                  <w:rFonts w:ascii="Cambria Math" w:hAnsi="Cambria Math"/>
                </w:rPr>
              </m:ctrlPr>
            </m:radPr>
            <m:deg/>
            <m:e>
              <m:r>
                <w:rPr>
                  <w:rFonts w:ascii="Cambria Math" w:hAnsi="Cambria Math"/>
                </w:rPr>
                <m:t>a</m:t>
              </m:r>
              <m:r>
                <m:rPr>
                  <m:sty m:val="p"/>
                </m:rPr>
                <w:rPr>
                  <w:rFonts w:ascii="Cambria Math" w:hAnsi="Cambria Math"/>
                </w:rPr>
                <m:t>/</m:t>
              </m:r>
              <m:r>
                <w:rPr>
                  <w:rFonts w:ascii="Cambria Math" w:hAnsi="Cambria Math"/>
                </w:rPr>
                <m:t>b</m:t>
              </m:r>
            </m:e>
          </m:ra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m:rPr>
              <m:nor/>
            </m:rPr>
            <m:t>    (13)</m:t>
          </m:r>
        </m:oMath>
      </m:oMathPara>
    </w:p>
    <w:p w14:paraId="04B11603" w14:textId="77777777" w:rsidR="007672C2" w:rsidRDefault="00000000">
      <w:pPr>
        <w:pStyle w:val="FirstParagraph"/>
        <w:keepNext/>
        <w:rPr>
          <w:rFonts w:hint="eastAsia"/>
        </w:rPr>
      </w:pPr>
      <w:r>
        <w:lastRenderedPageBreak/>
        <w:t xml:space="preserve">For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b</m:t>
        </m:r>
        <m:r>
          <m:rPr>
            <m:sty m:val="p"/>
          </m:rPr>
          <w:rPr>
            <w:rFonts w:ascii="Cambria Math" w:hAnsi="Cambria Math"/>
          </w:rPr>
          <m:t>&lt;</m:t>
        </m:r>
        <m:r>
          <w:rPr>
            <w:rFonts w:ascii="Cambria Math" w:hAnsi="Cambria Math"/>
          </w:rPr>
          <m:t>1</m:t>
        </m:r>
      </m:oMath>
      <w:r>
        <w:t xml:space="preserve">, set </w:t>
      </w:r>
      <m:oMath>
        <m:r>
          <w:rPr>
            <w:rFonts w:ascii="Cambria Math" w:hAnsi="Cambria Math"/>
          </w:rPr>
          <m:t>r</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oMath>
      <w:r>
        <w:t xml:space="preserve">, </w:t>
      </w: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oMath>
      <w:r>
        <w:t xml:space="preserve"> and</w:t>
      </w:r>
    </w:p>
    <w:p w14:paraId="18A61DFA" w14:textId="77777777" w:rsidR="007672C2" w:rsidRDefault="00000000">
      <w:pPr>
        <w:pStyle w:val="BodyText"/>
        <w:keepLines/>
        <w:spacing w:before="60" w:after="120"/>
        <w:jc w:val="center"/>
        <w:rPr>
          <w:rFonts w:hint="eastAsia"/>
        </w:rPr>
      </w:pPr>
      <m:oMathPara>
        <m:oMathParaPr>
          <m:jc m:val="center"/>
        </m:oMathParaPr>
        <m:oMath>
          <m:sSubSup>
            <m:sSubSupPr>
              <m:ctrlPr>
                <w:rPr>
                  <w:rFonts w:ascii="Cambria Math" w:hAnsi="Cambria Math"/>
                </w:rPr>
              </m:ctrlPr>
            </m:sSubSupPr>
            <m:e>
              <m:r>
                <w:rPr>
                  <w:rFonts w:ascii="Cambria Math" w:hAnsi="Cambria Math"/>
                </w:rPr>
                <m:t>η</m:t>
              </m:r>
            </m:e>
            <m:sub>
              <m:r>
                <m:rPr>
                  <m:nor/>
                </m:rPr>
                <m:t>crit</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s</m:t>
                  </m:r>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e>
              </m:d>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e>
              </m:d>
            </m:den>
          </m:f>
          <m:r>
            <m:rPr>
              <m:sty m:val="p"/>
            </m:rPr>
            <w:rPr>
              <w:rFonts w:ascii="Cambria Math" w:hAnsi="Cambria Math"/>
            </w:rPr>
            <m:t>.</m:t>
          </m:r>
          <m:r>
            <m:rPr>
              <m:nor/>
            </m:rPr>
            <m:t>    (14)</m:t>
          </m:r>
        </m:oMath>
      </m:oMathPara>
    </w:p>
    <w:p w14:paraId="37D8ABBB" w14:textId="77777777" w:rsidR="007672C2" w:rsidRDefault="00000000">
      <w:pPr>
        <w:pStyle w:val="FirstParagraph"/>
        <w:rPr>
          <w:rFonts w:hint="eastAsia"/>
        </w:rPr>
      </w:pPr>
      <w:r>
        <w:t xml:space="preserve">Then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η</m:t>
            </m:r>
          </m:e>
          <m:sub>
            <m:r>
              <m:rPr>
                <m:nor/>
              </m:rPr>
              <m:t>crit</m:t>
            </m:r>
          </m:sub>
        </m:sSub>
        <m:r>
          <m:rPr>
            <m:sty m:val="p"/>
          </m:rPr>
          <w:rPr>
            <w:rFonts w:ascii="Cambria Math" w:hAnsi="Cambria Math"/>
          </w:rPr>
          <m:t>&lt;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is greater than, equal to or less than one according as </w:t>
      </w:r>
      <m:oMath>
        <m:r>
          <w:rPr>
            <w:rFonts w:ascii="Cambria Math" w:hAnsi="Cambria Math"/>
          </w:rPr>
          <m:t>η</m:t>
        </m:r>
      </m:oMath>
      <w:r>
        <w:t xml:space="preserve"> is below, at or above </w:t>
      </w:r>
      <m:oMath>
        <m:sSub>
          <m:sSubPr>
            <m:ctrlPr>
              <w:rPr>
                <w:rFonts w:ascii="Cambria Math" w:hAnsi="Cambria Math"/>
              </w:rPr>
            </m:ctrlPr>
          </m:sSubPr>
          <m:e>
            <m:r>
              <w:rPr>
                <w:rFonts w:ascii="Cambria Math" w:hAnsi="Cambria Math"/>
              </w:rPr>
              <m:t>η</m:t>
            </m:r>
          </m:e>
          <m:sub>
            <m:r>
              <m:rPr>
                <m:nor/>
              </m:rPr>
              <m:t>crit</m:t>
            </m:r>
          </m:sub>
        </m:sSub>
      </m:oMath>
      <w:r>
        <w:t>.</w:t>
      </w:r>
    </w:p>
    <w:p w14:paraId="0E40E959" w14:textId="77777777" w:rsidR="007672C2" w:rsidRDefault="00000000">
      <w:pPr>
        <w:pStyle w:val="BodyText"/>
        <w:keepNext/>
        <w:rPr>
          <w:rFonts w:hint="eastAsia"/>
        </w:rPr>
      </w:pPr>
      <w:r>
        <w:rPr>
          <w:b/>
          <w:bCs/>
        </w:rPr>
        <w:t>Proof.</w:t>
      </w:r>
      <w:r>
        <w:t xml:space="preserve"> From (4), </w:t>
      </w:r>
      <m:oMath>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oMath>
      <w:r>
        <w:t xml:space="preserve">. For </w:t>
      </w:r>
      <m:oMath>
        <m:r>
          <w:rPr>
            <w:rFonts w:ascii="Cambria Math" w:hAnsi="Cambria Math"/>
          </w:rPr>
          <m:t>b</m:t>
        </m:r>
        <m:r>
          <m:rPr>
            <m:sty m:val="p"/>
          </m:rPr>
          <w:rPr>
            <w:rFonts w:ascii="Cambria Math" w:hAnsi="Cambria Math"/>
          </w:rPr>
          <m:t>&lt;</m:t>
        </m:r>
        <m:r>
          <w:rPr>
            <w:rFonts w:ascii="Cambria Math" w:hAnsi="Cambria Math"/>
          </w:rPr>
          <m:t>1</m:t>
        </m:r>
      </m:oMath>
      <w:r>
        <w:t xml:space="preserve">,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e>
        </m:rad>
        <m:r>
          <m:rPr>
            <m:sty m:val="p"/>
          </m:rPr>
          <w:rPr>
            <w:rFonts w:ascii="Cambria Math" w:hAnsi="Cambria Math"/>
          </w:rPr>
          <m:t>&lt;</m:t>
        </m:r>
        <m:r>
          <w:rPr>
            <w:rFonts w:ascii="Cambria Math" w:hAnsi="Cambria Math"/>
          </w:rPr>
          <m:t>1</m:t>
        </m:r>
      </m:oMath>
      <w:r>
        <w:t xml:space="preserve">, so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t</m:t>
            </m:r>
          </m:sub>
        </m:sSub>
        <m:rad>
          <m:radPr>
            <m:degHide m:val="1"/>
            <m:ctrlPr>
              <w:rPr>
                <w:rFonts w:ascii="Cambria Math" w:hAnsi="Cambria Math"/>
              </w:rPr>
            </m:ctrlPr>
          </m:radPr>
          <m:deg/>
          <m:e>
            <m:r>
              <w:rPr>
                <w:rFonts w:ascii="Cambria Math" w:hAnsi="Cambria Math"/>
              </w:rPr>
              <m:t>a</m:t>
            </m:r>
            <m:r>
              <m:rPr>
                <m:sty m:val="p"/>
              </m:rPr>
              <w:rPr>
                <w:rFonts w:ascii="Cambria Math" w:hAnsi="Cambria Math"/>
              </w:rPr>
              <m:t>/</m:t>
            </m:r>
            <m:r>
              <w:rPr>
                <w:rFonts w:ascii="Cambria Math" w:hAnsi="Cambria Math"/>
              </w:rPr>
              <m:t>b</m:t>
            </m:r>
          </m:e>
        </m:rad>
        <m:r>
          <m:rPr>
            <m:sty m:val="p"/>
          </m:rPr>
          <w:rPr>
            <w:rFonts w:ascii="Cambria Math" w:hAnsi="Cambria Math"/>
          </w:rPr>
          <m:t>&lt;</m:t>
        </m:r>
        <m:r>
          <w:rPr>
            <w:rFonts w:ascii="Cambria Math" w:hAnsi="Cambria Math"/>
          </w:rPr>
          <m:t>1</m:t>
        </m:r>
      </m:oMath>
      <w:r>
        <w:t xml:space="preserve">. At </w:t>
      </w:r>
      <m:oMath>
        <m:r>
          <w:rPr>
            <w:rFonts w:ascii="Cambria Math" w:hAnsi="Cambria Math"/>
          </w:rPr>
          <m:t>b</m:t>
        </m:r>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1</m:t>
        </m:r>
      </m:oMath>
      <w:r>
        <w:t xml:space="preserve">. Divide (3) by </w:t>
      </w:r>
      <m:oMath>
        <m:rad>
          <m:radPr>
            <m:degHide m:val="1"/>
            <m:ctrlPr>
              <w:rPr>
                <w:rFonts w:ascii="Cambria Math" w:hAnsi="Cambria Math"/>
              </w:rPr>
            </m:ctrlPr>
          </m:radPr>
          <m:deg/>
          <m:e>
            <m:r>
              <w:rPr>
                <w:rFonts w:ascii="Cambria Math" w:hAnsi="Cambria Math"/>
              </w:rPr>
              <m:t>b</m:t>
            </m:r>
          </m:e>
        </m:rad>
      </m:oMath>
      <w:r>
        <w:t xml:space="preserve"> and use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b</m:t>
            </m:r>
          </m:e>
        </m:ra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oMath>
      <w:r>
        <w:t xml:space="preserve"> to get (13). The inequality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&gt;</m:t>
        </m:r>
        <m:r>
          <w:rPr>
            <w:rFonts w:ascii="Cambria Math" w:hAnsi="Cambria Math"/>
          </w:rPr>
          <m:t>1</m:t>
        </m:r>
      </m:oMath>
      <w:r>
        <w:t xml:space="preserve"> is equivalent to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&gt;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e>
        </m:d>
      </m:oMath>
      <w:r>
        <w:t xml:space="preserve"> and hence to</w:t>
      </w:r>
    </w:p>
    <w:p w14:paraId="6B44A896" w14:textId="77777777" w:rsidR="007672C2" w:rsidRDefault="00000000">
      <w:pPr>
        <w:pStyle w:val="BodyText"/>
        <w:keepLines/>
        <w:spacing w:before="60" w:after="120"/>
        <w:jc w:val="center"/>
        <w:rPr>
          <w:rFonts w:hint="eastAsia"/>
        </w:rPr>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r>
            <m:rPr>
              <m:sty m:val="p"/>
            </m:rPr>
            <w:rPr>
              <w:rFonts w:ascii="Cambria Math" w:hAnsi="Cambria Math"/>
            </w:rPr>
            <m:t>&lt;</m:t>
          </m:r>
          <m:f>
            <m:fPr>
              <m:ctrlPr>
                <w:rPr>
                  <w:rFonts w:ascii="Cambria Math" w:hAnsi="Cambria Math"/>
                </w:rPr>
              </m:ctrlPr>
            </m:fPr>
            <m:num>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e>
              </m:d>
            </m:num>
            <m:den>
              <m:r>
                <w:rPr>
                  <w:rFonts w:ascii="Cambria Math" w:hAnsi="Cambria Math"/>
                </w:rPr>
                <m:t>1</m:t>
              </m:r>
              <m:r>
                <m:rPr>
                  <m:sty m:val="p"/>
                </m:rPr>
                <w:rPr>
                  <w:rFonts w:ascii="Cambria Math" w:hAnsi="Cambria Math"/>
                </w:rPr>
                <m:t>-</m:t>
              </m:r>
              <m:r>
                <w:rPr>
                  <w:rFonts w:ascii="Cambria Math" w:hAnsi="Cambria Math"/>
                </w:rPr>
                <m:t>r</m:t>
              </m:r>
            </m:den>
          </m:f>
          <m:r>
            <m:rPr>
              <m:sty m:val="p"/>
            </m:rPr>
            <w:rPr>
              <w:rFonts w:ascii="Cambria Math" w:hAnsi="Cambria Math"/>
            </w:rPr>
            <m:t>.</m:t>
          </m:r>
          <m:r>
            <m:rPr>
              <m:nor/>
            </m:rPr>
            <m:t>    (15)</m:t>
          </m:r>
        </m:oMath>
      </m:oMathPara>
    </w:p>
    <w:p w14:paraId="4404779B" w14:textId="77777777" w:rsidR="007672C2" w:rsidRDefault="00000000">
      <w:pPr>
        <w:pStyle w:val="FirstParagraph"/>
        <w:rPr>
          <w:rFonts w:hint="eastAsia"/>
        </w:rPr>
      </w:pPr>
      <w:r>
        <w:t xml:space="preserve">Substitution from (4) gives (14). Its numerator is positive. The denominator minus numerator is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2sr</m:t>
            </m:r>
          </m:e>
        </m:d>
        <m:r>
          <m:rPr>
            <m:sty m:val="p"/>
          </m:rPr>
          <w:rPr>
            <w:rFonts w:ascii="Cambria Math" w:hAnsi="Cambria Math"/>
          </w:rPr>
          <m:t>&gt;</m:t>
        </m:r>
        <m:r>
          <w:rPr>
            <w:rFonts w:ascii="Cambria Math" w:hAnsi="Cambria Math"/>
          </w:rPr>
          <m:t>0</m:t>
        </m:r>
      </m:oMath>
      <w:r>
        <w:t xml:space="preserve">, proving the strict upper bound on the squared threshold. </w:t>
      </w:r>
      <m:oMath>
        <m:r>
          <m:rPr>
            <m:sty m:val="p"/>
          </m:rPr>
          <w:rPr>
            <w:rFonts w:ascii="Cambria Math" w:hAnsi="Cambria Math"/>
          </w:rPr>
          <m:t>▫</m:t>
        </m:r>
      </m:oMath>
    </w:p>
    <w:p w14:paraId="7A6D4B8C" w14:textId="77777777" w:rsidR="007672C2" w:rsidRDefault="00000000">
      <w:pPr>
        <w:pStyle w:val="BodyText"/>
        <w:rPr>
          <w:rFonts w:hint="eastAsia"/>
        </w:rPr>
      </w:pPr>
      <w:r>
        <w:t xml:space="preserve">The unscaled drift can therefore expand for positive intermediate noise parameters. At </w:t>
      </w:r>
      <m:oMath>
        <m:r>
          <w:rPr>
            <w:rFonts w:ascii="Cambria Math" w:hAnsi="Cambria Math"/>
          </w:rPr>
          <m:t>a</m:t>
        </m:r>
        <m:r>
          <m:rPr>
            <m:sty m:val="p"/>
          </m:rPr>
          <w:rPr>
            <w:rFonts w:ascii="Cambria Math" w:hAnsi="Cambria Math"/>
          </w:rPr>
          <m:t>=</m:t>
        </m:r>
        <m:r>
          <w:rPr>
            <w:rFonts w:ascii="Cambria Math" w:hAnsi="Cambria Math"/>
          </w:rPr>
          <m:t>0.25</m:t>
        </m:r>
      </m:oMath>
      <w:r>
        <w:t xml:space="preserve">, </w:t>
      </w:r>
      <m:oMath>
        <m:r>
          <w:rPr>
            <w:rFonts w:ascii="Cambria Math" w:hAnsi="Cambria Math"/>
          </w:rPr>
          <m:t>b</m:t>
        </m:r>
        <m:r>
          <m:rPr>
            <m:sty m:val="p"/>
          </m:rPr>
          <w:rPr>
            <w:rFonts w:ascii="Cambria Math" w:hAnsi="Cambria Math"/>
          </w:rPr>
          <m:t>=</m:t>
        </m:r>
        <m:r>
          <w:rPr>
            <w:rFonts w:ascii="Cambria Math" w:hAnsi="Cambria Math"/>
          </w:rPr>
          <m:t>0.49</m:t>
        </m:r>
      </m:oMath>
      <w:r>
        <w:t xml:space="preserve">, the threshold is 0.848875. At </w:t>
      </w:r>
      <m:oMath>
        <m:r>
          <w:rPr>
            <w:rFonts w:ascii="Cambria Math" w:hAnsi="Cambria Math"/>
          </w:rPr>
          <m:t>η</m:t>
        </m:r>
        <m:r>
          <m:rPr>
            <m:sty m:val="p"/>
          </m:rPr>
          <w:rPr>
            <w:rFonts w:ascii="Cambria Math" w:hAnsi="Cambria Math"/>
          </w:rPr>
          <m:t>=</m:t>
        </m:r>
        <m:r>
          <w:rPr>
            <w:rFonts w:ascii="Cambria Math" w:hAnsi="Cambria Math"/>
          </w:rPr>
          <m:t>0.7</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0.68</m:t>
        </m:r>
      </m:oMath>
      <w:r>
        <w:t xml:space="preserve">,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0.36</m:t>
        </m:r>
      </m:oMath>
      <w:r>
        <w:t xml:space="preserve"> and their sum is 1.04. A population containing a single nonzero point </w:t>
      </w:r>
      <m:oMath>
        <m:r>
          <w:rPr>
            <w:rFonts w:ascii="Cambria Math" w:hAnsi="Cambria Math"/>
          </w:rPr>
          <m:t>y</m:t>
        </m:r>
      </m:oMath>
      <w:r>
        <w:t xml:space="preserve"> with query </w:t>
      </w:r>
      <m:oMath>
        <m:r>
          <w:rPr>
            <w:rFonts w:ascii="Cambria Math" w:hAnsi="Cambria Math"/>
          </w:rPr>
          <m:t>q</m:t>
        </m:r>
        <m:r>
          <m:rPr>
            <m:sty m:val="p"/>
          </m:rPr>
          <w:rPr>
            <w:rFonts w:ascii="Cambria Math" w:hAnsi="Cambria Math"/>
          </w:rPr>
          <m:t>=</m:t>
        </m:r>
        <m:r>
          <w:rPr>
            <w:rFonts w:ascii="Cambria Math" w:hAnsi="Cambria Math"/>
          </w:rPr>
          <m:t>y</m:t>
        </m:r>
      </m:oMath>
      <w:r>
        <w:t xml:space="preserve"> has retrieval </w:t>
      </w:r>
      <m:oMath>
        <m:r>
          <w:rPr>
            <w:rFonts w:ascii="Cambria Math" w:hAnsi="Cambria Math"/>
          </w:rPr>
          <m:t>m</m:t>
        </m:r>
        <m:r>
          <m:rPr>
            <m:sty m:val="p"/>
          </m:rPr>
          <w:rPr>
            <w:rFonts w:ascii="Cambria Math" w:hAnsi="Cambria Math"/>
          </w:rPr>
          <m:t>=</m:t>
        </m:r>
        <m:r>
          <w:rPr>
            <w:rFonts w:ascii="Cambria Math" w:hAnsi="Cambria Math"/>
          </w:rPr>
          <m:t>y</m:t>
        </m:r>
      </m:oMath>
      <w:r>
        <w:t xml:space="preserve"> and deterministic drift </w:t>
      </w:r>
      <m:oMath>
        <m:r>
          <w:rPr>
            <w:rFonts w:ascii="Cambria Math" w:hAnsi="Cambria Math"/>
          </w:rPr>
          <m:t>1.04y</m:t>
        </m:r>
      </m:oMath>
      <w:r>
        <w:t xml:space="preserve">, outside its old singleton hull. This refutes restriction of such expansion to </w:t>
      </w:r>
      <m:oMath>
        <m:r>
          <w:rPr>
            <w:rFonts w:ascii="Cambria Math" w:hAnsi="Cambria Math"/>
          </w:rPr>
          <m:t>η</m:t>
        </m:r>
        <m:r>
          <m:rPr>
            <m:sty m:val="p"/>
          </m:rPr>
          <w:rPr>
            <w:rFonts w:ascii="Cambria Math" w:hAnsi="Cambria Math"/>
          </w:rPr>
          <m:t>=</m:t>
        </m:r>
        <m:r>
          <w:rPr>
            <w:rFonts w:ascii="Cambria Math" w:hAnsi="Cambria Math"/>
          </w:rPr>
          <m:t>0</m:t>
        </m:r>
      </m:oMath>
      <w:r>
        <w:t xml:space="preserve"> alone.</w:t>
      </w:r>
    </w:p>
    <w:p w14:paraId="4DF83CAF" w14:textId="77777777" w:rsidR="007672C2" w:rsidRDefault="00000000">
      <w:pPr>
        <w:pStyle w:val="BodyText"/>
        <w:rPr>
          <w:rFonts w:hint="eastAsia"/>
        </w:rPr>
      </w:pPr>
      <w:r>
        <w:t xml:space="preserve">When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1</m:t>
        </m:r>
      </m:oMath>
      <w:r>
        <w:t>, the drift lies in the convex hull of the query, stored particles and coordinate origin. It need not lie in the population’s hull if the origin is outside it. Even a convex mean can be a new vector absent from a discrete population. These are different notions of novelty: new vector, outside-population-hull point and valid new engineering design. Equation (13) describes a convex interpolation in its scaled coordinate; it does not collapse these distinctions. Noise is a source of dispersion, not a learned substitute for a Transformer MLP.</w:t>
      </w:r>
    </w:p>
    <w:p w14:paraId="473CE51C" w14:textId="77777777" w:rsidR="007672C2" w:rsidRDefault="00000000">
      <w:pPr>
        <w:pStyle w:val="BodyText"/>
        <w:keepNext/>
        <w:jc w:val="center"/>
        <w:rPr>
          <w:rFonts w:hint="eastAsia"/>
        </w:rPr>
      </w:pPr>
      <w:r>
        <w:rPr>
          <w:noProof/>
        </w:rPr>
        <w:drawing>
          <wp:inline distT="0" distB="0" distL="0" distR="0" wp14:anchorId="2B5D45A2" wp14:editId="34451AB0">
            <wp:extent cx="6126480" cy="2000483"/>
            <wp:effectExtent l="0" t="0" r="0" b="0"/>
            <wp:docPr id="33" name="Picture" descr="Scheduled drift"/>
            <wp:cNvGraphicFramePr/>
            <a:graphic xmlns:a="http://schemas.openxmlformats.org/drawingml/2006/main">
              <a:graphicData uri="http://schemas.openxmlformats.org/drawingml/2006/picture">
                <pic:pic xmlns:pic="http://schemas.openxmlformats.org/drawingml/2006/picture">
                  <pic:nvPicPr>
                    <pic:cNvPr id="34" name="Picture" descr="figures/schedule.png"/>
                    <pic:cNvPicPr>
                      <a:picLocks noChangeAspect="1" noChangeArrowheads="1"/>
                    </pic:cNvPicPr>
                  </pic:nvPicPr>
                  <pic:blipFill>
                    <a:blip r:embed="rId7"/>
                    <a:stretch>
                      <a:fillRect/>
                    </a:stretch>
                  </pic:blipFill>
                  <pic:spPr bwMode="auto">
                    <a:xfrm>
                      <a:off x="0" y="0"/>
                      <a:ext cx="6126480" cy="2000483"/>
                    </a:xfrm>
                    <a:prstGeom prst="rect">
                      <a:avLst/>
                    </a:prstGeom>
                    <a:noFill/>
                    <a:ln w="9525">
                      <a:noFill/>
                      <a:headEnd/>
                      <a:tailEnd/>
                    </a:ln>
                  </pic:spPr>
                </pic:pic>
              </a:graphicData>
            </a:graphic>
          </wp:inline>
        </w:drawing>
      </w:r>
    </w:p>
    <w:p w14:paraId="062E2D5B" w14:textId="77777777" w:rsidR="007672C2" w:rsidRDefault="00000000">
      <w:pPr>
        <w:pStyle w:val="Caption"/>
        <w:keepLines/>
        <w:rPr>
          <w:rFonts w:hint="eastAsia"/>
        </w:rPr>
      </w:pPr>
      <w:r>
        <w:t xml:space="preserve">Figure 1. Coefficient geometry for </w:t>
      </w:r>
      <m:oMath>
        <m:r>
          <w:rPr>
            <w:rFonts w:ascii="Cambria Math" w:hAnsi="Cambria Math"/>
          </w:rPr>
          <m:t>a</m:t>
        </m:r>
        <m:r>
          <m:rPr>
            <m:sty m:val="p"/>
          </m:rPr>
          <w:rPr>
            <w:rFonts w:ascii="Cambria Math" w:hAnsi="Cambria Math"/>
          </w:rPr>
          <m:t>=</m:t>
        </m:r>
        <m:r>
          <w:rPr>
            <w:rFonts w:ascii="Cambria Math" w:hAnsi="Cambria Math"/>
          </w:rPr>
          <m:t>0.25</m:t>
        </m:r>
      </m:oMath>
      <w:r>
        <w:t xml:space="preserve"> and </w:t>
      </w:r>
      <m:oMath>
        <m:r>
          <w:rPr>
            <w:rFonts w:ascii="Cambria Math" w:hAnsi="Cambria Math"/>
          </w:rPr>
          <m:t>b</m:t>
        </m:r>
        <m:r>
          <m:rPr>
            <m:sty m:val="p"/>
          </m:rPr>
          <w:rPr>
            <w:rFonts w:ascii="Cambria Math" w:hAnsi="Cambria Math"/>
          </w:rPr>
          <m:t>=</m:t>
        </m:r>
        <m:r>
          <w:rPr>
            <w:rFonts w:ascii="Cambria Math" w:hAnsi="Cambria Math"/>
          </w:rPr>
          <m:t>0.49</m:t>
        </m:r>
      </m:oMath>
      <w:r>
        <w:t>. The drift coefficient sum exceeds one for an interval of positive stochasticity parameters. The scaled-state update remains a convex interpolation for the full admissible range.</w:t>
      </w:r>
    </w:p>
    <w:p w14:paraId="348EA8CB" w14:textId="77777777" w:rsidR="007672C2" w:rsidRDefault="00000000">
      <w:pPr>
        <w:pStyle w:val="Heading2"/>
        <w:rPr>
          <w:rFonts w:hint="eastAsia"/>
        </w:rPr>
      </w:pPr>
      <w:bookmarkStart w:id="14" w:name="X6e70d53d2acf18c83856f2108bbf78fc843636e"/>
      <w:bookmarkEnd w:id="13"/>
      <w:r>
        <w:t>4.3 Local posterior mean and full score field</w:t>
      </w:r>
    </w:p>
    <w:p w14:paraId="5FEE3814" w14:textId="77777777" w:rsidR="007672C2" w:rsidRDefault="00000000">
      <w:pPr>
        <w:pStyle w:val="FirstParagraph"/>
        <w:keepNext/>
        <w:keepLines/>
        <w:rPr>
          <w:rFonts w:hint="eastAsia"/>
        </w:rPr>
      </w:pPr>
      <w:r>
        <w:rPr>
          <w:b/>
          <w:bCs/>
        </w:rPr>
        <w:t>Proposition 6 — Score identity.</w:t>
      </w:r>
      <w:r>
        <w:t xml:space="preserve"> Let </w:t>
      </w:r>
      <m:oMath>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q</m:t>
            </m:r>
          </m:e>
        </m:d>
      </m:oMath>
      <w:r>
        <w:t xml:space="preserve"> be the normalized Gaussian mixture generated by the fixed empirical prior. Then</w:t>
      </w:r>
    </w:p>
    <w:p w14:paraId="50EA4A48"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q</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q</m:t>
              </m:r>
            </m:num>
            <m:den>
              <m:sSub>
                <m:sSubPr>
                  <m:ctrlPr>
                    <w:rPr>
                      <w:rFonts w:ascii="Cambria Math" w:hAnsi="Cambria Math"/>
                    </w:rPr>
                  </m:ctrlPr>
                </m:sSubPr>
                <m:e>
                  <m:r>
                    <w:rPr>
                      <w:rFonts w:ascii="Cambria Math" w:hAnsi="Cambria Math"/>
                    </w:rPr>
                    <m:t>τ</m:t>
                  </m:r>
                </m:e>
                <m:sub>
                  <m:r>
                    <w:rPr>
                      <w:rFonts w:ascii="Cambria Math" w:hAnsi="Cambria Math"/>
                    </w:rPr>
                    <m:t>t</m:t>
                  </m:r>
                </m:sub>
              </m:sSub>
            </m:den>
          </m:f>
          <m:r>
            <m:rPr>
              <m:sty m:val="p"/>
            </m:rPr>
            <w:rPr>
              <w:rFonts w:ascii="Cambria Math" w:hAnsi="Cambria Math"/>
            </w:rPr>
            <m:t>.</m:t>
          </m:r>
          <m:r>
            <m:rPr>
              <m:nor/>
            </m:rPr>
            <m:t>    (16)</m:t>
          </m:r>
        </m:oMath>
      </m:oMathPara>
    </w:p>
    <w:p w14:paraId="47307F07" w14:textId="77777777" w:rsidR="007672C2" w:rsidRDefault="00000000">
      <w:pPr>
        <w:pStyle w:val="FirstParagraph"/>
        <w:rPr>
          <w:rFonts w:hint="eastAsia"/>
        </w:rPr>
      </w:pPr>
      <w:r>
        <w:rPr>
          <w:b/>
          <w:bCs/>
        </w:rPr>
        <w:lastRenderedPageBreak/>
        <w:t>Proof.</w:t>
      </w:r>
      <w:r>
        <w:t xml:space="preserve"> Differentiate the finite Gaussian sum, divide by the density and use the responsibilities in (2). Normalizing the prior contributes only a constant and does not affect the score. </w:t>
      </w:r>
      <m:oMath>
        <m:r>
          <m:rPr>
            <m:sty m:val="p"/>
          </m:rPr>
          <w:rPr>
            <w:rFonts w:ascii="Cambria Math" w:hAnsi="Cambria Math"/>
          </w:rPr>
          <m:t>▫</m:t>
        </m:r>
      </m:oMath>
    </w:p>
    <w:p w14:paraId="2A860556" w14:textId="77777777" w:rsidR="007672C2" w:rsidRDefault="00000000">
      <w:pPr>
        <w:pStyle w:val="BodyText"/>
        <w:rPr>
          <w:rFonts w:hint="eastAsia"/>
        </w:rPr>
      </w:pPr>
      <w:r>
        <w:t xml:space="preserve">A mean at one query specifies one score vector, not the local posterior covariance or the entire reverse conditional. At </w:t>
      </w:r>
      <m:oMath>
        <m:r>
          <w:rPr>
            <w:rFonts w:ascii="Cambria Math" w:hAnsi="Cambria Math"/>
          </w:rPr>
          <m:t>q</m:t>
        </m:r>
        <m:r>
          <m:rPr>
            <m:sty m:val="p"/>
          </m:rPr>
          <w:rPr>
            <w:rFonts w:ascii="Cambria Math" w:hAnsi="Cambria Math"/>
          </w:rPr>
          <m:t>=</m:t>
        </m:r>
        <m:r>
          <w:rPr>
            <w:rFonts w:ascii="Cambria Math" w:hAnsi="Cambria Math"/>
          </w:rPr>
          <m:t>0</m:t>
        </m:r>
      </m:oMath>
      <w:r>
        <w:t xml:space="preserve">, equal masses on </w:t>
      </w:r>
      <m:oMath>
        <m:r>
          <w:rPr>
            <w:rFonts w:ascii="Cambria Math" w:hAnsi="Cambria Math"/>
          </w:rPr>
          <m:t>Y</m:t>
        </m:r>
        <m:r>
          <m:rPr>
            <m:sty m:val="p"/>
          </m:rPr>
          <w:rPr>
            <w:rFonts w:ascii="Cambria Math" w:hAnsi="Cambria Math"/>
          </w:rPr>
          <m:t>=±</m:t>
        </m:r>
        <m:r>
          <w:rPr>
            <w:rFonts w:ascii="Cambria Math" w:hAnsi="Cambria Math"/>
          </w:rPr>
          <m:t>1</m:t>
        </m:r>
      </m:oMath>
      <w:r>
        <w:t xml:space="preserve"> and on </w:t>
      </w:r>
      <m:oMath>
        <m:r>
          <w:rPr>
            <w:rFonts w:ascii="Cambria Math" w:hAnsi="Cambria Math"/>
          </w:rPr>
          <m:t>Y</m:t>
        </m:r>
        <m:r>
          <m:rPr>
            <m:sty m:val="p"/>
          </m:rPr>
          <w:rPr>
            <w:rFonts w:ascii="Cambria Math" w:hAnsi="Cambria Math"/>
          </w:rPr>
          <m:t>=±</m:t>
        </m:r>
        <m:r>
          <w:rPr>
            <w:rFonts w:ascii="Cambria Math" w:hAnsi="Cambria Math"/>
          </w:rPr>
          <m:t>2</m:t>
        </m:r>
      </m:oMath>
      <w:r>
        <w:t xml:space="preserve"> both give mean zero, although their posterior variances differ. A deterministic move driven by either local mean stays at zero, a point outside both origin supports.</w:t>
      </w:r>
    </w:p>
    <w:p w14:paraId="72878D41" w14:textId="77777777" w:rsidR="007672C2" w:rsidRDefault="00000000">
      <w:pPr>
        <w:pStyle w:val="BodyText"/>
        <w:keepLines/>
        <w:rPr>
          <w:rFonts w:hint="eastAsia"/>
        </w:rPr>
      </w:pPr>
      <w:r>
        <w:rPr>
          <w:b/>
          <w:bCs/>
        </w:rPr>
        <w:t>Proposition 7 — Full field identifiability.</w:t>
      </w:r>
      <w:r>
        <w:t xml:space="preserve"> For fixed known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knowledge of the entire exact score field on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determines the normalized noised density, and hence the origin distribution in the Gaussian observation model.</w:t>
      </w:r>
    </w:p>
    <w:p w14:paraId="5542EEB9" w14:textId="77777777" w:rsidR="007672C2" w:rsidRDefault="00000000">
      <w:pPr>
        <w:pStyle w:val="BodyText"/>
        <w:rPr>
          <w:rFonts w:hint="eastAsia"/>
        </w:rPr>
      </w:pPr>
      <w:r>
        <w:rPr>
          <w:b/>
          <w:bCs/>
        </w:rPr>
        <w:t>Proof.</w:t>
      </w:r>
      <w:r>
        <w:t xml:space="preserve"> Two strictly positive smooth densities with the same score have constant log-density difference on connected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Normalization sets that constant to zero. Their characteristic functions satisfy </w:t>
      </w:r>
      <m:oMath>
        <m:sSub>
          <m:sSubPr>
            <m:ctrlPr>
              <w:rPr>
                <w:rFonts w:ascii="Cambria Math" w:hAnsi="Cambria Math"/>
              </w:rPr>
            </m:ctrlPr>
          </m:sSubPr>
          <m:e>
            <m:r>
              <w:rPr>
                <w:rFonts w:ascii="Cambria Math" w:hAnsi="Cambria Math"/>
              </w:rPr>
              <m:t>ϕ</m:t>
            </m:r>
          </m:e>
          <m:sub>
            <m:sSub>
              <m:sSubPr>
                <m:ctrlPr>
                  <w:rPr>
                    <w:rFonts w:ascii="Cambria Math" w:hAnsi="Cambria Math"/>
                  </w:rPr>
                </m:ctrlPr>
              </m:sSubPr>
              <m:e>
                <m:r>
                  <w:rPr>
                    <w:rFonts w:ascii="Cambria Math" w:hAnsi="Cambria Math"/>
                  </w:rPr>
                  <m:t>Q</m:t>
                </m:r>
              </m:e>
              <m:sub>
                <m:r>
                  <w:rPr>
                    <w:rFonts w:ascii="Cambria Math" w:hAnsi="Cambria Math"/>
                  </w:rPr>
                  <m:t>t</m:t>
                </m:r>
              </m:sub>
            </m:sSub>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Y</m:t>
            </m:r>
          </m:sub>
        </m:sSub>
        <m:d>
          <m:dPr>
            <m:ctrlPr>
              <w:rPr>
                <w:rFonts w:ascii="Cambria Math" w:hAnsi="Cambria Math"/>
              </w:rPr>
            </m:ctrlPr>
          </m:dPr>
          <m:e>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t</m:t>
                    </m:r>
                  </m:sub>
                </m:sSub>
              </m:e>
            </m:rad>
            <m:r>
              <w:rPr>
                <w:rFonts w:ascii="Cambria Math" w:hAnsi="Cambria Math"/>
              </w:rPr>
              <m:t>u</m:t>
            </m:r>
          </m:e>
        </m:d>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sup>
        </m:sSup>
      </m:oMath>
      <w:r>
        <w:t xml:space="preserve">. The Gaussian factor is never zero, so equality of the noised laws implies equality of the origin characteristic functions and distributions. </w:t>
      </w:r>
      <m:oMath>
        <m:r>
          <m:rPr>
            <m:sty m:val="p"/>
          </m:rPr>
          <w:rPr>
            <w:rFonts w:ascii="Cambria Math" w:hAnsi="Cambria Math"/>
          </w:rPr>
          <m:t>▫</m:t>
        </m:r>
      </m:oMath>
    </w:p>
    <w:p w14:paraId="03CD0FA5" w14:textId="77777777" w:rsidR="007672C2" w:rsidRDefault="00000000">
      <w:pPr>
        <w:pStyle w:val="BodyText"/>
        <w:rPr>
          <w:rFonts w:hint="eastAsia"/>
        </w:rPr>
      </w:pPr>
      <w:r>
        <w:t>The proposition concerns identification from an entire field. Deconvolution can be ill-conditioned, and one noisy finite read does not provide that field. With a consistent score family and specified forward diffusion, reverse-time stochastic dynamics can be defined; the attention identity does not justify a blanket statement that scores cannot determine reverse laws.</w:t>
      </w:r>
    </w:p>
    <w:p w14:paraId="6CDDD7A6" w14:textId="77777777" w:rsidR="007672C2" w:rsidRDefault="00000000">
      <w:pPr>
        <w:pStyle w:val="Heading2"/>
        <w:rPr>
          <w:rFonts w:hint="eastAsia"/>
        </w:rPr>
      </w:pPr>
      <w:bookmarkStart w:id="15" w:name="exact-finite-mixture-reverse-conditional"/>
      <w:bookmarkEnd w:id="14"/>
      <w:r>
        <w:t>4.4 Exact finite mixture reverse conditional</w:t>
      </w:r>
    </w:p>
    <w:p w14:paraId="15A6E9AD" w14:textId="77777777" w:rsidR="007672C2" w:rsidRDefault="00000000">
      <w:pPr>
        <w:pStyle w:val="FirstParagraph"/>
        <w:keepNext/>
        <w:rPr>
          <w:rFonts w:hint="eastAsia"/>
        </w:rPr>
      </w:pPr>
      <w:r>
        <w:t xml:space="preserve">Fix one finite origin prior. The Markov forward transition multiplies the previous state by </w:t>
      </w:r>
      <m:oMath>
        <m:rad>
          <m:radPr>
            <m:degHide m:val="1"/>
            <m:ctrlPr>
              <w:rPr>
                <w:rFonts w:ascii="Cambria Math" w:hAnsi="Cambria Math"/>
              </w:rPr>
            </m:ctrlPr>
          </m:radPr>
          <m:deg/>
          <m:e>
            <m:r>
              <w:rPr>
                <w:rFonts w:ascii="Cambria Math" w:hAnsi="Cambria Math"/>
              </w:rPr>
              <m:t>a</m:t>
            </m:r>
            <m:r>
              <m:rPr>
                <m:sty m:val="p"/>
              </m:rPr>
              <w:rPr>
                <w:rFonts w:ascii="Cambria Math" w:hAnsi="Cambria Math"/>
              </w:rPr>
              <m:t>/</m:t>
            </m:r>
            <m:r>
              <w:rPr>
                <w:rFonts w:ascii="Cambria Math" w:hAnsi="Cambria Math"/>
              </w:rPr>
              <m:t>b</m:t>
            </m:r>
          </m:e>
        </m:rad>
      </m:oMath>
      <w:r>
        <w:t xml:space="preserve"> and adds independent Gaussian noise with covariance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e>
        </m:d>
        <m:sSub>
          <m:sSubPr>
            <m:ctrlPr>
              <w:rPr>
                <w:rFonts w:ascii="Cambria Math" w:hAnsi="Cambria Math"/>
              </w:rPr>
            </m:ctrlPr>
          </m:sSubPr>
          <m:e>
            <m:r>
              <w:rPr>
                <w:rFonts w:ascii="Cambria Math" w:hAnsi="Cambria Math"/>
              </w:rPr>
              <m:t>I</m:t>
            </m:r>
          </m:e>
          <m:sub>
            <m:r>
              <w:rPr>
                <w:rFonts w:ascii="Cambria Math" w:hAnsi="Cambria Math"/>
              </w:rPr>
              <m:t>D</m:t>
            </m:r>
          </m:sub>
        </m:sSub>
      </m:oMath>
      <w:r>
        <w:t xml:space="preserve">. Its marginals have the observation form (1). Use the coefficients of (4) at </w:t>
      </w:r>
      <m:oMath>
        <m:r>
          <w:rPr>
            <w:rFonts w:ascii="Cambria Math" w:hAnsi="Cambria Math"/>
          </w:rPr>
          <m:t>η</m:t>
        </m:r>
        <m:r>
          <m:rPr>
            <m:sty m:val="p"/>
          </m:rPr>
          <w:rPr>
            <w:rFonts w:ascii="Cambria Math" w:hAnsi="Cambria Math"/>
          </w:rPr>
          <m:t>=</m:t>
        </m:r>
        <m:r>
          <w:rPr>
            <w:rFonts w:ascii="Cambria Math" w:hAnsi="Cambria Math"/>
          </w:rPr>
          <m:t>1</m:t>
        </m:r>
      </m:oMath>
      <w:r>
        <w:t xml:space="preserve">, denoting them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t>
            </m:r>
          </m:sub>
        </m:sSub>
      </m:oMath>
      <w:r>
        <w:t>. Gaussian conditioning gives</w:t>
      </w:r>
    </w:p>
    <w:p w14:paraId="3F5F5AC1"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m:t>
                  </m:r>
                </m:sub>
              </m:sSub>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m:t>
                  </m:r>
                </m:sub>
              </m:sSub>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t>
                  </m:r>
                </m:sub>
                <m:sup>
                  <m:r>
                    <w:rPr>
                      <w:rFonts w:ascii="Cambria Math" w:hAnsi="Cambria Math"/>
                    </w:rPr>
                    <m:t>2</m:t>
                  </m:r>
                </m:sup>
              </m:sSubSup>
              <m:sSub>
                <m:sSubPr>
                  <m:ctrlPr>
                    <w:rPr>
                      <w:rFonts w:ascii="Cambria Math" w:hAnsi="Cambria Math"/>
                    </w:rPr>
                  </m:ctrlPr>
                </m:sSubPr>
                <m:e>
                  <m:r>
                    <w:rPr>
                      <w:rFonts w:ascii="Cambria Math" w:hAnsi="Cambria Math"/>
                    </w:rPr>
                    <m:t>I</m:t>
                  </m:r>
                </m:e>
                <m:sub>
                  <m:r>
                    <w:rPr>
                      <w:rFonts w:ascii="Cambria Math" w:hAnsi="Cambria Math"/>
                    </w:rPr>
                    <m:t>D</m:t>
                  </m:r>
                </m:sub>
              </m:sSub>
            </m:e>
          </m:d>
          <m:r>
            <m:rPr>
              <m:sty m:val="p"/>
            </m:rPr>
            <w:rPr>
              <w:rFonts w:ascii="Cambria Math" w:hAnsi="Cambria Math"/>
            </w:rPr>
            <m:t>.</m:t>
          </m:r>
          <m:r>
            <m:rPr>
              <m:nor/>
            </m:rPr>
            <m:t>    (17)</m:t>
          </m:r>
        </m:oMath>
      </m:oMathPara>
    </w:p>
    <w:p w14:paraId="48296DD6" w14:textId="77777777" w:rsidR="007672C2" w:rsidRDefault="00000000">
      <w:pPr>
        <w:pStyle w:val="FirstParagraph"/>
        <w:keepNext/>
        <w:keepLines/>
        <w:rPr>
          <w:rFonts w:hint="eastAsia"/>
        </w:rPr>
      </w:pPr>
      <w:r>
        <w:rPr>
          <w:b/>
          <w:bCs/>
        </w:rPr>
        <w:t>Theorem 8 — Reverse mixture and missing covariance.</w:t>
      </w:r>
      <w:r>
        <w:t xml:space="preserve"> The exact reverse conditional is the mixture of (17) with weights </w:t>
      </w:r>
      <m:oMath>
        <m:sSub>
          <m:sSubPr>
            <m:ctrlPr>
              <w:rPr>
                <w:rFonts w:ascii="Cambria Math" w:hAnsi="Cambria Math"/>
              </w:rPr>
            </m:ctrlPr>
          </m:sSubPr>
          <m:e>
            <m:r>
              <w:rPr>
                <w:rFonts w:ascii="Cambria Math" w:hAnsi="Cambria Math"/>
              </w:rPr>
              <m:t>r</m:t>
            </m:r>
          </m:e>
          <m:sub>
            <m:r>
              <w:rPr>
                <w:rFonts w:ascii="Cambria Math" w:hAnsi="Cambria Math"/>
              </w:rPr>
              <m:t>tj</m:t>
            </m:r>
          </m:sub>
        </m:sSub>
        <m:d>
          <m:dPr>
            <m:ctrlPr>
              <w:rPr>
                <w:rFonts w:ascii="Cambria Math" w:hAnsi="Cambria Math"/>
              </w:rPr>
            </m:ctrlPr>
          </m:dPr>
          <m:e>
            <m:r>
              <w:rPr>
                <w:rFonts w:ascii="Cambria Math" w:hAnsi="Cambria Math"/>
              </w:rPr>
              <m:t>q</m:t>
            </m:r>
          </m:e>
        </m:d>
      </m:oMath>
      <w:r>
        <w:t>. Its mean and covariance are</w:t>
      </w:r>
    </w:p>
    <w:p w14:paraId="78678EC5" w14:textId="77777777" w:rsidR="007672C2" w:rsidRDefault="00000000">
      <w:pPr>
        <w:pStyle w:val="BodyText"/>
        <w:keepLines/>
        <w:spacing w:before="60" w:after="120"/>
        <w:jc w:val="center"/>
        <w:rPr>
          <w:rFonts w:hint="eastAsia"/>
        </w:rPr>
      </w:pPr>
      <m:oMathPara>
        <m:oMathParaPr>
          <m:jc m:val="center"/>
        </m:oMathParaPr>
        <m:oMath>
          <m:r>
            <m:rPr>
              <m:scr m:val="double-struck"/>
              <m:sty m:val="p"/>
            </m:rPr>
            <w:rPr>
              <w:rFonts w:ascii="Cambria Math" w:hAnsi="Cambria Math"/>
            </w:rPr>
            <m:t>E[</m:t>
          </m:r>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t>
              </m:r>
            </m:sub>
          </m:sSub>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m:t>
              </m:r>
            </m:sub>
          </m:sSub>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r>
            <m:rPr>
              <m:nor/>
            </m:rPr>
            <m:t>    (18)</m:t>
          </m:r>
        </m:oMath>
      </m:oMathPara>
    </w:p>
    <w:p w14:paraId="37DD0837" w14:textId="77777777" w:rsidR="007672C2" w:rsidRDefault="00000000">
      <w:pPr>
        <w:pStyle w:val="FirstParagraph"/>
        <w:keepLines/>
        <w:spacing w:before="60" w:after="120"/>
        <w:jc w:val="center"/>
        <w:rPr>
          <w:rFonts w:hint="eastAsia"/>
        </w:rPr>
      </w:pPr>
      <m:oMathPara>
        <m:oMathParaPr>
          <m:jc m:val="center"/>
        </m:oMathParaP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q</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t>
              </m:r>
            </m:sub>
            <m:sup>
              <m:r>
                <w:rPr>
                  <w:rFonts w:ascii="Cambria Math" w:hAnsi="Cambria Math"/>
                </w:rPr>
                <m:t>2</m:t>
              </m:r>
            </m:sup>
          </m:sSubSup>
          <m:sSub>
            <m:sSubPr>
              <m:ctrlPr>
                <w:rPr>
                  <w:rFonts w:ascii="Cambria Math" w:hAnsi="Cambria Math"/>
                </w:rPr>
              </m:ctrlPr>
            </m:sSubPr>
            <m:e>
              <m:r>
                <w:rPr>
                  <w:rFonts w:ascii="Cambria Math" w:hAnsi="Cambria Math"/>
                </w:rPr>
                <m:t>I</m:t>
              </m:r>
            </m:e>
            <m:sub>
              <m:r>
                <w:rPr>
                  <w:rFonts w:ascii="Cambria Math" w:hAnsi="Cambria Math"/>
                </w:rPr>
                <m:t>D</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r>
            <m:rPr>
              <m:nor/>
            </m:rPr>
            <m:t>    (19)</m:t>
          </m:r>
        </m:oMath>
      </m:oMathPara>
    </w:p>
    <w:p w14:paraId="3590E825" w14:textId="77777777" w:rsidR="007672C2" w:rsidRDefault="00000000">
      <w:pPr>
        <w:pStyle w:val="FirstParagraph"/>
        <w:rPr>
          <w:rFonts w:hint="eastAsia"/>
        </w:rPr>
      </w:pPr>
      <w:r>
        <w:rPr>
          <w:b/>
          <w:bCs/>
        </w:rPr>
        <w:t>Proof.</w:t>
      </w:r>
      <w:r>
        <w:t xml:space="preserve"> Condition on the discrete origin to obtain the mixture, then apply total expectation and total covariance. The component means vary by </w:t>
      </w:r>
      <m:oMath>
        <m:sSub>
          <m:sSubPr>
            <m:ctrlPr>
              <w:rPr>
                <w:rFonts w:ascii="Cambria Math" w:hAnsi="Cambria Math"/>
              </w:rPr>
            </m:ctrlPr>
          </m:sSubPr>
          <m:e>
            <m:r>
              <w:rPr>
                <w:rFonts w:ascii="Cambria Math" w:hAnsi="Cambria Math"/>
              </w:rPr>
              <m:t>B</m:t>
            </m:r>
          </m:e>
          <m:sub>
            <m:r>
              <m:rPr>
                <m:sty m:val="p"/>
              </m:rPr>
              <w:rPr>
                <w:rFonts w:ascii="Cambria Math" w:hAnsi="Cambria Math"/>
              </w:rPr>
              <m:t>*</m:t>
            </m:r>
          </m:sub>
        </m:sSub>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so their covariance is </w:t>
      </w:r>
      <m:oMath>
        <m:sSubSup>
          <m:sSubSupPr>
            <m:ctrlPr>
              <w:rPr>
                <w:rFonts w:ascii="Cambria Math" w:hAnsi="Cambria Math"/>
              </w:rPr>
            </m:ctrlPr>
          </m:sSubSupPr>
          <m:e>
            <m:r>
              <w:rPr>
                <w:rFonts w:ascii="Cambria Math" w:hAnsi="Cambria Math"/>
              </w:rPr>
              <m:t>B</m:t>
            </m:r>
          </m:e>
          <m:sub>
            <m:r>
              <m:rPr>
                <m:sty m:val="p"/>
              </m:rPr>
              <w:rPr>
                <w:rFonts w:ascii="Cambria Math" w:hAnsi="Cambria Math"/>
              </w:rPr>
              <m:t>*</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t</m:t>
            </m:r>
          </m:sub>
        </m:sSub>
        <m:d>
          <m:dPr>
            <m:ctrlPr>
              <w:rPr>
                <w:rFonts w:ascii="Cambria Math" w:hAnsi="Cambria Math"/>
              </w:rPr>
            </m:ctrlPr>
          </m:dPr>
          <m:e>
            <m:r>
              <w:rPr>
                <w:rFonts w:ascii="Cambria Math" w:hAnsi="Cambria Math"/>
              </w:rPr>
              <m:t>q</m:t>
            </m:r>
          </m:e>
        </m:d>
      </m:oMath>
      <w:r>
        <w:t xml:space="preserve">. </w:t>
      </w:r>
      <m:oMath>
        <m:r>
          <m:rPr>
            <m:sty m:val="p"/>
          </m:rPr>
          <w:rPr>
            <w:rFonts w:ascii="Cambria Math" w:hAnsi="Cambria Math"/>
          </w:rPr>
          <m:t>▫</m:t>
        </m:r>
      </m:oMath>
    </w:p>
    <w:p w14:paraId="132695D5" w14:textId="77777777" w:rsidR="007672C2" w:rsidRDefault="00000000">
      <w:pPr>
        <w:pStyle w:val="BodyText"/>
        <w:rPr>
          <w:rFonts w:hint="eastAsia"/>
        </w:rPr>
      </w:pPr>
      <w:r>
        <w:t xml:space="preserve">Replacing the mixture by the proposal </w:t>
      </w:r>
      <m:oMath>
        <m:sSub>
          <m:sSubPr>
            <m:ctrlPr>
              <w:rPr>
                <w:rFonts w:ascii="Cambria Math" w:hAnsi="Cambria Math"/>
              </w:rPr>
            </m:ctrlPr>
          </m:sSubPr>
          <m:e>
            <m:r>
              <w:rPr>
                <w:rFonts w:ascii="Cambria Math" w:hAnsi="Cambria Math"/>
              </w:rPr>
              <m:t>A</m:t>
            </m:r>
          </m:e>
          <m:sub>
            <m:r>
              <m:rPr>
                <m:sty m:val="p"/>
              </m:rPr>
              <w:rPr>
                <w:rFonts w:ascii="Cambria Math" w:hAnsi="Cambria Math"/>
              </w:rPr>
              <m:t>*</m:t>
            </m:r>
          </m:sub>
        </m:sSub>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m:t>
            </m:r>
          </m:sub>
        </m:sSub>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r>
              <w:rPr>
                <w:rFonts w:ascii="Cambria Math" w:hAnsi="Cambria Math"/>
              </w:rPr>
              <m:t>σ</m:t>
            </m:r>
          </m:e>
          <m:sub>
            <m:r>
              <m:rPr>
                <m:sty m:val="p"/>
              </m:rPr>
              <w:rPr>
                <w:rFonts w:ascii="Cambria Math" w:hAnsi="Cambria Math"/>
              </w:rPr>
              <m:t>*</m:t>
            </m:r>
          </m:sub>
        </m:sSub>
        <m:r>
          <w:rPr>
            <w:rFonts w:ascii="Cambria Math" w:hAnsi="Cambria Math"/>
          </w:rPr>
          <m:t>ξ</m:t>
        </m:r>
      </m:oMath>
      <w:r>
        <w:t xml:space="preserve"> preserves its conditional mean while omitting the second covariance term and its multimodal structure. For equal origins </w:t>
      </w:r>
      <m:oMath>
        <m:r>
          <m:rPr>
            <m:sty m:val="p"/>
          </m:rPr>
          <w:rPr>
            <w:rFonts w:ascii="Cambria Math" w:hAnsi="Cambria Math"/>
          </w:rPr>
          <m:t>±</m:t>
        </m:r>
        <m:r>
          <w:rPr>
            <w:rFonts w:ascii="Cambria Math" w:hAnsi="Cambria Math"/>
          </w:rPr>
          <m:t>1</m:t>
        </m:r>
      </m:oMath>
      <w:r>
        <w:t xml:space="preserve">, </w:t>
      </w:r>
      <m:oMath>
        <m:r>
          <w:rPr>
            <w:rFonts w:ascii="Cambria Math" w:hAnsi="Cambria Math"/>
          </w:rPr>
          <m:t>q</m:t>
        </m:r>
        <m:r>
          <m:rPr>
            <m:sty m:val="p"/>
          </m:rPr>
          <w:rPr>
            <w:rFonts w:ascii="Cambria Math" w:hAnsi="Cambria Math"/>
          </w:rPr>
          <m:t>=</m:t>
        </m:r>
        <m:r>
          <w:rPr>
            <w:rFonts w:ascii="Cambria Math" w:hAnsi="Cambria Math"/>
          </w:rPr>
          <m:t>0</m:t>
        </m:r>
      </m:oMath>
      <w:r>
        <w:t xml:space="preserve">, </w:t>
      </w:r>
      <m:oMath>
        <m:r>
          <w:rPr>
            <w:rFonts w:ascii="Cambria Math" w:hAnsi="Cambria Math"/>
          </w:rPr>
          <m:t>a</m:t>
        </m:r>
        <m:r>
          <m:rPr>
            <m:sty m:val="p"/>
          </m:rPr>
          <w:rPr>
            <w:rFonts w:ascii="Cambria Math" w:hAnsi="Cambria Math"/>
          </w:rPr>
          <m:t>=</m:t>
        </m:r>
        <m:r>
          <w:rPr>
            <w:rFonts w:ascii="Cambria Math" w:hAnsi="Cambria Math"/>
          </w:rPr>
          <m:t>0.3</m:t>
        </m:r>
      </m:oMath>
      <w:r>
        <w:t xml:space="preserve"> and </w:t>
      </w:r>
      <m:oMath>
        <m:r>
          <w:rPr>
            <w:rFonts w:ascii="Cambria Math" w:hAnsi="Cambria Math"/>
          </w:rPr>
          <m:t>b</m:t>
        </m:r>
        <m:r>
          <m:rPr>
            <m:sty m:val="p"/>
          </m:rPr>
          <w:rPr>
            <w:rFonts w:ascii="Cambria Math" w:hAnsi="Cambria Math"/>
          </w:rPr>
          <m:t>=</m:t>
        </m:r>
        <m:r>
          <w:rPr>
            <w:rFonts w:ascii="Cambria Math" w:hAnsi="Cambria Math"/>
          </w:rPr>
          <m:t>0.9</m:t>
        </m:r>
      </m:oMath>
      <w:r>
        <w:t>, the plug-in variance is 0.095238 and the exact reverse variance is 0.911565. Drawing an origin from the responsibilities and then drawing its conditional Gaussian samples the exact finite-model reverse law at that step. Replacing the prior by a new optimized population at every step gives a different adaptive process.</w:t>
      </w:r>
    </w:p>
    <w:p w14:paraId="4A4EBD4F" w14:textId="77777777" w:rsidR="007672C2" w:rsidRDefault="00000000">
      <w:pPr>
        <w:pStyle w:val="BodyText"/>
        <w:rPr>
          <w:rFonts w:hint="eastAsia"/>
        </w:rPr>
      </w:pPr>
      <w:r>
        <w:t>For an optimizer, a posterior mean can be useful recombination even where it is not a posterior draw. For a construction design, it is reportable only after its realized geometry or decoded configuration passes the required checks. Convex feasibility in the averaged coordinates preserves every convex combination. General nonconvex feasibility requires rechecking.</w:t>
      </w:r>
    </w:p>
    <w:p w14:paraId="49C14AA1" w14:textId="77777777" w:rsidR="007672C2" w:rsidRDefault="00000000">
      <w:pPr>
        <w:pStyle w:val="Heading1"/>
        <w:rPr>
          <w:rFonts w:hint="eastAsia"/>
        </w:rPr>
      </w:pPr>
      <w:bookmarkStart w:id="16" w:name="X6284a22d09984d17bd1e7d45e5026fbbad123e0"/>
      <w:bookmarkEnd w:id="11"/>
      <w:bookmarkEnd w:id="15"/>
      <w:r>
        <w:lastRenderedPageBreak/>
        <w:t>5 Consequences for diversity and computation</w:t>
      </w:r>
    </w:p>
    <w:p w14:paraId="1758CE8B" w14:textId="77777777" w:rsidR="007672C2" w:rsidRDefault="00000000">
      <w:pPr>
        <w:pStyle w:val="Heading2"/>
        <w:rPr>
          <w:rFonts w:hint="eastAsia"/>
        </w:rPr>
      </w:pPr>
      <w:bookmarkStart w:id="17" w:name="density-bias-as-a-diversity-control"/>
      <w:r>
        <w:t>5.1 Density bias as a diversity control</w:t>
      </w:r>
    </w:p>
    <w:p w14:paraId="44F86BFC" w14:textId="77777777" w:rsidR="007672C2" w:rsidRDefault="00000000">
      <w:pPr>
        <w:pStyle w:val="FirstParagraph"/>
        <w:rPr>
          <w:rFonts w:hint="eastAsia"/>
        </w:rPr>
      </w:pPr>
      <w:r>
        <w:t xml:space="preserve">Adding </w:t>
      </w:r>
      <m:oMath>
        <m:r>
          <m:rPr>
            <m:sty m:val="p"/>
          </m:rPr>
          <w:rPr>
            <w:rFonts w:ascii="Cambria Math" w:hAnsi="Cambria Math"/>
          </w:rPr>
          <m:t>-log</m:t>
        </m:r>
        <m:acc>
          <m:accPr>
            <m:ctrlPr>
              <w:rPr>
                <w:rFonts w:ascii="Cambria Math" w:hAnsi="Cambria Math"/>
              </w:rPr>
            </m:ctrlPr>
          </m:accPr>
          <m:e>
            <m:r>
              <w:rPr>
                <w:rFonts w:ascii="Cambria Math" w:hAnsi="Cambria Math"/>
              </w:rPr>
              <m:t>q</m:t>
            </m:r>
          </m:e>
        </m:acc>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e>
        </m:d>
      </m:oMath>
      <w:r>
        <w:t xml:space="preserve"> to the key bias reduces the relative weight of crowded memories. On a frozen read this is a direct attention modification. As an adaptive policy it can alter the trajectory, occupancy and future loss values. It is useful to test as a diversity control, but an occupancy estimate does not become an importance correction without identifying the actual proposal law.</w:t>
      </w:r>
    </w:p>
    <w:p w14:paraId="095372F3" w14:textId="77777777" w:rsidR="007672C2" w:rsidRDefault="00000000">
      <w:pPr>
        <w:pStyle w:val="BodyText"/>
        <w:rPr>
          <w:rFonts w:hint="eastAsia"/>
        </w:rPr>
      </w:pPr>
      <w:r>
        <w:t>Attention clustering and DE over-concentration share a mechanism of repeated weighted averaging. Their equivalence is limited by changing loss biases, schedules, normalization and noise. Pure-attention rank-collapse theorems [8] and idealized spherical dynamics [6,7] do not directly prove that an externally evaluated noisy population must collapse, or that a density bias can only delay collapse in every architecture. The retained experiments in Section 6 illustrate one setting. They do not establish a causal theorem for trained language-model representations.</w:t>
      </w:r>
    </w:p>
    <w:p w14:paraId="616D83EE" w14:textId="77777777" w:rsidR="007672C2" w:rsidRDefault="00000000">
      <w:pPr>
        <w:pStyle w:val="BodyText"/>
        <w:rPr>
          <w:rFonts w:hint="eastAsia"/>
        </w:rPr>
      </w:pPr>
      <w:r>
        <w:t xml:space="preserve">A density estimator has its own bandwidth and cost. Exact Gaussian occupancy estimation on all particles is quadratic in </w:t>
      </w:r>
      <m:oMath>
        <m:r>
          <w:rPr>
            <w:rFonts w:ascii="Cambria Math" w:hAnsi="Cambria Math"/>
          </w:rPr>
          <m:t>N</m:t>
        </m:r>
      </m:oMath>
      <w:r>
        <w:t>, so an added diversity bias can offset a retrieval acceleration. Projected or latent density estimates require a declared geometry and evaluation of their effect. If coordinates are repaired or decoded, assess diversity in the realized candidates as well as in the keys.</w:t>
      </w:r>
    </w:p>
    <w:p w14:paraId="416B2F62" w14:textId="77777777" w:rsidR="007672C2" w:rsidRDefault="00000000">
      <w:pPr>
        <w:pStyle w:val="Heading2"/>
        <w:rPr>
          <w:rFonts w:hint="eastAsia"/>
        </w:rPr>
      </w:pPr>
      <w:bookmarkStart w:id="18" w:name="Xf8538547455e01dfddf017f447b54eaf5f5002c"/>
      <w:bookmarkEnd w:id="17"/>
      <w:r>
        <w:t>5.2 Positive random features and factorized computation</w:t>
      </w:r>
    </w:p>
    <w:p w14:paraId="480587FC" w14:textId="77777777" w:rsidR="007672C2" w:rsidRDefault="00000000">
      <w:pPr>
        <w:pStyle w:val="FirstParagraph"/>
        <w:keepNext/>
        <w:rPr>
          <w:rFonts w:hint="eastAsia"/>
        </w:rPr>
      </w:pPr>
      <w:r>
        <w:t xml:space="preserve">For independent </w:t>
      </w:r>
      <m:oMath>
        <m:sSub>
          <m:sSubPr>
            <m:ctrlPr>
              <w:rPr>
                <w:rFonts w:ascii="Cambria Math" w:hAnsi="Cambria Math"/>
              </w:rPr>
            </m:ctrlPr>
          </m:sSubPr>
          <m:e>
            <m:r>
              <w:rPr>
                <w:rFonts w:ascii="Cambria Math" w:hAnsi="Cambria Math"/>
              </w:rPr>
              <m:t>ω</m:t>
            </m:r>
          </m:e>
          <m:sub>
            <m:r>
              <w:rPr>
                <w:rFonts w:ascii="Cambria Math" w:hAnsi="Cambria Math"/>
              </w:rPr>
              <m:t>r</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oMath>
      <w:r>
        <w:t xml:space="preserve"> define</w:t>
      </w:r>
    </w:p>
    <w:p w14:paraId="173EB008"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ψ</m:t>
              </m:r>
            </m:e>
            <m:sub>
              <m:r>
                <w:rPr>
                  <w:rFonts w:ascii="Cambria Math" w:hAnsi="Cambria Math"/>
                </w:rPr>
                <m:t>ω</m:t>
              </m:r>
            </m:sub>
          </m:sSub>
          <m:d>
            <m:dPr>
              <m:ctrlPr>
                <w:rPr>
                  <w:rFonts w:ascii="Cambria Math" w:hAnsi="Cambria Math"/>
                </w:rPr>
              </m:ctrlPr>
            </m:dPr>
            <m:e>
              <m:r>
                <w:rPr>
                  <w:rFonts w:ascii="Cambria Math" w:hAnsi="Cambria Math"/>
                </w:rPr>
                <m:t>u</m:t>
              </m:r>
            </m:e>
          </m:d>
          <m:r>
            <m:rPr>
              <m:sty m:val="p"/>
            </m:rPr>
            <w:rPr>
              <w:rFonts w:ascii="Cambria Math" w:hAnsi="Cambria Math"/>
            </w:rPr>
            <m:t>=exp</m:t>
          </m:r>
          <m:d>
            <m:dPr>
              <m:ctrlPr>
                <w:rPr>
                  <w:rFonts w:ascii="Cambria Math" w:hAnsi="Cambria Math"/>
                </w:rPr>
              </m:ctrlPr>
            </m:dPr>
            <m:e>
              <m:sSup>
                <m:sSupPr>
                  <m:ctrlPr>
                    <w:rPr>
                      <w:rFonts w:ascii="Cambria Math" w:hAnsi="Cambria Math"/>
                    </w:rPr>
                  </m:ctrlPr>
                </m:sSupPr>
                <m:e>
                  <m:r>
                    <w:rPr>
                      <w:rFonts w:ascii="Cambria Math" w:hAnsi="Cambria Math"/>
                    </w:rPr>
                    <m:t>ω</m:t>
                  </m:r>
                </m:e>
                <m:sup>
                  <m:r>
                    <m:rPr>
                      <m:sty m:val="p"/>
                    </m:rPr>
                    <w:rPr>
                      <w:rFonts w:ascii="Cambria Math" w:hAnsi="Cambria Math"/>
                    </w:rPr>
                    <m:t>⊤</m:t>
                  </m:r>
                </m:sup>
              </m:sSup>
              <m:r>
                <w:rPr>
                  <w:rFonts w:ascii="Cambria Math" w:hAnsi="Cambria Math"/>
                </w:rPr>
                <m:t>u</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e>
          </m:d>
          <m:r>
            <m:rPr>
              <m:sty m:val="p"/>
            </m:rPr>
            <w:rPr>
              <w:rFonts w:ascii="Cambria Math" w:hAnsi="Cambria Math"/>
            </w:rPr>
            <m:t>,</m:t>
          </m:r>
          <m:r>
            <m:rPr>
              <m:nor/>
            </m:rPr>
            <m:t>    </m:t>
          </m:r>
          <m:r>
            <m:rPr>
              <m:scr m:val="double-struck"/>
              <m:sty m:val="p"/>
            </m:rPr>
            <w:rPr>
              <w:rFonts w:ascii="Cambria Math" w:hAnsi="Cambria Math"/>
            </w:rPr>
            <m:t>E[</m:t>
          </m:r>
          <m:sSub>
            <m:sSubPr>
              <m:ctrlPr>
                <w:rPr>
                  <w:rFonts w:ascii="Cambria Math" w:hAnsi="Cambria Math"/>
                </w:rPr>
              </m:ctrlPr>
            </m:sSubPr>
            <m:e>
              <m:r>
                <w:rPr>
                  <w:rFonts w:ascii="Cambria Math" w:hAnsi="Cambria Math"/>
                </w:rPr>
                <m:t>ψ</m:t>
              </m:r>
            </m:e>
            <m:sub>
              <m:r>
                <w:rPr>
                  <w:rFonts w:ascii="Cambria Math" w:hAnsi="Cambria Math"/>
                </w:rPr>
                <m:t>ω</m:t>
              </m:r>
            </m:sub>
          </m:sSub>
          <m:d>
            <m:dPr>
              <m:ctrlPr>
                <w:rPr>
                  <w:rFonts w:ascii="Cambria Math" w:hAnsi="Cambria Math"/>
                </w:rPr>
              </m:ctrlPr>
            </m:dPr>
            <m:e>
              <m:r>
                <w:rPr>
                  <w:rFonts w:ascii="Cambria Math" w:hAnsi="Cambria Math"/>
                </w:rPr>
                <m:t>u</m:t>
              </m:r>
            </m:e>
          </m:d>
          <m:sSub>
            <m:sSubPr>
              <m:ctrlPr>
                <w:rPr>
                  <w:rFonts w:ascii="Cambria Math" w:hAnsi="Cambria Math"/>
                </w:rPr>
              </m:ctrlPr>
            </m:sSubPr>
            <m:e>
              <m:r>
                <w:rPr>
                  <w:rFonts w:ascii="Cambria Math" w:hAnsi="Cambria Math"/>
                </w:rPr>
                <m:t>ψ</m:t>
              </m:r>
            </m:e>
            <m:sub>
              <m:r>
                <w:rPr>
                  <w:rFonts w:ascii="Cambria Math" w:hAnsi="Cambria Math"/>
                </w:rPr>
                <m:t>ω</m:t>
              </m:r>
            </m:sub>
          </m:sSub>
          <m:d>
            <m:dPr>
              <m:ctrlPr>
                <w:rPr>
                  <w:rFonts w:ascii="Cambria Math" w:hAnsi="Cambria Math"/>
                </w:rPr>
              </m:ctrlPr>
            </m:dPr>
            <m:e>
              <m:r>
                <w:rPr>
                  <w:rFonts w:ascii="Cambria Math" w:hAnsi="Cambria Math"/>
                </w:rPr>
                <m:t>v</m:t>
              </m:r>
            </m:e>
          </m:d>
          <m:r>
            <m:rPr>
              <m:sty m:val="p"/>
            </m:rPr>
            <w:rPr>
              <w:rFonts w:ascii="Cambria Math" w:hAnsi="Cambria Math"/>
            </w:rPr>
            <m:t>]=</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v</m:t>
              </m:r>
            </m:sup>
          </m:sSup>
          <m:r>
            <m:rPr>
              <m:sty m:val="p"/>
            </m:rPr>
            <w:rPr>
              <w:rFonts w:ascii="Cambria Math" w:hAnsi="Cambria Math"/>
            </w:rPr>
            <m:t>.</m:t>
          </m:r>
          <m:r>
            <m:rPr>
              <m:nor/>
            </m:rPr>
            <m:t>    (20)</m:t>
          </m:r>
        </m:oMath>
      </m:oMathPara>
    </w:p>
    <w:p w14:paraId="5AF3E272" w14:textId="77777777" w:rsidR="007672C2" w:rsidRDefault="00000000">
      <w:pPr>
        <w:pStyle w:val="FirstParagraph"/>
        <w:keepNext/>
        <w:rPr>
          <w:rFonts w:hint="eastAsia"/>
        </w:rPr>
      </w:pPr>
      <w:r>
        <w:t xml:space="preserve">Set </w:t>
      </w:r>
      <m:oMath>
        <m:r>
          <w:rPr>
            <w:rFonts w:ascii="Cambria Math" w:hAnsi="Cambria Math"/>
          </w:rPr>
          <m:t>u</m:t>
        </m:r>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τ</m:t>
            </m:r>
          </m:e>
        </m:rad>
      </m:oMath>
      <w:r>
        <w:t xml:space="preserve">, </w:t>
      </w:r>
      <m:oMath>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τ</m:t>
            </m:r>
          </m:e>
        </m:rad>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b</m:t>
                </m:r>
              </m:e>
              <m:sub>
                <m:r>
                  <w:rPr>
                    <w:rFonts w:ascii="Cambria Math" w:hAnsi="Cambria Math"/>
                  </w:rPr>
                  <m:t>j</m:t>
                </m:r>
              </m:sub>
            </m:sSub>
          </m:sup>
        </m:sSup>
      </m:oMath>
      <w:r>
        <w:t>. Precompute shared key summaries</w:t>
      </w:r>
    </w:p>
    <w:p w14:paraId="59430A73"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0r</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m:t>
                  </m:r>
                </m:sub>
              </m:sSub>
            </m:e>
          </m:nary>
          <m:sSub>
            <m:sSubPr>
              <m:ctrlPr>
                <w:rPr>
                  <w:rFonts w:ascii="Cambria Math" w:hAnsi="Cambria Math"/>
                </w:rPr>
              </m:ctrlPr>
            </m:sSubPr>
            <m:e>
              <m:r>
                <w:rPr>
                  <w:rFonts w:ascii="Cambria Math" w:hAnsi="Cambria Math"/>
                </w:rPr>
                <m:t>ψ</m:t>
              </m:r>
            </m:e>
            <m:sub>
              <m:sSub>
                <m:sSubPr>
                  <m:ctrlPr>
                    <w:rPr>
                      <w:rFonts w:ascii="Cambria Math" w:hAnsi="Cambria Math"/>
                    </w:rPr>
                  </m:ctrlPr>
                </m:sSubPr>
                <m:e>
                  <m:r>
                    <w:rPr>
                      <w:rFonts w:ascii="Cambria Math" w:hAnsi="Cambria Math"/>
                    </w:rPr>
                    <m:t>ω</m:t>
                  </m:r>
                </m:e>
                <m:sub>
                  <m:r>
                    <w:rPr>
                      <w:rFonts w:ascii="Cambria Math" w:hAnsi="Cambria Math"/>
                    </w:rPr>
                    <m:t>r</m:t>
                  </m:r>
                </m:sub>
              </m:sSub>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S</m:t>
              </m:r>
            </m:e>
            <m:sub>
              <m:r>
                <w:rPr>
                  <w:rFonts w:ascii="Cambria Math" w:hAnsi="Cambria Math"/>
                </w:rPr>
                <m:t>1r</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m:t>
                  </m:r>
                </m:sub>
              </m:sSub>
            </m:e>
          </m:nary>
          <m:sSub>
            <m:sSubPr>
              <m:ctrlPr>
                <w:rPr>
                  <w:rFonts w:ascii="Cambria Math" w:hAnsi="Cambria Math"/>
                </w:rPr>
              </m:ctrlPr>
            </m:sSubPr>
            <m:e>
              <m:r>
                <w:rPr>
                  <w:rFonts w:ascii="Cambria Math" w:hAnsi="Cambria Math"/>
                </w:rPr>
                <m:t>ψ</m:t>
              </m:r>
            </m:e>
            <m:sub>
              <m:sSub>
                <m:sSubPr>
                  <m:ctrlPr>
                    <w:rPr>
                      <w:rFonts w:ascii="Cambria Math" w:hAnsi="Cambria Math"/>
                    </w:rPr>
                  </m:ctrlPr>
                </m:sSubPr>
                <m:e>
                  <m:r>
                    <w:rPr>
                      <w:rFonts w:ascii="Cambria Math" w:hAnsi="Cambria Math"/>
                    </w:rPr>
                    <m:t>ω</m:t>
                  </m:r>
                </m:e>
                <m:sub>
                  <m:r>
                    <w:rPr>
                      <w:rFonts w:ascii="Cambria Math" w:hAnsi="Cambria Math"/>
                    </w:rPr>
                    <m:t>r</m:t>
                  </m:r>
                </m:sub>
              </m:sSub>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e>
          </m:d>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nor/>
            </m:rPr>
            <m:t>    (21)</m:t>
          </m:r>
        </m:oMath>
      </m:oMathPara>
    </w:p>
    <w:p w14:paraId="7BF4D236" w14:textId="77777777" w:rsidR="007672C2" w:rsidRDefault="00000000">
      <w:pPr>
        <w:pStyle w:val="FirstParagraph"/>
        <w:keepLines/>
        <w:spacing w:before="60" w:after="120"/>
        <w:jc w:val="center"/>
        <w:rPr>
          <w:rFonts w:hint="eastAsia"/>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M</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ψ</m:t>
                      </m:r>
                    </m:e>
                    <m:sub>
                      <m:sSub>
                        <m:sSubPr>
                          <m:ctrlPr>
                            <w:rPr>
                              <w:rFonts w:ascii="Cambria Math" w:hAnsi="Cambria Math"/>
                            </w:rPr>
                          </m:ctrlPr>
                        </m:sSubPr>
                        <m:e>
                          <m:r>
                            <w:rPr>
                              <w:rFonts w:ascii="Cambria Math" w:hAnsi="Cambria Math"/>
                            </w:rPr>
                            <m:t>ω</m:t>
                          </m:r>
                        </m:e>
                        <m:sub>
                          <m:r>
                            <w:rPr>
                              <w:rFonts w:ascii="Cambria Math" w:hAnsi="Cambria Math"/>
                            </w:rPr>
                            <m:t>r</m:t>
                          </m:r>
                        </m:sub>
                      </m:sSub>
                    </m:sub>
                  </m:sSub>
                </m:e>
              </m:nary>
              <m:d>
                <m:dPr>
                  <m:ctrlPr>
                    <w:rPr>
                      <w:rFonts w:ascii="Cambria Math" w:hAnsi="Cambria Math"/>
                    </w:rPr>
                  </m:ctrlPr>
                </m:dPr>
                <m:e>
                  <m:r>
                    <w:rPr>
                      <w:rFonts w:ascii="Cambria Math" w:hAnsi="Cambria Math"/>
                    </w:rPr>
                    <m:t>u</m:t>
                  </m:r>
                </m:e>
              </m:d>
              <m:sSub>
                <m:sSubPr>
                  <m:ctrlPr>
                    <w:rPr>
                      <w:rFonts w:ascii="Cambria Math" w:hAnsi="Cambria Math"/>
                    </w:rPr>
                  </m:ctrlPr>
                </m:sSubPr>
                <m:e>
                  <m:r>
                    <w:rPr>
                      <w:rFonts w:ascii="Cambria Math" w:hAnsi="Cambria Math"/>
                    </w:rPr>
                    <m:t>S</m:t>
                  </m:r>
                </m:e>
                <m:sub>
                  <m:r>
                    <w:rPr>
                      <w:rFonts w:ascii="Cambria Math" w:hAnsi="Cambria Math"/>
                    </w:rPr>
                    <m:t>1r</m:t>
                  </m:r>
                </m:sub>
              </m:sSub>
            </m:num>
            <m:den>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ψ</m:t>
                      </m:r>
                    </m:e>
                    <m:sub>
                      <m:sSub>
                        <m:sSubPr>
                          <m:ctrlPr>
                            <w:rPr>
                              <w:rFonts w:ascii="Cambria Math" w:hAnsi="Cambria Math"/>
                            </w:rPr>
                          </m:ctrlPr>
                        </m:sSubPr>
                        <m:e>
                          <m:r>
                            <w:rPr>
                              <w:rFonts w:ascii="Cambria Math" w:hAnsi="Cambria Math"/>
                            </w:rPr>
                            <m:t>ω</m:t>
                          </m:r>
                        </m:e>
                        <m:sub>
                          <m:r>
                            <w:rPr>
                              <w:rFonts w:ascii="Cambria Math" w:hAnsi="Cambria Math"/>
                            </w:rPr>
                            <m:t>r</m:t>
                          </m:r>
                        </m:sub>
                      </m:sSub>
                    </m:sub>
                  </m:sSub>
                </m:e>
              </m:nary>
              <m:d>
                <m:dPr>
                  <m:ctrlPr>
                    <w:rPr>
                      <w:rFonts w:ascii="Cambria Math" w:hAnsi="Cambria Math"/>
                    </w:rPr>
                  </m:ctrlPr>
                </m:dPr>
                <m:e>
                  <m:r>
                    <w:rPr>
                      <w:rFonts w:ascii="Cambria Math" w:hAnsi="Cambria Math"/>
                    </w:rPr>
                    <m:t>u</m:t>
                  </m:r>
                </m:e>
              </m:d>
              <m:sSub>
                <m:sSubPr>
                  <m:ctrlPr>
                    <w:rPr>
                      <w:rFonts w:ascii="Cambria Math" w:hAnsi="Cambria Math"/>
                    </w:rPr>
                  </m:ctrlPr>
                </m:sSubPr>
                <m:e>
                  <m:r>
                    <w:rPr>
                      <w:rFonts w:ascii="Cambria Math" w:hAnsi="Cambria Math"/>
                    </w:rPr>
                    <m:t>S</m:t>
                  </m:r>
                </m:e>
                <m:sub>
                  <m:r>
                    <w:rPr>
                      <w:rFonts w:ascii="Cambria Math" w:hAnsi="Cambria Math"/>
                    </w:rPr>
                    <m:t>0r</m:t>
                  </m:r>
                </m:sub>
              </m:sSub>
            </m:den>
          </m:f>
          <m:r>
            <m:rPr>
              <m:sty m:val="p"/>
            </m:rPr>
            <w:rPr>
              <w:rFonts w:ascii="Cambria Math" w:hAnsi="Cambria Math"/>
            </w:rPr>
            <m:t>.</m:t>
          </m:r>
          <m:r>
            <m:rPr>
              <m:nor/>
            </m:rPr>
            <m:t>    (22)</m:t>
          </m:r>
        </m:oMath>
      </m:oMathPara>
    </w:p>
    <w:p w14:paraId="7A316C28" w14:textId="77777777" w:rsidR="007672C2" w:rsidRDefault="00000000">
      <w:pPr>
        <w:pStyle w:val="FirstParagraph"/>
        <w:rPr>
          <w:rFonts w:hint="eastAsia"/>
        </w:rPr>
      </w:pPr>
      <w:r>
        <w:t xml:space="preserve">For fixed feature count </w:t>
      </w:r>
      <m:oMath>
        <m:r>
          <w:rPr>
            <w:rFonts w:ascii="Cambria Math" w:hAnsi="Cambria Math"/>
          </w:rPr>
          <m:t>M</m:t>
        </m:r>
      </m:oMath>
      <w:r>
        <w:t xml:space="preserve">, all </w:t>
      </w:r>
      <m:oMath>
        <m:r>
          <w:rPr>
            <w:rFonts w:ascii="Cambria Math" w:hAnsi="Cambria Math"/>
          </w:rPr>
          <m:t>N</m:t>
        </m:r>
      </m:oMath>
      <w:r>
        <w:t xml:space="preserve"> queries cost </w:t>
      </w:r>
      <m:oMath>
        <m:r>
          <w:rPr>
            <w:rFonts w:ascii="Cambria Math" w:hAnsi="Cambria Math"/>
          </w:rPr>
          <m:t>O</m:t>
        </m:r>
        <m:d>
          <m:dPr>
            <m:ctrlPr>
              <w:rPr>
                <w:rFonts w:ascii="Cambria Math" w:hAnsi="Cambria Math"/>
              </w:rPr>
            </m:ctrlPr>
          </m:dPr>
          <m:e>
            <m:r>
              <w:rPr>
                <w:rFonts w:ascii="Cambria Math" w:hAnsi="Cambria Math"/>
              </w:rPr>
              <m:t>NMD</m:t>
            </m:r>
          </m:e>
        </m:d>
      </m:oMath>
      <w:r>
        <w:t xml:space="preserve"> after the summaries are formed. The summaries must be reused. Rebuilding them or iterating over all key–feature pairs independently for every query restores a quadratic population cost. A random-feature representation alone does not establish a fast implementation.</w:t>
      </w:r>
    </w:p>
    <w:p w14:paraId="550F3530" w14:textId="77777777" w:rsidR="007672C2" w:rsidRDefault="00000000">
      <w:pPr>
        <w:pStyle w:val="BodyText"/>
        <w:rPr>
          <w:rFonts w:hint="eastAsia"/>
        </w:rPr>
      </w:pPr>
      <w:r>
        <w:t xml:space="preserve">The same feature draws must be used for the numerator and denominator. Their unnormalized components are unbiased, while their ratio is generally biased at finite </w:t>
      </w:r>
      <m:oMath>
        <m:r>
          <w:rPr>
            <w:rFonts w:ascii="Cambria Math" w:hAnsi="Cambria Math"/>
          </w:rPr>
          <m:t>M</m:t>
        </m:r>
      </m:oMath>
      <w:r>
        <w:t>. A common multiplicative key shift and a separate scalar shift per query cancel in the ratio. Independent shifts for each key change relative weights unless explicitly restored. Underflow or an effectively zero denominator requires a detected fallback, not a fabricated read.</w:t>
      </w:r>
    </w:p>
    <w:p w14:paraId="4378599D" w14:textId="77777777" w:rsidR="007672C2" w:rsidRDefault="00000000">
      <w:pPr>
        <w:pStyle w:val="BodyText"/>
        <w:keepNext/>
        <w:keepLines/>
        <w:rPr>
          <w:rFonts w:hint="eastAsia"/>
        </w:rPr>
      </w:pPr>
      <w:r>
        <w:rPr>
          <w:b/>
          <w:bCs/>
        </w:rPr>
        <w:t>Lemma 9 — Single kernel relative variance.</w:t>
      </w:r>
      <w:r>
        <w:t xml:space="preserve"> For a fixed pair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oMath>
      <w:r>
        <w:t xml:space="preserve"> and </w:t>
      </w:r>
      <m:oMath>
        <m:r>
          <w:rPr>
            <w:rFonts w:ascii="Cambria Math" w:hAnsi="Cambria Math"/>
          </w:rPr>
          <m:t>M</m:t>
        </m:r>
      </m:oMath>
      <w:r>
        <w:t xml:space="preserve"> independent features, the unbiased estimate of </w:t>
      </w:r>
      <m:oMath>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v</m:t>
            </m:r>
          </m:sup>
        </m:sSup>
      </m:oMath>
      <w:r>
        <w:t xml:space="preserve"> has relative variance</w:t>
      </w:r>
    </w:p>
    <w:p w14:paraId="7B12BA71" w14:textId="77777777" w:rsidR="007672C2" w:rsidRDefault="00000000">
      <w:pPr>
        <w:pStyle w:val="BodyText"/>
        <w:keepLines/>
        <w:spacing w:before="60" w:after="120"/>
        <w:jc w:val="center"/>
        <w:rPr>
          <w:rFonts w:hint="eastAsia"/>
        </w:rPr>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up>
              </m:sSup>
              <m:r>
                <m:rPr>
                  <m:sty m:val="p"/>
                </m:rPr>
                <w:rPr>
                  <w:rFonts w:ascii="Cambria Math" w:hAnsi="Cambria Math"/>
                </w:rPr>
                <m:t>-</m:t>
              </m:r>
              <m:r>
                <w:rPr>
                  <w:rFonts w:ascii="Cambria Math" w:hAnsi="Cambria Math"/>
                </w:rPr>
                <m:t>1</m:t>
              </m:r>
            </m:num>
            <m:den>
              <m:r>
                <w:rPr>
                  <w:rFonts w:ascii="Cambria Math" w:hAnsi="Cambria Math"/>
                </w:rPr>
                <m:t>M</m:t>
              </m:r>
            </m:den>
          </m:f>
          <m:r>
            <m:rPr>
              <m:sty m:val="p"/>
            </m:rPr>
            <w:rPr>
              <w:rFonts w:ascii="Cambria Math" w:hAnsi="Cambria Math"/>
            </w:rPr>
            <m:t>.</m:t>
          </m:r>
          <m:r>
            <m:rPr>
              <m:nor/>
            </m:rPr>
            <m:t>    (23)</m:t>
          </m:r>
        </m:oMath>
      </m:oMathPara>
    </w:p>
    <w:p w14:paraId="18877C29" w14:textId="77777777" w:rsidR="007672C2" w:rsidRDefault="00000000">
      <w:pPr>
        <w:pStyle w:val="FirstParagraph"/>
        <w:rPr>
          <w:rFonts w:hint="eastAsia"/>
        </w:rPr>
      </w:pPr>
      <w:r>
        <w:rPr>
          <w:b/>
          <w:bCs/>
        </w:rPr>
        <w:t>Proof.</w:t>
      </w:r>
      <w:r>
        <w:t xml:space="preserve"> The feature product is lognormal with log variance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and mean </w:t>
      </w:r>
      <m:oMath>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v</m:t>
            </m:r>
          </m:sup>
        </m:sSup>
      </m:oMath>
      <w:r>
        <w:t xml:space="preserve">. Its squared coefficient of variation is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sup>
        </m:sSup>
        <m:r>
          <m:rPr>
            <m:sty m:val="p"/>
          </m:rPr>
          <w:rPr>
            <w:rFonts w:ascii="Cambria Math" w:hAnsi="Cambria Math"/>
          </w:rPr>
          <m:t>-</m:t>
        </m:r>
        <m:r>
          <w:rPr>
            <w:rFonts w:ascii="Cambria Math" w:hAnsi="Cambria Math"/>
          </w:rPr>
          <m:t>1</m:t>
        </m:r>
      </m:oMath>
      <w:r>
        <w:t xml:space="preserve">; independent averaging divides variance by </w:t>
      </w:r>
      <m:oMath>
        <m:r>
          <w:rPr>
            <w:rFonts w:ascii="Cambria Math" w:hAnsi="Cambria Math"/>
          </w:rPr>
          <m:t>M</m:t>
        </m:r>
      </m:oMath>
      <w:r>
        <w:t xml:space="preserve">. </w:t>
      </w:r>
      <m:oMath>
        <m:r>
          <m:rPr>
            <m:sty m:val="p"/>
          </m:rPr>
          <w:rPr>
            <w:rFonts w:ascii="Cambria Math" w:hAnsi="Cambria Math"/>
          </w:rPr>
          <m:t>▫</m:t>
        </m:r>
      </m:oMath>
    </w:p>
    <w:p w14:paraId="20B2F528" w14:textId="77777777" w:rsidR="007672C2" w:rsidRDefault="00000000">
      <w:pPr>
        <w:pStyle w:val="BodyText"/>
        <w:rPr>
          <w:rFonts w:hint="eastAsia"/>
        </w:rPr>
      </w:pPr>
      <w:r>
        <w:lastRenderedPageBreak/>
        <w:t xml:space="preserve">This law is exact for the stated independent Gaussian features. It is not a bound on normalized retrieval error and is not automatically the variance law of orthogonal-feature variants such as FAVOR+ [9]. At fixed uncentered </w:t>
      </w:r>
      <m:oMath>
        <m:r>
          <w:rPr>
            <w:rFonts w:ascii="Cambria Math" w:hAnsi="Cambria Math"/>
          </w:rPr>
          <m:t>q</m:t>
        </m:r>
        <m:r>
          <m:rPr>
            <m:sty m:val="p"/>
          </m:rPr>
          <w:rPr>
            <w:rFonts w:ascii="Cambria Math" w:hAnsi="Cambria Math"/>
          </w:rPr>
          <m:t>,</m:t>
        </m:r>
        <m:r>
          <w:rPr>
            <w:rFonts w:ascii="Cambria Math" w:hAnsi="Cambria Math"/>
          </w:rPr>
          <m:t>y</m:t>
        </m:r>
      </m:oMath>
      <w:r>
        <w:t xml:space="preserve">,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oMath>
      <w:r>
        <w:t xml:space="preserve"> can grow rapidly. In a moving population, the numerator can shrink too. Therefore narrow bandwidth alone does not imply impractical feature counts for every implementation.</w:t>
      </w:r>
    </w:p>
    <w:p w14:paraId="0C73C538" w14:textId="77777777" w:rsidR="007672C2" w:rsidRDefault="00000000">
      <w:pPr>
        <w:pStyle w:val="Heading2"/>
        <w:rPr>
          <w:rFonts w:hint="eastAsia"/>
        </w:rPr>
      </w:pPr>
      <w:bookmarkStart w:id="19" w:name="X0724a649b1ee966e329eedfa2d90d30f2a7e311"/>
      <w:bookmarkEnd w:id="18"/>
      <w:r>
        <w:t>5.3 A ratio aware covariance formula and bound</w:t>
      </w:r>
    </w:p>
    <w:p w14:paraId="5061A5F9" w14:textId="77777777" w:rsidR="007672C2" w:rsidRDefault="00000000">
      <w:pPr>
        <w:pStyle w:val="FirstParagraph"/>
        <w:rPr>
          <w:rFonts w:hint="eastAsia"/>
        </w:rPr>
      </w:pPr>
      <w:r>
        <w:t xml:space="preserve">Fix one query, one memory and one schedule. Write </w:t>
      </w:r>
      <m:oMath>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u</m:t>
                </m:r>
              </m:e>
              <m:sup>
                <m:r>
                  <m:rPr>
                    <m:sty m:val="p"/>
                  </m:rPr>
                  <w:rPr>
                    <w:rFonts w:ascii="Cambria Math" w:hAnsi="Cambria Math"/>
                  </w:rPr>
                  <m:t>⊤</m:t>
                </m:r>
              </m:sup>
            </m:sSup>
            <m:sSub>
              <m:sSubPr>
                <m:ctrlPr>
                  <w:rPr>
                    <w:rFonts w:ascii="Cambria Math" w:hAnsi="Cambria Math"/>
                  </w:rPr>
                </m:ctrlPr>
              </m:sSubPr>
              <m:e>
                <m:r>
                  <w:rPr>
                    <w:rFonts w:ascii="Cambria Math" w:hAnsi="Cambria Math"/>
                  </w:rPr>
                  <m:t>v</m:t>
                </m:r>
              </m:e>
              <m:sub>
                <m:r>
                  <w:rPr>
                    <w:rFonts w:ascii="Cambria Math" w:hAnsi="Cambria Math"/>
                  </w:rPr>
                  <m:t>j</m:t>
                </m:r>
              </m:sub>
            </m:sSub>
          </m:sup>
        </m:sSup>
      </m:oMath>
      <w:r>
        <w:t xml:space="preserve">, </w:t>
      </w:r>
      <m:oMath>
        <m:r>
          <w:rPr>
            <w:rFonts w:ascii="Cambria Math" w:hAnsi="Cambria Math"/>
          </w:rPr>
          <m:t>Z</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j</m:t>
                </m:r>
              </m:sub>
            </m:sSub>
          </m:e>
        </m:nary>
      </m:oMath>
      <w:r>
        <w:t xml:space="preserve">,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j</m:t>
                </m:r>
              </m:sub>
            </m:sSub>
          </m:e>
        </m:nary>
        <m:sSub>
          <m:sSubPr>
            <m:ctrlPr>
              <w:rPr>
                <w:rFonts w:ascii="Cambria Math" w:hAnsi="Cambria Math"/>
              </w:rPr>
            </m:ctrlPr>
          </m:sSubPr>
          <m:e>
            <m:r>
              <w:rPr>
                <w:rFonts w:ascii="Cambria Math" w:hAnsi="Cambria Math"/>
              </w:rPr>
              <m:t>y</m:t>
            </m:r>
          </m:e>
          <m:sub>
            <m:r>
              <w:rPr>
                <w:rFonts w:ascii="Cambria Math" w:hAnsi="Cambria Math"/>
              </w:rPr>
              <m:t>j</m:t>
            </m:r>
          </m:sub>
        </m:sSub>
      </m:oMath>
      <w:r>
        <w:t xml:space="preserve">, and define a single-feature contribution </w:t>
      </w:r>
      <m:oMath>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ω</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sSub>
          <m:sSubPr>
            <m:ctrlPr>
              <w:rPr>
                <w:rFonts w:ascii="Cambria Math" w:hAnsi="Cambria Math"/>
              </w:rPr>
            </m:ctrlPr>
          </m:sSubPr>
          <m:e>
            <m:r>
              <w:rPr>
                <w:rFonts w:ascii="Cambria Math" w:hAnsi="Cambria Math"/>
              </w:rPr>
              <m:t>ψ</m:t>
            </m:r>
          </m:e>
          <m:sub>
            <m:r>
              <w:rPr>
                <w:rFonts w:ascii="Cambria Math" w:hAnsi="Cambria Math"/>
              </w:rPr>
              <m:t>ω</m:t>
            </m:r>
          </m:sub>
        </m:sSub>
        <m:d>
          <m:dPr>
            <m:ctrlPr>
              <w:rPr>
                <w:rFonts w:ascii="Cambria Math" w:hAnsi="Cambria Math"/>
              </w:rPr>
            </m:ctrlPr>
          </m:dPr>
          <m:e>
            <m:r>
              <w:rPr>
                <w:rFonts w:ascii="Cambria Math" w:hAnsi="Cambria Math"/>
              </w:rPr>
              <m:t>u</m:t>
            </m:r>
          </m:e>
        </m:d>
        <m:sSub>
          <m:sSubPr>
            <m:ctrlPr>
              <w:rPr>
                <w:rFonts w:ascii="Cambria Math" w:hAnsi="Cambria Math"/>
              </w:rPr>
            </m:ctrlPr>
          </m:sSubPr>
          <m:e>
            <m:r>
              <w:rPr>
                <w:rFonts w:ascii="Cambria Math" w:hAnsi="Cambria Math"/>
              </w:rPr>
              <m:t>ψ</m:t>
            </m:r>
          </m:e>
          <m:sub>
            <m:r>
              <w:rPr>
                <w:rFonts w:ascii="Cambria Math" w:hAnsi="Cambria Math"/>
              </w:rPr>
              <m:t>ω</m:t>
            </m:r>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e>
        </m:d>
      </m:oMath>
      <w:r>
        <w:t>.</w:t>
      </w:r>
    </w:p>
    <w:p w14:paraId="4D2916E0" w14:textId="77777777" w:rsidR="007672C2" w:rsidRDefault="00000000">
      <w:pPr>
        <w:pStyle w:val="BodyText"/>
        <w:keepNext/>
        <w:keepLines/>
        <w:rPr>
          <w:rFonts w:hint="eastAsia"/>
        </w:rPr>
      </w:pPr>
      <w:r>
        <w:rPr>
          <w:b/>
          <w:bCs/>
        </w:rPr>
        <w:t>Theorem 10 — Shared feature covariance.</w:t>
      </w:r>
      <w:r>
        <w:t xml:space="preserve"> For </w:t>
      </w:r>
      <m:oMath>
        <m:sSub>
          <m:sSubPr>
            <m:ctrlPr>
              <w:rPr>
                <w:rFonts w:ascii="Cambria Math" w:hAnsi="Cambria Math"/>
              </w:rPr>
            </m:ctrlPr>
          </m:sSubPr>
          <m:e>
            <m:r>
              <w:rPr>
                <w:rFonts w:ascii="Cambria Math" w:hAnsi="Cambria Math"/>
              </w:rPr>
              <m:t>G</m:t>
            </m:r>
          </m:e>
          <m:sub>
            <m:r>
              <w:rPr>
                <w:rFonts w:ascii="Cambria Math" w:hAnsi="Cambria Math"/>
              </w:rPr>
              <m:t>j</m:t>
            </m:r>
            <m:r>
              <m:rPr>
                <m:scr m:val="script"/>
                <m:sty m:val="p"/>
              </m:rPr>
              <w:rPr>
                <w:rFonts w:ascii="Cambria Math" w:hAnsi="Cambria Math"/>
              </w:rPr>
              <m:t>l</m:t>
            </m:r>
          </m:sub>
        </m:sSub>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cr m:val="script"/>
                    <m:sty m:val="p"/>
                  </m:rPr>
                  <w:rPr>
                    <w:rFonts w:ascii="Cambria Math" w:hAnsi="Cambria Math"/>
                  </w:rPr>
                  <m:t>l</m:t>
                </m:r>
              </m:sub>
            </m:sSub>
          </m:e>
        </m:d>
      </m:oMath>
      <w:r>
        <w:t>,</w:t>
      </w:r>
    </w:p>
    <w:p w14:paraId="3C5F6BE9"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j</m:t>
              </m:r>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sSub>
            <m:sSubPr>
              <m:ctrlPr>
                <w:rPr>
                  <w:rFonts w:ascii="Cambria Math" w:hAnsi="Cambria Math"/>
                </w:rPr>
              </m:ctrlPr>
            </m:sSubPr>
            <m:e>
              <m:r>
                <w:rPr>
                  <w:rFonts w:ascii="Cambria Math" w:hAnsi="Cambria Math"/>
                </w:rPr>
                <m:t>s</m:t>
              </m:r>
            </m:e>
            <m:sub>
              <m:r>
                <m:rPr>
                  <m:scr m:val="script"/>
                  <m:sty m:val="p"/>
                </m:rPr>
                <w:rPr>
                  <w:rFonts w:ascii="Cambria Math" w:hAnsi="Cambria Math"/>
                </w:rPr>
                <m:t>l</m:t>
              </m:r>
            </m:sub>
          </m:sSub>
          <m:r>
            <m:rPr>
              <m:sty m:val="p"/>
            </m:rPr>
            <w:rPr>
              <w:rFonts w:ascii="Cambria Math" w:hAnsi="Cambria Math"/>
            </w:rPr>
            <m:t>[exp{</m:t>
          </m:r>
          <m:sSup>
            <m:sSupPr>
              <m:ctrlPr>
                <w:rPr>
                  <w:rFonts w:ascii="Cambria Math" w:hAnsi="Cambria Math"/>
                </w:rPr>
              </m:ctrlPr>
            </m:sSupPr>
            <m:e>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e>
              </m:d>
            </m:e>
            <m:sup>
              <m:r>
                <m:rPr>
                  <m:sty m:val="p"/>
                </m:rPr>
                <w:rPr>
                  <w:rFonts w:ascii="Cambria Math" w:hAnsi="Cambria Math"/>
                </w:rPr>
                <m:t>⊤</m:t>
              </m:r>
            </m:sup>
          </m:sSup>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m:rPr>
                      <m:scr m:val="script"/>
                      <m:sty m:val="p"/>
                    </m:rPr>
                    <w:rPr>
                      <w:rFonts w:ascii="Cambria Math" w:hAnsi="Cambria Math"/>
                    </w:rPr>
                    <m:t>l</m:t>
                  </m:r>
                </m:sub>
              </m:sSub>
            </m:e>
          </m:d>
          <m:r>
            <m:rPr>
              <m:sty m:val="p"/>
            </m:rPr>
            <w:rPr>
              <w:rFonts w:ascii="Cambria Math" w:hAnsi="Cambria Math"/>
            </w:rPr>
            <m:t>}-</m:t>
          </m:r>
          <m:r>
            <w:rPr>
              <w:rFonts w:ascii="Cambria Math" w:hAnsi="Cambria Math"/>
            </w:rPr>
            <m:t>1</m:t>
          </m:r>
          <m:r>
            <m:rPr>
              <m:sty m:val="p"/>
            </m:rPr>
            <w:rPr>
              <w:rFonts w:ascii="Cambria Math" w:hAnsi="Cambria Math"/>
            </w:rPr>
            <m:t>].</m:t>
          </m:r>
          <m:r>
            <m:rPr>
              <m:nor/>
            </m:rPr>
            <m:t>    (24)</m:t>
          </m:r>
        </m:oMath>
      </m:oMathPara>
    </w:p>
    <w:p w14:paraId="33BBAFFF" w14:textId="77777777" w:rsidR="007672C2" w:rsidRDefault="00000000">
      <w:pPr>
        <w:pStyle w:val="FirstParagraph"/>
        <w:keepNext/>
        <w:rPr>
          <w:rFonts w:hint="eastAsia"/>
        </w:rPr>
      </w:pPr>
      <w:r>
        <w:t xml:space="preserve">Consequently, with </w:t>
      </w:r>
      <m:oMath>
        <m:sSub>
          <m:sSubPr>
            <m:ctrlPr>
              <w:rPr>
                <w:rFonts w:ascii="Cambria Math" w:hAnsi="Cambria Math"/>
              </w:rPr>
            </m:ctrlPr>
          </m:sSubPr>
          <m:e>
            <m:r>
              <w:rPr>
                <w:rFonts w:ascii="Cambria Math" w:hAnsi="Cambria Math"/>
              </w:rPr>
              <m:t>Z</m:t>
            </m:r>
          </m:e>
          <m:sub>
            <m:r>
              <w:rPr>
                <w:rFonts w:ascii="Cambria Math" w:hAnsi="Cambria Math"/>
              </w:rPr>
              <m:t>ω</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j</m:t>
                </m:r>
              </m:sub>
            </m:sSub>
          </m:e>
        </m:nary>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ω</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j</m:t>
                </m:r>
              </m:sub>
            </m:sSub>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m</m:t>
            </m:r>
          </m:e>
        </m:d>
      </m:oMath>
      <w:r>
        <w:t>,</w:t>
      </w:r>
    </w:p>
    <w:p w14:paraId="425BA81F" w14:textId="77777777" w:rsidR="007672C2" w:rsidRDefault="00000000">
      <w:pPr>
        <w:pStyle w:val="BodyText"/>
        <w:keepLines/>
        <w:spacing w:before="60" w:after="120"/>
        <w:jc w:val="center"/>
        <w:rPr>
          <w:rFonts w:hint="eastAsia"/>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Z</m:t>
                    </m:r>
                  </m:sub>
                </m:sSub>
              </m:e>
              <m:e>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ω</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cr m:val="script"/>
                        <m:sty m:val="p"/>
                      </m:rP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j</m:t>
                        </m:r>
                        <m:r>
                          <m:rPr>
                            <m:scr m:val="script"/>
                            <m:sty m:val="p"/>
                          </m:rPr>
                          <w:rPr>
                            <w:rFonts w:ascii="Cambria Math" w:hAnsi="Cambria Math"/>
                          </w:rPr>
                          <m:t>l</m:t>
                        </m:r>
                      </m:sub>
                    </m:sSub>
                  </m:e>
                </m:nary>
                <m:r>
                  <m:rPr>
                    <m:sty m:val="p"/>
                  </m:rPr>
                  <w:rPr>
                    <w:rFonts w:ascii="Cambria Math" w:hAnsi="Cambria Math"/>
                  </w:rPr>
                  <m:t>,</m:t>
                </m:r>
              </m:e>
            </m:mr>
            <m:mr>
              <m:e>
                <m:sSub>
                  <m:sSubPr>
                    <m:ctrlPr>
                      <w:rPr>
                        <w:rFonts w:ascii="Cambria Math" w:hAnsi="Cambria Math"/>
                      </w:rPr>
                    </m:ctrlPr>
                  </m:sSubPr>
                  <m:e>
                    <m:r>
                      <w:rPr>
                        <w:rFonts w:ascii="Cambria Math" w:hAnsi="Cambria Math"/>
                      </w:rPr>
                      <m:t>V</m:t>
                    </m:r>
                  </m:e>
                  <m:sub>
                    <m:r>
                      <w:rPr>
                        <w:rFonts w:ascii="Cambria Math" w:hAnsi="Cambria Math"/>
                      </w:rPr>
                      <m:t>H</m:t>
                    </m:r>
                  </m:sub>
                </m:sSub>
              </m:e>
              <m:e>
                <m:r>
                  <m:rPr>
                    <m:scr m:val="double-struck"/>
                    <m:sty m:val="p"/>
                  </m:rP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ω</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cr m:val="script"/>
                        <m:sty m:val="p"/>
                      </m:rP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j</m:t>
                        </m:r>
                        <m:r>
                          <m:rPr>
                            <m:scr m:val="script"/>
                            <m:sty m:val="p"/>
                          </m:rPr>
                          <w:rPr>
                            <w:rFonts w:ascii="Cambria Math" w:hAnsi="Cambria Math"/>
                          </w:rPr>
                          <m:t>l</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m</m:t>
                        </m:r>
                      </m:e>
                    </m:d>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y</m:t>
                        </m:r>
                      </m:e>
                      <m:sub>
                        <m:r>
                          <m:rPr>
                            <m:scr m:val="script"/>
                            <m:sty m:val="p"/>
                          </m:rPr>
                          <w:rPr>
                            <w:rFonts w:ascii="Cambria Math" w:hAnsi="Cambria Math"/>
                          </w:rPr>
                          <m:t>l</m:t>
                        </m:r>
                      </m:sub>
                    </m:sSub>
                    <m:r>
                      <m:rPr>
                        <m:sty m:val="p"/>
                      </m:rPr>
                      <w:rPr>
                        <w:rFonts w:ascii="Cambria Math" w:hAnsi="Cambria Math"/>
                      </w:rPr>
                      <m:t>-</m:t>
                    </m:r>
                    <m:r>
                      <w:rPr>
                        <w:rFonts w:ascii="Cambria Math" w:hAnsi="Cambria Math"/>
                      </w:rPr>
                      <m:t>m</m:t>
                    </m:r>
                  </m:e>
                </m:d>
                <m:r>
                  <m:rPr>
                    <m:sty m:val="p"/>
                  </m:rPr>
                  <w:rPr>
                    <w:rFonts w:ascii="Cambria Math" w:hAnsi="Cambria Math"/>
                  </w:rPr>
                  <m:t>.</m:t>
                </m:r>
              </m:e>
            </m:mr>
          </m:m>
          <m:r>
            <m:rPr>
              <m:nor/>
            </m:rPr>
            <m:t>    (25)</m:t>
          </m:r>
        </m:oMath>
      </m:oMathPara>
    </w:p>
    <w:p w14:paraId="514D88F9" w14:textId="77777777" w:rsidR="007672C2" w:rsidRDefault="00000000">
      <w:pPr>
        <w:pStyle w:val="FirstParagraph"/>
        <w:rPr>
          <w:rFonts w:hint="eastAsia"/>
        </w:rPr>
      </w:pPr>
      <w:r>
        <w:rPr>
          <w:b/>
          <w:bCs/>
        </w:rPr>
        <w:t>Proof.</w:t>
      </w:r>
      <w:r>
        <w:t xml:space="preserve"> The Gaussian exponential moment of the product </w:t>
      </w:r>
      <m:oMath>
        <m:sSub>
          <m:sSubPr>
            <m:ctrlPr>
              <w:rPr>
                <w:rFonts w:ascii="Cambria Math" w:hAnsi="Cambria Math"/>
              </w:rPr>
            </m:ctrlPr>
          </m:sSubPr>
          <m:e>
            <m:r>
              <w:rPr>
                <w:rFonts w:ascii="Cambria Math" w:hAnsi="Cambria Math"/>
              </w:rPr>
              <m:t>F</m:t>
            </m:r>
          </m:e>
          <m:sub>
            <m:r>
              <w:rPr>
                <w:rFonts w:ascii="Cambria Math" w:hAnsi="Cambria Math"/>
              </w:rPr>
              <m:t>j</m:t>
            </m:r>
          </m:sub>
        </m:sSub>
        <m:sSub>
          <m:sSubPr>
            <m:ctrlPr>
              <w:rPr>
                <w:rFonts w:ascii="Cambria Math" w:hAnsi="Cambria Math"/>
              </w:rPr>
            </m:ctrlPr>
          </m:sSubPr>
          <m:e>
            <m:r>
              <w:rPr>
                <w:rFonts w:ascii="Cambria Math" w:hAnsi="Cambria Math"/>
              </w:rPr>
              <m:t>F</m:t>
            </m:r>
          </m:e>
          <m:sub>
            <m:r>
              <m:rPr>
                <m:scr m:val="script"/>
                <m:sty m:val="p"/>
              </m:rPr>
              <w:rPr>
                <w:rFonts w:ascii="Cambria Math" w:hAnsi="Cambria Math"/>
              </w:rPr>
              <m:t>l</m:t>
            </m:r>
          </m:sub>
        </m:sSub>
      </m:oMath>
      <w:r>
        <w:t xml:space="preserve"> divided by </w:t>
      </w:r>
      <m:oMath>
        <m:sSub>
          <m:sSubPr>
            <m:ctrlPr>
              <w:rPr>
                <w:rFonts w:ascii="Cambria Math" w:hAnsi="Cambria Math"/>
              </w:rPr>
            </m:ctrlPr>
          </m:sSubPr>
          <m:e>
            <m:r>
              <w:rPr>
                <w:rFonts w:ascii="Cambria Math" w:hAnsi="Cambria Math"/>
              </w:rPr>
              <m:t>s</m:t>
            </m:r>
          </m:e>
          <m:sub>
            <m:r>
              <w:rPr>
                <w:rFonts w:ascii="Cambria Math" w:hAnsi="Cambria Math"/>
              </w:rPr>
              <m:t>j</m:t>
            </m:r>
          </m:sub>
        </m:sSub>
        <m:sSub>
          <m:sSubPr>
            <m:ctrlPr>
              <w:rPr>
                <w:rFonts w:ascii="Cambria Math" w:hAnsi="Cambria Math"/>
              </w:rPr>
            </m:ctrlPr>
          </m:sSubPr>
          <m:e>
            <m:r>
              <w:rPr>
                <w:rFonts w:ascii="Cambria Math" w:hAnsi="Cambria Math"/>
              </w:rPr>
              <m:t>s</m:t>
            </m:r>
          </m:e>
          <m:sub>
            <m:r>
              <m:rPr>
                <m:scr m:val="script"/>
                <m:sty m:val="p"/>
              </m:rPr>
              <w:rPr>
                <w:rFonts w:ascii="Cambria Math" w:hAnsi="Cambria Math"/>
              </w:rPr>
              <m:t>l</m:t>
            </m:r>
          </m:sub>
        </m:sSub>
      </m:oMath>
      <w:r>
        <w:t xml:space="preserve"> is </w:t>
      </w:r>
      <m:oMath>
        <m:r>
          <m:rPr>
            <m:sty m:val="p"/>
          </m:rPr>
          <w:rPr>
            <w:rFonts w:ascii="Cambria Math" w:hAnsi="Cambria Math"/>
          </w:rPr>
          <m:t>exp{</m:t>
        </m:r>
        <m:sSup>
          <m:sSupPr>
            <m:ctrlPr>
              <w:rPr>
                <w:rFonts w:ascii="Cambria Math" w:hAnsi="Cambria Math"/>
              </w:rPr>
            </m:ctrlPr>
          </m:sSupPr>
          <m:e>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e>
            </m:d>
          </m:e>
          <m:sup>
            <m:r>
              <m:rPr>
                <m:sty m:val="p"/>
              </m:rPr>
              <w:rPr>
                <w:rFonts w:ascii="Cambria Math" w:hAnsi="Cambria Math"/>
              </w:rPr>
              <m:t>⊤</m:t>
            </m:r>
          </m:sup>
        </m:sSup>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v</m:t>
                </m:r>
              </m:e>
              <m:sub>
                <m:r>
                  <m:rPr>
                    <m:scr m:val="script"/>
                    <m:sty m:val="p"/>
                  </m:rPr>
                  <w:rPr>
                    <w:rFonts w:ascii="Cambria Math" w:hAnsi="Cambria Math"/>
                  </w:rPr>
                  <m:t>l</m:t>
                </m:r>
              </m:sub>
            </m:sSub>
          </m:e>
        </m:d>
        <m:r>
          <m:rPr>
            <m:sty m:val="p"/>
          </m:rPr>
          <w:rPr>
            <w:rFonts w:ascii="Cambria Math" w:hAnsi="Cambria Math"/>
          </w:rPr>
          <m:t>}</m:t>
        </m:r>
      </m:oMath>
      <w:r>
        <w:t xml:space="preserve">. Subtract the product of means. Summation gives the first variance. Since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H</m:t>
            </m:r>
          </m:e>
          <m:sub>
            <m:r>
              <w:rPr>
                <w:rFonts w:ascii="Cambria Math" w:hAnsi="Cambria Math"/>
              </w:rPr>
              <m:t>ω</m:t>
            </m:r>
          </m:sub>
        </m:sSub>
        <m:r>
          <m:rPr>
            <m:sty m:val="p"/>
          </m:rPr>
          <w:rPr>
            <w:rFonts w:ascii="Cambria Math" w:hAnsi="Cambria Math"/>
          </w:rPr>
          <m:t>=</m:t>
        </m:r>
        <m:r>
          <w:rPr>
            <w:rFonts w:ascii="Cambria Math" w:hAnsi="Cambria Math"/>
          </w:rPr>
          <m:t>0</m:t>
        </m:r>
      </m:oMath>
      <w:r>
        <w:t xml:space="preserve">, expansion of its squared norm gives the second expression. </w:t>
      </w:r>
      <m:oMath>
        <m:r>
          <m:rPr>
            <m:sty m:val="p"/>
          </m:rPr>
          <w:rPr>
            <w:rFonts w:ascii="Cambria Math" w:hAnsi="Cambria Math"/>
          </w:rPr>
          <m:t>▫</m:t>
        </m:r>
      </m:oMath>
    </w:p>
    <w:p w14:paraId="268C9EE3" w14:textId="77777777" w:rsidR="007672C2" w:rsidRDefault="00000000">
      <w:pPr>
        <w:pStyle w:val="BodyText"/>
        <w:keepNext/>
        <w:rPr>
          <w:rFonts w:hint="eastAsia"/>
        </w:rPr>
      </w:pPr>
      <w:r>
        <w:t xml:space="preserve">The feature approximation satisfies the exact identity </w:t>
      </w:r>
      <m:oMath>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M</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H</m:t>
                </m:r>
              </m:e>
            </m:bar>
          </m:e>
          <m:sub>
            <m:r>
              <w:rPr>
                <w:rFonts w:ascii="Cambria Math" w:hAnsi="Cambria Math"/>
              </w:rPr>
              <m:t>M</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M</m:t>
            </m:r>
          </m:sub>
        </m:sSub>
      </m:oMath>
      <w:r>
        <w:t xml:space="preserve">. For </w:t>
      </w:r>
      <m:oMath>
        <m:r>
          <w:rPr>
            <w:rFonts w:ascii="Cambria Math" w:hAnsi="Cambria Math"/>
          </w:rPr>
          <m:t>0</m:t>
        </m:r>
        <m:r>
          <m:rPr>
            <m:sty m:val="p"/>
          </m:rPr>
          <w:rPr>
            <w:rFonts w:ascii="Cambria Math" w:hAnsi="Cambria Math"/>
          </w:rPr>
          <m:t>&lt;</m:t>
        </m:r>
        <m:r>
          <w:rPr>
            <w:rFonts w:ascii="Cambria Math" w:hAnsi="Cambria Math"/>
          </w:rPr>
          <m:t>γ</m:t>
        </m:r>
        <m:r>
          <m:rPr>
            <m:sty m:val="p"/>
          </m:rPr>
          <w:rPr>
            <w:rFonts w:ascii="Cambria Math" w:hAnsi="Cambria Math"/>
          </w:rPr>
          <m:t>&lt;</m:t>
        </m:r>
        <m:r>
          <w:rPr>
            <w:rFonts w:ascii="Cambria Math" w:hAnsi="Cambria Math"/>
          </w:rPr>
          <m:t>1</m:t>
        </m:r>
      </m:oMath>
      <w:r>
        <w:t xml:space="preserve"> and error tolerance </w:t>
      </w:r>
      <m:oMath>
        <m:r>
          <w:rPr>
            <w:rFonts w:ascii="Cambria Math" w:hAnsi="Cambria Math"/>
          </w:rPr>
          <m:t>ϵ</m:t>
        </m:r>
        <m:r>
          <m:rPr>
            <m:sty m:val="p"/>
          </m:rPr>
          <w:rPr>
            <w:rFonts w:ascii="Cambria Math" w:hAnsi="Cambria Math"/>
          </w:rPr>
          <m:t>&gt;</m:t>
        </m:r>
        <m:r>
          <w:rPr>
            <w:rFonts w:ascii="Cambria Math" w:hAnsi="Cambria Math"/>
          </w:rPr>
          <m:t>0</m:t>
        </m:r>
      </m:oMath>
      <w:r>
        <w:t>, Chebyshev and the second-moment Markov bound give</w:t>
      </w:r>
    </w:p>
    <w:p w14:paraId="7BB8298D" w14:textId="77777777" w:rsidR="007672C2" w:rsidRDefault="00000000">
      <w:pPr>
        <w:pStyle w:val="BodyText"/>
        <w:keepLines/>
        <w:spacing w:before="60" w:after="120"/>
        <w:jc w:val="center"/>
        <w:rPr>
          <w:rFonts w:hint="eastAsia"/>
        </w:rPr>
      </w:pPr>
      <m:oMathPara>
        <m:oMathParaPr>
          <m:jc m:val="center"/>
        </m:oMathParaPr>
        <m:oMath>
          <m:r>
            <w:rPr>
              <w:rFonts w:ascii="Cambria Math" w:hAnsi="Cambria Math"/>
            </w:rPr>
            <m:t>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M</m:t>
                  </m:r>
                </m:sub>
              </m:sSub>
              <m:r>
                <m:rPr>
                  <m:sty m:val="p"/>
                </m:rPr>
                <w:rPr>
                  <w:rFonts w:ascii="Cambria Math" w:hAnsi="Cambria Math"/>
                </w:rPr>
                <m:t>-</m:t>
              </m:r>
              <m:r>
                <w:rPr>
                  <w:rFonts w:ascii="Cambria Math" w:hAnsi="Cambria Math"/>
                </w:rPr>
                <m:t>m</m:t>
              </m:r>
              <m:r>
                <m:rPr>
                  <m:sty m:val="p"/>
                </m:rPr>
                <w:rPr>
                  <w:rFonts w:ascii="Cambria Math" w:hAnsi="Cambria Math"/>
                </w:rPr>
                <m:t>∥&gt;</m:t>
              </m:r>
              <m:r>
                <w:rPr>
                  <w:rFonts w:ascii="Cambria Math" w:hAnsi="Cambria Math"/>
                </w:rPr>
                <m:t>ϵ</m:t>
              </m:r>
            </m:e>
          </m:d>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Z</m:t>
                      </m:r>
                    </m:sub>
                  </m:sSub>
                </m:num>
                <m:den>
                  <m:r>
                    <w:rPr>
                      <w:rFonts w:ascii="Cambria Math" w:hAnsi="Cambria Math"/>
                    </w:rPr>
                    <m:t>M</m:t>
                  </m:r>
                  <m:sSup>
                    <m:sSupPr>
                      <m:ctrlPr>
                        <w:rPr>
                          <w:rFonts w:ascii="Cambria Math" w:hAnsi="Cambria Math"/>
                        </w:rPr>
                      </m:ctrlPr>
                    </m:sSupPr>
                    <m:e>
                      <m:r>
                        <w:rPr>
                          <w:rFonts w:ascii="Cambria Math" w:hAnsi="Cambria Math"/>
                        </w:rPr>
                        <m:t>γ</m:t>
                      </m:r>
                    </m:e>
                    <m:sup>
                      <m:r>
                        <w:rPr>
                          <w:rFonts w:ascii="Cambria Math" w:hAnsi="Cambria Math"/>
                        </w:rPr>
                        <m:t>2</m:t>
                      </m:r>
                    </m:sup>
                  </m:sSup>
                  <m:sSup>
                    <m:sSupPr>
                      <m:ctrlPr>
                        <w:rPr>
                          <w:rFonts w:ascii="Cambria Math" w:hAnsi="Cambria Math"/>
                        </w:rPr>
                      </m:ctrlPr>
                    </m:sSupPr>
                    <m:e>
                      <m:r>
                        <w:rPr>
                          <w:rFonts w:ascii="Cambria Math" w:hAnsi="Cambria Math"/>
                        </w:rPr>
                        <m:t>Z</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H</m:t>
                      </m:r>
                    </m:sub>
                  </m:sSub>
                </m:num>
                <m:den>
                  <m:r>
                    <w:rPr>
                      <w:rFonts w:ascii="Cambria Math" w:hAnsi="Cambria Math"/>
                    </w:rPr>
                    <m:t>M</m:t>
                  </m:r>
                  <m:sSup>
                    <m:sSupPr>
                      <m:ctrlPr>
                        <w:rPr>
                          <w:rFonts w:ascii="Cambria Math" w:hAnsi="Cambria Math"/>
                        </w:rPr>
                      </m:ctrlPr>
                    </m:sSupPr>
                    <m:e>
                      <m:r>
                        <w:rPr>
                          <w:rFonts w:ascii="Cambria Math" w:hAnsi="Cambria Math"/>
                        </w:rPr>
                        <m:t>ϵ</m:t>
                      </m:r>
                    </m:e>
                    <m:sup>
                      <m:r>
                        <w:rPr>
                          <w:rFonts w:ascii="Cambria Math" w:hAnsi="Cambria Math"/>
                        </w:rPr>
                        <m:t>2</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e>
                      </m:d>
                    </m:e>
                    <m:sup>
                      <m:r>
                        <w:rPr>
                          <w:rFonts w:ascii="Cambria Math" w:hAnsi="Cambria Math"/>
                        </w:rPr>
                        <m:t>2</m:t>
                      </m:r>
                    </m:sup>
                  </m:sSup>
                  <m:sSup>
                    <m:sSupPr>
                      <m:ctrlPr>
                        <w:rPr>
                          <w:rFonts w:ascii="Cambria Math" w:hAnsi="Cambria Math"/>
                        </w:rPr>
                      </m:ctrlPr>
                    </m:sSupPr>
                    <m:e>
                      <m:r>
                        <w:rPr>
                          <w:rFonts w:ascii="Cambria Math" w:hAnsi="Cambria Math"/>
                        </w:rPr>
                        <m:t>Z</m:t>
                      </m:r>
                    </m:e>
                    <m:sup>
                      <m:r>
                        <w:rPr>
                          <w:rFonts w:ascii="Cambria Math" w:hAnsi="Cambria Math"/>
                        </w:rPr>
                        <m:t>2</m:t>
                      </m:r>
                    </m:sup>
                  </m:sSup>
                </m:den>
              </m:f>
            </m:e>
          </m:d>
          <m:r>
            <m:rPr>
              <m:sty m:val="p"/>
            </m:rPr>
            <w:rPr>
              <w:rFonts w:ascii="Cambria Math" w:hAnsi="Cambria Math"/>
            </w:rPr>
            <m:t>.</m:t>
          </m:r>
          <m:r>
            <m:rPr>
              <m:nor/>
            </m:rPr>
            <m:t>    (26)</m:t>
          </m:r>
        </m:oMath>
      </m:oMathPara>
    </w:p>
    <w:p w14:paraId="631F042D" w14:textId="77777777" w:rsidR="007672C2" w:rsidRDefault="00000000">
      <w:pPr>
        <w:pStyle w:val="FirstParagraph"/>
        <w:rPr>
          <w:rFonts w:hint="eastAsia"/>
        </w:rPr>
      </w:pPr>
      <w:r>
        <w:rPr>
          <w:b/>
          <w:bCs/>
        </w:rPr>
        <w:t>Derivation.</w:t>
      </w:r>
      <w:r>
        <w:t xml:space="preserve"> Outside the event </w:t>
      </w:r>
      <m:oMath>
        <m:d>
          <m:dPr>
            <m:begChr m:val="|"/>
            <m:endChr m:val="|"/>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M</m:t>
                </m:r>
              </m:sub>
            </m:sSub>
            <m:r>
              <m:rPr>
                <m:sty m:val="p"/>
              </m:rPr>
              <w:rPr>
                <w:rFonts w:ascii="Cambria Math" w:hAnsi="Cambria Math"/>
              </w:rPr>
              <m:t>-</m:t>
            </m:r>
            <m:r>
              <w:rPr>
                <w:rFonts w:ascii="Cambria Math" w:hAnsi="Cambria Math"/>
              </w:rPr>
              <m:t>Z</m:t>
            </m:r>
          </m:e>
        </m:d>
        <m:r>
          <m:rPr>
            <m:sty m:val="p"/>
          </m:rPr>
          <w:rPr>
            <w:rFonts w:ascii="Cambria Math" w:hAnsi="Cambria Math"/>
          </w:rPr>
          <m:t>&gt;</m:t>
        </m:r>
        <m:r>
          <w:rPr>
            <w:rFonts w:ascii="Cambria Math" w:hAnsi="Cambria Math"/>
          </w:rPr>
          <m:t>γZ</m:t>
        </m:r>
      </m:oMath>
      <w:r>
        <w:t xml:space="preserve">, the denominator is at least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e>
        </m:d>
        <m:r>
          <w:rPr>
            <w:rFonts w:ascii="Cambria Math" w:hAnsi="Cambria Math"/>
          </w:rPr>
          <m:t>Z</m:t>
        </m:r>
      </m:oMath>
      <w:r>
        <w:t xml:space="preserve">. A read error therefore requires </w:t>
      </w:r>
      <m:oMath>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H</m:t>
                </m:r>
              </m:e>
            </m:bar>
          </m:e>
          <m:sub>
            <m:r>
              <w:rPr>
                <w:rFonts w:ascii="Cambria Math" w:hAnsi="Cambria Math"/>
              </w:rPr>
              <m:t>M</m:t>
            </m:r>
          </m:sub>
        </m:sSub>
        <m:r>
          <m:rPr>
            <m:sty m:val="p"/>
          </m:rPr>
          <w:rPr>
            <w:rFonts w:ascii="Cambria Math" w:hAnsi="Cambria Math"/>
          </w:rPr>
          <m:t>∥&gt;</m:t>
        </m:r>
        <m:r>
          <w:rPr>
            <w:rFonts w:ascii="Cambria Math" w:hAnsi="Cambria Math"/>
          </w:rPr>
          <m:t>ϵ</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γ</m:t>
            </m:r>
          </m:e>
        </m:d>
        <m:r>
          <w:rPr>
            <w:rFonts w:ascii="Cambria Math" w:hAnsi="Cambria Math"/>
          </w:rPr>
          <m:t>Z</m:t>
        </m:r>
      </m:oMath>
      <w:r>
        <w:t xml:space="preserve">. The two variances scale as </w:t>
      </w:r>
      <m:oMath>
        <m:r>
          <w:rPr>
            <w:rFonts w:ascii="Cambria Math" w:hAnsi="Cambria Math"/>
          </w:rPr>
          <m:t>1</m:t>
        </m:r>
        <m:r>
          <m:rPr>
            <m:sty m:val="p"/>
          </m:rPr>
          <w:rPr>
            <w:rFonts w:ascii="Cambria Math" w:hAnsi="Cambria Math"/>
          </w:rPr>
          <m:t>/</m:t>
        </m:r>
        <m:r>
          <w:rPr>
            <w:rFonts w:ascii="Cambria Math" w:hAnsi="Cambria Math"/>
          </w:rPr>
          <m:t>M</m:t>
        </m:r>
      </m:oMath>
      <w:r>
        <w:t xml:space="preserve"> for independent features; apply the two inequalities and union bound. The bound is conditional on the frozen query and memory.</w:t>
      </w:r>
    </w:p>
    <w:p w14:paraId="37F0193A" w14:textId="77777777" w:rsidR="007672C2" w:rsidRDefault="00000000">
      <w:pPr>
        <w:pStyle w:val="BodyText"/>
        <w:rPr>
          <w:rFonts w:hint="eastAsia"/>
        </w:rPr>
      </w:pPr>
      <w:r>
        <w:t>The large-</w:t>
      </w:r>
      <m:oMath>
        <m:r>
          <w:rPr>
            <w:rFonts w:ascii="Cambria Math" w:hAnsi="Cambria Math"/>
          </w:rPr>
          <m:t>M</m:t>
        </m:r>
      </m:oMath>
      <w:r>
        <w:t xml:space="preserve"> delta-method trace of the retrieval covariance is </w:t>
      </w:r>
      <m:oMath>
        <m:sSub>
          <m:sSubPr>
            <m:ctrlPr>
              <w:rPr>
                <w:rFonts w:ascii="Cambria Math" w:hAnsi="Cambria Math"/>
              </w:rPr>
            </m:ctrlPr>
          </m:sSubPr>
          <m:e>
            <m:r>
              <w:rPr>
                <w:rFonts w:ascii="Cambria Math" w:hAnsi="Cambria Math"/>
              </w:rPr>
              <m:t>V</m:t>
            </m:r>
          </m:e>
          <m:sub>
            <m:r>
              <w:rPr>
                <w:rFonts w:ascii="Cambria Math" w:hAnsi="Cambria Math"/>
              </w:rPr>
              <m:t>H</m:t>
            </m:r>
          </m:sub>
        </m:sSub>
        <m:r>
          <m:rPr>
            <m:sty m:val="p"/>
          </m:rPr>
          <w:rPr>
            <w:rFonts w:ascii="Cambria Math" w:hAnsi="Cambria Math"/>
          </w:rPr>
          <m:t>/</m:t>
        </m:r>
        <m:d>
          <m:dPr>
            <m:ctrlPr>
              <w:rPr>
                <w:rFonts w:ascii="Cambria Math" w:hAnsi="Cambria Math"/>
              </w:rPr>
            </m:ctrlPr>
          </m:dPr>
          <m:e>
            <m:r>
              <w:rPr>
                <w:rFonts w:ascii="Cambria Math" w:hAnsi="Cambria Math"/>
              </w:rPr>
              <m:t>M</m:t>
            </m:r>
            <m:sSup>
              <m:sSupPr>
                <m:ctrlPr>
                  <w:rPr>
                    <w:rFonts w:ascii="Cambria Math" w:hAnsi="Cambria Math"/>
                  </w:rPr>
                </m:ctrlPr>
              </m:sSupPr>
              <m:e>
                <m:r>
                  <w:rPr>
                    <w:rFonts w:ascii="Cambria Math" w:hAnsi="Cambria Math"/>
                  </w:rPr>
                  <m:t>Z</m:t>
                </m:r>
              </m:e>
              <m:sup>
                <m:r>
                  <w:rPr>
                    <w:rFonts w:ascii="Cambria Math" w:hAnsi="Cambria Math"/>
                  </w:rPr>
                  <m:t>2</m:t>
                </m:r>
              </m:sup>
            </m:sSup>
          </m:e>
        </m:d>
      </m:oMath>
      <w:r>
        <w:t xml:space="preserve">. This is an asymptotic diagnostic; (26) is a finite-feature probability bound. Exact evaluation of (24)–(25) costs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D</m:t>
            </m:r>
          </m:e>
        </m:d>
      </m:oMath>
      <w:r>
        <w:t xml:space="preserve"> per query in the straightforward implementation, and cancellation can make numerical evaluation delicate. The theorem therefore supplies an analysis benchmark, not an automatically cheap switching controller. Estimating these quantities cheaply and validating an adaptive switch require a separate protocol. Multiple queries or repeatedly tested switches also need joint error control.</w:t>
      </w:r>
    </w:p>
    <w:p w14:paraId="1104889C" w14:textId="77777777" w:rsidR="007672C2" w:rsidRDefault="00000000">
      <w:pPr>
        <w:pStyle w:val="BodyText"/>
        <w:rPr>
          <w:rFonts w:hint="eastAsia"/>
        </w:rPr>
      </w:pPr>
      <w:r>
        <w:t xml:space="preserve">The formula explains why a worst-pair kernel variance can be misleading. If every value is identical, the read is exact for any positive feature realization, because numerator and denominator cancel perfectly; then </w:t>
      </w:r>
      <m:oMath>
        <m:sSub>
          <m:sSubPr>
            <m:ctrlPr>
              <w:rPr>
                <w:rFonts w:ascii="Cambria Math" w:hAnsi="Cambria Math"/>
              </w:rPr>
            </m:ctrlPr>
          </m:sSubPr>
          <m:e>
            <m:r>
              <w:rPr>
                <w:rFonts w:ascii="Cambria Math" w:hAnsi="Cambria Math"/>
              </w:rPr>
              <m:t>H</m:t>
            </m:r>
          </m:e>
          <m:sub>
            <m:r>
              <w:rPr>
                <w:rFonts w:ascii="Cambria Math" w:hAnsi="Cambria Math"/>
              </w:rPr>
              <m:t>ω</m:t>
            </m:r>
          </m:sub>
        </m:sSub>
        <m:r>
          <m:rPr>
            <m:sty m:val="p"/>
          </m:rPr>
          <w:rPr>
            <w:rFonts w:ascii="Cambria Math" w:hAnsi="Cambria Math"/>
          </w:rPr>
          <m:t>=</m:t>
        </m:r>
        <m:r>
          <w:rPr>
            <w:rFonts w:ascii="Cambria Math" w:hAnsi="Cambria Math"/>
          </w:rPr>
          <m:t>0</m:t>
        </m:r>
      </m:oMath>
      <w:r>
        <w:t xml:space="preserve"> even if individual kernel variance is huge. The denominator part of (26) remains a conservative sufficient bound in this special case, while the algebra gives the sharper exact result.</w:t>
      </w:r>
    </w:p>
    <w:p w14:paraId="75F98789" w14:textId="77777777" w:rsidR="007672C2" w:rsidRDefault="00000000">
      <w:pPr>
        <w:pStyle w:val="Heading2"/>
        <w:rPr>
          <w:rFonts w:hint="eastAsia"/>
        </w:rPr>
      </w:pPr>
      <w:bookmarkStart w:id="20" w:name="X1f0f666d28aec326a5e074a470867570ae678d0"/>
      <w:bookmarkEnd w:id="19"/>
      <w:r>
        <w:lastRenderedPageBreak/>
        <w:t>5.4 Exact translation invariance and feature variance</w:t>
      </w:r>
    </w:p>
    <w:p w14:paraId="00D17BD3" w14:textId="77777777" w:rsidR="007672C2" w:rsidRDefault="00000000">
      <w:pPr>
        <w:pStyle w:val="FirstParagraph"/>
        <w:rPr>
          <w:rFonts w:hint="eastAsia"/>
        </w:rPr>
      </w:pPr>
      <w:r>
        <w:t xml:space="preserve">The Gaussian kernel depends on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and is unchanged when query and key centers are shifted by the same vector </w:t>
      </w:r>
      <m:oMath>
        <m:r>
          <w:rPr>
            <w:rFonts w:ascii="Cambria Math" w:hAnsi="Cambria Math"/>
          </w:rPr>
          <m:t>d</m:t>
        </m:r>
      </m:oMath>
      <w:r>
        <w:t xml:space="preserve">. Its attention expansion can therefore use </w:t>
      </w:r>
      <m:oMath>
        <m:r>
          <w:rPr>
            <w:rFonts w:ascii="Cambria Math" w:hAnsi="Cambria Math"/>
          </w:rPr>
          <m:t>u</m:t>
        </m:r>
        <m:r>
          <m:rPr>
            <m:sty m:val="p"/>
          </m:rPr>
          <w:rPr>
            <w:rFonts w:ascii="Cambria Math" w:hAnsi="Cambria Math"/>
          </w:rPr>
          <m:t>=</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rad>
          <m:radPr>
            <m:degHide m:val="1"/>
            <m:ctrlPr>
              <w:rPr>
                <w:rFonts w:ascii="Cambria Math" w:hAnsi="Cambria Math"/>
              </w:rPr>
            </m:ctrlPr>
          </m:radPr>
          <m:deg/>
          <m:e>
            <m:r>
              <w:rPr>
                <w:rFonts w:ascii="Cambria Math" w:hAnsi="Cambria Math"/>
              </w:rPr>
              <m:t>τ</m:t>
            </m:r>
          </m:e>
        </m:rad>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d</m:t>
            </m:r>
          </m:e>
        </m:d>
        <m:r>
          <m:rPr>
            <m:sty m:val="p"/>
          </m:rPr>
          <w:rPr>
            <w:rFonts w:ascii="Cambria Math" w:hAnsi="Cambria Math"/>
          </w:rPr>
          <m:t>/</m:t>
        </m:r>
        <m:rad>
          <m:radPr>
            <m:degHide m:val="1"/>
            <m:ctrlPr>
              <w:rPr>
                <w:rFonts w:ascii="Cambria Math" w:hAnsi="Cambria Math"/>
              </w:rPr>
            </m:ctrlPr>
          </m:radPr>
          <m:deg/>
          <m:e>
            <m:r>
              <w:rPr>
                <w:rFonts w:ascii="Cambria Math" w:hAnsi="Cambria Math"/>
              </w:rPr>
              <m:t>τ</m:t>
            </m:r>
          </m:e>
        </m:rad>
      </m:oMath>
      <w:r>
        <w:t xml:space="preserve">, with key bias </w:t>
      </w:r>
      <m:oMath>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2τ</m:t>
            </m:r>
          </m:e>
        </m:d>
      </m:oMath>
      <w:r>
        <w:t>. The exact normalized read is unchanged when the values are held fixed.</w:t>
      </w:r>
    </w:p>
    <w:p w14:paraId="7F87F43D" w14:textId="77777777" w:rsidR="007672C2" w:rsidRDefault="00000000">
      <w:pPr>
        <w:pStyle w:val="BodyText"/>
        <w:rPr>
          <w:rFonts w:hint="eastAsia"/>
        </w:rPr>
      </w:pPr>
      <w:r>
        <w:t xml:space="preserve">The independent feature variance now depends on </w:t>
      </w:r>
      <m:oMath>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2d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τ</m:t>
        </m:r>
      </m:oMath>
      <w:r>
        <w:t>. Thus choosing a common center near a cluster can reduce the random-feature variance without changing the exact target. Centering is a computational representation choice, not a new target distribution. It does not guarantee accuracy for separated clusters, outlying queries or every schedule. Query-specific centers would require separate key summaries and can lose the amortized cost advantage.</w:t>
      </w:r>
    </w:p>
    <w:p w14:paraId="1DB1B6E8" w14:textId="77777777" w:rsidR="007672C2" w:rsidRDefault="00000000">
      <w:pPr>
        <w:pStyle w:val="BodyText"/>
        <w:rPr>
          <w:rFonts w:hint="eastAsia"/>
        </w:rPr>
      </w:pPr>
      <w:r>
        <w:t>Section 6 gives a controlled translation test. The exact Gaussian geometry is held fixed, but an uncentered feature implementation deteriorates after translation; one shared memory center largely restores its original error. A universal claim that late narrow-kernel layers cannot use practical random-feature counts is therefore too strong. Geometry, centering and the normalized ratio all matter.</w:t>
      </w:r>
    </w:p>
    <w:p w14:paraId="45C2B321" w14:textId="77777777" w:rsidR="007672C2" w:rsidRDefault="00000000">
      <w:pPr>
        <w:pStyle w:val="Heading2"/>
        <w:rPr>
          <w:rFonts w:hint="eastAsia"/>
        </w:rPr>
      </w:pPr>
      <w:bookmarkStart w:id="21" w:name="Xaaf7211ecf92498bc918440b6b4463df6e1a9d4"/>
      <w:bookmarkEnd w:id="20"/>
      <w:r>
        <w:t>5.5 Certified sparse attention and compression</w:t>
      </w:r>
    </w:p>
    <w:p w14:paraId="595ED274" w14:textId="77777777" w:rsidR="007672C2" w:rsidRDefault="00000000">
      <w:pPr>
        <w:pStyle w:val="FirstParagraph"/>
        <w:keepNext/>
        <w:keepLines/>
        <w:rPr>
          <w:rFonts w:hint="eastAsia"/>
        </w:rPr>
      </w:pPr>
      <w:r>
        <w:rPr>
          <w:b/>
          <w:bCs/>
        </w:rPr>
        <w:t>Proposition 11 — Omitted mass certificate.</w:t>
      </w:r>
      <w:r>
        <w:t xml:space="preserve"> Let </w:t>
      </w:r>
      <m:oMath>
        <m:r>
          <w:rPr>
            <w:rFonts w:ascii="Cambria Math" w:hAnsi="Cambria Math"/>
          </w:rPr>
          <m:t>S</m:t>
        </m:r>
      </m:oMath>
      <w:r>
        <w:t xml:space="preserve"> be retained keys, </w:t>
      </w:r>
      <m:oMath>
        <m:r>
          <w:rPr>
            <w:rFonts w:ascii="Cambria Math" w:hAnsi="Cambria Math"/>
          </w:rPr>
          <m:t>δ</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j</m:t>
                </m:r>
              </m:sub>
            </m:sSub>
          </m:e>
        </m:nary>
      </m:oMath>
      <w:r>
        <w:t xml:space="preserve"> the exact omitted mass, and </w:t>
      </w:r>
      <m:oMath>
        <m:sSub>
          <m:sSubPr>
            <m:ctrlPr>
              <w:rPr>
                <w:rFonts w:ascii="Cambria Math" w:hAnsi="Cambria Math"/>
              </w:rPr>
            </m:ctrlPr>
          </m:sSubPr>
          <m:e>
            <m:r>
              <w:rPr>
                <w:rFonts w:ascii="Cambria Math" w:hAnsi="Cambria Math"/>
              </w:rPr>
              <m:t>m</m:t>
            </m:r>
          </m:e>
          <m:sub>
            <m:r>
              <w:rPr>
                <w:rFonts w:ascii="Cambria Math" w:hAnsi="Cambria Math"/>
              </w:rPr>
              <m:t>S</m:t>
            </m:r>
          </m:sub>
        </m:sSub>
      </m:oMath>
      <w:r>
        <w:t xml:space="preserve"> the retained read renormalized on </w:t>
      </w:r>
      <m:oMath>
        <m:r>
          <w:rPr>
            <w:rFonts w:ascii="Cambria Math" w:hAnsi="Cambria Math"/>
          </w:rPr>
          <m:t>S</m:t>
        </m:r>
      </m:oMath>
      <w:r>
        <w:t>. Then</w:t>
      </w:r>
    </w:p>
    <w:p w14:paraId="25BC8156" w14:textId="77777777" w:rsidR="007672C2" w:rsidRDefault="00000000">
      <w:pPr>
        <w:pStyle w:val="BodyText"/>
        <w:keepLines/>
        <w:spacing w:before="60" w:after="120"/>
        <w:jc w:val="center"/>
        <w:rPr>
          <w:rFonts w:hint="eastAsia"/>
        </w:rPr>
      </w:pPr>
      <m:oMathPara>
        <m:oMathParaPr>
          <m:jc m:val="center"/>
        </m:oMathParaPr>
        <m:oMath>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δR</m:t>
          </m:r>
          <m:r>
            <m:rPr>
              <m:sty m:val="p"/>
            </m:rPr>
            <w:rPr>
              <w:rFonts w:ascii="Cambria Math" w:hAnsi="Cambria Math"/>
            </w:rPr>
            <m:t>.</m:t>
          </m:r>
          <m:r>
            <m:rPr>
              <m:nor/>
            </m:rPr>
            <m:t>    (27)</m:t>
          </m:r>
        </m:oMath>
      </m:oMathPara>
    </w:p>
    <w:p w14:paraId="4BBA87E0" w14:textId="77777777" w:rsidR="007672C2" w:rsidRDefault="00000000">
      <w:pPr>
        <w:pStyle w:val="FirstParagraph"/>
        <w:rPr>
          <w:rFonts w:hint="eastAsia"/>
        </w:rPr>
      </w:pPr>
      <w:r>
        <w:rPr>
          <w:b/>
          <w:bCs/>
        </w:rPr>
        <w:t>Proof.</w:t>
      </w:r>
      <w:r>
        <w:t xml:space="preserve"> Write </w:t>
      </w:r>
      <m:oMath>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e>
        </m:d>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m</m:t>
            </m:r>
          </m:e>
          <m:sub>
            <m:sSup>
              <m:sSupPr>
                <m:ctrlPr>
                  <w:rPr>
                    <w:rFonts w:ascii="Cambria Math" w:hAnsi="Cambria Math"/>
                  </w:rPr>
                </m:ctrlPr>
              </m:sSupPr>
              <m:e>
                <m:r>
                  <w:rPr>
                    <w:rFonts w:ascii="Cambria Math" w:hAnsi="Cambria Math"/>
                  </w:rPr>
                  <m:t>S</m:t>
                </m:r>
              </m:e>
              <m:sup>
                <m:r>
                  <w:rPr>
                    <w:rFonts w:ascii="Cambria Math" w:hAnsi="Cambria Math"/>
                  </w:rPr>
                  <m:t>c</m:t>
                </m:r>
              </m:sup>
            </m:sSup>
          </m:sub>
        </m:sSub>
      </m:oMath>
      <w:r>
        <w:t xml:space="preserve">. Both partial means lie in the convex hull of the values, whose diameter is </w:t>
      </w:r>
      <m:oMath>
        <m:r>
          <w:rPr>
            <w:rFonts w:ascii="Cambria Math" w:hAnsi="Cambria Math"/>
          </w:rPr>
          <m:t>R</m:t>
        </m:r>
      </m:oMath>
      <w:r>
        <w:t xml:space="preserve">. </w:t>
      </w:r>
      <m:oMath>
        <m:r>
          <m:rPr>
            <m:sty m:val="p"/>
          </m:rPr>
          <w:rPr>
            <w:rFonts w:ascii="Cambria Math" w:hAnsi="Cambria Math"/>
          </w:rPr>
          <m:t>▫</m:t>
        </m:r>
      </m:oMath>
    </w:p>
    <w:p w14:paraId="4DFB68BA" w14:textId="77777777" w:rsidR="007672C2" w:rsidRDefault="00000000">
      <w:pPr>
        <w:pStyle w:val="BodyText"/>
        <w:rPr>
          <w:rFonts w:hint="eastAsia"/>
        </w:rPr>
      </w:pPr>
      <w:r>
        <w:t xml:space="preserve">If retained unnormalized mass is </w:t>
      </w:r>
      <m:oMath>
        <m:sSub>
          <m:sSubPr>
            <m:ctrlPr>
              <w:rPr>
                <w:rFonts w:ascii="Cambria Math" w:hAnsi="Cambria Math"/>
              </w:rPr>
            </m:ctrlPr>
          </m:sSubPr>
          <m:e>
            <m:r>
              <w:rPr>
                <w:rFonts w:ascii="Cambria Math" w:hAnsi="Cambria Math"/>
              </w:rPr>
              <m:t>W</m:t>
            </m:r>
          </m:e>
          <m:sub>
            <m:r>
              <w:rPr>
                <w:rFonts w:ascii="Cambria Math" w:hAnsi="Cambria Math"/>
              </w:rPr>
              <m:t>S</m:t>
            </m:r>
          </m:sub>
        </m:sSub>
      </m:oMath>
      <w:r>
        <w:t xml:space="preserve"> and omitted mass is bounded above by </w:t>
      </w:r>
      <m:oMath>
        <m:r>
          <w:rPr>
            <w:rFonts w:ascii="Cambria Math" w:hAnsi="Cambria Math"/>
          </w:rPr>
          <m:t>U</m:t>
        </m:r>
      </m:oMath>
      <w:r>
        <w:t xml:space="preserve">, then </w:t>
      </w:r>
      <m:oMath>
        <m:r>
          <w:rPr>
            <w:rFonts w:ascii="Cambria Math" w:hAnsi="Cambria Math"/>
          </w:rPr>
          <m:t>δ</m:t>
        </m:r>
        <m:r>
          <m:rPr>
            <m:sty m:val="p"/>
          </m:rPr>
          <w:rPr>
            <w:rFonts w:ascii="Cambria Math" w:hAnsi="Cambria Math"/>
          </w:rPr>
          <m:t>≤</m:t>
        </m:r>
        <m:r>
          <w:rPr>
            <w:rFonts w:ascii="Cambria Math" w:hAnsi="Cambria Math"/>
          </w:rPr>
          <m:t>U</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r>
              <m:rPr>
                <m:sty m:val="p"/>
              </m:rPr>
              <w:rPr>
                <w:rFonts w:ascii="Cambria Math" w:hAnsi="Cambria Math"/>
              </w:rPr>
              <m:t>+</m:t>
            </m:r>
            <m:r>
              <w:rPr>
                <w:rFonts w:ascii="Cambria Math" w:hAnsi="Cambria Math"/>
              </w:rPr>
              <m:t>U</m:t>
            </m:r>
          </m:e>
        </m:d>
      </m:oMath>
      <w:r>
        <w:t>. For top-</w:t>
      </w:r>
      <m:oMath>
        <m:r>
          <w:rPr>
            <w:rFonts w:ascii="Cambria Math" w:hAnsi="Cambria Math"/>
          </w:rPr>
          <m:t>k</m:t>
        </m:r>
      </m:oMath>
      <w:r>
        <w:t xml:space="preserve"> logits </w:t>
      </w:r>
      <m:oMath>
        <m:sSub>
          <m:sSubPr>
            <m:ctrlPr>
              <w:rPr>
                <w:rFonts w:ascii="Cambria Math" w:hAnsi="Cambria Math"/>
              </w:rPr>
            </m:ctrlPr>
          </m:sSubPr>
          <m:e>
            <m:r>
              <m:rPr>
                <m:scr m:val="script"/>
                <m:sty m:val="p"/>
              </m:rPr>
              <w:rPr>
                <w:rFonts w:ascii="Cambria Math" w:hAnsi="Cambria Math"/>
              </w:rPr>
              <m:t>l</m:t>
            </m:r>
          </m:e>
          <m:sub>
            <m:d>
              <m:dPr>
                <m:ctrlPr>
                  <w:rPr>
                    <w:rFonts w:ascii="Cambria Math" w:hAnsi="Cambria Math"/>
                  </w:rPr>
                </m:ctrlPr>
              </m:dPr>
              <m:e>
                <m:r>
                  <w:rPr>
                    <w:rFonts w:ascii="Cambria Math" w:hAnsi="Cambria Math"/>
                  </w:rPr>
                  <m:t>1</m:t>
                </m:r>
              </m:e>
            </m:d>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d>
              <m:dPr>
                <m:ctrlPr>
                  <w:rPr>
                    <w:rFonts w:ascii="Cambria Math" w:hAnsi="Cambria Math"/>
                  </w:rPr>
                </m:ctrlPr>
              </m:dPr>
              <m:e>
                <m:r>
                  <w:rPr>
                    <w:rFonts w:ascii="Cambria Math" w:hAnsi="Cambria Math"/>
                  </w:rPr>
                  <m:t>N</m:t>
                </m:r>
              </m:e>
            </m:d>
          </m:sub>
        </m:sSub>
      </m:oMath>
      <w:r>
        <w:t xml:space="preserve">, a usable bound is </w:t>
      </w:r>
      <m:oMath>
        <m:r>
          <w:rPr>
            <w:rFonts w:ascii="Cambria Math" w:hAnsi="Cambria Math"/>
          </w:rPr>
          <m:t>U</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m:rPr>
                    <m:scr m:val="script"/>
                    <m:sty m:val="p"/>
                  </m:rPr>
                  <w:rPr>
                    <w:rFonts w:ascii="Cambria Math" w:hAnsi="Cambria Math"/>
                  </w:rPr>
                  <m:t>l</m:t>
                </m:r>
              </m:e>
              <m:sub>
                <m:d>
                  <m:dPr>
                    <m:ctrlPr>
                      <w:rPr>
                        <w:rFonts w:ascii="Cambria Math" w:hAnsi="Cambria Math"/>
                      </w:rPr>
                    </m:ctrlPr>
                  </m:dPr>
                  <m:e>
                    <m:r>
                      <w:rPr>
                        <w:rFonts w:ascii="Cambria Math" w:hAnsi="Cambria Math"/>
                      </w:rPr>
                      <m:t>k</m:t>
                    </m:r>
                  </m:e>
                </m:d>
              </m:sub>
            </m:sSub>
          </m:sup>
        </m:sSup>
      </m:oMath>
      <w:r>
        <w:t>, or the tighter next-logit version when available. Compute all terms in a shared shifted log scale. Selecting the top keys by brute force is still quadratic for all queries; a certificate does not itself reduce search cost.</w:t>
      </w:r>
    </w:p>
    <w:p w14:paraId="40ED84EE" w14:textId="77777777" w:rsidR="007672C2" w:rsidRDefault="00000000">
      <w:pPr>
        <w:pStyle w:val="BodyText"/>
        <w:rPr>
          <w:rFonts w:hint="eastAsia"/>
        </w:rPr>
      </w:pPr>
      <w:r>
        <w:t xml:space="preserve">Nearest Gaussian centers need not be the heaviest keys when loss weights differ. Exact full-logit ranking can be reduced to a maximum-inner-product search, or to Euclidean nearest-neighbor search with augmented keys </w:t>
      </w:r>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2τ</m:t>
                </m:r>
                <m:sSub>
                  <m:sSubPr>
                    <m:ctrlPr>
                      <w:rPr>
                        <w:rFonts w:ascii="Cambria Math" w:hAnsi="Cambria Math"/>
                      </w:rPr>
                    </m:ctrlPr>
                  </m:sSubPr>
                  <m:e>
                    <m:r>
                      <w:rPr>
                        <w:rFonts w:ascii="Cambria Math" w:hAnsi="Cambria Math"/>
                      </w:rPr>
                      <m:t>b</m:t>
                    </m:r>
                  </m:e>
                  <m:sub>
                    <m:r>
                      <w:rPr>
                        <w:rFonts w:ascii="Cambria Math" w:hAnsi="Cambria Math"/>
                      </w:rPr>
                      <m:t>j</m:t>
                    </m:r>
                  </m:sub>
                </m:sSub>
              </m:e>
            </m:rad>
          </m:e>
        </m:d>
      </m:oMath>
      <w:r>
        <w:t xml:space="preserve"> and queries </w:t>
      </w:r>
      <m:oMath>
        <m:acc>
          <m:accPr>
            <m:chr m:val="̃"/>
            <m:ctrlPr>
              <w:rPr>
                <w:rFonts w:ascii="Cambria Math" w:hAnsi="Cambria Math"/>
              </w:rPr>
            </m:ctrlPr>
          </m:accPr>
          <m:e>
            <m:r>
              <w:rPr>
                <w:rFonts w:ascii="Cambria Math" w:hAnsi="Cambria Math"/>
              </w:rPr>
              <m:t>q</m:t>
            </m:r>
          </m:e>
        </m:acc>
        <m:r>
          <m:rPr>
            <m:sty m:val="p"/>
          </m:rPr>
          <w:rPr>
            <w:rFonts w:ascii="Cambria Math" w:hAnsi="Cambria Math"/>
          </w:rPr>
          <m:t>=</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0</m:t>
            </m:r>
          </m:e>
        </m:d>
      </m:oMath>
      <w:r>
        <w:t xml:space="preserve">, where </w:t>
      </w:r>
      <m:oMath>
        <m:r>
          <w:rPr>
            <w:rFonts w:ascii="Cambria Math" w:hAnsi="Cambria Math"/>
          </w:rPr>
          <m:t>C</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j</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2τ</m:t>
            </m:r>
            <m:sSub>
              <m:sSubPr>
                <m:ctrlPr>
                  <w:rPr>
                    <w:rFonts w:ascii="Cambria Math" w:hAnsi="Cambria Math"/>
                  </w:rPr>
                </m:ctrlPr>
              </m:sSubPr>
              <m:e>
                <m:r>
                  <w:rPr>
                    <w:rFonts w:ascii="Cambria Math" w:hAnsi="Cambria Math"/>
                  </w:rPr>
                  <m:t>b</m:t>
                </m:r>
              </m:e>
              <m:sub>
                <m:r>
                  <w:rPr>
                    <w:rFonts w:ascii="Cambria Math" w:hAnsi="Cambria Math"/>
                  </w:rPr>
                  <m:t>j</m:t>
                </m:r>
              </m:sub>
            </m:sSub>
          </m:e>
        </m:d>
      </m:oMath>
      <w:r>
        <w:t xml:space="preserve">. Expansion yields </w:t>
      </w:r>
      <m:oMath>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2τ</m:t>
        </m:r>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oMath>
      <w:r>
        <w:t>. High-dimensional indexing can still be expensive, and exact ranking is not a sparsity guarantee.</w:t>
      </w:r>
    </w:p>
    <w:p w14:paraId="731184BC" w14:textId="77777777" w:rsidR="007672C2" w:rsidRDefault="00000000">
      <w:pPr>
        <w:pStyle w:val="BodyText"/>
        <w:rPr>
          <w:rFonts w:hint="eastAsia"/>
        </w:rPr>
      </w:pPr>
      <w:r>
        <w:t>A counterexample is immediate: 512 identical keys with equal biases have uniform attention at every positive bandwidth. Any 64 retained keys omit 87.5% of the mass and the effective sample size is 512. Yet identical values allow exact compression to one representative. Dense attention and an incompressible read are therefore different properties.</w:t>
      </w:r>
    </w:p>
    <w:p w14:paraId="021E1E2E" w14:textId="77777777" w:rsidR="007672C2" w:rsidRDefault="00000000">
      <w:pPr>
        <w:pStyle w:val="BodyText"/>
        <w:keepNext/>
        <w:rPr>
          <w:rFonts w:hint="eastAsia"/>
        </w:rPr>
      </w:pPr>
      <w:r>
        <w:t xml:space="preserve">For a quantitative cell bound, replace each key </w:t>
      </w:r>
      <m:oMath>
        <m:sSub>
          <m:sSubPr>
            <m:ctrlPr>
              <w:rPr>
                <w:rFonts w:ascii="Cambria Math" w:hAnsi="Cambria Math"/>
              </w:rPr>
            </m:ctrlPr>
          </m:sSubPr>
          <m:e>
            <m:r>
              <w:rPr>
                <w:rFonts w:ascii="Cambria Math" w:hAnsi="Cambria Math"/>
              </w:rPr>
              <m:t>k</m:t>
            </m:r>
          </m:e>
          <m:sub>
            <m:r>
              <w:rPr>
                <w:rFonts w:ascii="Cambria Math" w:hAnsi="Cambria Math"/>
              </w:rPr>
              <m:t>j</m:t>
            </m:r>
          </m:sub>
        </m:sSub>
      </m:oMath>
      <w:r>
        <w:t xml:space="preserve"> in cell </w:t>
      </w:r>
      <m:oMath>
        <m:r>
          <w:rPr>
            <w:rFonts w:ascii="Cambria Math" w:hAnsi="Cambria Math"/>
          </w:rPr>
          <m:t>C</m:t>
        </m:r>
      </m:oMath>
      <w:r>
        <w:t xml:space="preserve"> by center </w:t>
      </w:r>
      <m:oMath>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C</m:t>
            </m:r>
          </m:sub>
        </m:sSub>
      </m:oMath>
      <w:r>
        <w:t xml:space="preserve"> while retaining its prior weight; replace the cell’s values by their prior-weighted mean. If </w:t>
      </w:r>
      <m:oMath>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oMath>
      <w:r>
        <w:t>, the Gaussian log-kernel error is bounded by</w:t>
      </w:r>
    </w:p>
    <w:p w14:paraId="5878842E" w14:textId="77777777" w:rsidR="007672C2" w:rsidRDefault="00000000">
      <w:pPr>
        <w:pStyle w:val="BodyText"/>
        <w:keepLines/>
        <w:spacing w:before="60" w:after="120"/>
        <w:jc w:val="center"/>
        <w:rPr>
          <w:rFonts w:hint="eastAsia"/>
        </w:rPr>
      </w:pPr>
      <m:oMathPara>
        <m:oMathParaPr>
          <m:jc m:val="center"/>
        </m:oMathParaPr>
        <m:oMath>
          <m:sSub>
            <m:sSubPr>
              <m:ctrlPr>
                <w:rPr>
                  <w:rFonts w:ascii="Cambria Math" w:hAnsi="Cambria Math"/>
                </w:rPr>
              </m:ctrlPr>
            </m:sSubPr>
            <m:e>
              <m:r>
                <w:rPr>
                  <w:rFonts w:ascii="Cambria Math" w:hAnsi="Cambria Math"/>
                </w:rPr>
                <m:t>ϵ</m:t>
              </m:r>
            </m:e>
            <m:sub>
              <m:r>
                <w:rPr>
                  <w:rFonts w:ascii="Cambria Math" w:hAnsi="Cambria Math"/>
                </w:rPr>
                <m:t>C</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k</m:t>
                      </m:r>
                    </m:e>
                  </m:acc>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num>
            <m:den>
              <m:r>
                <w:rPr>
                  <w:rFonts w:ascii="Cambria Math" w:hAnsi="Cambria Math"/>
                </w:rPr>
                <m:t>τ</m:t>
              </m:r>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r</m:t>
                  </m:r>
                </m:e>
                <m:sub>
                  <m:r>
                    <w:rPr>
                      <w:rFonts w:ascii="Cambria Math" w:hAnsi="Cambria Math"/>
                    </w:rPr>
                    <m:t>C</m:t>
                  </m:r>
                </m:sub>
                <m:sup>
                  <m:r>
                    <w:rPr>
                      <w:rFonts w:ascii="Cambria Math" w:hAnsi="Cambria Math"/>
                    </w:rPr>
                    <m:t>2</m:t>
                  </m:r>
                </m:sup>
              </m:sSubSup>
            </m:num>
            <m:den>
              <m:r>
                <w:rPr>
                  <w:rFonts w:ascii="Cambria Math" w:hAnsi="Cambria Math"/>
                </w:rPr>
                <m:t>2τ</m:t>
              </m:r>
            </m:den>
          </m:f>
          <m:r>
            <m:rPr>
              <m:sty m:val="p"/>
            </m:rPr>
            <w:rPr>
              <w:rFonts w:ascii="Cambria Math" w:hAnsi="Cambria Math"/>
            </w:rPr>
            <m:t>.</m:t>
          </m:r>
          <m:r>
            <m:rPr>
              <m:nor/>
            </m:rPr>
            <m:t>    (28)</m:t>
          </m:r>
        </m:oMath>
      </m:oMathPara>
    </w:p>
    <w:p w14:paraId="2273BEC5" w14:textId="77777777" w:rsidR="007672C2" w:rsidRDefault="00000000">
      <w:pPr>
        <w:pStyle w:val="FirstParagraph"/>
        <w:rPr>
          <w:rFonts w:hint="eastAsia"/>
        </w:rPr>
      </w:pPr>
      <w:r>
        <w:lastRenderedPageBreak/>
        <w:t xml:space="preserve">This follows by expanding the squared-distance difference. If every cell of the full partition has error at most </w:t>
      </w:r>
      <m:oMath>
        <m:r>
          <w:rPr>
            <w:rFonts w:ascii="Cambria Math" w:hAnsi="Cambria Math"/>
          </w:rPr>
          <m:t>ϵ</m:t>
        </m:r>
      </m:oMath>
      <w:r>
        <w:t xml:space="preserve">, the exact and approximating normalized weights have likelihood ratio at most </w:t>
      </w:r>
      <m:oMath>
        <m:sSup>
          <m:sSupPr>
            <m:ctrlPr>
              <w:rPr>
                <w:rFonts w:ascii="Cambria Math" w:hAnsi="Cambria Math"/>
              </w:rPr>
            </m:ctrlPr>
          </m:sSupPr>
          <m:e>
            <m:r>
              <w:rPr>
                <w:rFonts w:ascii="Cambria Math" w:hAnsi="Cambria Math"/>
              </w:rPr>
              <m:t>e</m:t>
            </m:r>
          </m:e>
          <m:sup>
            <m:r>
              <w:rPr>
                <w:rFonts w:ascii="Cambria Math" w:hAnsi="Cambria Math"/>
              </w:rPr>
              <m:t>2ϵ</m:t>
            </m:r>
          </m:sup>
        </m:sSup>
      </m:oMath>
      <w:r>
        <w:t xml:space="preserve"> in either direction. Their total variation is at most </w:t>
      </w:r>
      <m:oMath>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2ϵ</m:t>
                </m:r>
              </m:sup>
            </m:sSup>
            <m:r>
              <m:rPr>
                <m:sty m:val="p"/>
              </m:rPr>
              <w:rPr>
                <w:rFonts w:ascii="Cambria Math" w:hAnsi="Cambria Math"/>
              </w:rPr>
              <m:t>-</m:t>
            </m:r>
            <m:r>
              <w:rPr>
                <w:rFonts w:ascii="Cambria Math" w:hAnsi="Cambria Math"/>
              </w:rPr>
              <m:t>1</m:t>
            </m:r>
          </m:e>
        </m:d>
      </m:oMath>
      <w:r>
        <w:t xml:space="preserve">, giving the conservative read bound </w:t>
      </w:r>
      <m:oMath>
        <m:r>
          <w:rPr>
            <w:rFonts w:ascii="Cambria Math" w:hAnsi="Cambria Math"/>
          </w:rPr>
          <m:t>R</m:t>
        </m:r>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2ϵ</m:t>
                </m:r>
              </m:sup>
            </m:sSup>
            <m:r>
              <m:rPr>
                <m:sty m:val="p"/>
              </m:rPr>
              <w:rPr>
                <w:rFonts w:ascii="Cambria Math" w:hAnsi="Cambria Math"/>
              </w:rPr>
              <m:t>-</m:t>
            </m:r>
            <m:r>
              <w:rPr>
                <w:rFonts w:ascii="Cambria Math" w:hAnsi="Cambria Math"/>
              </w:rPr>
              <m:t>1</m:t>
            </m:r>
          </m:e>
        </m:d>
      </m:oMath>
      <w:r>
        <w:t>. If cells are also discarded, add the omitted-mass error from (27). This bound is sufficient, not sharp. It separates logit approximation from value aggregation and explains why a cell diameter proportional to bandwidth can preserve accuracy without ensuring a useful reduction in occupied cells.</w:t>
      </w:r>
    </w:p>
    <w:p w14:paraId="4D6A3ED1" w14:textId="77777777" w:rsidR="007672C2" w:rsidRDefault="00000000">
      <w:pPr>
        <w:pStyle w:val="Heading1"/>
        <w:rPr>
          <w:rFonts w:hint="eastAsia"/>
        </w:rPr>
      </w:pPr>
      <w:bookmarkStart w:id="22" w:name="numerical-evidence"/>
      <w:bookmarkEnd w:id="16"/>
      <w:bookmarkEnd w:id="21"/>
      <w:r>
        <w:t>6 Numerical evidence</w:t>
      </w:r>
    </w:p>
    <w:p w14:paraId="7FF8BB0D" w14:textId="77777777" w:rsidR="007672C2" w:rsidRDefault="00000000">
      <w:pPr>
        <w:pStyle w:val="Heading2"/>
        <w:rPr>
          <w:rFonts w:hint="eastAsia"/>
        </w:rPr>
      </w:pPr>
      <w:bookmarkStart w:id="23" w:name="fresh-algebraic-and-numerical-checks"/>
      <w:r>
        <w:t>6.1 Fresh algebraic and numerical checks</w:t>
      </w:r>
    </w:p>
    <w:p w14:paraId="042CEDD8" w14:textId="77777777" w:rsidR="007672C2" w:rsidRDefault="00000000">
      <w:pPr>
        <w:pStyle w:val="FirstParagraph"/>
        <w:rPr>
          <w:rFonts w:hint="eastAsia"/>
        </w:rPr>
      </w:pPr>
      <w:r>
        <w:t xml:space="preserve">The focused checker in Appendix C uses NumPy’s generator seed 20261017 and float64 arithmetic. It evaluates seven independent queries in each of 216 combinations of population size </w:t>
      </w:r>
      <m:oMath>
        <m:r>
          <w:rPr>
            <w:rFonts w:ascii="Cambria Math" w:hAnsi="Cambria Math"/>
          </w:rPr>
          <m:t>N</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512</m:t>
        </m:r>
        <m:r>
          <m:rPr>
            <m:sty m:val="p"/>
          </m:rPr>
          <w:rPr>
            <w:rFonts w:ascii="Cambria Math" w:hAnsi="Cambria Math"/>
          </w:rPr>
          <m:t>}</m:t>
        </m:r>
      </m:oMath>
      <w:r>
        <w:t xml:space="preserve">, dimension </w:t>
      </w:r>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128</m:t>
        </m:r>
        <m:r>
          <m:rPr>
            <m:sty m:val="p"/>
          </m:rPr>
          <w:rPr>
            <w:rFonts w:ascii="Cambria Math" w:hAnsi="Cambria Math"/>
          </w:rPr>
          <m:t>}</m:t>
        </m:r>
      </m:oMath>
      <w:r>
        <w:t xml:space="preserve">, signal coefficient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0.99</m:t>
        </m:r>
        <m:r>
          <m:rPr>
            <m:sty m:val="p"/>
          </m:rPr>
          <w:rPr>
            <w:rFonts w:ascii="Cambria Math" w:hAnsi="Cambria Math"/>
          </w:rPr>
          <m:t>,</m:t>
        </m:r>
        <m:r>
          <w:rPr>
            <w:rFonts w:ascii="Cambria Math" w:hAnsi="Cambria Math"/>
          </w:rPr>
          <m:t>0.9999</m:t>
        </m:r>
        <m:r>
          <m:rPr>
            <m:sty m:val="p"/>
          </m:rPr>
          <w:rPr>
            <w:rFonts w:ascii="Cambria Math" w:hAnsi="Cambria Math"/>
          </w:rPr>
          <m:t>}</m:t>
        </m:r>
      </m:oMath>
      <w:r>
        <w:t xml:space="preserve"> and selection parameter </w:t>
      </w:r>
      <m:oMath>
        <m:r>
          <w:rPr>
            <w:rFonts w:ascii="Cambria Math" w:hAnsi="Cambria Math"/>
          </w:rPr>
          <m:t>β</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oMath>
      <w:r>
        <w:t>. Particles and queries are Gaussian, and losses for this identity check are independent bounded random values. These are mechanism checks rather than optimization trials.</w:t>
      </w:r>
    </w:p>
    <w:p w14:paraId="4AAD1E5B" w14:textId="77777777" w:rsidR="007672C2" w:rsidRDefault="00000000">
      <w:pPr>
        <w:pStyle w:val="Caption"/>
        <w:keepNext/>
        <w:rPr>
          <w:rFonts w:hint="eastAsia"/>
        </w:rPr>
      </w:pPr>
      <w:r>
        <w:t>Table 3. Fresh checks executed for this revision.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64"/>
        <w:gridCol w:w="3528"/>
        <w:gridCol w:w="3744"/>
      </w:tblGrid>
      <w:tr w:rsidR="007672C2" w14:paraId="71B14625" w14:textId="77777777">
        <w:trPr>
          <w:cantSplit/>
          <w:tblHeader/>
          <w:jc w:val="center"/>
        </w:trPr>
        <w:tc>
          <w:tcPr>
            <w:tcW w:w="2664" w:type="dxa"/>
            <w:shd w:val="clear" w:color="auto" w:fill="EAEAEA"/>
            <w:tcMar>
              <w:top w:w="80" w:type="dxa"/>
              <w:left w:w="85" w:type="dxa"/>
              <w:bottom w:w="80" w:type="dxa"/>
              <w:right w:w="85" w:type="dxa"/>
            </w:tcMar>
            <w:vAlign w:val="center"/>
          </w:tcPr>
          <w:p w14:paraId="6E726D4F" w14:textId="77777777" w:rsidR="007672C2" w:rsidRDefault="00000000">
            <w:pPr>
              <w:keepNext/>
              <w:keepLines/>
              <w:spacing w:after="0" w:line="247" w:lineRule="auto"/>
              <w:jc w:val="left"/>
              <w:rPr>
                <w:rFonts w:hint="eastAsia"/>
              </w:rPr>
            </w:pPr>
            <w:r>
              <w:rPr>
                <w:b/>
                <w:sz w:val="21"/>
              </w:rPr>
              <w:t>Check</w:t>
            </w:r>
          </w:p>
        </w:tc>
        <w:tc>
          <w:tcPr>
            <w:tcW w:w="3528" w:type="dxa"/>
            <w:shd w:val="clear" w:color="auto" w:fill="EAEAEA"/>
            <w:tcMar>
              <w:top w:w="80" w:type="dxa"/>
              <w:left w:w="85" w:type="dxa"/>
              <w:bottom w:w="80" w:type="dxa"/>
              <w:right w:w="85" w:type="dxa"/>
            </w:tcMar>
            <w:vAlign w:val="center"/>
          </w:tcPr>
          <w:p w14:paraId="36D87140" w14:textId="77777777" w:rsidR="007672C2" w:rsidRDefault="00000000">
            <w:pPr>
              <w:keepNext/>
              <w:keepLines/>
              <w:spacing w:after="0" w:line="247" w:lineRule="auto"/>
              <w:jc w:val="left"/>
              <w:rPr>
                <w:rFonts w:hint="eastAsia"/>
              </w:rPr>
            </w:pPr>
            <w:r>
              <w:rPr>
                <w:b/>
                <w:sz w:val="21"/>
              </w:rPr>
              <w:t>Scope</w:t>
            </w:r>
          </w:p>
        </w:tc>
        <w:tc>
          <w:tcPr>
            <w:tcW w:w="3744" w:type="dxa"/>
            <w:shd w:val="clear" w:color="auto" w:fill="EAEAEA"/>
            <w:tcMar>
              <w:top w:w="80" w:type="dxa"/>
              <w:left w:w="85" w:type="dxa"/>
              <w:bottom w:w="80" w:type="dxa"/>
              <w:right w:w="85" w:type="dxa"/>
            </w:tcMar>
            <w:vAlign w:val="center"/>
          </w:tcPr>
          <w:p w14:paraId="287D8057" w14:textId="77777777" w:rsidR="007672C2" w:rsidRDefault="00000000">
            <w:pPr>
              <w:keepNext/>
              <w:keepLines/>
              <w:spacing w:after="0" w:line="247" w:lineRule="auto"/>
              <w:jc w:val="left"/>
              <w:rPr>
                <w:rFonts w:hint="eastAsia"/>
              </w:rPr>
            </w:pPr>
            <w:r>
              <w:rPr>
                <w:b/>
                <w:sz w:val="21"/>
              </w:rPr>
              <w:t>Result</w:t>
            </w:r>
          </w:p>
        </w:tc>
      </w:tr>
      <w:tr w:rsidR="007672C2" w14:paraId="7706D561" w14:textId="77777777">
        <w:trPr>
          <w:cantSplit/>
          <w:jc w:val="center"/>
        </w:trPr>
        <w:tc>
          <w:tcPr>
            <w:tcW w:w="2664" w:type="dxa"/>
            <w:shd w:val="clear" w:color="auto" w:fill="FFFFFF"/>
            <w:tcMar>
              <w:top w:w="80" w:type="dxa"/>
              <w:left w:w="85" w:type="dxa"/>
              <w:bottom w:w="80" w:type="dxa"/>
              <w:right w:w="85" w:type="dxa"/>
            </w:tcMar>
            <w:vAlign w:val="center"/>
          </w:tcPr>
          <w:p w14:paraId="38DCF0A7" w14:textId="77777777" w:rsidR="007672C2" w:rsidRDefault="00000000">
            <w:pPr>
              <w:keepLines/>
              <w:spacing w:after="0" w:line="247" w:lineRule="auto"/>
              <w:jc w:val="left"/>
              <w:rPr>
                <w:rFonts w:hint="eastAsia"/>
              </w:rPr>
            </w:pPr>
            <w:r>
              <w:rPr>
                <w:sz w:val="21"/>
              </w:rPr>
              <w:t>Kernel form versus biased attention</w:t>
            </w:r>
          </w:p>
        </w:tc>
        <w:tc>
          <w:tcPr>
            <w:tcW w:w="3528" w:type="dxa"/>
            <w:shd w:val="clear" w:color="auto" w:fill="FFFFFF"/>
            <w:tcMar>
              <w:top w:w="80" w:type="dxa"/>
              <w:left w:w="85" w:type="dxa"/>
              <w:bottom w:w="80" w:type="dxa"/>
              <w:right w:w="85" w:type="dxa"/>
            </w:tcMar>
            <w:vAlign w:val="center"/>
          </w:tcPr>
          <w:p w14:paraId="0F091036" w14:textId="77777777" w:rsidR="007672C2" w:rsidRDefault="00000000">
            <w:pPr>
              <w:keepLines/>
              <w:spacing w:after="0" w:line="247" w:lineRule="auto"/>
              <w:jc w:val="left"/>
              <w:rPr>
                <w:rFonts w:hint="eastAsia"/>
              </w:rPr>
            </w:pPr>
            <w:r>
              <w:rPr>
                <w:sz w:val="21"/>
              </w:rPr>
              <w:t>216 configurations and seven queries per configuration</w:t>
            </w:r>
          </w:p>
        </w:tc>
        <w:tc>
          <w:tcPr>
            <w:tcW w:w="3744" w:type="dxa"/>
            <w:shd w:val="clear" w:color="auto" w:fill="FFFFFF"/>
            <w:tcMar>
              <w:top w:w="80" w:type="dxa"/>
              <w:left w:w="85" w:type="dxa"/>
              <w:bottom w:w="80" w:type="dxa"/>
              <w:right w:w="85" w:type="dxa"/>
            </w:tcMar>
            <w:vAlign w:val="center"/>
          </w:tcPr>
          <w:p w14:paraId="69BF9D6A" w14:textId="77777777" w:rsidR="007672C2" w:rsidRDefault="00000000">
            <w:pPr>
              <w:keepLines/>
              <w:spacing w:after="0" w:line="247" w:lineRule="auto"/>
              <w:jc w:val="left"/>
              <w:rPr>
                <w:rFonts w:hint="eastAsia"/>
              </w:rPr>
            </w:pPr>
            <w:r>
              <w:rPr>
                <w:sz w:val="21"/>
              </w:rPr>
              <w:t xml:space="preserve">Maximum absolute error </w:t>
            </w:r>
            <m:oMath>
              <m:r>
                <w:rPr>
                  <w:rFonts w:ascii="Cambria Math" w:hAnsi="Cambria Math"/>
                </w:rPr>
                <m:t>4.25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rPr>
                <w:sz w:val="21"/>
              </w:rPr>
              <w:t xml:space="preserve"> or less</w:t>
            </w:r>
          </w:p>
        </w:tc>
      </w:tr>
      <w:tr w:rsidR="007672C2" w14:paraId="40564479" w14:textId="77777777">
        <w:trPr>
          <w:cantSplit/>
          <w:jc w:val="center"/>
        </w:trPr>
        <w:tc>
          <w:tcPr>
            <w:tcW w:w="2664" w:type="dxa"/>
            <w:shd w:val="clear" w:color="auto" w:fill="FFFFFF"/>
            <w:tcMar>
              <w:top w:w="80" w:type="dxa"/>
              <w:left w:w="85" w:type="dxa"/>
              <w:bottom w:w="80" w:type="dxa"/>
              <w:right w:w="85" w:type="dxa"/>
            </w:tcMar>
            <w:vAlign w:val="center"/>
          </w:tcPr>
          <w:p w14:paraId="5C34DD54" w14:textId="77777777" w:rsidR="007672C2" w:rsidRDefault="00000000">
            <w:pPr>
              <w:keepLines/>
              <w:spacing w:after="0" w:line="247" w:lineRule="auto"/>
              <w:jc w:val="left"/>
              <w:rPr>
                <w:rFonts w:hint="eastAsia"/>
              </w:rPr>
            </w:pPr>
            <w:r>
              <w:rPr>
                <w:sz w:val="21"/>
              </w:rPr>
              <w:t>Common covariance identity</w:t>
            </w:r>
          </w:p>
        </w:tc>
        <w:tc>
          <w:tcPr>
            <w:tcW w:w="3528" w:type="dxa"/>
            <w:shd w:val="clear" w:color="auto" w:fill="FFFFFF"/>
            <w:tcMar>
              <w:top w:w="80" w:type="dxa"/>
              <w:left w:w="85" w:type="dxa"/>
              <w:bottom w:w="80" w:type="dxa"/>
              <w:right w:w="85" w:type="dxa"/>
            </w:tcMar>
            <w:vAlign w:val="center"/>
          </w:tcPr>
          <w:p w14:paraId="731BB95A" w14:textId="77777777" w:rsidR="007672C2" w:rsidRDefault="00000000">
            <w:pPr>
              <w:keepLines/>
              <w:spacing w:after="0" w:line="247" w:lineRule="auto"/>
              <w:jc w:val="left"/>
              <w:rPr>
                <w:rFonts w:hint="eastAsia"/>
              </w:rPr>
            </w:pPr>
            <w:r>
              <w:rPr>
                <w:sz w:val="21"/>
              </w:rPr>
              <w:t>30 positive-definite four-dimensional covariances</w:t>
            </w:r>
          </w:p>
        </w:tc>
        <w:tc>
          <w:tcPr>
            <w:tcW w:w="3744" w:type="dxa"/>
            <w:shd w:val="clear" w:color="auto" w:fill="FFFFFF"/>
            <w:tcMar>
              <w:top w:w="80" w:type="dxa"/>
              <w:left w:w="85" w:type="dxa"/>
              <w:bottom w:w="80" w:type="dxa"/>
              <w:right w:w="85" w:type="dxa"/>
            </w:tcMar>
            <w:vAlign w:val="center"/>
          </w:tcPr>
          <w:p w14:paraId="09A2A9BC" w14:textId="77777777" w:rsidR="007672C2" w:rsidRDefault="00000000">
            <w:pPr>
              <w:keepLines/>
              <w:spacing w:after="0" w:line="247" w:lineRule="auto"/>
              <w:jc w:val="left"/>
              <w:rPr>
                <w:rFonts w:hint="eastAsia"/>
              </w:rPr>
            </w:pPr>
            <w:r>
              <w:rPr>
                <w:sz w:val="21"/>
              </w:rPr>
              <w:t xml:space="preserve">Maximum absolute error </w:t>
            </w:r>
            <m:oMath>
              <m:r>
                <w:rPr>
                  <w:rFonts w:ascii="Cambria Math" w:hAnsi="Cambria Math"/>
                </w:rPr>
                <m:t>6.2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rPr>
                <w:sz w:val="21"/>
              </w:rPr>
              <w:t xml:space="preserve"> or less</w:t>
            </w:r>
          </w:p>
        </w:tc>
      </w:tr>
      <w:tr w:rsidR="007672C2" w14:paraId="4DAAC0DF" w14:textId="77777777">
        <w:trPr>
          <w:cantSplit/>
          <w:jc w:val="center"/>
        </w:trPr>
        <w:tc>
          <w:tcPr>
            <w:tcW w:w="2664" w:type="dxa"/>
            <w:shd w:val="clear" w:color="auto" w:fill="FFFFFF"/>
            <w:tcMar>
              <w:top w:w="80" w:type="dxa"/>
              <w:left w:w="85" w:type="dxa"/>
              <w:bottom w:w="80" w:type="dxa"/>
              <w:right w:w="85" w:type="dxa"/>
            </w:tcMar>
            <w:vAlign w:val="center"/>
          </w:tcPr>
          <w:p w14:paraId="488DB21E" w14:textId="77777777" w:rsidR="007672C2" w:rsidRDefault="00000000">
            <w:pPr>
              <w:keepLines/>
              <w:spacing w:after="0" w:line="247" w:lineRule="auto"/>
              <w:jc w:val="left"/>
              <w:rPr>
                <w:rFonts w:hint="eastAsia"/>
              </w:rPr>
            </w:pPr>
            <w:r>
              <w:rPr>
                <w:sz w:val="21"/>
              </w:rPr>
              <w:t>Score identity</w:t>
            </w:r>
          </w:p>
        </w:tc>
        <w:tc>
          <w:tcPr>
            <w:tcW w:w="3528" w:type="dxa"/>
            <w:shd w:val="clear" w:color="auto" w:fill="FFFFFF"/>
            <w:tcMar>
              <w:top w:w="80" w:type="dxa"/>
              <w:left w:w="85" w:type="dxa"/>
              <w:bottom w:w="80" w:type="dxa"/>
              <w:right w:w="85" w:type="dxa"/>
            </w:tcMar>
            <w:vAlign w:val="center"/>
          </w:tcPr>
          <w:p w14:paraId="7EF712C5" w14:textId="77777777" w:rsidR="007672C2" w:rsidRDefault="00000000">
            <w:pPr>
              <w:keepLines/>
              <w:spacing w:after="0" w:line="247" w:lineRule="auto"/>
              <w:jc w:val="left"/>
              <w:rPr>
                <w:rFonts w:hint="eastAsia"/>
              </w:rPr>
            </w:pPr>
            <w:r>
              <w:rPr>
                <w:sz w:val="21"/>
              </w:rPr>
              <w:t xml:space="preserve">Three-dimensional finite difference with step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p>
        </w:tc>
        <w:tc>
          <w:tcPr>
            <w:tcW w:w="3744" w:type="dxa"/>
            <w:shd w:val="clear" w:color="auto" w:fill="FFFFFF"/>
            <w:tcMar>
              <w:top w:w="80" w:type="dxa"/>
              <w:left w:w="85" w:type="dxa"/>
              <w:bottom w:w="80" w:type="dxa"/>
              <w:right w:w="85" w:type="dxa"/>
            </w:tcMar>
            <w:vAlign w:val="center"/>
          </w:tcPr>
          <w:p w14:paraId="679802A7" w14:textId="77777777" w:rsidR="007672C2" w:rsidRDefault="00000000">
            <w:pPr>
              <w:keepLines/>
              <w:spacing w:after="0" w:line="247" w:lineRule="auto"/>
              <w:jc w:val="left"/>
              <w:rPr>
                <w:rFonts w:hint="eastAsia"/>
              </w:rPr>
            </w:pPr>
            <w:r>
              <w:rPr>
                <w:sz w:val="21"/>
              </w:rPr>
              <w:t xml:space="preserve">Maximum absolute error </w:t>
            </w:r>
            <m:oMath>
              <m:r>
                <w:rPr>
                  <w:rFonts w:ascii="Cambria Math" w:hAnsi="Cambria Math"/>
                </w:rPr>
                <m:t>5.6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rPr>
                <w:sz w:val="21"/>
              </w:rPr>
              <w:t xml:space="preserve"> or less</w:t>
            </w:r>
          </w:p>
        </w:tc>
      </w:tr>
      <w:tr w:rsidR="007672C2" w14:paraId="2FB57DC2" w14:textId="77777777">
        <w:trPr>
          <w:cantSplit/>
          <w:jc w:val="center"/>
        </w:trPr>
        <w:tc>
          <w:tcPr>
            <w:tcW w:w="2664" w:type="dxa"/>
            <w:shd w:val="clear" w:color="auto" w:fill="FFFFFF"/>
            <w:tcMar>
              <w:top w:w="80" w:type="dxa"/>
              <w:left w:w="85" w:type="dxa"/>
              <w:bottom w:w="80" w:type="dxa"/>
              <w:right w:w="85" w:type="dxa"/>
            </w:tcMar>
            <w:vAlign w:val="center"/>
          </w:tcPr>
          <w:p w14:paraId="2AB5FCAF" w14:textId="77777777" w:rsidR="007672C2" w:rsidRDefault="00000000">
            <w:pPr>
              <w:keepLines/>
              <w:spacing w:after="0" w:line="247" w:lineRule="auto"/>
              <w:jc w:val="left"/>
              <w:rPr>
                <w:rFonts w:hint="eastAsia"/>
              </w:rPr>
            </w:pPr>
            <w:r>
              <w:rPr>
                <w:sz w:val="21"/>
              </w:rPr>
              <w:t>Retrieval Jacobian</w:t>
            </w:r>
          </w:p>
        </w:tc>
        <w:tc>
          <w:tcPr>
            <w:tcW w:w="3528" w:type="dxa"/>
            <w:shd w:val="clear" w:color="auto" w:fill="FFFFFF"/>
            <w:tcMar>
              <w:top w:w="80" w:type="dxa"/>
              <w:left w:w="85" w:type="dxa"/>
              <w:bottom w:w="80" w:type="dxa"/>
              <w:right w:w="85" w:type="dxa"/>
            </w:tcMar>
            <w:vAlign w:val="center"/>
          </w:tcPr>
          <w:p w14:paraId="22AB9EF7" w14:textId="77777777" w:rsidR="007672C2" w:rsidRDefault="00000000">
            <w:pPr>
              <w:keepLines/>
              <w:spacing w:after="0" w:line="247" w:lineRule="auto"/>
              <w:jc w:val="left"/>
              <w:rPr>
                <w:rFonts w:hint="eastAsia"/>
              </w:rPr>
            </w:pPr>
            <w:r>
              <w:rPr>
                <w:sz w:val="21"/>
              </w:rPr>
              <w:t>Finite differences versus posterior covariance</w:t>
            </w:r>
          </w:p>
        </w:tc>
        <w:tc>
          <w:tcPr>
            <w:tcW w:w="3744" w:type="dxa"/>
            <w:shd w:val="clear" w:color="auto" w:fill="FFFFFF"/>
            <w:tcMar>
              <w:top w:w="80" w:type="dxa"/>
              <w:left w:w="85" w:type="dxa"/>
              <w:bottom w:w="80" w:type="dxa"/>
              <w:right w:w="85" w:type="dxa"/>
            </w:tcMar>
            <w:vAlign w:val="center"/>
          </w:tcPr>
          <w:p w14:paraId="2CFE37F5" w14:textId="77777777" w:rsidR="007672C2" w:rsidRDefault="00000000">
            <w:pPr>
              <w:keepLines/>
              <w:spacing w:after="0" w:line="247" w:lineRule="auto"/>
              <w:jc w:val="left"/>
              <w:rPr>
                <w:rFonts w:hint="eastAsia"/>
              </w:rPr>
            </w:pPr>
            <w:r>
              <w:rPr>
                <w:sz w:val="21"/>
              </w:rPr>
              <w:t xml:space="preserve">Maximum absolute error </w:t>
            </w:r>
            <m:oMath>
              <m:r>
                <w:rPr>
                  <w:rFonts w:ascii="Cambria Math" w:hAnsi="Cambria Math"/>
                </w:rPr>
                <m:t>2.2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rPr>
                <w:sz w:val="21"/>
              </w:rPr>
              <w:t xml:space="preserve"> or less</w:t>
            </w:r>
          </w:p>
        </w:tc>
      </w:tr>
      <w:tr w:rsidR="007672C2" w14:paraId="67B138AB" w14:textId="77777777">
        <w:trPr>
          <w:cantSplit/>
          <w:jc w:val="center"/>
        </w:trPr>
        <w:tc>
          <w:tcPr>
            <w:tcW w:w="2664" w:type="dxa"/>
            <w:shd w:val="clear" w:color="auto" w:fill="FFFFFF"/>
            <w:tcMar>
              <w:top w:w="80" w:type="dxa"/>
              <w:left w:w="85" w:type="dxa"/>
              <w:bottom w:w="80" w:type="dxa"/>
              <w:right w:w="85" w:type="dxa"/>
            </w:tcMar>
            <w:vAlign w:val="center"/>
          </w:tcPr>
          <w:p w14:paraId="60A64774" w14:textId="77777777" w:rsidR="007672C2" w:rsidRDefault="00000000">
            <w:pPr>
              <w:keepLines/>
              <w:spacing w:after="0" w:line="247" w:lineRule="auto"/>
              <w:jc w:val="left"/>
              <w:rPr>
                <w:rFonts w:hint="eastAsia"/>
              </w:rPr>
            </w:pPr>
            <w:r>
              <w:rPr>
                <w:sz w:val="21"/>
              </w:rPr>
              <w:t>Frozen-memory energy inequality</w:t>
            </w:r>
          </w:p>
        </w:tc>
        <w:tc>
          <w:tcPr>
            <w:tcW w:w="3528" w:type="dxa"/>
            <w:shd w:val="clear" w:color="auto" w:fill="FFFFFF"/>
            <w:tcMar>
              <w:top w:w="80" w:type="dxa"/>
              <w:left w:w="85" w:type="dxa"/>
              <w:bottom w:w="80" w:type="dxa"/>
              <w:right w:w="85" w:type="dxa"/>
            </w:tcMar>
            <w:vAlign w:val="center"/>
          </w:tcPr>
          <w:p w14:paraId="66100E05" w14:textId="77777777" w:rsidR="007672C2" w:rsidRDefault="00000000">
            <w:pPr>
              <w:keepLines/>
              <w:spacing w:after="0" w:line="247" w:lineRule="auto"/>
              <w:jc w:val="left"/>
              <w:rPr>
                <w:rFonts w:hint="eastAsia"/>
              </w:rPr>
            </w:pPr>
            <w:r>
              <w:rPr>
                <w:sz w:val="21"/>
              </w:rPr>
              <w:t>One declared random instance</w:t>
            </w:r>
          </w:p>
        </w:tc>
        <w:tc>
          <w:tcPr>
            <w:tcW w:w="3744" w:type="dxa"/>
            <w:shd w:val="clear" w:color="auto" w:fill="FFFFFF"/>
            <w:tcMar>
              <w:top w:w="80" w:type="dxa"/>
              <w:left w:w="85" w:type="dxa"/>
              <w:bottom w:w="80" w:type="dxa"/>
              <w:right w:w="85" w:type="dxa"/>
            </w:tcMar>
            <w:vAlign w:val="center"/>
          </w:tcPr>
          <w:p w14:paraId="10F6D0B4" w14:textId="77777777" w:rsidR="007672C2" w:rsidRDefault="00000000">
            <w:pPr>
              <w:keepLines/>
              <w:spacing w:after="0" w:line="247" w:lineRule="auto"/>
              <w:jc w:val="left"/>
              <w:rPr>
                <w:rFonts w:hint="eastAsia"/>
              </w:rPr>
            </w:pPr>
            <w:r>
              <w:rPr>
                <w:sz w:val="21"/>
              </w:rPr>
              <w:t>Nonnegative descent slack 0.116729</w:t>
            </w:r>
          </w:p>
        </w:tc>
      </w:tr>
      <w:tr w:rsidR="007672C2" w14:paraId="7F153546" w14:textId="77777777">
        <w:trPr>
          <w:cantSplit/>
          <w:jc w:val="center"/>
        </w:trPr>
        <w:tc>
          <w:tcPr>
            <w:tcW w:w="2664" w:type="dxa"/>
            <w:shd w:val="clear" w:color="auto" w:fill="FFFFFF"/>
            <w:tcMar>
              <w:top w:w="80" w:type="dxa"/>
              <w:left w:w="85" w:type="dxa"/>
              <w:bottom w:w="80" w:type="dxa"/>
              <w:right w:w="85" w:type="dxa"/>
            </w:tcMar>
            <w:vAlign w:val="center"/>
          </w:tcPr>
          <w:p w14:paraId="14D7E991" w14:textId="77777777" w:rsidR="007672C2" w:rsidRDefault="00000000">
            <w:pPr>
              <w:keepLines/>
              <w:spacing w:after="0" w:line="247" w:lineRule="auto"/>
              <w:jc w:val="left"/>
              <w:rPr>
                <w:rFonts w:hint="eastAsia"/>
              </w:rPr>
            </w:pPr>
            <w:r>
              <w:rPr>
                <w:sz w:val="21"/>
              </w:rPr>
              <w:t>Schedule threshold</w:t>
            </w:r>
          </w:p>
        </w:tc>
        <w:tc>
          <w:tcPr>
            <w:tcW w:w="3528" w:type="dxa"/>
            <w:shd w:val="clear" w:color="auto" w:fill="FFFFFF"/>
            <w:tcMar>
              <w:top w:w="80" w:type="dxa"/>
              <w:left w:w="85" w:type="dxa"/>
              <w:bottom w:w="80" w:type="dxa"/>
              <w:right w:w="85" w:type="dxa"/>
            </w:tcMar>
            <w:vAlign w:val="center"/>
          </w:tcPr>
          <w:p w14:paraId="3A28134D" w14:textId="77777777" w:rsidR="007672C2" w:rsidRDefault="00000000">
            <w:pPr>
              <w:keepLines/>
              <w:spacing w:after="0" w:line="247" w:lineRule="auto"/>
              <w:jc w:val="left"/>
              <w:rPr>
                <w:rFonts w:hint="eastAsia"/>
              </w:rPr>
            </w:pPr>
            <w:r>
              <w:rPr>
                <w:sz w:val="21"/>
              </w:rPr>
              <w:t>1,000 random coefficient pairs and four noise settings each</w:t>
            </w:r>
          </w:p>
        </w:tc>
        <w:tc>
          <w:tcPr>
            <w:tcW w:w="3744" w:type="dxa"/>
            <w:shd w:val="clear" w:color="auto" w:fill="FFFFFF"/>
            <w:tcMar>
              <w:top w:w="80" w:type="dxa"/>
              <w:left w:w="85" w:type="dxa"/>
              <w:bottom w:w="80" w:type="dxa"/>
              <w:right w:w="85" w:type="dxa"/>
            </w:tcMar>
            <w:vAlign w:val="center"/>
          </w:tcPr>
          <w:p w14:paraId="2E795095" w14:textId="77777777" w:rsidR="007672C2" w:rsidRDefault="00000000">
            <w:pPr>
              <w:keepLines/>
              <w:spacing w:after="0" w:line="247" w:lineRule="auto"/>
              <w:jc w:val="left"/>
              <w:rPr>
                <w:rFonts w:hint="eastAsia"/>
              </w:rPr>
            </w:pPr>
            <w:r>
              <w:rPr>
                <w:sz w:val="21"/>
              </w:rPr>
              <w:t>No classification discrepancy</w:t>
            </w:r>
          </w:p>
        </w:tc>
      </w:tr>
      <w:tr w:rsidR="007672C2" w14:paraId="4348CB04" w14:textId="77777777">
        <w:trPr>
          <w:cantSplit/>
          <w:jc w:val="center"/>
        </w:trPr>
        <w:tc>
          <w:tcPr>
            <w:tcW w:w="2664" w:type="dxa"/>
            <w:shd w:val="clear" w:color="auto" w:fill="FFFFFF"/>
            <w:tcMar>
              <w:top w:w="80" w:type="dxa"/>
              <w:left w:w="85" w:type="dxa"/>
              <w:bottom w:w="80" w:type="dxa"/>
              <w:right w:w="85" w:type="dxa"/>
            </w:tcMar>
            <w:vAlign w:val="center"/>
          </w:tcPr>
          <w:p w14:paraId="6BA9B3C4" w14:textId="77777777" w:rsidR="007672C2" w:rsidRDefault="00000000">
            <w:pPr>
              <w:keepLines/>
              <w:spacing w:after="0" w:line="247" w:lineRule="auto"/>
              <w:jc w:val="left"/>
              <w:rPr>
                <w:rFonts w:hint="eastAsia"/>
              </w:rPr>
            </w:pPr>
            <w:r>
              <w:rPr>
                <w:sz w:val="21"/>
              </w:rPr>
              <w:t>Omitted-mass read bound</w:t>
            </w:r>
          </w:p>
        </w:tc>
        <w:tc>
          <w:tcPr>
            <w:tcW w:w="3528" w:type="dxa"/>
            <w:shd w:val="clear" w:color="auto" w:fill="FFFFFF"/>
            <w:tcMar>
              <w:top w:w="80" w:type="dxa"/>
              <w:left w:w="85" w:type="dxa"/>
              <w:bottom w:w="80" w:type="dxa"/>
              <w:right w:w="85" w:type="dxa"/>
            </w:tcMar>
            <w:vAlign w:val="center"/>
          </w:tcPr>
          <w:p w14:paraId="6862516C" w14:textId="77777777" w:rsidR="007672C2" w:rsidRDefault="00000000">
            <w:pPr>
              <w:keepLines/>
              <w:spacing w:after="0" w:line="247" w:lineRule="auto"/>
              <w:jc w:val="left"/>
              <w:rPr>
                <w:rFonts w:hint="eastAsia"/>
              </w:rPr>
            </w:pPr>
            <w:r>
              <w:rPr>
                <w:sz w:val="21"/>
              </w:rPr>
              <w:t>1,000 random three-dimensional value sets</w:t>
            </w:r>
          </w:p>
        </w:tc>
        <w:tc>
          <w:tcPr>
            <w:tcW w:w="3744" w:type="dxa"/>
            <w:shd w:val="clear" w:color="auto" w:fill="FFFFFF"/>
            <w:tcMar>
              <w:top w:w="80" w:type="dxa"/>
              <w:left w:w="85" w:type="dxa"/>
              <w:bottom w:w="80" w:type="dxa"/>
              <w:right w:w="85" w:type="dxa"/>
            </w:tcMar>
            <w:vAlign w:val="center"/>
          </w:tcPr>
          <w:p w14:paraId="1EDA99BE" w14:textId="77777777" w:rsidR="007672C2" w:rsidRDefault="00000000">
            <w:pPr>
              <w:keepLines/>
              <w:spacing w:after="0" w:line="247" w:lineRule="auto"/>
              <w:jc w:val="left"/>
              <w:rPr>
                <w:rFonts w:hint="eastAsia"/>
              </w:rPr>
            </w:pPr>
            <w:r>
              <w:rPr>
                <w:sz w:val="21"/>
              </w:rPr>
              <w:t>Bound satisfied in every case</w:t>
            </w:r>
          </w:p>
        </w:tc>
      </w:tr>
    </w:tbl>
    <w:p w14:paraId="5AA12CBF" w14:textId="77777777" w:rsidR="007672C2" w:rsidRDefault="00000000">
      <w:pPr>
        <w:pStyle w:val="BodyText"/>
        <w:spacing w:before="140"/>
        <w:rPr>
          <w:rFonts w:hint="eastAsia"/>
        </w:rPr>
      </w:pPr>
      <w:r>
        <w:t xml:space="preserve">The numerical equality error is consistent with floating-point evaluation of large logits, especially near </w:t>
      </w:r>
      <m:oMath>
        <m:r>
          <w:rPr>
            <w:rFonts w:ascii="Cambria Math" w:hAnsi="Cambria Math"/>
          </w:rPr>
          <m:t>a</m:t>
        </m:r>
        <m:r>
          <m:rPr>
            <m:sty m:val="p"/>
          </m:rPr>
          <w:rPr>
            <w:rFonts w:ascii="Cambria Math" w:hAnsi="Cambria Math"/>
          </w:rPr>
          <m:t>=</m:t>
        </m:r>
        <m:r>
          <w:rPr>
            <w:rFonts w:ascii="Cambria Math" w:hAnsi="Cambria Math"/>
          </w:rPr>
          <m:t>1</m:t>
        </m:r>
      </m:oMath>
      <w:r>
        <w:t>. Softmax stability does not remove cancellation in the expanded dot-product form. Direct squared distances or centered coordinates can be numerically preferable. These finite checks assess implementation; they neither prove the theorems nor certify optimization success.</w:t>
      </w:r>
    </w:p>
    <w:p w14:paraId="743E827C" w14:textId="77777777" w:rsidR="007672C2" w:rsidRDefault="00000000">
      <w:pPr>
        <w:pStyle w:val="BodyText"/>
        <w:rPr>
          <w:rFonts w:hint="eastAsia"/>
        </w:rPr>
      </w:pPr>
      <w:r>
        <w:t xml:space="preserve">The shared-feature covariance check uses 300,000 independent two-dimensional Gaussian features with three keys. The analytic and empirical denominator variances are 0.516528 and 0.511650. The analytic and empirical centered-numerator second moments are 0.084899 and 0.084315. Their agreement is within one percent in this fixed experiment; it is not a uniform Monte Carlo accuracy statement. For </w:t>
      </w:r>
      <m:oMath>
        <m:r>
          <w:rPr>
            <w:rFonts w:ascii="Cambria Math" w:hAnsi="Cambria Math"/>
          </w:rPr>
          <m:t>M</m:t>
        </m:r>
        <m:r>
          <m:rPr>
            <m:sty m:val="p"/>
          </m:rPr>
          <w:rPr>
            <w:rFonts w:ascii="Cambria Math" w:hAnsi="Cambria Math"/>
          </w:rPr>
          <m:t>=</m:t>
        </m:r>
        <m:r>
          <w:rPr>
            <w:rFonts w:ascii="Cambria Math" w:hAnsi="Cambria Math"/>
          </w:rPr>
          <m:t>64</m:t>
        </m:r>
      </m:oMath>
      <w:r>
        <w:t xml:space="preserve">, </w:t>
      </w:r>
      <m:oMath>
        <m:r>
          <w:rPr>
            <w:rFonts w:ascii="Cambria Math" w:hAnsi="Cambria Math"/>
          </w:rPr>
          <m:t>γ</m:t>
        </m:r>
        <m:r>
          <m:rPr>
            <m:sty m:val="p"/>
          </m:rPr>
          <w:rPr>
            <w:rFonts w:ascii="Cambria Math" w:hAnsi="Cambria Math"/>
          </w:rPr>
          <m:t>=</m:t>
        </m:r>
        <m:r>
          <w:rPr>
            <w:rFonts w:ascii="Cambria Math" w:hAnsi="Cambria Math"/>
          </w:rPr>
          <m:t>0.2</m:t>
        </m:r>
      </m:oMath>
      <w:r>
        <w:t xml:space="preserve"> and read tolerance 0.1, (26) gives a bound of 0.042913. None of 4,687 </w:t>
      </w:r>
      <w:r>
        <w:lastRenderedPageBreak/>
        <w:t>disjoint feature batches exceeds the tolerance. The resulting conservatism is expected from second-moment inequalities.</w:t>
      </w:r>
    </w:p>
    <w:p w14:paraId="1D20CCDB" w14:textId="77777777" w:rsidR="007672C2" w:rsidRDefault="00000000">
      <w:pPr>
        <w:pStyle w:val="Heading2"/>
        <w:rPr>
          <w:rFonts w:hint="eastAsia"/>
        </w:rPr>
      </w:pPr>
      <w:bookmarkStart w:id="24" w:name="recentring-experiment"/>
      <w:bookmarkEnd w:id="23"/>
      <w:r>
        <w:t>6.2 Recentring experiment</w:t>
      </w:r>
    </w:p>
    <w:p w14:paraId="0E5FA023" w14:textId="77777777" w:rsidR="007672C2" w:rsidRDefault="00000000">
      <w:pPr>
        <w:pStyle w:val="FirstParagraph"/>
        <w:rPr>
          <w:rFonts w:hint="eastAsia"/>
        </w:rPr>
      </w:pPr>
      <w:r>
        <w:t xml:space="preserve">Generate 64 two-dimensional memory values with coordinate standard deviation 0.07, use eight queries at their scaled centers, </w:t>
      </w:r>
      <m:oMath>
        <m:r>
          <w:rPr>
            <w:rFonts w:ascii="Cambria Math" w:hAnsi="Cambria Math"/>
          </w:rPr>
          <m:t>a</m:t>
        </m:r>
        <m:r>
          <m:rPr>
            <m:sty m:val="p"/>
          </m:rPr>
          <w:rPr>
            <w:rFonts w:ascii="Cambria Math" w:hAnsi="Cambria Math"/>
          </w:rPr>
          <m:t>=</m:t>
        </m:r>
        <m:r>
          <w:rPr>
            <w:rFonts w:ascii="Cambria Math" w:hAnsi="Cambria Math"/>
          </w:rPr>
          <m:t>0.99</m:t>
        </m:r>
      </m:oMath>
      <w:r>
        <w:t xml:space="preserve">, equal prior weights and </w:t>
      </w:r>
      <m:oMath>
        <m:r>
          <w:rPr>
            <w:rFonts w:ascii="Cambria Math" w:hAnsi="Cambria Math"/>
          </w:rPr>
          <m:t>M</m:t>
        </m:r>
        <m:r>
          <m:rPr>
            <m:sty m:val="p"/>
          </m:rPr>
          <w:rPr>
            <w:rFonts w:ascii="Cambria Math" w:hAnsi="Cambria Math"/>
          </w:rPr>
          <m:t>=</m:t>
        </m:r>
        <m:r>
          <w:rPr>
            <w:rFonts w:ascii="Cambria Math" w:hAnsi="Cambria Math"/>
          </w:rPr>
          <m:t>256</m:t>
        </m:r>
      </m:oMath>
      <w:r>
        <w:t xml:space="preserve">. Over 40 independent feature batches, translate the design values by </w:t>
      </w:r>
      <m:oMath>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8</m:t>
            </m:r>
          </m:e>
        </m:d>
      </m:oMath>
      <w:r>
        <w:t xml:space="preserve"> and queries by </w:t>
      </w:r>
      <m:oMath>
        <m:rad>
          <m:radPr>
            <m:degHide m:val="1"/>
            <m:ctrlPr>
              <w:rPr>
                <w:rFonts w:ascii="Cambria Math" w:hAnsi="Cambria Math"/>
              </w:rPr>
            </m:ctrlPr>
          </m:radPr>
          <m:deg/>
          <m:e>
            <m:r>
              <w:rPr>
                <w:rFonts w:ascii="Cambria Math" w:hAnsi="Cambria Math"/>
              </w:rPr>
              <m:t>a</m:t>
            </m:r>
          </m:e>
        </m:rad>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8</m:t>
            </m:r>
          </m:e>
        </m:d>
      </m:oMath>
      <w:r>
        <w:t>, so Gaussian pairwise distances remain unchanged. Compare the mean Euclidean read error with and without a single common center at the mean of the translated Gaussian key centers.</w:t>
      </w:r>
    </w:p>
    <w:p w14:paraId="058F297F" w14:textId="77777777" w:rsidR="007672C2" w:rsidRDefault="00000000">
      <w:pPr>
        <w:pStyle w:val="Caption"/>
        <w:keepNext/>
        <w:rPr>
          <w:rFonts w:hint="eastAsia"/>
        </w:rPr>
      </w:pPr>
      <w:r>
        <w:t>Table 4. Fresh random-feature translation experiment.</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480"/>
        <w:gridCol w:w="3456"/>
      </w:tblGrid>
      <w:tr w:rsidR="007672C2" w14:paraId="04474D9F" w14:textId="77777777">
        <w:trPr>
          <w:cantSplit/>
          <w:tblHeader/>
          <w:jc w:val="center"/>
        </w:trPr>
        <w:tc>
          <w:tcPr>
            <w:tcW w:w="6480" w:type="dxa"/>
            <w:shd w:val="clear" w:color="auto" w:fill="EAEAEA"/>
            <w:tcMar>
              <w:top w:w="80" w:type="dxa"/>
              <w:left w:w="85" w:type="dxa"/>
              <w:bottom w:w="80" w:type="dxa"/>
              <w:right w:w="85" w:type="dxa"/>
            </w:tcMar>
            <w:vAlign w:val="center"/>
          </w:tcPr>
          <w:p w14:paraId="6037AB40" w14:textId="77777777" w:rsidR="007672C2" w:rsidRDefault="00000000">
            <w:pPr>
              <w:keepNext/>
              <w:keepLines/>
              <w:spacing w:after="0" w:line="247" w:lineRule="auto"/>
              <w:jc w:val="left"/>
              <w:rPr>
                <w:rFonts w:hint="eastAsia"/>
              </w:rPr>
            </w:pPr>
            <w:r>
              <w:rPr>
                <w:b/>
                <w:sz w:val="21"/>
              </w:rPr>
              <w:t>Representation</w:t>
            </w:r>
          </w:p>
        </w:tc>
        <w:tc>
          <w:tcPr>
            <w:tcW w:w="3456" w:type="dxa"/>
            <w:shd w:val="clear" w:color="auto" w:fill="EAEAEA"/>
            <w:tcMar>
              <w:top w:w="80" w:type="dxa"/>
              <w:left w:w="85" w:type="dxa"/>
              <w:bottom w:w="80" w:type="dxa"/>
              <w:right w:w="85" w:type="dxa"/>
            </w:tcMar>
            <w:vAlign w:val="center"/>
          </w:tcPr>
          <w:p w14:paraId="52B1A658" w14:textId="77777777" w:rsidR="007672C2" w:rsidRDefault="00000000">
            <w:pPr>
              <w:keepNext/>
              <w:keepLines/>
              <w:spacing w:after="0" w:line="247" w:lineRule="auto"/>
              <w:jc w:val="right"/>
              <w:rPr>
                <w:rFonts w:hint="eastAsia"/>
              </w:rPr>
            </w:pPr>
            <w:r>
              <w:rPr>
                <w:b/>
                <w:sz w:val="21"/>
              </w:rPr>
              <w:t>Mean Euclidean retrieval error</w:t>
            </w:r>
          </w:p>
        </w:tc>
      </w:tr>
      <w:tr w:rsidR="007672C2" w14:paraId="7B3E0F10" w14:textId="77777777">
        <w:trPr>
          <w:cantSplit/>
          <w:jc w:val="center"/>
        </w:trPr>
        <w:tc>
          <w:tcPr>
            <w:tcW w:w="6480" w:type="dxa"/>
            <w:shd w:val="clear" w:color="auto" w:fill="FFFFFF"/>
            <w:tcMar>
              <w:top w:w="80" w:type="dxa"/>
              <w:left w:w="85" w:type="dxa"/>
              <w:bottom w:w="80" w:type="dxa"/>
              <w:right w:w="85" w:type="dxa"/>
            </w:tcMar>
            <w:vAlign w:val="center"/>
          </w:tcPr>
          <w:p w14:paraId="3E798376" w14:textId="77777777" w:rsidR="007672C2" w:rsidRDefault="00000000">
            <w:pPr>
              <w:keepNext/>
              <w:keepLines/>
              <w:spacing w:after="0" w:line="247" w:lineRule="auto"/>
              <w:jc w:val="left"/>
              <w:rPr>
                <w:rFonts w:hint="eastAsia"/>
              </w:rPr>
            </w:pPr>
            <w:r>
              <w:rPr>
                <w:sz w:val="21"/>
              </w:rPr>
              <w:t>Original coordinates without centering</w:t>
            </w:r>
          </w:p>
        </w:tc>
        <w:tc>
          <w:tcPr>
            <w:tcW w:w="3456" w:type="dxa"/>
            <w:shd w:val="clear" w:color="auto" w:fill="FFFFFF"/>
            <w:tcMar>
              <w:top w:w="80" w:type="dxa"/>
              <w:left w:w="85" w:type="dxa"/>
              <w:bottom w:w="80" w:type="dxa"/>
              <w:right w:w="85" w:type="dxa"/>
            </w:tcMar>
            <w:vAlign w:val="center"/>
          </w:tcPr>
          <w:p w14:paraId="56B51045" w14:textId="77777777" w:rsidR="007672C2" w:rsidRDefault="00000000">
            <w:pPr>
              <w:keepNext/>
              <w:keepLines/>
              <w:spacing w:after="0" w:line="247" w:lineRule="auto"/>
              <w:jc w:val="right"/>
              <w:rPr>
                <w:rFonts w:hint="eastAsia"/>
              </w:rPr>
            </w:pPr>
            <w:r>
              <w:rPr>
                <w:sz w:val="21"/>
              </w:rPr>
              <w:t>0.007704</w:t>
            </w:r>
          </w:p>
        </w:tc>
      </w:tr>
      <w:tr w:rsidR="007672C2" w14:paraId="3DAA9653" w14:textId="77777777">
        <w:trPr>
          <w:cantSplit/>
          <w:jc w:val="center"/>
        </w:trPr>
        <w:tc>
          <w:tcPr>
            <w:tcW w:w="6480" w:type="dxa"/>
            <w:shd w:val="clear" w:color="auto" w:fill="FFFFFF"/>
            <w:tcMar>
              <w:top w:w="80" w:type="dxa"/>
              <w:left w:w="85" w:type="dxa"/>
              <w:bottom w:w="80" w:type="dxa"/>
              <w:right w:w="85" w:type="dxa"/>
            </w:tcMar>
            <w:vAlign w:val="center"/>
          </w:tcPr>
          <w:p w14:paraId="16D4DD83" w14:textId="77777777" w:rsidR="007672C2" w:rsidRDefault="00000000">
            <w:pPr>
              <w:keepNext/>
              <w:keepLines/>
              <w:spacing w:after="0" w:line="247" w:lineRule="auto"/>
              <w:jc w:val="left"/>
              <w:rPr>
                <w:rFonts w:hint="eastAsia"/>
              </w:rPr>
            </w:pPr>
            <w:r>
              <w:rPr>
                <w:sz w:val="21"/>
              </w:rPr>
              <w:t>Translated coordinates without centering</w:t>
            </w:r>
          </w:p>
        </w:tc>
        <w:tc>
          <w:tcPr>
            <w:tcW w:w="3456" w:type="dxa"/>
            <w:shd w:val="clear" w:color="auto" w:fill="FFFFFF"/>
            <w:tcMar>
              <w:top w:w="80" w:type="dxa"/>
              <w:left w:w="85" w:type="dxa"/>
              <w:bottom w:w="80" w:type="dxa"/>
              <w:right w:w="85" w:type="dxa"/>
            </w:tcMar>
            <w:vAlign w:val="center"/>
          </w:tcPr>
          <w:p w14:paraId="7F42B870" w14:textId="77777777" w:rsidR="007672C2" w:rsidRDefault="00000000">
            <w:pPr>
              <w:keepNext/>
              <w:keepLines/>
              <w:spacing w:after="0" w:line="247" w:lineRule="auto"/>
              <w:jc w:val="right"/>
              <w:rPr>
                <w:rFonts w:hint="eastAsia"/>
              </w:rPr>
            </w:pPr>
            <w:r>
              <w:rPr>
                <w:sz w:val="21"/>
              </w:rPr>
              <w:t>0.147811</w:t>
            </w:r>
          </w:p>
        </w:tc>
      </w:tr>
      <w:tr w:rsidR="007672C2" w14:paraId="2FA5273F" w14:textId="77777777">
        <w:trPr>
          <w:cantSplit/>
          <w:jc w:val="center"/>
        </w:trPr>
        <w:tc>
          <w:tcPr>
            <w:tcW w:w="6480" w:type="dxa"/>
            <w:shd w:val="clear" w:color="auto" w:fill="FFFFFF"/>
            <w:tcMar>
              <w:top w:w="80" w:type="dxa"/>
              <w:left w:w="85" w:type="dxa"/>
              <w:bottom w:w="80" w:type="dxa"/>
              <w:right w:w="85" w:type="dxa"/>
            </w:tcMar>
            <w:vAlign w:val="center"/>
          </w:tcPr>
          <w:p w14:paraId="5455CEE2" w14:textId="77777777" w:rsidR="007672C2" w:rsidRDefault="00000000">
            <w:pPr>
              <w:keepLines/>
              <w:spacing w:after="0" w:line="247" w:lineRule="auto"/>
              <w:jc w:val="left"/>
              <w:rPr>
                <w:rFonts w:hint="eastAsia"/>
              </w:rPr>
            </w:pPr>
            <w:r>
              <w:rPr>
                <w:sz w:val="21"/>
              </w:rPr>
              <w:t>Translated coordinates with common key center</w:t>
            </w:r>
          </w:p>
        </w:tc>
        <w:tc>
          <w:tcPr>
            <w:tcW w:w="3456" w:type="dxa"/>
            <w:shd w:val="clear" w:color="auto" w:fill="FFFFFF"/>
            <w:tcMar>
              <w:top w:w="80" w:type="dxa"/>
              <w:left w:w="85" w:type="dxa"/>
              <w:bottom w:w="80" w:type="dxa"/>
              <w:right w:w="85" w:type="dxa"/>
            </w:tcMar>
            <w:vAlign w:val="center"/>
          </w:tcPr>
          <w:p w14:paraId="7AEEA10B" w14:textId="77777777" w:rsidR="007672C2" w:rsidRDefault="00000000">
            <w:pPr>
              <w:keepLines/>
              <w:spacing w:after="0" w:line="247" w:lineRule="auto"/>
              <w:jc w:val="right"/>
              <w:rPr>
                <w:rFonts w:hint="eastAsia"/>
              </w:rPr>
            </w:pPr>
            <w:r>
              <w:rPr>
                <w:sz w:val="21"/>
              </w:rPr>
              <w:t>0.007719</w:t>
            </w:r>
          </w:p>
        </w:tc>
      </w:tr>
    </w:tbl>
    <w:p w14:paraId="6DDF664A" w14:textId="77777777" w:rsidR="007672C2" w:rsidRDefault="00000000">
      <w:pPr>
        <w:pStyle w:val="BodyText"/>
        <w:spacing w:before="140"/>
        <w:rPr>
          <w:rFonts w:hint="eastAsia"/>
        </w:rPr>
      </w:pPr>
      <w:r>
        <w:t>The exact retrieval simply translates with the values. The uncentered approximation deteriorates by about nineteenfold, while common centering nearly restores the original error. This is a controlled example of representation-sensitive variance. It is not a benchmark of a full DE trajectory or proof that one center works for every multimodal population.</w:t>
      </w:r>
    </w:p>
    <w:p w14:paraId="2E640CE2" w14:textId="77777777" w:rsidR="007672C2" w:rsidRDefault="00000000">
      <w:pPr>
        <w:pStyle w:val="BodyText"/>
        <w:keepNext/>
        <w:jc w:val="center"/>
        <w:rPr>
          <w:rFonts w:hint="eastAsia"/>
        </w:rPr>
      </w:pPr>
      <w:r>
        <w:rPr>
          <w:noProof/>
        </w:rPr>
        <w:drawing>
          <wp:inline distT="0" distB="0" distL="0" distR="0" wp14:anchorId="5A1DACAD" wp14:editId="3F76416A">
            <wp:extent cx="6126480" cy="2012128"/>
            <wp:effectExtent l="0" t="0" r="0" b="0"/>
            <wp:docPr id="47" name="Picture" descr="Random feature translation"/>
            <wp:cNvGraphicFramePr/>
            <a:graphic xmlns:a="http://schemas.openxmlformats.org/drawingml/2006/main">
              <a:graphicData uri="http://schemas.openxmlformats.org/drawingml/2006/picture">
                <pic:pic xmlns:pic="http://schemas.openxmlformats.org/drawingml/2006/picture">
                  <pic:nvPicPr>
                    <pic:cNvPr id="48" name="Picture" descr="figures/centering.png"/>
                    <pic:cNvPicPr>
                      <a:picLocks noChangeAspect="1" noChangeArrowheads="1"/>
                    </pic:cNvPicPr>
                  </pic:nvPicPr>
                  <pic:blipFill>
                    <a:blip r:embed="rId8"/>
                    <a:stretch>
                      <a:fillRect/>
                    </a:stretch>
                  </pic:blipFill>
                  <pic:spPr bwMode="auto">
                    <a:xfrm>
                      <a:off x="0" y="0"/>
                      <a:ext cx="6126480" cy="2012128"/>
                    </a:xfrm>
                    <a:prstGeom prst="rect">
                      <a:avLst/>
                    </a:prstGeom>
                    <a:noFill/>
                    <a:ln w="9525">
                      <a:noFill/>
                      <a:headEnd/>
                      <a:tailEnd/>
                    </a:ln>
                  </pic:spPr>
                </pic:pic>
              </a:graphicData>
            </a:graphic>
          </wp:inline>
        </w:drawing>
      </w:r>
    </w:p>
    <w:p w14:paraId="4F4F1870" w14:textId="77777777" w:rsidR="007672C2" w:rsidRDefault="00000000">
      <w:pPr>
        <w:pStyle w:val="Caption"/>
        <w:keepLines/>
        <w:rPr>
          <w:rFonts w:hint="eastAsia"/>
        </w:rPr>
      </w:pPr>
      <w:r>
        <w:t>Figure 2. Fresh approximation checks. Left, a single common center improves the translated narrow-kernel read without changing its exact target. Right, Monte Carlo feature moments agree with the analytic shared-feature covariance formulas for the declared three-key instance.</w:t>
      </w:r>
    </w:p>
    <w:p w14:paraId="28694E77" w14:textId="77777777" w:rsidR="007672C2" w:rsidRDefault="00000000">
      <w:pPr>
        <w:pStyle w:val="Heading2"/>
        <w:rPr>
          <w:rFonts w:hint="eastAsia"/>
        </w:rPr>
      </w:pPr>
      <w:bookmarkStart w:id="25" w:name="Xea075f8b60b41917e6d944c938d56668f2f52bc"/>
      <w:bookmarkEnd w:id="24"/>
      <w:r>
        <w:t>6.3 Reported population and attention-stack measurements</w:t>
      </w:r>
    </w:p>
    <w:p w14:paraId="6AF3F389" w14:textId="77777777" w:rsidR="007672C2" w:rsidRDefault="00000000">
      <w:pPr>
        <w:pStyle w:val="FirstParagraph"/>
        <w:rPr>
          <w:rFonts w:hint="eastAsia"/>
        </w:rPr>
      </w:pPr>
      <w:r>
        <w:t xml:space="preserve">The preceding version [12] reports a separate experiment on the scaled Himmelblau loss </w:t>
      </w:r>
      <m:oMath>
        <m:r>
          <w:rPr>
            <w:rFonts w:ascii="Cambria Math" w:hAnsi="Cambria Math"/>
          </w:rPr>
          <m:t>J</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4z</m:t>
            </m:r>
          </m:e>
        </m:d>
      </m:oMath>
      <w:r>
        <w:t xml:space="preserve">, where </w:t>
      </w:r>
      <m:oMath>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11</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7</m:t>
                </m:r>
              </m:e>
            </m:d>
          </m:e>
          <m:sup>
            <m:r>
              <w:rPr>
                <w:rFonts w:ascii="Cambria Math" w:hAnsi="Cambria Math"/>
              </w:rPr>
              <m:t>2</m:t>
            </m:r>
          </m:sup>
        </m:sSup>
      </m:oMath>
      <w:r>
        <w:t xml:space="preserve">. Its four minima have equal objective value. The stated configuration is </w:t>
      </w:r>
      <m:oMath>
        <m:r>
          <w:rPr>
            <w:rFonts w:ascii="Cambria Math" w:hAnsi="Cambria Math"/>
          </w:rPr>
          <m:t>β</m:t>
        </m:r>
        <m:r>
          <m:rPr>
            <m:sty m:val="p"/>
          </m:rPr>
          <w:rPr>
            <w:rFonts w:ascii="Cambria Math" w:hAnsi="Cambria Math"/>
          </w:rPr>
          <m:t>=</m:t>
        </m:r>
        <m:r>
          <w:rPr>
            <w:rFonts w:ascii="Cambria Math" w:hAnsi="Cambria Math"/>
          </w:rPr>
          <m:t>0.1</m:t>
        </m:r>
      </m:oMath>
      <w:r>
        <w:t xml:space="preserve">, </w:t>
      </w:r>
      <m:oMath>
        <m:r>
          <w:rPr>
            <w:rFonts w:ascii="Cambria Math" w:hAnsi="Cambria Math"/>
          </w:rPr>
          <m:t>N</m:t>
        </m:r>
        <m:r>
          <m:rPr>
            <m:sty m:val="p"/>
          </m:rPr>
          <w:rPr>
            <w:rFonts w:ascii="Cambria Math" w:hAnsi="Cambria Math"/>
          </w:rPr>
          <m:t>=</m:t>
        </m:r>
        <m:r>
          <w:rPr>
            <w:rFonts w:ascii="Cambria Math" w:hAnsi="Cambria Math"/>
          </w:rPr>
          <m:t>512</m:t>
        </m:r>
      </m:oMath>
      <w:r>
        <w:t xml:space="preserve">, 50 scheduled steps, </w:t>
      </w:r>
      <m:oMath>
        <m:r>
          <w:rPr>
            <w:rFonts w:ascii="Cambria Math" w:hAnsi="Cambria Math"/>
          </w:rPr>
          <m:t>η</m:t>
        </m:r>
        <m:r>
          <m:rPr>
            <m:sty m:val="p"/>
          </m:rPr>
          <w:rPr>
            <w:rFonts w:ascii="Cambria Math" w:hAnsi="Cambria Math"/>
          </w:rPr>
          <m:t>=</m:t>
        </m:r>
        <m:r>
          <w:rPr>
            <w:rFonts w:ascii="Cambria Math" w:hAnsi="Cambria Math"/>
          </w:rPr>
          <m:t>1</m:t>
        </m:r>
      </m:oMath>
      <w:r>
        <w:t xml:space="preserve"> and seeds 0–9, with cosine cumulative signal coefficients clipped to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oMath>
      <w:r>
        <w:t>. A particle is counted near an optimum when within 0.1 in scaled design coordinates. The density bias uses a Gaussian occupancy estimate with Scott bandwidth.</w:t>
      </w:r>
    </w:p>
    <w:p w14:paraId="2BD2B37A" w14:textId="77777777" w:rsidR="007672C2" w:rsidRDefault="00000000">
      <w:pPr>
        <w:pStyle w:val="BodyText"/>
        <w:rPr>
          <w:rFonts w:hint="eastAsia"/>
        </w:rPr>
      </w:pPr>
      <w:r>
        <w:t xml:space="preserve">The same source reports a separate attention stack: 256 initial unit-sphere tokens in dimension eight, inverse temperature four, update </w:t>
      </w:r>
      <m:oMath>
        <m:r>
          <w:rPr>
            <w:rFonts w:ascii="Cambria Math" w:hAnsi="Cambria Math"/>
          </w:rPr>
          <m:t>x</m:t>
        </m:r>
        <m:r>
          <m:rPr>
            <m:sty m:val="p"/>
          </m:rPr>
          <w:rPr>
            <w:rFonts w:ascii="Cambria Math" w:hAnsi="Cambria Math"/>
          </w:rPr>
          <m:t>←normalize</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0.5</m:t>
            </m:r>
            <m:r>
              <m:rPr>
                <m:sty m:val="p"/>
              </m:rPr>
              <w:rPr>
                <w:rFonts w:ascii="Cambria Math" w:hAnsi="Cambria Math"/>
              </w:rPr>
              <m:t>Attn</m:t>
            </m:r>
            <m:d>
              <m:dPr>
                <m:ctrlPr>
                  <w:rPr>
                    <w:rFonts w:ascii="Cambria Math" w:hAnsi="Cambria Math"/>
                  </w:rPr>
                </m:ctrlPr>
              </m:dPr>
              <m:e>
                <m:r>
                  <w:rPr>
                    <w:rFonts w:ascii="Cambria Math" w:hAnsi="Cambria Math"/>
                  </w:rPr>
                  <m:t>x</m:t>
                </m:r>
              </m:e>
            </m:d>
          </m:e>
        </m:d>
      </m:oMath>
      <w:r>
        <w:t xml:space="preserve">, 80 layers and ten seeds. The modified stack subtracts the log of an occupancy estimate with bandwidth 0.35 from each key’s </w:t>
      </w:r>
      <w:r>
        <w:lastRenderedPageBreak/>
        <w:t>score. Cluster counts use single-linkage with Euclidean radius 0.05. These settings define a stylized attention experiment, not a trained Transformer.</w:t>
      </w:r>
    </w:p>
    <w:p w14:paraId="4D3C0797" w14:textId="77777777" w:rsidR="007672C2" w:rsidRDefault="00000000">
      <w:pPr>
        <w:pStyle w:val="Caption"/>
        <w:keepNext/>
        <w:rPr>
          <w:rFonts w:hint="eastAsia"/>
        </w:rPr>
      </w:pPr>
      <w:r>
        <w:t>Table 5. Population and clustering measurements reported in the preceding version.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472"/>
        <w:gridCol w:w="2232"/>
        <w:gridCol w:w="2232"/>
      </w:tblGrid>
      <w:tr w:rsidR="007672C2" w14:paraId="5B2882DC" w14:textId="77777777">
        <w:trPr>
          <w:cantSplit/>
          <w:tblHeader/>
          <w:jc w:val="center"/>
        </w:trPr>
        <w:tc>
          <w:tcPr>
            <w:tcW w:w="5472" w:type="dxa"/>
            <w:shd w:val="clear" w:color="auto" w:fill="EAEAEA"/>
            <w:tcMar>
              <w:top w:w="80" w:type="dxa"/>
              <w:left w:w="85" w:type="dxa"/>
              <w:bottom w:w="80" w:type="dxa"/>
              <w:right w:w="85" w:type="dxa"/>
            </w:tcMar>
            <w:vAlign w:val="center"/>
          </w:tcPr>
          <w:p w14:paraId="12FC1582" w14:textId="77777777" w:rsidR="007672C2" w:rsidRDefault="00000000">
            <w:pPr>
              <w:keepNext/>
              <w:keepLines/>
              <w:spacing w:after="0" w:line="247" w:lineRule="auto"/>
              <w:jc w:val="left"/>
              <w:rPr>
                <w:rFonts w:hint="eastAsia"/>
              </w:rPr>
            </w:pPr>
            <w:r>
              <w:rPr>
                <w:b/>
                <w:sz w:val="21"/>
              </w:rPr>
              <w:t>Setting and measure</w:t>
            </w:r>
          </w:p>
        </w:tc>
        <w:tc>
          <w:tcPr>
            <w:tcW w:w="2232" w:type="dxa"/>
            <w:shd w:val="clear" w:color="auto" w:fill="EAEAEA"/>
            <w:tcMar>
              <w:top w:w="80" w:type="dxa"/>
              <w:left w:w="85" w:type="dxa"/>
              <w:bottom w:w="80" w:type="dxa"/>
              <w:right w:w="85" w:type="dxa"/>
            </w:tcMar>
            <w:vAlign w:val="center"/>
          </w:tcPr>
          <w:p w14:paraId="6BD1D40C" w14:textId="77777777" w:rsidR="007672C2" w:rsidRDefault="00000000">
            <w:pPr>
              <w:keepNext/>
              <w:keepLines/>
              <w:spacing w:after="0" w:line="247" w:lineRule="auto"/>
              <w:jc w:val="right"/>
              <w:rPr>
                <w:rFonts w:hint="eastAsia"/>
              </w:rPr>
            </w:pPr>
            <w:r>
              <w:rPr>
                <w:b/>
                <w:sz w:val="21"/>
              </w:rPr>
              <w:t>Without density bias</w:t>
            </w:r>
          </w:p>
        </w:tc>
        <w:tc>
          <w:tcPr>
            <w:tcW w:w="2232" w:type="dxa"/>
            <w:shd w:val="clear" w:color="auto" w:fill="EAEAEA"/>
            <w:tcMar>
              <w:top w:w="80" w:type="dxa"/>
              <w:left w:w="85" w:type="dxa"/>
              <w:bottom w:w="80" w:type="dxa"/>
              <w:right w:w="85" w:type="dxa"/>
            </w:tcMar>
            <w:vAlign w:val="center"/>
          </w:tcPr>
          <w:p w14:paraId="6BC0B68F" w14:textId="77777777" w:rsidR="007672C2" w:rsidRDefault="00000000">
            <w:pPr>
              <w:keepNext/>
              <w:keepLines/>
              <w:spacing w:after="0" w:line="247" w:lineRule="auto"/>
              <w:jc w:val="right"/>
              <w:rPr>
                <w:rFonts w:hint="eastAsia"/>
              </w:rPr>
            </w:pPr>
            <w:r>
              <w:rPr>
                <w:b/>
                <w:sz w:val="21"/>
              </w:rPr>
              <w:t>With density bias</w:t>
            </w:r>
          </w:p>
        </w:tc>
      </w:tr>
      <w:tr w:rsidR="007672C2" w14:paraId="6A9669FC" w14:textId="77777777">
        <w:trPr>
          <w:cantSplit/>
          <w:jc w:val="center"/>
        </w:trPr>
        <w:tc>
          <w:tcPr>
            <w:tcW w:w="5472" w:type="dxa"/>
            <w:shd w:val="clear" w:color="auto" w:fill="FFFFFF"/>
            <w:tcMar>
              <w:top w:w="80" w:type="dxa"/>
              <w:left w:w="85" w:type="dxa"/>
              <w:bottom w:w="80" w:type="dxa"/>
              <w:right w:w="85" w:type="dxa"/>
            </w:tcMar>
            <w:vAlign w:val="center"/>
          </w:tcPr>
          <w:p w14:paraId="3C3115F4" w14:textId="77777777" w:rsidR="007672C2" w:rsidRDefault="00000000">
            <w:pPr>
              <w:keepLines/>
              <w:spacing w:after="0" w:line="247" w:lineRule="auto"/>
              <w:jc w:val="left"/>
              <w:rPr>
                <w:rFonts w:hint="eastAsia"/>
              </w:rPr>
            </w:pPr>
            <w:r>
              <w:rPr>
                <w:sz w:val="21"/>
              </w:rPr>
              <w:t>DE optimum-share entropy in bits with maximum two</w:t>
            </w:r>
          </w:p>
        </w:tc>
        <w:tc>
          <w:tcPr>
            <w:tcW w:w="2232" w:type="dxa"/>
            <w:shd w:val="clear" w:color="auto" w:fill="FFFFFF"/>
            <w:tcMar>
              <w:top w:w="80" w:type="dxa"/>
              <w:left w:w="85" w:type="dxa"/>
              <w:bottom w:w="80" w:type="dxa"/>
              <w:right w:w="85" w:type="dxa"/>
            </w:tcMar>
            <w:vAlign w:val="center"/>
          </w:tcPr>
          <w:p w14:paraId="4223F7EC" w14:textId="77777777" w:rsidR="007672C2" w:rsidRDefault="00000000">
            <w:pPr>
              <w:keepLines/>
              <w:spacing w:after="0" w:line="247" w:lineRule="auto"/>
              <w:jc w:val="right"/>
              <w:rPr>
                <w:rFonts w:hint="eastAsia"/>
              </w:rPr>
            </w:pPr>
            <w:r>
              <w:rPr>
                <w:sz w:val="21"/>
              </w:rPr>
              <w:t>1.35 ± 0.15</w:t>
            </w:r>
          </w:p>
        </w:tc>
        <w:tc>
          <w:tcPr>
            <w:tcW w:w="2232" w:type="dxa"/>
            <w:shd w:val="clear" w:color="auto" w:fill="FFFFFF"/>
            <w:tcMar>
              <w:top w:w="80" w:type="dxa"/>
              <w:left w:w="85" w:type="dxa"/>
              <w:bottom w:w="80" w:type="dxa"/>
              <w:right w:w="85" w:type="dxa"/>
            </w:tcMar>
            <w:vAlign w:val="center"/>
          </w:tcPr>
          <w:p w14:paraId="78EB011B" w14:textId="77777777" w:rsidR="007672C2" w:rsidRDefault="00000000">
            <w:pPr>
              <w:keepLines/>
              <w:spacing w:after="0" w:line="247" w:lineRule="auto"/>
              <w:jc w:val="right"/>
              <w:rPr>
                <w:rFonts w:hint="eastAsia"/>
              </w:rPr>
            </w:pPr>
            <w:r>
              <w:rPr>
                <w:sz w:val="21"/>
              </w:rPr>
              <w:t>1.92 ± 0.09</w:t>
            </w:r>
          </w:p>
        </w:tc>
      </w:tr>
      <w:tr w:rsidR="007672C2" w14:paraId="696B2EF1" w14:textId="77777777">
        <w:trPr>
          <w:cantSplit/>
          <w:jc w:val="center"/>
        </w:trPr>
        <w:tc>
          <w:tcPr>
            <w:tcW w:w="5472" w:type="dxa"/>
            <w:shd w:val="clear" w:color="auto" w:fill="FFFFFF"/>
            <w:tcMar>
              <w:top w:w="80" w:type="dxa"/>
              <w:left w:w="85" w:type="dxa"/>
              <w:bottom w:w="80" w:type="dxa"/>
              <w:right w:w="85" w:type="dxa"/>
            </w:tcMar>
            <w:vAlign w:val="center"/>
          </w:tcPr>
          <w:p w14:paraId="276CC815" w14:textId="77777777" w:rsidR="007672C2" w:rsidRDefault="00000000">
            <w:pPr>
              <w:keepLines/>
              <w:spacing w:after="0" w:line="247" w:lineRule="auto"/>
              <w:jc w:val="left"/>
              <w:rPr>
                <w:rFonts w:hint="eastAsia"/>
              </w:rPr>
            </w:pPr>
            <w:r>
              <w:rPr>
                <w:sz w:val="21"/>
              </w:rPr>
              <w:t>DE occupied optima out of four</w:t>
            </w:r>
          </w:p>
        </w:tc>
        <w:tc>
          <w:tcPr>
            <w:tcW w:w="2232" w:type="dxa"/>
            <w:shd w:val="clear" w:color="auto" w:fill="FFFFFF"/>
            <w:tcMar>
              <w:top w:w="80" w:type="dxa"/>
              <w:left w:w="85" w:type="dxa"/>
              <w:bottom w:w="80" w:type="dxa"/>
              <w:right w:w="85" w:type="dxa"/>
            </w:tcMar>
            <w:vAlign w:val="center"/>
          </w:tcPr>
          <w:p w14:paraId="134497D0" w14:textId="77777777" w:rsidR="007672C2" w:rsidRDefault="00000000">
            <w:pPr>
              <w:keepLines/>
              <w:spacing w:after="0" w:line="247" w:lineRule="auto"/>
              <w:jc w:val="right"/>
              <w:rPr>
                <w:rFonts w:hint="eastAsia"/>
              </w:rPr>
            </w:pPr>
            <w:r>
              <w:rPr>
                <w:sz w:val="21"/>
              </w:rPr>
              <w:t>3.4</w:t>
            </w:r>
          </w:p>
        </w:tc>
        <w:tc>
          <w:tcPr>
            <w:tcW w:w="2232" w:type="dxa"/>
            <w:shd w:val="clear" w:color="auto" w:fill="FFFFFF"/>
            <w:tcMar>
              <w:top w:w="80" w:type="dxa"/>
              <w:left w:w="85" w:type="dxa"/>
              <w:bottom w:w="80" w:type="dxa"/>
              <w:right w:w="85" w:type="dxa"/>
            </w:tcMar>
            <w:vAlign w:val="center"/>
          </w:tcPr>
          <w:p w14:paraId="4980B34B" w14:textId="77777777" w:rsidR="007672C2" w:rsidRDefault="00000000">
            <w:pPr>
              <w:keepLines/>
              <w:spacing w:after="0" w:line="247" w:lineRule="auto"/>
              <w:jc w:val="right"/>
              <w:rPr>
                <w:rFonts w:hint="eastAsia"/>
              </w:rPr>
            </w:pPr>
            <w:r>
              <w:rPr>
                <w:sz w:val="21"/>
              </w:rPr>
              <w:t>4.0</w:t>
            </w:r>
          </w:p>
        </w:tc>
      </w:tr>
      <w:tr w:rsidR="007672C2" w14:paraId="7B0002C1" w14:textId="77777777">
        <w:trPr>
          <w:cantSplit/>
          <w:jc w:val="center"/>
        </w:trPr>
        <w:tc>
          <w:tcPr>
            <w:tcW w:w="5472" w:type="dxa"/>
            <w:shd w:val="clear" w:color="auto" w:fill="FFFFFF"/>
            <w:tcMar>
              <w:top w:w="80" w:type="dxa"/>
              <w:left w:w="85" w:type="dxa"/>
              <w:bottom w:w="80" w:type="dxa"/>
              <w:right w:w="85" w:type="dxa"/>
            </w:tcMar>
            <w:vAlign w:val="center"/>
          </w:tcPr>
          <w:p w14:paraId="4FF4C691" w14:textId="77777777" w:rsidR="007672C2" w:rsidRDefault="00000000">
            <w:pPr>
              <w:keepLines/>
              <w:spacing w:after="0" w:line="247" w:lineRule="auto"/>
              <w:jc w:val="left"/>
              <w:rPr>
                <w:rFonts w:hint="eastAsia"/>
              </w:rPr>
            </w:pPr>
            <w:r>
              <w:rPr>
                <w:sz w:val="21"/>
              </w:rPr>
              <w:t>DE population near an optimum</w:t>
            </w:r>
          </w:p>
        </w:tc>
        <w:tc>
          <w:tcPr>
            <w:tcW w:w="2232" w:type="dxa"/>
            <w:shd w:val="clear" w:color="auto" w:fill="FFFFFF"/>
            <w:tcMar>
              <w:top w:w="80" w:type="dxa"/>
              <w:left w:w="85" w:type="dxa"/>
              <w:bottom w:w="80" w:type="dxa"/>
              <w:right w:w="85" w:type="dxa"/>
            </w:tcMar>
            <w:vAlign w:val="center"/>
          </w:tcPr>
          <w:p w14:paraId="7C727B8B" w14:textId="77777777" w:rsidR="007672C2" w:rsidRDefault="00000000">
            <w:pPr>
              <w:keepLines/>
              <w:spacing w:after="0" w:line="247" w:lineRule="auto"/>
              <w:jc w:val="right"/>
              <w:rPr>
                <w:rFonts w:hint="eastAsia"/>
              </w:rPr>
            </w:pPr>
            <w:r>
              <w:rPr>
                <w:sz w:val="21"/>
              </w:rPr>
              <w:t>50 percent</w:t>
            </w:r>
          </w:p>
        </w:tc>
        <w:tc>
          <w:tcPr>
            <w:tcW w:w="2232" w:type="dxa"/>
            <w:shd w:val="clear" w:color="auto" w:fill="FFFFFF"/>
            <w:tcMar>
              <w:top w:w="80" w:type="dxa"/>
              <w:left w:w="85" w:type="dxa"/>
              <w:bottom w:w="80" w:type="dxa"/>
              <w:right w:w="85" w:type="dxa"/>
            </w:tcMar>
            <w:vAlign w:val="center"/>
          </w:tcPr>
          <w:p w14:paraId="4EFA7FA7" w14:textId="77777777" w:rsidR="007672C2" w:rsidRDefault="00000000">
            <w:pPr>
              <w:keepLines/>
              <w:spacing w:after="0" w:line="247" w:lineRule="auto"/>
              <w:jc w:val="right"/>
              <w:rPr>
                <w:rFonts w:hint="eastAsia"/>
              </w:rPr>
            </w:pPr>
            <w:r>
              <w:rPr>
                <w:sz w:val="21"/>
              </w:rPr>
              <w:t>55 percent</w:t>
            </w:r>
          </w:p>
        </w:tc>
      </w:tr>
      <w:tr w:rsidR="007672C2" w14:paraId="2BB81024" w14:textId="77777777">
        <w:trPr>
          <w:cantSplit/>
          <w:jc w:val="center"/>
        </w:trPr>
        <w:tc>
          <w:tcPr>
            <w:tcW w:w="5472" w:type="dxa"/>
            <w:shd w:val="clear" w:color="auto" w:fill="FFFFFF"/>
            <w:tcMar>
              <w:top w:w="80" w:type="dxa"/>
              <w:left w:w="85" w:type="dxa"/>
              <w:bottom w:w="80" w:type="dxa"/>
              <w:right w:w="85" w:type="dxa"/>
            </w:tcMar>
            <w:vAlign w:val="center"/>
          </w:tcPr>
          <w:p w14:paraId="4A76A531" w14:textId="77777777" w:rsidR="007672C2" w:rsidRDefault="00000000">
            <w:pPr>
              <w:keepLines/>
              <w:spacing w:after="0" w:line="247" w:lineRule="auto"/>
              <w:jc w:val="left"/>
              <w:rPr>
                <w:rFonts w:hint="eastAsia"/>
              </w:rPr>
            </w:pPr>
            <w:r>
              <w:rPr>
                <w:sz w:val="21"/>
              </w:rPr>
              <w:t>Attention-stack clusters at layer 15</w:t>
            </w:r>
          </w:p>
        </w:tc>
        <w:tc>
          <w:tcPr>
            <w:tcW w:w="2232" w:type="dxa"/>
            <w:shd w:val="clear" w:color="auto" w:fill="FFFFFF"/>
            <w:tcMar>
              <w:top w:w="80" w:type="dxa"/>
              <w:left w:w="85" w:type="dxa"/>
              <w:bottom w:w="80" w:type="dxa"/>
              <w:right w:w="85" w:type="dxa"/>
            </w:tcMar>
            <w:vAlign w:val="center"/>
          </w:tcPr>
          <w:p w14:paraId="44AC250A" w14:textId="77777777" w:rsidR="007672C2" w:rsidRDefault="00000000">
            <w:pPr>
              <w:keepLines/>
              <w:spacing w:after="0" w:line="247" w:lineRule="auto"/>
              <w:jc w:val="right"/>
              <w:rPr>
                <w:rFonts w:hint="eastAsia"/>
              </w:rPr>
            </w:pPr>
            <w:r>
              <w:rPr>
                <w:sz w:val="21"/>
              </w:rPr>
              <w:t>184.5</w:t>
            </w:r>
          </w:p>
        </w:tc>
        <w:tc>
          <w:tcPr>
            <w:tcW w:w="2232" w:type="dxa"/>
            <w:shd w:val="clear" w:color="auto" w:fill="FFFFFF"/>
            <w:tcMar>
              <w:top w:w="80" w:type="dxa"/>
              <w:left w:w="85" w:type="dxa"/>
              <w:bottom w:w="80" w:type="dxa"/>
              <w:right w:w="85" w:type="dxa"/>
            </w:tcMar>
            <w:vAlign w:val="center"/>
          </w:tcPr>
          <w:p w14:paraId="1B15BB1D" w14:textId="77777777" w:rsidR="007672C2" w:rsidRDefault="00000000">
            <w:pPr>
              <w:keepLines/>
              <w:spacing w:after="0" w:line="247" w:lineRule="auto"/>
              <w:jc w:val="right"/>
              <w:rPr>
                <w:rFonts w:hint="eastAsia"/>
              </w:rPr>
            </w:pPr>
            <w:r>
              <w:rPr>
                <w:sz w:val="21"/>
              </w:rPr>
              <w:t>256.0</w:t>
            </w:r>
          </w:p>
        </w:tc>
      </w:tr>
      <w:tr w:rsidR="007672C2" w14:paraId="4E93AF34" w14:textId="77777777">
        <w:trPr>
          <w:cantSplit/>
          <w:jc w:val="center"/>
        </w:trPr>
        <w:tc>
          <w:tcPr>
            <w:tcW w:w="5472" w:type="dxa"/>
            <w:shd w:val="clear" w:color="auto" w:fill="FFFFFF"/>
            <w:tcMar>
              <w:top w:w="80" w:type="dxa"/>
              <w:left w:w="85" w:type="dxa"/>
              <w:bottom w:w="80" w:type="dxa"/>
              <w:right w:w="85" w:type="dxa"/>
            </w:tcMar>
            <w:vAlign w:val="center"/>
          </w:tcPr>
          <w:p w14:paraId="4F500F4B" w14:textId="77777777" w:rsidR="007672C2" w:rsidRDefault="00000000">
            <w:pPr>
              <w:keepLines/>
              <w:spacing w:after="0" w:line="247" w:lineRule="auto"/>
              <w:jc w:val="left"/>
              <w:rPr>
                <w:rFonts w:hint="eastAsia"/>
              </w:rPr>
            </w:pPr>
            <w:r>
              <w:rPr>
                <w:sz w:val="21"/>
              </w:rPr>
              <w:t>Attention-stack clusters at layer 20</w:t>
            </w:r>
          </w:p>
        </w:tc>
        <w:tc>
          <w:tcPr>
            <w:tcW w:w="2232" w:type="dxa"/>
            <w:shd w:val="clear" w:color="auto" w:fill="FFFFFF"/>
            <w:tcMar>
              <w:top w:w="80" w:type="dxa"/>
              <w:left w:w="85" w:type="dxa"/>
              <w:bottom w:w="80" w:type="dxa"/>
              <w:right w:w="85" w:type="dxa"/>
            </w:tcMar>
            <w:vAlign w:val="center"/>
          </w:tcPr>
          <w:p w14:paraId="4D677E65" w14:textId="77777777" w:rsidR="007672C2" w:rsidRDefault="00000000">
            <w:pPr>
              <w:keepLines/>
              <w:spacing w:after="0" w:line="247" w:lineRule="auto"/>
              <w:jc w:val="right"/>
              <w:rPr>
                <w:rFonts w:hint="eastAsia"/>
              </w:rPr>
            </w:pPr>
            <w:r>
              <w:rPr>
                <w:sz w:val="21"/>
              </w:rPr>
              <w:t>21.0</w:t>
            </w:r>
          </w:p>
        </w:tc>
        <w:tc>
          <w:tcPr>
            <w:tcW w:w="2232" w:type="dxa"/>
            <w:shd w:val="clear" w:color="auto" w:fill="FFFFFF"/>
            <w:tcMar>
              <w:top w:w="80" w:type="dxa"/>
              <w:left w:w="85" w:type="dxa"/>
              <w:bottom w:w="80" w:type="dxa"/>
              <w:right w:w="85" w:type="dxa"/>
            </w:tcMar>
            <w:vAlign w:val="center"/>
          </w:tcPr>
          <w:p w14:paraId="1668D3D7" w14:textId="77777777" w:rsidR="007672C2" w:rsidRDefault="00000000">
            <w:pPr>
              <w:keepLines/>
              <w:spacing w:after="0" w:line="247" w:lineRule="auto"/>
              <w:jc w:val="right"/>
              <w:rPr>
                <w:rFonts w:hint="eastAsia"/>
              </w:rPr>
            </w:pPr>
            <w:r>
              <w:rPr>
                <w:sz w:val="21"/>
              </w:rPr>
              <w:t>184.0</w:t>
            </w:r>
          </w:p>
        </w:tc>
      </w:tr>
      <w:tr w:rsidR="007672C2" w14:paraId="1FEA4C4D" w14:textId="77777777">
        <w:trPr>
          <w:cantSplit/>
          <w:jc w:val="center"/>
        </w:trPr>
        <w:tc>
          <w:tcPr>
            <w:tcW w:w="5472" w:type="dxa"/>
            <w:shd w:val="clear" w:color="auto" w:fill="FFFFFF"/>
            <w:tcMar>
              <w:top w:w="80" w:type="dxa"/>
              <w:left w:w="85" w:type="dxa"/>
              <w:bottom w:w="80" w:type="dxa"/>
              <w:right w:w="85" w:type="dxa"/>
            </w:tcMar>
            <w:vAlign w:val="center"/>
          </w:tcPr>
          <w:p w14:paraId="12B53E67" w14:textId="77777777" w:rsidR="007672C2" w:rsidRDefault="00000000">
            <w:pPr>
              <w:keepLines/>
              <w:spacing w:after="0" w:line="247" w:lineRule="auto"/>
              <w:jc w:val="left"/>
              <w:rPr>
                <w:rFonts w:hint="eastAsia"/>
              </w:rPr>
            </w:pPr>
            <w:r>
              <w:rPr>
                <w:sz w:val="21"/>
              </w:rPr>
              <w:t>Attention-stack clusters at layer 30</w:t>
            </w:r>
          </w:p>
        </w:tc>
        <w:tc>
          <w:tcPr>
            <w:tcW w:w="2232" w:type="dxa"/>
            <w:shd w:val="clear" w:color="auto" w:fill="FFFFFF"/>
            <w:tcMar>
              <w:top w:w="80" w:type="dxa"/>
              <w:left w:w="85" w:type="dxa"/>
              <w:bottom w:w="80" w:type="dxa"/>
              <w:right w:w="85" w:type="dxa"/>
            </w:tcMar>
            <w:vAlign w:val="center"/>
          </w:tcPr>
          <w:p w14:paraId="4E27A718" w14:textId="77777777" w:rsidR="007672C2" w:rsidRDefault="00000000">
            <w:pPr>
              <w:keepLines/>
              <w:spacing w:after="0" w:line="247" w:lineRule="auto"/>
              <w:jc w:val="right"/>
              <w:rPr>
                <w:rFonts w:hint="eastAsia"/>
              </w:rPr>
            </w:pPr>
            <w:r>
              <w:rPr>
                <w:sz w:val="21"/>
              </w:rPr>
              <w:t>1.9</w:t>
            </w:r>
          </w:p>
        </w:tc>
        <w:tc>
          <w:tcPr>
            <w:tcW w:w="2232" w:type="dxa"/>
            <w:shd w:val="clear" w:color="auto" w:fill="FFFFFF"/>
            <w:tcMar>
              <w:top w:w="80" w:type="dxa"/>
              <w:left w:w="85" w:type="dxa"/>
              <w:bottom w:w="80" w:type="dxa"/>
              <w:right w:w="85" w:type="dxa"/>
            </w:tcMar>
            <w:vAlign w:val="center"/>
          </w:tcPr>
          <w:p w14:paraId="62422DF7" w14:textId="77777777" w:rsidR="007672C2" w:rsidRDefault="00000000">
            <w:pPr>
              <w:keepLines/>
              <w:spacing w:after="0" w:line="247" w:lineRule="auto"/>
              <w:jc w:val="right"/>
              <w:rPr>
                <w:rFonts w:hint="eastAsia"/>
              </w:rPr>
            </w:pPr>
            <w:r>
              <w:rPr>
                <w:sz w:val="21"/>
              </w:rPr>
              <w:t>2.5</w:t>
            </w:r>
          </w:p>
        </w:tc>
      </w:tr>
      <w:tr w:rsidR="007672C2" w14:paraId="37F672C6" w14:textId="77777777">
        <w:trPr>
          <w:cantSplit/>
          <w:jc w:val="center"/>
        </w:trPr>
        <w:tc>
          <w:tcPr>
            <w:tcW w:w="5472" w:type="dxa"/>
            <w:shd w:val="clear" w:color="auto" w:fill="FFFFFF"/>
            <w:tcMar>
              <w:top w:w="80" w:type="dxa"/>
              <w:left w:w="85" w:type="dxa"/>
              <w:bottom w:w="80" w:type="dxa"/>
              <w:right w:w="85" w:type="dxa"/>
            </w:tcMar>
            <w:vAlign w:val="center"/>
          </w:tcPr>
          <w:p w14:paraId="7A7DEB34" w14:textId="77777777" w:rsidR="007672C2" w:rsidRDefault="00000000">
            <w:pPr>
              <w:keepLines/>
              <w:spacing w:after="0" w:line="247" w:lineRule="auto"/>
              <w:jc w:val="left"/>
              <w:rPr>
                <w:rFonts w:hint="eastAsia"/>
              </w:rPr>
            </w:pPr>
            <w:r>
              <w:rPr>
                <w:sz w:val="21"/>
              </w:rPr>
              <w:t>Attention-stack clusters at layer 80</w:t>
            </w:r>
          </w:p>
        </w:tc>
        <w:tc>
          <w:tcPr>
            <w:tcW w:w="2232" w:type="dxa"/>
            <w:shd w:val="clear" w:color="auto" w:fill="FFFFFF"/>
            <w:tcMar>
              <w:top w:w="80" w:type="dxa"/>
              <w:left w:w="85" w:type="dxa"/>
              <w:bottom w:w="80" w:type="dxa"/>
              <w:right w:w="85" w:type="dxa"/>
            </w:tcMar>
            <w:vAlign w:val="center"/>
          </w:tcPr>
          <w:p w14:paraId="4BB523CC" w14:textId="77777777" w:rsidR="007672C2" w:rsidRDefault="00000000">
            <w:pPr>
              <w:keepLines/>
              <w:spacing w:after="0" w:line="247" w:lineRule="auto"/>
              <w:jc w:val="right"/>
              <w:rPr>
                <w:rFonts w:hint="eastAsia"/>
              </w:rPr>
            </w:pPr>
            <w:r>
              <w:rPr>
                <w:sz w:val="21"/>
              </w:rPr>
              <w:t>1.1</w:t>
            </w:r>
          </w:p>
        </w:tc>
        <w:tc>
          <w:tcPr>
            <w:tcW w:w="2232" w:type="dxa"/>
            <w:shd w:val="clear" w:color="auto" w:fill="FFFFFF"/>
            <w:tcMar>
              <w:top w:w="80" w:type="dxa"/>
              <w:left w:w="85" w:type="dxa"/>
              <w:bottom w:w="80" w:type="dxa"/>
              <w:right w:w="85" w:type="dxa"/>
            </w:tcMar>
            <w:vAlign w:val="center"/>
          </w:tcPr>
          <w:p w14:paraId="7F2B3753" w14:textId="77777777" w:rsidR="007672C2" w:rsidRDefault="00000000">
            <w:pPr>
              <w:keepLines/>
              <w:spacing w:after="0" w:line="247" w:lineRule="auto"/>
              <w:jc w:val="right"/>
              <w:rPr>
                <w:rFonts w:hint="eastAsia"/>
              </w:rPr>
            </w:pPr>
            <w:r>
              <w:rPr>
                <w:sz w:val="21"/>
              </w:rPr>
              <w:t>1.1</w:t>
            </w:r>
          </w:p>
        </w:tc>
      </w:tr>
    </w:tbl>
    <w:p w14:paraId="049DE715" w14:textId="77777777" w:rsidR="007672C2" w:rsidRDefault="00000000">
      <w:pPr>
        <w:pStyle w:val="BodyText"/>
        <w:spacing w:before="140"/>
        <w:rPr>
          <w:rFonts w:hint="eastAsia"/>
        </w:rPr>
      </w:pPr>
      <w:r>
        <w:t xml:space="preserve">The uncertainty notation in the entropy row is retained as reported; its interpretation should be supplied with run-level data. The source also reports mean optimum shares of </w:t>
      </w:r>
      <m:oMath>
        <m:d>
          <m:dPr>
            <m:ctrlPr>
              <w:rPr>
                <w:rFonts w:ascii="Cambria Math" w:hAnsi="Cambria Math"/>
              </w:rPr>
            </m:ctrlPr>
          </m:dPr>
          <m:e>
            <m:r>
              <w:rPr>
                <w:rFonts w:ascii="Cambria Math" w:hAnsi="Cambria Math"/>
              </w:rPr>
              <m:t>0.56</m:t>
            </m:r>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0.31</m:t>
            </m:r>
          </m:e>
        </m:d>
      </m:oMath>
      <w:r>
        <w:t xml:space="preserve"> without the bias and approximately </w:t>
      </w:r>
      <m:oMath>
        <m:d>
          <m:dPr>
            <m:ctrlPr>
              <w:rPr>
                <w:rFonts w:ascii="Cambria Math" w:hAnsi="Cambria Math"/>
              </w:rPr>
            </m:ctrlPr>
          </m:dPr>
          <m:e>
            <m:r>
              <w:rPr>
                <w:rFonts w:ascii="Cambria Math" w:hAnsi="Cambria Math"/>
              </w:rPr>
              <m:t>0.31</m:t>
            </m:r>
            <m:r>
              <m:rPr>
                <m:sty m:val="p"/>
              </m:rPr>
              <w:rPr>
                <w:rFonts w:ascii="Cambria Math" w:hAnsi="Cambria Math"/>
              </w:rPr>
              <m:t>,</m:t>
            </m:r>
            <m:r>
              <w:rPr>
                <w:rFonts w:ascii="Cambria Math" w:hAnsi="Cambria Math"/>
              </w:rPr>
              <m:t>0.27</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0.28</m:t>
            </m:r>
          </m:e>
        </m:d>
      </m:oMath>
      <w:r>
        <w:t xml:space="preserve"> with it. Rounding explains the latter sum exceeding one. Entropy averaged over seeds is not generally the entropy of the averaged shares. Report both definitions explicitly in a reproducibility release.</w:t>
      </w:r>
    </w:p>
    <w:p w14:paraId="38B6B93E" w14:textId="77777777" w:rsidR="007672C2" w:rsidRDefault="00000000">
      <w:pPr>
        <w:pStyle w:val="BodyText"/>
        <w:rPr>
          <w:rFonts w:hint="eastAsia"/>
        </w:rPr>
      </w:pPr>
      <w:r>
        <w:t>These results support a diversity benefit on that landscape and delayed clustering in that stack. They do not establish equal occupancy as a mathematical property, prevention of collapse, better optimization on arbitrary losses or a benefit in trained Transformers.</w:t>
      </w:r>
    </w:p>
    <w:p w14:paraId="54ED443B" w14:textId="77777777" w:rsidR="007672C2" w:rsidRDefault="00000000">
      <w:pPr>
        <w:pStyle w:val="Heading2"/>
        <w:rPr>
          <w:rFonts w:hint="eastAsia"/>
        </w:rPr>
      </w:pPr>
      <w:bookmarkStart w:id="26" w:name="X61a289f306d7c4cf117131cc2398f25abc18eb2"/>
      <w:bookmarkEnd w:id="25"/>
      <w:r>
        <w:t>6.4 Reported approximation and timing measurements</w:t>
      </w:r>
    </w:p>
    <w:p w14:paraId="2D5F7AEE" w14:textId="77777777" w:rsidR="007672C2" w:rsidRDefault="00000000">
      <w:pPr>
        <w:pStyle w:val="Caption"/>
        <w:keepNext/>
        <w:rPr>
          <w:rFonts w:hint="eastAsia"/>
        </w:rPr>
      </w:pPr>
      <w:r>
        <w:t>Table 6. Random-feature read error relative to exact read displacement reported for one DE run.</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176"/>
        <w:gridCol w:w="1915"/>
        <w:gridCol w:w="1915"/>
        <w:gridCol w:w="1930"/>
      </w:tblGrid>
      <w:tr w:rsidR="007672C2" w14:paraId="4411A6C5" w14:textId="77777777">
        <w:trPr>
          <w:cantSplit/>
          <w:tblHeader/>
          <w:jc w:val="center"/>
        </w:trPr>
        <w:tc>
          <w:tcPr>
            <w:tcW w:w="4176" w:type="dxa"/>
            <w:shd w:val="clear" w:color="auto" w:fill="EAEAEA"/>
            <w:tcMar>
              <w:top w:w="80" w:type="dxa"/>
              <w:left w:w="85" w:type="dxa"/>
              <w:bottom w:w="80" w:type="dxa"/>
              <w:right w:w="85" w:type="dxa"/>
            </w:tcMar>
            <w:vAlign w:val="center"/>
          </w:tcPr>
          <w:p w14:paraId="42FBBABA" w14:textId="77777777" w:rsidR="007672C2" w:rsidRDefault="00000000">
            <w:pPr>
              <w:keepNext/>
              <w:keepLines/>
              <w:spacing w:after="0" w:line="247" w:lineRule="auto"/>
              <w:jc w:val="left"/>
              <w:rPr>
                <w:rFonts w:hint="eastAsia"/>
              </w:rPr>
            </w:pPr>
            <w:r>
              <w:rPr>
                <w:b/>
                <w:sz w:val="21"/>
              </w:rPr>
              <w:t>Retrieval stage</w:t>
            </w:r>
          </w:p>
        </w:tc>
        <w:tc>
          <w:tcPr>
            <w:tcW w:w="1915" w:type="dxa"/>
            <w:shd w:val="clear" w:color="auto" w:fill="EAEAEA"/>
            <w:tcMar>
              <w:top w:w="80" w:type="dxa"/>
              <w:left w:w="85" w:type="dxa"/>
              <w:bottom w:w="80" w:type="dxa"/>
              <w:right w:w="85" w:type="dxa"/>
            </w:tcMar>
            <w:vAlign w:val="center"/>
          </w:tcPr>
          <w:p w14:paraId="4E37493C" w14:textId="77777777" w:rsidR="007672C2" w:rsidRDefault="00000000">
            <w:pPr>
              <w:keepNext/>
              <w:keepLines/>
              <w:spacing w:after="0" w:line="247" w:lineRule="auto"/>
              <w:jc w:val="right"/>
              <w:rPr>
                <w:rFonts w:hint="eastAsia"/>
              </w:rPr>
            </w:pPr>
            <m:oMathPara>
              <m:oMath>
                <m:r>
                  <w:rPr>
                    <w:rFonts w:ascii="Cambria Math" w:hAnsi="Cambria Math"/>
                  </w:rPr>
                  <m:t>M</m:t>
                </m:r>
                <m:r>
                  <m:rPr>
                    <m:sty m:val="p"/>
                  </m:rPr>
                  <w:rPr>
                    <w:rFonts w:ascii="Cambria Math" w:hAnsi="Cambria Math"/>
                  </w:rPr>
                  <m:t>=</m:t>
                </m:r>
                <m:r>
                  <w:rPr>
                    <w:rFonts w:ascii="Cambria Math" w:hAnsi="Cambria Math"/>
                  </w:rPr>
                  <m:t>64</m:t>
                </m:r>
              </m:oMath>
            </m:oMathPara>
          </w:p>
        </w:tc>
        <w:tc>
          <w:tcPr>
            <w:tcW w:w="1915" w:type="dxa"/>
            <w:shd w:val="clear" w:color="auto" w:fill="EAEAEA"/>
            <w:tcMar>
              <w:top w:w="80" w:type="dxa"/>
              <w:left w:w="85" w:type="dxa"/>
              <w:bottom w:w="80" w:type="dxa"/>
              <w:right w:w="85" w:type="dxa"/>
            </w:tcMar>
            <w:vAlign w:val="center"/>
          </w:tcPr>
          <w:p w14:paraId="3A017091" w14:textId="77777777" w:rsidR="007672C2" w:rsidRDefault="00000000">
            <w:pPr>
              <w:keepNext/>
              <w:keepLines/>
              <w:spacing w:after="0" w:line="247" w:lineRule="auto"/>
              <w:jc w:val="right"/>
              <w:rPr>
                <w:rFonts w:hint="eastAsia"/>
              </w:rPr>
            </w:pPr>
            <m:oMathPara>
              <m:oMath>
                <m:r>
                  <w:rPr>
                    <w:rFonts w:ascii="Cambria Math" w:hAnsi="Cambria Math"/>
                  </w:rPr>
                  <m:t>M</m:t>
                </m:r>
                <m:r>
                  <m:rPr>
                    <m:sty m:val="p"/>
                  </m:rPr>
                  <w:rPr>
                    <w:rFonts w:ascii="Cambria Math" w:hAnsi="Cambria Math"/>
                  </w:rPr>
                  <m:t>=</m:t>
                </m:r>
                <m:r>
                  <w:rPr>
                    <w:rFonts w:ascii="Cambria Math" w:hAnsi="Cambria Math"/>
                  </w:rPr>
                  <m:t>256</m:t>
                </m:r>
              </m:oMath>
            </m:oMathPara>
          </w:p>
        </w:tc>
        <w:tc>
          <w:tcPr>
            <w:tcW w:w="1930" w:type="dxa"/>
            <w:shd w:val="clear" w:color="auto" w:fill="EAEAEA"/>
            <w:tcMar>
              <w:top w:w="80" w:type="dxa"/>
              <w:left w:w="85" w:type="dxa"/>
              <w:bottom w:w="80" w:type="dxa"/>
              <w:right w:w="85" w:type="dxa"/>
            </w:tcMar>
            <w:vAlign w:val="center"/>
          </w:tcPr>
          <w:p w14:paraId="6448487C" w14:textId="77777777" w:rsidR="007672C2" w:rsidRDefault="00000000">
            <w:pPr>
              <w:keepNext/>
              <w:keepLines/>
              <w:spacing w:after="0" w:line="247" w:lineRule="auto"/>
              <w:jc w:val="right"/>
              <w:rPr>
                <w:rFonts w:hint="eastAsia"/>
              </w:rPr>
            </w:pPr>
            <m:oMathPara>
              <m:oMath>
                <m:r>
                  <w:rPr>
                    <w:rFonts w:ascii="Cambria Math" w:hAnsi="Cambria Math"/>
                  </w:rPr>
                  <m:t>M</m:t>
                </m:r>
                <m:r>
                  <m:rPr>
                    <m:sty m:val="p"/>
                  </m:rPr>
                  <w:rPr>
                    <w:rFonts w:ascii="Cambria Math" w:hAnsi="Cambria Math"/>
                  </w:rPr>
                  <m:t>=</m:t>
                </m:r>
                <m:r>
                  <w:rPr>
                    <w:rFonts w:ascii="Cambria Math" w:hAnsi="Cambria Math"/>
                  </w:rPr>
                  <m:t>1024</m:t>
                </m:r>
              </m:oMath>
            </m:oMathPara>
          </w:p>
        </w:tc>
      </w:tr>
      <w:tr w:rsidR="007672C2" w14:paraId="60B32B36" w14:textId="77777777">
        <w:trPr>
          <w:cantSplit/>
          <w:jc w:val="center"/>
        </w:trPr>
        <w:tc>
          <w:tcPr>
            <w:tcW w:w="4176" w:type="dxa"/>
            <w:shd w:val="clear" w:color="auto" w:fill="FFFFFF"/>
            <w:tcMar>
              <w:top w:w="80" w:type="dxa"/>
              <w:left w:w="85" w:type="dxa"/>
              <w:bottom w:w="80" w:type="dxa"/>
              <w:right w:w="85" w:type="dxa"/>
            </w:tcMar>
            <w:vAlign w:val="center"/>
          </w:tcPr>
          <w:p w14:paraId="7437B8B7" w14:textId="77777777" w:rsidR="007672C2" w:rsidRDefault="00000000">
            <w:pPr>
              <w:keepNext/>
              <w:keepLines/>
              <w:spacing w:after="0" w:line="247" w:lineRule="auto"/>
              <w:jc w:val="left"/>
              <w:rPr>
                <w:rFonts w:hint="eastAsia"/>
              </w:rPr>
            </w:pPr>
            <w:r>
              <w:rPr>
                <w:sz w:val="21"/>
              </w:rPr>
              <w:t xml:space="preserve">Early with </w:t>
            </w:r>
            <m:oMath>
              <m:r>
                <w:rPr>
                  <w:rFonts w:ascii="Cambria Math" w:hAnsi="Cambria Math"/>
                </w:rPr>
                <m:t>a</m:t>
              </m:r>
              <m:r>
                <m:rPr>
                  <m:sty m:val="p"/>
                </m:rPr>
                <w:rPr>
                  <w:rFonts w:ascii="Cambria Math" w:hAnsi="Cambria Math"/>
                </w:rPr>
                <m:t>=</m:t>
              </m:r>
              <m:r>
                <w:rPr>
                  <w:rFonts w:ascii="Cambria Math" w:hAnsi="Cambria Math"/>
                </w:rPr>
                <m:t>0.0001</m:t>
              </m:r>
            </m:oMath>
          </w:p>
        </w:tc>
        <w:tc>
          <w:tcPr>
            <w:tcW w:w="1915" w:type="dxa"/>
            <w:shd w:val="clear" w:color="auto" w:fill="FFFFFF"/>
            <w:tcMar>
              <w:top w:w="80" w:type="dxa"/>
              <w:left w:w="85" w:type="dxa"/>
              <w:bottom w:w="80" w:type="dxa"/>
              <w:right w:w="85" w:type="dxa"/>
            </w:tcMar>
            <w:vAlign w:val="center"/>
          </w:tcPr>
          <w:p w14:paraId="18B64CED" w14:textId="77777777" w:rsidR="007672C2" w:rsidRDefault="00000000">
            <w:pPr>
              <w:keepNext/>
              <w:keepLines/>
              <w:spacing w:after="0" w:line="247" w:lineRule="auto"/>
              <w:jc w:val="right"/>
              <w:rPr>
                <w:rFonts w:hint="eastAsia"/>
              </w:rPr>
            </w:pPr>
            <w:r>
              <w:rPr>
                <w:sz w:val="21"/>
              </w:rPr>
              <w:t>0.0013</w:t>
            </w:r>
          </w:p>
        </w:tc>
        <w:tc>
          <w:tcPr>
            <w:tcW w:w="1915" w:type="dxa"/>
            <w:shd w:val="clear" w:color="auto" w:fill="FFFFFF"/>
            <w:tcMar>
              <w:top w:w="80" w:type="dxa"/>
              <w:left w:w="85" w:type="dxa"/>
              <w:bottom w:w="80" w:type="dxa"/>
              <w:right w:w="85" w:type="dxa"/>
            </w:tcMar>
            <w:vAlign w:val="center"/>
          </w:tcPr>
          <w:p w14:paraId="24B1F119" w14:textId="77777777" w:rsidR="007672C2" w:rsidRDefault="00000000">
            <w:pPr>
              <w:keepNext/>
              <w:keepLines/>
              <w:spacing w:after="0" w:line="247" w:lineRule="auto"/>
              <w:jc w:val="right"/>
              <w:rPr>
                <w:rFonts w:hint="eastAsia"/>
              </w:rPr>
            </w:pPr>
            <w:r>
              <w:rPr>
                <w:sz w:val="21"/>
              </w:rPr>
              <w:t>0.0003</w:t>
            </w:r>
          </w:p>
        </w:tc>
        <w:tc>
          <w:tcPr>
            <w:tcW w:w="1930" w:type="dxa"/>
            <w:shd w:val="clear" w:color="auto" w:fill="FFFFFF"/>
            <w:tcMar>
              <w:top w:w="80" w:type="dxa"/>
              <w:left w:w="85" w:type="dxa"/>
              <w:bottom w:w="80" w:type="dxa"/>
              <w:right w:w="85" w:type="dxa"/>
            </w:tcMar>
            <w:vAlign w:val="center"/>
          </w:tcPr>
          <w:p w14:paraId="597B0D1E" w14:textId="77777777" w:rsidR="007672C2" w:rsidRDefault="00000000">
            <w:pPr>
              <w:keepNext/>
              <w:keepLines/>
              <w:spacing w:after="0" w:line="247" w:lineRule="auto"/>
              <w:jc w:val="right"/>
              <w:rPr>
                <w:rFonts w:hint="eastAsia"/>
              </w:rPr>
            </w:pPr>
            <w:r>
              <w:rPr>
                <w:sz w:val="21"/>
              </w:rPr>
              <w:t>0.0004</w:t>
            </w:r>
          </w:p>
        </w:tc>
      </w:tr>
      <w:tr w:rsidR="007672C2" w14:paraId="1771093F" w14:textId="77777777">
        <w:trPr>
          <w:cantSplit/>
          <w:jc w:val="center"/>
        </w:trPr>
        <w:tc>
          <w:tcPr>
            <w:tcW w:w="4176" w:type="dxa"/>
            <w:shd w:val="clear" w:color="auto" w:fill="FFFFFF"/>
            <w:tcMar>
              <w:top w:w="80" w:type="dxa"/>
              <w:left w:w="85" w:type="dxa"/>
              <w:bottom w:w="80" w:type="dxa"/>
              <w:right w:w="85" w:type="dxa"/>
            </w:tcMar>
            <w:vAlign w:val="center"/>
          </w:tcPr>
          <w:p w14:paraId="548DA55C" w14:textId="77777777" w:rsidR="007672C2" w:rsidRDefault="00000000">
            <w:pPr>
              <w:keepNext/>
              <w:keepLines/>
              <w:spacing w:after="0" w:line="247" w:lineRule="auto"/>
              <w:jc w:val="left"/>
              <w:rPr>
                <w:rFonts w:hint="eastAsia"/>
              </w:rPr>
            </w:pPr>
            <w:r>
              <w:rPr>
                <w:sz w:val="21"/>
              </w:rPr>
              <w:t xml:space="preserve">Middle with </w:t>
            </w:r>
            <m:oMath>
              <m:r>
                <w:rPr>
                  <w:rFonts w:ascii="Cambria Math" w:hAnsi="Cambria Math"/>
                </w:rPr>
                <m:t>a</m:t>
              </m:r>
              <m:r>
                <m:rPr>
                  <m:sty m:val="p"/>
                </m:rPr>
                <w:rPr>
                  <w:rFonts w:ascii="Cambria Math" w:hAnsi="Cambria Math"/>
                </w:rPr>
                <m:t>=</m:t>
              </m:r>
              <m:r>
                <w:rPr>
                  <w:rFonts w:ascii="Cambria Math" w:hAnsi="Cambria Math"/>
                </w:rPr>
                <m:t>0.50</m:t>
              </m:r>
            </m:oMath>
          </w:p>
        </w:tc>
        <w:tc>
          <w:tcPr>
            <w:tcW w:w="1915" w:type="dxa"/>
            <w:shd w:val="clear" w:color="auto" w:fill="FFFFFF"/>
            <w:tcMar>
              <w:top w:w="80" w:type="dxa"/>
              <w:left w:w="85" w:type="dxa"/>
              <w:bottom w:w="80" w:type="dxa"/>
              <w:right w:w="85" w:type="dxa"/>
            </w:tcMar>
            <w:vAlign w:val="center"/>
          </w:tcPr>
          <w:p w14:paraId="590DA618" w14:textId="77777777" w:rsidR="007672C2" w:rsidRDefault="00000000">
            <w:pPr>
              <w:keepNext/>
              <w:keepLines/>
              <w:spacing w:after="0" w:line="247" w:lineRule="auto"/>
              <w:jc w:val="right"/>
              <w:rPr>
                <w:rFonts w:hint="eastAsia"/>
              </w:rPr>
            </w:pPr>
            <w:r>
              <w:rPr>
                <w:sz w:val="21"/>
              </w:rPr>
              <w:t>0.169</w:t>
            </w:r>
          </w:p>
        </w:tc>
        <w:tc>
          <w:tcPr>
            <w:tcW w:w="1915" w:type="dxa"/>
            <w:shd w:val="clear" w:color="auto" w:fill="FFFFFF"/>
            <w:tcMar>
              <w:top w:w="80" w:type="dxa"/>
              <w:left w:w="85" w:type="dxa"/>
              <w:bottom w:w="80" w:type="dxa"/>
              <w:right w:w="85" w:type="dxa"/>
            </w:tcMar>
            <w:vAlign w:val="center"/>
          </w:tcPr>
          <w:p w14:paraId="7BA9C13B" w14:textId="77777777" w:rsidR="007672C2" w:rsidRDefault="00000000">
            <w:pPr>
              <w:keepNext/>
              <w:keepLines/>
              <w:spacing w:after="0" w:line="247" w:lineRule="auto"/>
              <w:jc w:val="right"/>
              <w:rPr>
                <w:rFonts w:hint="eastAsia"/>
              </w:rPr>
            </w:pPr>
            <w:r>
              <w:rPr>
                <w:sz w:val="21"/>
              </w:rPr>
              <w:t>0.075</w:t>
            </w:r>
          </w:p>
        </w:tc>
        <w:tc>
          <w:tcPr>
            <w:tcW w:w="1930" w:type="dxa"/>
            <w:shd w:val="clear" w:color="auto" w:fill="FFFFFF"/>
            <w:tcMar>
              <w:top w:w="80" w:type="dxa"/>
              <w:left w:w="85" w:type="dxa"/>
              <w:bottom w:w="80" w:type="dxa"/>
              <w:right w:w="85" w:type="dxa"/>
            </w:tcMar>
            <w:vAlign w:val="center"/>
          </w:tcPr>
          <w:p w14:paraId="3A66DE75" w14:textId="77777777" w:rsidR="007672C2" w:rsidRDefault="00000000">
            <w:pPr>
              <w:keepNext/>
              <w:keepLines/>
              <w:spacing w:after="0" w:line="247" w:lineRule="auto"/>
              <w:jc w:val="right"/>
              <w:rPr>
                <w:rFonts w:hint="eastAsia"/>
              </w:rPr>
            </w:pPr>
            <w:r>
              <w:rPr>
                <w:sz w:val="21"/>
              </w:rPr>
              <w:t>0.058</w:t>
            </w:r>
          </w:p>
        </w:tc>
      </w:tr>
      <w:tr w:rsidR="007672C2" w14:paraId="7BBC7159" w14:textId="77777777">
        <w:trPr>
          <w:cantSplit/>
          <w:jc w:val="center"/>
        </w:trPr>
        <w:tc>
          <w:tcPr>
            <w:tcW w:w="4176" w:type="dxa"/>
            <w:shd w:val="clear" w:color="auto" w:fill="FFFFFF"/>
            <w:tcMar>
              <w:top w:w="80" w:type="dxa"/>
              <w:left w:w="85" w:type="dxa"/>
              <w:bottom w:w="80" w:type="dxa"/>
              <w:right w:w="85" w:type="dxa"/>
            </w:tcMar>
            <w:vAlign w:val="center"/>
          </w:tcPr>
          <w:p w14:paraId="667C6816" w14:textId="77777777" w:rsidR="007672C2" w:rsidRDefault="00000000">
            <w:pPr>
              <w:keepLines/>
              <w:spacing w:after="0" w:line="247" w:lineRule="auto"/>
              <w:jc w:val="left"/>
              <w:rPr>
                <w:rFonts w:hint="eastAsia"/>
              </w:rPr>
            </w:pPr>
            <w:r>
              <w:rPr>
                <w:sz w:val="21"/>
              </w:rPr>
              <w:t xml:space="preserve">Late with </w:t>
            </w:r>
            <m:oMath>
              <m:r>
                <w:rPr>
                  <w:rFonts w:ascii="Cambria Math" w:hAnsi="Cambria Math"/>
                </w:rPr>
                <m:t>a</m:t>
              </m:r>
              <m:r>
                <m:rPr>
                  <m:sty m:val="p"/>
                </m:rPr>
                <w:rPr>
                  <w:rFonts w:ascii="Cambria Math" w:hAnsi="Cambria Math"/>
                </w:rPr>
                <m:t>≈</m:t>
              </m:r>
              <m:r>
                <w:rPr>
                  <w:rFonts w:ascii="Cambria Math" w:hAnsi="Cambria Math"/>
                </w:rPr>
                <m:t>0.999</m:t>
              </m:r>
            </m:oMath>
          </w:p>
        </w:tc>
        <w:tc>
          <w:tcPr>
            <w:tcW w:w="1915" w:type="dxa"/>
            <w:shd w:val="clear" w:color="auto" w:fill="FFFFFF"/>
            <w:tcMar>
              <w:top w:w="80" w:type="dxa"/>
              <w:left w:w="85" w:type="dxa"/>
              <w:bottom w:w="80" w:type="dxa"/>
              <w:right w:w="85" w:type="dxa"/>
            </w:tcMar>
            <w:vAlign w:val="center"/>
          </w:tcPr>
          <w:p w14:paraId="4DB208A8" w14:textId="77777777" w:rsidR="007672C2" w:rsidRDefault="00000000">
            <w:pPr>
              <w:keepLines/>
              <w:spacing w:after="0" w:line="247" w:lineRule="auto"/>
              <w:jc w:val="right"/>
              <w:rPr>
                <w:rFonts w:hint="eastAsia"/>
              </w:rPr>
            </w:pPr>
            <w:r>
              <w:rPr>
                <w:sz w:val="21"/>
              </w:rPr>
              <w:t>30.7</w:t>
            </w:r>
          </w:p>
        </w:tc>
        <w:tc>
          <w:tcPr>
            <w:tcW w:w="1915" w:type="dxa"/>
            <w:shd w:val="clear" w:color="auto" w:fill="FFFFFF"/>
            <w:tcMar>
              <w:top w:w="80" w:type="dxa"/>
              <w:left w:w="85" w:type="dxa"/>
              <w:bottom w:w="80" w:type="dxa"/>
              <w:right w:w="85" w:type="dxa"/>
            </w:tcMar>
            <w:vAlign w:val="center"/>
          </w:tcPr>
          <w:p w14:paraId="4202E7C1" w14:textId="77777777" w:rsidR="007672C2" w:rsidRDefault="00000000">
            <w:pPr>
              <w:keepLines/>
              <w:spacing w:after="0" w:line="247" w:lineRule="auto"/>
              <w:jc w:val="right"/>
              <w:rPr>
                <w:rFonts w:hint="eastAsia"/>
              </w:rPr>
            </w:pPr>
            <w:r>
              <w:rPr>
                <w:sz w:val="21"/>
              </w:rPr>
              <w:t>30.7</w:t>
            </w:r>
          </w:p>
        </w:tc>
        <w:tc>
          <w:tcPr>
            <w:tcW w:w="1930" w:type="dxa"/>
            <w:shd w:val="clear" w:color="auto" w:fill="FFFFFF"/>
            <w:tcMar>
              <w:top w:w="80" w:type="dxa"/>
              <w:left w:w="85" w:type="dxa"/>
              <w:bottom w:w="80" w:type="dxa"/>
              <w:right w:w="85" w:type="dxa"/>
            </w:tcMar>
            <w:vAlign w:val="center"/>
          </w:tcPr>
          <w:p w14:paraId="04819EF9" w14:textId="77777777" w:rsidR="007672C2" w:rsidRDefault="00000000">
            <w:pPr>
              <w:keepLines/>
              <w:spacing w:after="0" w:line="247" w:lineRule="auto"/>
              <w:jc w:val="right"/>
              <w:rPr>
                <w:rFonts w:hint="eastAsia"/>
              </w:rPr>
            </w:pPr>
            <w:r>
              <w:rPr>
                <w:sz w:val="21"/>
              </w:rPr>
              <w:t>30.7</w:t>
            </w:r>
          </w:p>
        </w:tc>
      </w:tr>
    </w:tbl>
    <w:p w14:paraId="07555AB2" w14:textId="77777777" w:rsidR="007672C2" w:rsidRDefault="00000000">
      <w:pPr>
        <w:pStyle w:val="BodyText"/>
        <w:spacing w:before="140"/>
        <w:rPr>
          <w:rFonts w:hint="eastAsia"/>
        </w:rPr>
      </w:pPr>
      <w:r>
        <w:t xml:space="preserve">The reported metric is the median over individuals of read error relative to exact displacement. A small displacement can amplify this ratio even when absolute error is modest. A future release should provide the absolute error, denominator convention and treatment of near-zero displacements. The source reports zero near-optimum particles after an entirely random-feature run at </w:t>
      </w:r>
      <m:oMath>
        <m:r>
          <w:rPr>
            <w:rFonts w:ascii="Cambria Math" w:hAnsi="Cambria Math"/>
          </w:rPr>
          <m:t>M</m:t>
        </m:r>
        <m:r>
          <m:rPr>
            <m:sty m:val="p"/>
          </m:rPr>
          <w:rPr>
            <w:rFonts w:ascii="Cambria Math" w:hAnsi="Cambria Math"/>
          </w:rPr>
          <m:t>=</m:t>
        </m:r>
        <m:r>
          <w:rPr>
            <w:rFonts w:ascii="Cambria Math" w:hAnsi="Cambria Math"/>
          </w:rPr>
          <m:t>1024</m:t>
        </m:r>
      </m:oMath>
      <w:r>
        <w:t xml:space="preserve">, but 50.1 percent for a hybrid using random features through </w:t>
      </w:r>
      <m:oMath>
        <m:r>
          <w:rPr>
            <w:rFonts w:ascii="Cambria Math" w:hAnsi="Cambria Math"/>
          </w:rPr>
          <m:t>a</m:t>
        </m:r>
        <m:r>
          <m:rPr>
            <m:sty m:val="p"/>
          </m:rPr>
          <w:rPr>
            <w:rFonts w:ascii="Cambria Math" w:hAnsi="Cambria Math"/>
          </w:rPr>
          <m:t>≤</m:t>
        </m:r>
        <m:r>
          <w:rPr>
            <w:rFonts w:ascii="Cambria Math" w:hAnsi="Cambria Math"/>
          </w:rPr>
          <m:t>0.5</m:t>
        </m:r>
      </m:oMath>
      <w:r>
        <w:t xml:space="preserve"> and exact reads afterward, matching the printed exact-DE outcome. Matching a rounded aggregate is not a statistical equivalence test.</w:t>
      </w:r>
    </w:p>
    <w:p w14:paraId="70851FC6" w14:textId="77777777" w:rsidR="007672C2" w:rsidRDefault="00000000">
      <w:pPr>
        <w:pStyle w:val="BodyText"/>
        <w:rPr>
          <w:rFonts w:hint="eastAsia"/>
        </w:rPr>
      </w:pPr>
      <w:r>
        <w:t xml:space="preserve">The source reports that the 64 heaviest full-logit keys omit median attention mass of six percent at </w:t>
      </w:r>
      <m:oMath>
        <m:r>
          <w:rPr>
            <w:rFonts w:ascii="Cambria Math" w:hAnsi="Cambria Math"/>
          </w:rPr>
          <m:t>a</m:t>
        </m:r>
        <m:r>
          <m:rPr>
            <m:sty m:val="p"/>
          </m:rPr>
          <w:rPr>
            <w:rFonts w:ascii="Cambria Math" w:hAnsi="Cambria Math"/>
          </w:rPr>
          <m:t>=</m:t>
        </m:r>
        <m:r>
          <w:rPr>
            <w:rFonts w:ascii="Cambria Math" w:hAnsi="Cambria Math"/>
          </w:rPr>
          <m:t>0.65</m:t>
        </m:r>
      </m:oMath>
      <w:r>
        <w:t xml:space="preserve">, 16 percent at </w:t>
      </w:r>
      <m:oMath>
        <m:r>
          <w:rPr>
            <w:rFonts w:ascii="Cambria Math" w:hAnsi="Cambria Math"/>
          </w:rPr>
          <m:t>a</m:t>
        </m:r>
        <m:r>
          <m:rPr>
            <m:sty m:val="p"/>
          </m:rPr>
          <w:rPr>
            <w:rFonts w:ascii="Cambria Math" w:hAnsi="Cambria Math"/>
          </w:rPr>
          <m:t>=</m:t>
        </m:r>
        <m:r>
          <w:rPr>
            <w:rFonts w:ascii="Cambria Math" w:hAnsi="Cambria Math"/>
          </w:rPr>
          <m:t>0.90</m:t>
        </m:r>
      </m:oMath>
      <w:r>
        <w:t xml:space="preserve"> and 20 percent at </w:t>
      </w:r>
      <m:oMath>
        <m:r>
          <w:rPr>
            <w:rFonts w:ascii="Cambria Math" w:hAnsi="Cambria Math"/>
          </w:rPr>
          <m:t>a</m:t>
        </m:r>
        <m:r>
          <m:rPr>
            <m:sty m:val="p"/>
          </m:rPr>
          <w:rPr>
            <w:rFonts w:ascii="Cambria Math" w:hAnsi="Cambria Math"/>
          </w:rPr>
          <m:t>=</m:t>
        </m:r>
        <m:r>
          <w:rPr>
            <w:rFonts w:ascii="Cambria Math" w:hAnsi="Cambria Math"/>
          </w:rPr>
          <m:t>0.98</m:t>
        </m:r>
      </m:oMath>
      <w:r>
        <w:t xml:space="preserve">. The effective number of keys rises to about 83 near </w:t>
      </w:r>
      <m:oMath>
        <m:r>
          <w:rPr>
            <w:rFonts w:ascii="Cambria Math" w:hAnsi="Cambria Math"/>
          </w:rPr>
          <m:t>a</m:t>
        </m:r>
        <m:r>
          <m:rPr>
            <m:sty m:val="p"/>
          </m:rPr>
          <w:rPr>
            <w:rFonts w:ascii="Cambria Math" w:hAnsi="Cambria Math"/>
          </w:rPr>
          <m:t>=</m:t>
        </m:r>
        <m:r>
          <w:rPr>
            <w:rFonts w:ascii="Cambria Math" w:hAnsi="Cambria Math"/>
          </w:rPr>
          <m:t>0.98</m:t>
        </m:r>
      </m:oMath>
      <w:r>
        <w:t xml:space="preserve">. A local 32-key procedure with exact fallback certifies only 0.9 percent of queries under its stated tolerance. Full-logit top-64 retrieval certifies at most 24 percent in the </w:t>
      </w:r>
      <w:r>
        <w:lastRenderedPageBreak/>
        <w:t>reported late layers. These are workload measurements; the duplicate-key construction in Section 5.5 supplies the separate mathematical counterexample to universal late sparsity.</w:t>
      </w:r>
    </w:p>
    <w:p w14:paraId="3E20E937" w14:textId="77777777" w:rsidR="007672C2" w:rsidRDefault="00000000">
      <w:pPr>
        <w:pStyle w:val="BodyText"/>
        <w:rPr>
          <w:rFonts w:hint="eastAsia"/>
        </w:rPr>
      </w:pPr>
      <w:r>
        <w:t>Reported cell compression has largest per-layer median error 0.0019 relative to displacement and 50.2 percent near-optimum completion, but averages 481 occupied cells out of 512 over the last ten layers. This shows accuracy without a useful late compression ratio at the selected cell scale. The result does not rule out other cluster expansions, value aggregation or geometries.</w:t>
      </w:r>
    </w:p>
    <w:p w14:paraId="0F9FA73E" w14:textId="77777777" w:rsidR="007672C2" w:rsidRDefault="00000000">
      <w:pPr>
        <w:pStyle w:val="BodyText"/>
        <w:rPr>
          <w:rFonts w:hint="eastAsia"/>
        </w:rPr>
      </w:pPr>
      <w:r>
        <w:t xml:space="preserve">One reported CPU layer at </w:t>
      </w:r>
      <m:oMath>
        <m:r>
          <w:rPr>
            <w:rFonts w:ascii="Cambria Math" w:hAnsi="Cambria Math"/>
          </w:rPr>
          <m:t>N</m:t>
        </m:r>
        <m:r>
          <m:rPr>
            <m:sty m:val="p"/>
          </m:rPr>
          <w:rPr>
            <w:rFonts w:ascii="Cambria Math" w:hAnsi="Cambria Math"/>
          </w:rPr>
          <m:t>=</m:t>
        </m:r>
        <m:r>
          <w:rPr>
            <w:rFonts w:ascii="Cambria Math" w:hAnsi="Cambria Math"/>
          </w:rPr>
          <m:t>4096</m:t>
        </m:r>
      </m:oMath>
      <w:r>
        <w:t xml:space="preserve"> takes 387 ms for exact retrieval and 20 ms for </w:t>
      </w:r>
      <m:oMath>
        <m:r>
          <w:rPr>
            <w:rFonts w:ascii="Cambria Math" w:hAnsi="Cambria Math"/>
          </w:rPr>
          <m:t>M</m:t>
        </m:r>
        <m:r>
          <m:rPr>
            <m:sty m:val="p"/>
          </m:rPr>
          <w:rPr>
            <w:rFonts w:ascii="Cambria Math" w:hAnsi="Cambria Math"/>
          </w:rPr>
          <m:t>=</m:t>
        </m:r>
        <m:r>
          <w:rPr>
            <w:rFonts w:ascii="Cambria Math" w:hAnsi="Cambria Math"/>
          </w:rPr>
          <m:t>256</m:t>
        </m:r>
      </m:oMath>
      <w:r>
        <w:t xml:space="preserve"> features. Those numbers suggest a roughly nineteenfold isolated-layer speed ratio on that implementation. The source’s variance diagnostic uses exact dominant-key searches, itself quadratic; it is not a free online controller. Its approximately 74 percent hybrid cost and near-half cost for a fixed mid-schedule switch are workload-specific estimates, not general end-to-end speed guarantees. No new hardware timing or C# execution is claimed here.</w:t>
      </w:r>
    </w:p>
    <w:p w14:paraId="7ADFBB34" w14:textId="77777777" w:rsidR="007672C2" w:rsidRDefault="00000000">
      <w:pPr>
        <w:pStyle w:val="BodyText"/>
        <w:rPr>
          <w:rFonts w:hint="eastAsia"/>
        </w:rPr>
      </w:pPr>
      <w:r>
        <w:t>The earlier optimization scripts and run-level outputs are not bundled in this paper. Tables 5–6 and the late-layer measurements above are therefore source-reported results [12], distinct from the fresh focused checks above. The exact methods and seeds needed to reproduce them should accompany any performance claim based on those measurements.</w:t>
      </w:r>
    </w:p>
    <w:p w14:paraId="741DB73E" w14:textId="77777777" w:rsidR="007672C2" w:rsidRDefault="00000000">
      <w:pPr>
        <w:pStyle w:val="Heading1"/>
        <w:rPr>
          <w:rFonts w:hint="eastAsia"/>
        </w:rPr>
      </w:pPr>
      <w:bookmarkStart w:id="27" w:name="discussion-and-engineering-implications"/>
      <w:bookmarkEnd w:id="22"/>
      <w:bookmarkEnd w:id="26"/>
      <w:r>
        <w:t>7 Discussion and engineering implications</w:t>
      </w:r>
    </w:p>
    <w:p w14:paraId="330BC162" w14:textId="77777777" w:rsidR="007672C2" w:rsidRDefault="00000000">
      <w:pPr>
        <w:pStyle w:val="Heading2"/>
        <w:rPr>
          <w:rFonts w:hint="eastAsia"/>
        </w:rPr>
      </w:pPr>
      <w:bookmarkStart w:id="28" w:name="X7252829a4ae8ffb9fa5d28124bdb1aa842638c9"/>
      <w:r>
        <w:t>7.1 What transfers between attention and population search</w:t>
      </w:r>
    </w:p>
    <w:p w14:paraId="650689D1" w14:textId="77777777" w:rsidR="007672C2" w:rsidRDefault="00000000">
      <w:pPr>
        <w:pStyle w:val="FirstParagraph"/>
        <w:rPr>
          <w:rFonts w:hint="eastAsia"/>
        </w:rPr>
      </w:pPr>
      <w:r>
        <w:t>The identity transfers algebraic tools directly: stable softmax, logit masks, kernel approximation, effective sample size, omitted-mass bounds and shared-feature covariance all apply to the finite read. Architectural theorems transfer only when their hypotheses survive. A loss-weighted stochastic population with changing memories is not a fixed attention stack, and an externally evaluated search is not a trained token predictor.</w:t>
      </w:r>
    </w:p>
    <w:p w14:paraId="46E20020" w14:textId="77777777" w:rsidR="007672C2" w:rsidRDefault="00000000">
      <w:pPr>
        <w:pStyle w:val="BodyText"/>
        <w:rPr>
          <w:rFonts w:hint="eastAsia"/>
        </w:rPr>
      </w:pPr>
      <w:r>
        <w:t>The revised geometry resolves several apparent contradictions. A read lies in the memory hull, while the full unscaled proposal can leave it. A full score field identifies a fixed noised law, while one local mean misses reverse-mixture uncertainty. A narrow kernel sharpens discrimination between separated centers, while duplicate or densely packed centers can keep normalized attention broad. Finally, dense attention can still have an exactly compressible value read. These distinctions should guide experiments and implementation choices.</w:t>
      </w:r>
    </w:p>
    <w:p w14:paraId="672BA65C" w14:textId="77777777" w:rsidR="007672C2" w:rsidRDefault="00000000">
      <w:pPr>
        <w:pStyle w:val="BodyText"/>
        <w:rPr>
          <w:rFonts w:hint="eastAsia"/>
        </w:rPr>
      </w:pPr>
      <w:r>
        <w:t>The independent Gaussian-feature variance is also representation-sensitive. The exact kernel is translation invariant, but its exponential dot-product factorization can have very different numerical behavior after a coordinate change. Centering, per-cluster expansions or orthogonal features are meaningful alternatives to a blanket early-versus-late rule. Each requires cost accounting and an error criterion for the realized read.</w:t>
      </w:r>
    </w:p>
    <w:p w14:paraId="109A165B" w14:textId="77777777" w:rsidR="007672C2" w:rsidRDefault="00000000">
      <w:pPr>
        <w:pStyle w:val="Heading2"/>
        <w:rPr>
          <w:rFonts w:hint="eastAsia"/>
        </w:rPr>
      </w:pPr>
      <w:bookmarkStart w:id="29" w:name="use-within-an-engineering-agent-harness"/>
      <w:bookmarkEnd w:id="28"/>
      <w:r>
        <w:t>7.2 Use within an engineering agent harness</w:t>
      </w:r>
    </w:p>
    <w:p w14:paraId="02584900" w14:textId="77777777" w:rsidR="007672C2" w:rsidRDefault="00000000">
      <w:pPr>
        <w:pStyle w:val="FirstParagraph"/>
        <w:rPr>
          <w:rFonts w:hint="eastAsia"/>
        </w:rPr>
      </w:pPr>
      <w:r>
        <w:t>An ADE construction harness can store keys for evaluated designs, program configurations or reusable procedures. Gaussian retrieval then supplies attention over evaluated memory while a fixed language model proposes typed actions or edits. The identity concerns this archive read. It does not identify software layers such as tools, workspace and verification with neural transformer layers.</w:t>
      </w:r>
    </w:p>
    <w:p w14:paraId="0FF5315C" w14:textId="77777777" w:rsidR="007672C2" w:rsidRDefault="00000000">
      <w:pPr>
        <w:pStyle w:val="BodyText"/>
        <w:rPr>
          <w:rFonts w:hint="eastAsia"/>
        </w:rPr>
      </w:pPr>
      <w:r>
        <w:t xml:space="preserve">For continuous engineering parameters, a posterior mean can suggest a candidate that needs evaluation. For categorical variables or source code, use a responsibility-weighted parent selection or </w:t>
      </w:r>
      <w:r>
        <w:lastRenderedPageBreak/>
        <w:t>a valid decoder; averaging vectors does not itself produce a valid discrete artifact. Preserve the actual decoded geometry, objective measurements and dependency versions. A high attention weight is a proposal preference rather than an engineering acceptance certificate.</w:t>
      </w:r>
    </w:p>
    <w:p w14:paraId="4C735E48" w14:textId="77777777" w:rsidR="007672C2" w:rsidRDefault="00000000">
      <w:pPr>
        <w:pStyle w:val="BodyText"/>
        <w:rPr>
          <w:rFonts w:hint="eastAsia"/>
        </w:rPr>
      </w:pPr>
      <w:r>
        <w:t xml:space="preserve">Approximation tolerance should be connected to downstream effects. If a subsequent deterministic map is </w:t>
      </w:r>
      <m:oMath>
        <m:r>
          <w:rPr>
            <w:rFonts w:ascii="Cambria Math" w:hAnsi="Cambria Math"/>
          </w:rPr>
          <m:t>L</m:t>
        </m:r>
      </m:oMath>
      <w:r>
        <w:t xml:space="preserve">-Lipschitz on the relevant domain, a read error </w:t>
      </w:r>
      <m:oMath>
        <m:r>
          <w:rPr>
            <w:rFonts w:ascii="Cambria Math" w:hAnsi="Cambria Math"/>
          </w:rPr>
          <m:t>ϵ</m:t>
        </m:r>
      </m:oMath>
      <w:r>
        <w:t xml:space="preserve"> produces at most </w:t>
      </w:r>
      <m:oMath>
        <m:r>
          <w:rPr>
            <w:rFonts w:ascii="Cambria Math" w:hAnsi="Cambria Math"/>
          </w:rPr>
          <m:t>Lϵ</m:t>
        </m:r>
      </m:oMath>
      <w:r>
        <w:t xml:space="preserve"> immediate output error; the unscaled proposal contributes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t</m:t>
                </m:r>
              </m:sub>
            </m:sSub>
          </m:e>
        </m:d>
        <m:r>
          <w:rPr>
            <w:rFonts w:ascii="Cambria Math" w:hAnsi="Cambria Math"/>
          </w:rPr>
          <m:t>ϵ</m:t>
        </m:r>
      </m:oMath>
      <w:r>
        <w:t>. Repeated rollout error additionally depends on state sensitivity, archive refresh and randomness. A local read certificate alone does not establish the quality of the final design. Use exact checks for reportable objective values and mandatory constraints, and retain fallback execution where numerical approximation is uncertain.</w:t>
      </w:r>
    </w:p>
    <w:p w14:paraId="00F4C20F" w14:textId="77777777" w:rsidR="007672C2" w:rsidRDefault="00000000">
      <w:pPr>
        <w:pStyle w:val="Heading2"/>
        <w:rPr>
          <w:rFonts w:hint="eastAsia"/>
        </w:rPr>
      </w:pPr>
      <w:bookmarkStart w:id="30" w:name="testable-next-requirements"/>
      <w:bookmarkEnd w:id="29"/>
      <w:r>
        <w:t>7.3 Testable next requirements</w:t>
      </w:r>
    </w:p>
    <w:p w14:paraId="48C55B04" w14:textId="77777777" w:rsidR="007672C2" w:rsidRDefault="00000000">
      <w:pPr>
        <w:pStyle w:val="FirstParagraph"/>
        <w:rPr>
          <w:rFonts w:hint="eastAsia"/>
        </w:rPr>
      </w:pPr>
      <w:r>
        <w:t>Three requirements follow from the analysis. A ratio-aware switching method should predict held-out query error with declared coverage while including the cost of its own diagnostics. A sparse or compressed method should report omitted mass or a proved read-error bound together with candidate-search and aggregation cost. A trained-model experiment should compare the density bias with a matched baseline on task accuracy, representation changes and inference cost; reducing a cluster count alone is not a useful model objective.</w:t>
      </w:r>
    </w:p>
    <w:p w14:paraId="564190AE" w14:textId="77777777" w:rsidR="007672C2" w:rsidRDefault="00000000">
      <w:pPr>
        <w:pStyle w:val="BodyText"/>
        <w:rPr>
          <w:rFonts w:hint="eastAsia"/>
        </w:rPr>
      </w:pPr>
      <w:r>
        <w:t>For optimization, compare exact read, centered features, orthogonal features, certified truncation, cluster compression and direct parent sampling under matched evaluation and total-time budgets. Vary dimension, population separation, loss scale and schedule. Keep absolute error, relative displacement error, objective outcomes and diversity separate. Tune approximation parameters on search instances and report on new instances. The present focused checks establish mechanisms, not the outcome of those comparisons.</w:t>
      </w:r>
    </w:p>
    <w:p w14:paraId="2C583B8E" w14:textId="77777777" w:rsidR="007672C2" w:rsidRDefault="00000000">
      <w:pPr>
        <w:pStyle w:val="Heading1"/>
        <w:rPr>
          <w:rFonts w:hint="eastAsia"/>
        </w:rPr>
      </w:pPr>
      <w:bookmarkStart w:id="31" w:name="limitations"/>
      <w:bookmarkEnd w:id="27"/>
      <w:bookmarkEnd w:id="30"/>
      <w:r>
        <w:t>8 Limitations</w:t>
      </w:r>
    </w:p>
    <w:p w14:paraId="4FF16FFB" w14:textId="77777777" w:rsidR="007672C2" w:rsidRDefault="00000000">
      <w:pPr>
        <w:pStyle w:val="FirstParagraph"/>
        <w:rPr>
          <w:rFonts w:hint="eastAsia"/>
        </w:rPr>
      </w:pPr>
      <w:r>
        <w:t>The exact identities use a finite frozen memory at each read. Their statistical interpretation is conditional on the chosen empirical prior and common observation model. Evolving that prior changes the modeled distribution. The frozen-memory energy inequality gives no global energy for the full adaptive process, and its sufficient contraction condition can be conservative.</w:t>
      </w:r>
    </w:p>
    <w:p w14:paraId="7C61CF44" w14:textId="77777777" w:rsidR="007672C2" w:rsidRDefault="00000000">
      <w:pPr>
        <w:pStyle w:val="BodyText"/>
        <w:rPr>
          <w:rFonts w:hint="eastAsia"/>
        </w:rPr>
      </w:pPr>
      <w:r>
        <w:t>The feature bound assumes independent Gaussian features and a fixed query and memory. Orthogonal features, feature-dependent center selection and adaptive switching require their own analysis. Its exact covariance evaluation is expensive, and second-moment bounds can be loose. A common center can improve a translated cluster without solving a widely separated multimodal problem. Sparse certificates can be valid while certifying few queries or costing more than exact evaluation.</w:t>
      </w:r>
    </w:p>
    <w:p w14:paraId="4F5950CC" w14:textId="77777777" w:rsidR="007672C2" w:rsidRDefault="00000000">
      <w:pPr>
        <w:pStyle w:val="BodyText"/>
        <w:rPr>
          <w:rFonts w:hint="eastAsia"/>
        </w:rPr>
      </w:pPr>
      <w:r>
        <w:t>The new numerical checks use moderate-dimensional synthetic inputs. The inherited optimization evidence concerns a two-dimensional landscape, one attention-stack configuration and implementation-specific CPU measurements. No trained language-model experiment, construction-agent deployment, general optimizer ranking or global convergence guarantee is established. The C# code in Appendix B specifies a factorized implementation pattern; its compilation and runtime performance are not newly validated in this revision.</w:t>
      </w:r>
    </w:p>
    <w:p w14:paraId="307D8DEF" w14:textId="77777777" w:rsidR="007672C2" w:rsidRDefault="00000000">
      <w:pPr>
        <w:pStyle w:val="Heading1"/>
        <w:rPr>
          <w:rFonts w:hint="eastAsia"/>
        </w:rPr>
      </w:pPr>
      <w:bookmarkStart w:id="32" w:name="conclusion"/>
      <w:bookmarkEnd w:id="31"/>
      <w:r>
        <w:lastRenderedPageBreak/>
        <w:t>9 Conclusion</w:t>
      </w:r>
    </w:p>
    <w:p w14:paraId="5BBACBE9" w14:textId="77777777" w:rsidR="007672C2" w:rsidRDefault="00000000">
      <w:pPr>
        <w:pStyle w:val="FirstParagraph"/>
        <w:rPr>
          <w:rFonts w:hint="eastAsia"/>
        </w:rPr>
      </w:pPr>
      <w:r>
        <w:t>The retrieval inside Diffusion Evolution is exactly biased softmax attention over its current empirical memory. Its key bias contains both the loss weight and the Gaussian norm correction. This identity supports covariance extensions, derivative formulas and a fixed-memory Hopfield energy, while leaving the learned projections and other components of a Transformer unspecified.</w:t>
      </w:r>
    </w:p>
    <w:p w14:paraId="282D8B6D" w14:textId="77777777" w:rsidR="007672C2" w:rsidRDefault="00000000">
      <w:pPr>
        <w:pStyle w:val="BodyText"/>
        <w:rPr>
          <w:rFonts w:hint="eastAsia"/>
        </w:rPr>
      </w:pPr>
      <w:r>
        <w:t>The full scheduled update needs separate analysis. Scaled-coordinate drift is a convex interpolation; unscaled expansion occurs for an interval of positive noise settings. The exact finite-model reverse law is a Gaussian mixture whose covariance includes posterior uncertainty absent from a mean-based plug-in step. A complete score field identifies the fixed law, whereas a local read alone does not specify that reverse mixture.</w:t>
      </w:r>
    </w:p>
    <w:p w14:paraId="764AB002" w14:textId="77777777" w:rsidR="007672C2" w:rsidRDefault="00000000">
      <w:pPr>
        <w:pStyle w:val="BodyText"/>
        <w:rPr>
          <w:rFonts w:hint="eastAsia"/>
        </w:rPr>
      </w:pPr>
      <w:r>
        <w:t>Computational conclusions depend on normalized error and actual geometry. Shared-feature covariance gives a ratio-aware bound, and omitted attention mass certifies sparse-read error. Narrow bandwidth does not guarantee sparsity or rule out useful centered features. Fresh checks verify these distinctions, while the earlier measurements provide workload-specific evidence to be tested with complete run data and matched cost accounting.</w:t>
      </w:r>
    </w:p>
    <w:p w14:paraId="2A4F2DA5" w14:textId="77777777" w:rsidR="007672C2" w:rsidRDefault="00000000">
      <w:pPr>
        <w:pStyle w:val="Heading1"/>
        <w:rPr>
          <w:rFonts w:hint="eastAsia"/>
        </w:rPr>
      </w:pPr>
      <w:bookmarkStart w:id="33" w:name="references"/>
      <w:bookmarkEnd w:id="32"/>
      <w:r>
        <w:t>References</w:t>
      </w:r>
    </w:p>
    <w:p w14:paraId="3A96E297" w14:textId="77777777" w:rsidR="007672C2" w:rsidRDefault="00000000">
      <w:pPr>
        <w:pStyle w:val="FirstParagraph"/>
        <w:keepLines/>
        <w:spacing w:after="140"/>
        <w:ind w:left="360" w:hanging="360"/>
        <w:jc w:val="left"/>
        <w:rPr>
          <w:rFonts w:hint="eastAsia"/>
        </w:rPr>
      </w:pPr>
      <w:r>
        <w:rPr>
          <w:sz w:val="21"/>
        </w:rPr>
        <w:t>[1] Zhang, Y., Hartl, B., Hazan, H., and Levin, M. Diffusion Models are Evolutionary Algorithms. ICLR, 2025. arXiv:2410.02543v3, revised 9 May 2026. https://arxiv.org/abs/2410.02543</w:t>
      </w:r>
    </w:p>
    <w:p w14:paraId="497F97EB" w14:textId="77777777" w:rsidR="007672C2" w:rsidRDefault="00000000">
      <w:pPr>
        <w:pStyle w:val="BodyText"/>
        <w:keepLines/>
        <w:spacing w:after="140"/>
        <w:ind w:left="360" w:hanging="360"/>
        <w:jc w:val="left"/>
        <w:rPr>
          <w:rFonts w:hint="eastAsia"/>
        </w:rPr>
      </w:pPr>
      <w:r>
        <w:rPr>
          <w:sz w:val="21"/>
        </w:rPr>
        <w:t>[2] Song, J., Meng, C., and Ermon, S. Denoising Diffusion Implicit Models. ICLR, 2021. https://arxiv.org/abs/2010.02502</w:t>
      </w:r>
    </w:p>
    <w:p w14:paraId="3EF3DCC6" w14:textId="77777777" w:rsidR="007672C2" w:rsidRDefault="00000000">
      <w:pPr>
        <w:pStyle w:val="BodyText"/>
        <w:keepLines/>
        <w:spacing w:after="140"/>
        <w:ind w:left="360" w:hanging="360"/>
        <w:jc w:val="left"/>
        <w:rPr>
          <w:rFonts w:hint="eastAsia"/>
        </w:rPr>
      </w:pPr>
      <w:r>
        <w:rPr>
          <w:sz w:val="21"/>
        </w:rPr>
        <w:t>[3] Ho, J., Jain, A., and Abbeel, P. Denoising Diffusion Probabilistic Models. NeurIPS, 2020. https://arxiv.org/abs/2006.11239</w:t>
      </w:r>
    </w:p>
    <w:p w14:paraId="2C697FEF" w14:textId="77777777" w:rsidR="007672C2" w:rsidRDefault="00000000">
      <w:pPr>
        <w:pStyle w:val="BodyText"/>
        <w:keepLines/>
        <w:spacing w:after="140"/>
        <w:ind w:left="360" w:hanging="360"/>
        <w:jc w:val="left"/>
        <w:rPr>
          <w:rFonts w:hint="eastAsia"/>
        </w:rPr>
      </w:pPr>
      <w:r>
        <w:rPr>
          <w:sz w:val="21"/>
        </w:rPr>
        <w:t>[4] Vaswani, A., Shazeer, N., Parmar, N., Uszkoreit, J., Jones, L., Gomez, A. N., Kaiser, L., and Polosukhin, I. Attention Is All You Need. NeurIPS, 2017. https://arxiv.org/abs/1706.03762</w:t>
      </w:r>
    </w:p>
    <w:p w14:paraId="665DABCB" w14:textId="77777777" w:rsidR="007672C2" w:rsidRDefault="00000000">
      <w:pPr>
        <w:pStyle w:val="BodyText"/>
        <w:keepLines/>
        <w:spacing w:after="140"/>
        <w:ind w:left="360" w:hanging="360"/>
        <w:jc w:val="left"/>
        <w:rPr>
          <w:rFonts w:hint="eastAsia"/>
        </w:rPr>
      </w:pPr>
      <w:r>
        <w:rPr>
          <w:sz w:val="21"/>
        </w:rPr>
        <w:t>[5] Ramsauer, H., et al. Hopfield Networks Is All You Need. ICLR, 2021. https://arxiv.org/abs/2008.02217</w:t>
      </w:r>
    </w:p>
    <w:p w14:paraId="32947EE3" w14:textId="77777777" w:rsidR="007672C2" w:rsidRDefault="00000000">
      <w:pPr>
        <w:pStyle w:val="BodyText"/>
        <w:keepLines/>
        <w:spacing w:after="140"/>
        <w:ind w:left="360" w:hanging="360"/>
        <w:jc w:val="left"/>
        <w:rPr>
          <w:rFonts w:hint="eastAsia"/>
        </w:rPr>
      </w:pPr>
      <w:r>
        <w:rPr>
          <w:sz w:val="21"/>
        </w:rPr>
        <w:t>[6] Geshkovski, B., Letrouit, C., Polyanskiy, Y., and Rigollet, P. A Mathematical Perspective on Transformers. Bulletin of the American Mathematical Society, 62, pp. 427–479, 2025. arXiv:2312.10794v5. https://arxiv.org/abs/2312.10794</w:t>
      </w:r>
    </w:p>
    <w:p w14:paraId="05D492C6" w14:textId="77777777" w:rsidR="007672C2" w:rsidRDefault="00000000">
      <w:pPr>
        <w:pStyle w:val="BodyText"/>
        <w:keepLines/>
        <w:spacing w:after="140"/>
        <w:ind w:left="360" w:hanging="360"/>
        <w:jc w:val="left"/>
        <w:rPr>
          <w:rFonts w:hint="eastAsia"/>
        </w:rPr>
      </w:pPr>
      <w:r>
        <w:rPr>
          <w:sz w:val="21"/>
        </w:rPr>
        <w:t>[7] Geshkovski, B., Letrouit, C., Polyanskiy, Y., and Rigollet, P. The Emergence of Clusters in Self-Attention Dynamics. arXiv:2305.05465. https://arxiv.org/abs/2305.05465</w:t>
      </w:r>
    </w:p>
    <w:p w14:paraId="470F7445" w14:textId="77777777" w:rsidR="007672C2" w:rsidRDefault="00000000">
      <w:pPr>
        <w:pStyle w:val="BodyText"/>
        <w:keepLines/>
        <w:spacing w:after="140"/>
        <w:ind w:left="360" w:hanging="360"/>
        <w:jc w:val="left"/>
        <w:rPr>
          <w:rFonts w:hint="eastAsia"/>
        </w:rPr>
      </w:pPr>
      <w:r>
        <w:rPr>
          <w:sz w:val="21"/>
        </w:rPr>
        <w:t>[8] Dong, Y., Cordonnier, J.-B., and Loukas, A. Attention Is Not All You Need Pure Attention Loses Rank Doubly Exponentially with Depth. ICML, PMLR 139, pp. 2793–2803, 2021. https://proceedings.mlr.press/v139/dong21a.html</w:t>
      </w:r>
    </w:p>
    <w:p w14:paraId="36EC59B4" w14:textId="77777777" w:rsidR="007672C2" w:rsidRDefault="00000000">
      <w:pPr>
        <w:pStyle w:val="BodyText"/>
        <w:keepLines/>
        <w:spacing w:after="140"/>
        <w:ind w:left="360" w:hanging="360"/>
        <w:jc w:val="left"/>
        <w:rPr>
          <w:rFonts w:hint="eastAsia"/>
        </w:rPr>
      </w:pPr>
      <w:r>
        <w:rPr>
          <w:sz w:val="21"/>
        </w:rPr>
        <w:t>[9] Choromanski, K., et al. Rethinking Attention with Performers. ICLR, 2021. https://arxiv.org/abs/2009.14794</w:t>
      </w:r>
    </w:p>
    <w:p w14:paraId="243A11AE" w14:textId="77777777" w:rsidR="007672C2" w:rsidRDefault="00000000">
      <w:pPr>
        <w:pStyle w:val="BodyText"/>
        <w:keepLines/>
        <w:spacing w:after="140"/>
        <w:ind w:left="360" w:hanging="360"/>
        <w:jc w:val="left"/>
        <w:rPr>
          <w:rFonts w:hint="eastAsia"/>
        </w:rPr>
      </w:pPr>
      <w:r>
        <w:rPr>
          <w:sz w:val="21"/>
        </w:rPr>
        <w:t>[10] Ambrogioni, L. In Search of Dispersed Memories Generative Diffusion Models Are Associative Memory Networks. arXiv:2309.17290, 2023. https://arxiv.org/abs/2309.17290</w:t>
      </w:r>
    </w:p>
    <w:p w14:paraId="62C4F808" w14:textId="77777777" w:rsidR="007672C2" w:rsidRDefault="00000000">
      <w:pPr>
        <w:pStyle w:val="BodyText"/>
        <w:keepLines/>
        <w:spacing w:after="140"/>
        <w:ind w:left="360" w:hanging="360"/>
        <w:jc w:val="left"/>
        <w:rPr>
          <w:rFonts w:hint="eastAsia"/>
        </w:rPr>
      </w:pPr>
      <w:r>
        <w:rPr>
          <w:sz w:val="21"/>
        </w:rPr>
        <w:t>[11] Kundu, D., Ghosh, A., Ghosh, S., and Honavar, V. Projection-Free Transformers via Gaussian Kernel Attention. arXiv:2605.02144v1, 2026. https://arxiv.org/abs/2605.02144</w:t>
      </w:r>
    </w:p>
    <w:p w14:paraId="396C311C" w14:textId="77777777" w:rsidR="007672C2" w:rsidRDefault="00000000">
      <w:pPr>
        <w:pStyle w:val="BodyText"/>
        <w:keepLines/>
        <w:spacing w:after="140"/>
        <w:ind w:left="360" w:hanging="360"/>
        <w:jc w:val="left"/>
        <w:rPr>
          <w:rFonts w:hint="eastAsia"/>
        </w:rPr>
      </w:pPr>
      <w:r>
        <w:rPr>
          <w:sz w:val="21"/>
        </w:rPr>
        <w:lastRenderedPageBreak/>
        <w:t>[12] Ghosh, D. P. The Hidden Transformer in Diffusion Evolution. Preceding revised manuscript, 15 October 2026. The population, clustering and timing measurements in Section 6.3–6.4 are attributed to this version.</w:t>
      </w:r>
    </w:p>
    <w:p w14:paraId="06A4CFB9" w14:textId="258A93FE" w:rsidR="007672C2" w:rsidRDefault="00000000">
      <w:pPr>
        <w:pStyle w:val="BodyText"/>
        <w:keepLines/>
        <w:spacing w:after="140"/>
        <w:ind w:left="360" w:hanging="360"/>
        <w:jc w:val="left"/>
        <w:rPr>
          <w:rFonts w:hint="eastAsia"/>
        </w:rPr>
      </w:pPr>
      <w:r>
        <w:rPr>
          <w:sz w:val="21"/>
        </w:rPr>
        <w:t xml:space="preserve">[13] Ghosh, D. P. Autoregressive Diffusion Evolution Engineering Methods and Mathematical Foundations. Second revised edition, October 2026. </w:t>
      </w:r>
      <w:r w:rsidR="0062617A" w:rsidRPr="0062617A">
        <w:rPr>
          <w:sz w:val="21"/>
        </w:rPr>
        <w:t>https://doi.org/10.13140/RG.2.2.10048.29444</w:t>
      </w:r>
      <w:r w:rsidR="0062617A">
        <w:rPr>
          <w:sz w:val="21"/>
        </w:rPr>
        <w:t xml:space="preserve"> </w:t>
      </w:r>
      <w:r>
        <w:rPr>
          <w:sz w:val="21"/>
        </w:rPr>
        <w:t>https://github.com/debiprasadghosh/ResearchOverFlow/tree/main/October2026/AutoregressiveDiffusionEvolution</w:t>
      </w:r>
    </w:p>
    <w:p w14:paraId="7BC1A9CB" w14:textId="77777777" w:rsidR="007672C2" w:rsidRDefault="00000000">
      <w:pPr>
        <w:pStyle w:val="Heading1"/>
        <w:rPr>
          <w:rFonts w:hint="eastAsia"/>
        </w:rPr>
      </w:pPr>
      <w:bookmarkStart w:id="34" w:name="Xf96e626ecbe2a083f2455dcddf8f36b12c16d99"/>
      <w:bookmarkEnd w:id="33"/>
      <w:r>
        <w:t>Appendix A Estimators and implementation contracts</w:t>
      </w:r>
    </w:p>
    <w:p w14:paraId="4F9BDCC9" w14:textId="77777777" w:rsidR="007672C2" w:rsidRDefault="00000000">
      <w:pPr>
        <w:pStyle w:val="Heading2"/>
        <w:rPr>
          <w:rFonts w:hint="eastAsia"/>
        </w:rPr>
      </w:pPr>
      <w:bookmarkStart w:id="35" w:name="a1-stable-exact-evaluation"/>
      <w:r>
        <w:t>A1 Stable exact evaluation</w:t>
      </w:r>
    </w:p>
    <w:p w14:paraId="2971F798" w14:textId="77777777" w:rsidR="007672C2" w:rsidRDefault="00000000">
      <w:pPr>
        <w:pStyle w:val="FirstParagraph"/>
        <w:rPr>
          <w:rFonts w:hint="eastAsia"/>
        </w:rPr>
      </w:pPr>
      <w:r>
        <w:t xml:space="preserve">For a frozen memory, evaluate </w:t>
      </w:r>
      <m:oMath>
        <m:r>
          <m:rPr>
            <m:sty m:val="p"/>
          </m:rPr>
          <w:rPr>
            <w:rFonts w:ascii="Cambria Math" w:hAnsi="Cambria Math"/>
          </w:rPr>
          <m:t>log</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2τ</m:t>
            </m:r>
          </m:e>
        </m:d>
      </m:oMath>
      <w:r>
        <w:t xml:space="preserve"> with a rowwise log-sum-exp normalizer. Reject an empty active memory, nonfinite active values, invalid covariance and </w:t>
      </w:r>
      <m:oMath>
        <m:r>
          <w:rPr>
            <w:rFonts w:ascii="Cambria Math" w:hAnsi="Cambria Math"/>
          </w:rPr>
          <m:t>a</m:t>
        </m:r>
      </m:oMath>
      <w:r>
        <w:t xml:space="preserve"> outside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for the retrieval formulas. A masked key has zero responsibility. For the common-covariance form, solve with a Cholesky factor rather than explicitly inverting an ill-conditioned covariance in production code.</w:t>
      </w:r>
    </w:p>
    <w:p w14:paraId="14343D44" w14:textId="77777777" w:rsidR="007672C2" w:rsidRDefault="00000000">
      <w:pPr>
        <w:pStyle w:val="BodyText"/>
        <w:rPr>
          <w:rFonts w:hint="eastAsia"/>
        </w:rPr>
      </w:pPr>
      <w:r>
        <w:t>The dot-product form is algebraically identical but can lose accuracy when large terms cancel. A shared coordinate center can reduce both cancellation and feature variance. Record the center, schedule, feature seed and archive snapshot alongside an approximate read. Signal normalization and learned layer normalization are different operations.</w:t>
      </w:r>
    </w:p>
    <w:p w14:paraId="331F1246" w14:textId="77777777" w:rsidR="007672C2" w:rsidRDefault="00000000">
      <w:pPr>
        <w:pStyle w:val="Heading2"/>
        <w:rPr>
          <w:rFonts w:hint="eastAsia"/>
        </w:rPr>
      </w:pPr>
      <w:bookmarkStart w:id="36" w:name="a2-feature-summaries-and-fallback"/>
      <w:bookmarkEnd w:id="35"/>
      <w:r>
        <w:t>A2 Feature summaries and fallback</w:t>
      </w:r>
    </w:p>
    <w:p w14:paraId="4A0CE697" w14:textId="77777777" w:rsidR="007672C2" w:rsidRDefault="00000000">
      <w:pPr>
        <w:pStyle w:val="FirstParagraph"/>
        <w:rPr>
          <w:rFonts w:hint="eastAsia"/>
        </w:rPr>
      </w:pPr>
      <w:r>
        <w:t>Build the key summaries once per frozen population, common center and feature matrix. Reuse them for every query. A single global shift for all key features preserves their relative contributions; a rowwise scalar query shift also cancels. Arbitrary per-key normalization changes the target. Monitor finite positive denominators and fall back to exact evaluation when the approximate representation underflows or fails its declared accuracy check.</w:t>
      </w:r>
    </w:p>
    <w:p w14:paraId="6BF6FC8E" w14:textId="77777777" w:rsidR="007672C2" w:rsidRDefault="00000000">
      <w:pPr>
        <w:pStyle w:val="BodyText"/>
        <w:rPr>
          <w:rFonts w:hint="eastAsia"/>
        </w:rPr>
      </w:pPr>
      <w:r>
        <w:t>The independent-feature covariance formulas are available as expensive reference diagnostics. Using an exact dominant-key query to decide whether to approximate incurs the same all-pairs scoring cost one may be trying to avoid. Include this cost in any timing comparison. For an adaptive multi-query certification policy, state an error allocation or a valid uniform procedure.</w:t>
      </w:r>
    </w:p>
    <w:p w14:paraId="7D43BB49" w14:textId="77777777" w:rsidR="007672C2" w:rsidRDefault="00000000">
      <w:pPr>
        <w:pStyle w:val="Heading2"/>
        <w:rPr>
          <w:rFonts w:hint="eastAsia"/>
        </w:rPr>
      </w:pPr>
      <w:bookmarkStart w:id="37" w:name="a3-truncation-and-compression"/>
      <w:bookmarkEnd w:id="36"/>
      <w:r>
        <w:t>A3 Truncation and compression</w:t>
      </w:r>
    </w:p>
    <w:p w14:paraId="2A74C859" w14:textId="77777777" w:rsidR="007672C2" w:rsidRDefault="00000000">
      <w:pPr>
        <w:pStyle w:val="FirstParagraph"/>
        <w:rPr>
          <w:rFonts w:hint="eastAsia"/>
        </w:rPr>
      </w:pPr>
      <w:r>
        <w:t>A local or top-logit search must deliver both retained keys and an upper bound on omitted weight to use (27). A generic approximate nearest-neighbor result without an omitted-logit bound is a heuristic read. If a certificate fails, an exact fallback preserves read accuracy while possibly eliminating the speed benefit.</w:t>
      </w:r>
    </w:p>
    <w:p w14:paraId="5D36B64D" w14:textId="77777777" w:rsidR="007672C2" w:rsidRDefault="00000000">
      <w:pPr>
        <w:pStyle w:val="BodyText"/>
        <w:rPr>
          <w:rFonts w:hint="eastAsia"/>
        </w:rPr>
      </w:pPr>
      <w:r>
        <w:t>Cell compression retains total prior mass and prior-weighted values, and changes Gaussian centers only within a controlled radius. Equation (28) gives a query-specific log-kernel error. Report occupied-cell count, construction cost and maximum or quantile read error separately; accuracy does not imply compression savings. Duplicate centers with differing values can be compressed exactly by summing prior mass and averaging values with those masses.</w:t>
      </w:r>
    </w:p>
    <w:p w14:paraId="16FC9C1D" w14:textId="77777777" w:rsidR="007672C2" w:rsidRDefault="00000000">
      <w:pPr>
        <w:pStyle w:val="Heading1"/>
        <w:rPr>
          <w:rFonts w:hint="eastAsia"/>
        </w:rPr>
      </w:pPr>
      <w:bookmarkStart w:id="38" w:name="X7f800ef7101fdd96d8e9e5871664ae4d98b1e63"/>
      <w:bookmarkEnd w:id="34"/>
      <w:bookmarkEnd w:id="37"/>
      <w:r>
        <w:lastRenderedPageBreak/>
        <w:t>Appendix B Factorized C sharp retrieval interface</w:t>
      </w:r>
    </w:p>
    <w:p w14:paraId="73FDCCD7" w14:textId="77777777" w:rsidR="007672C2" w:rsidRDefault="00000000">
      <w:pPr>
        <w:pStyle w:val="FirstParagraph"/>
        <w:rPr>
          <w:rFonts w:hint="eastAsia"/>
        </w:rPr>
      </w:pPr>
      <w:r>
        <w:t xml:space="preserve">The listing separates key-summary construction from repeated queries. It demonstrates the amortization needed for </w:t>
      </w:r>
      <m:oMath>
        <m:r>
          <w:rPr>
            <w:rFonts w:ascii="Cambria Math" w:hAnsi="Cambria Math"/>
          </w:rPr>
          <m:t>O</m:t>
        </m:r>
        <m:d>
          <m:dPr>
            <m:ctrlPr>
              <w:rPr>
                <w:rFonts w:ascii="Cambria Math" w:hAnsi="Cambria Math"/>
              </w:rPr>
            </m:ctrlPr>
          </m:dPr>
          <m:e>
            <m:r>
              <w:rPr>
                <w:rFonts w:ascii="Cambria Math" w:hAnsi="Cambria Math"/>
              </w:rPr>
              <m:t>NMD</m:t>
            </m:r>
          </m:e>
        </m:d>
      </m:oMath>
      <w:r>
        <w:t xml:space="preserve"> population retrieval at fixed feature count. The caller supplies validated finite equal-dimensional arrays, at least one active finite log weight, a signal coefficient in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independent Gaussian feature rows. The plan copies values into summaries; feature and center arrays are copied by the plan constructor. Production code should enforce dimensions and ownership explicitly. This is reference code, not an authenticated engineering evaluator or a newly measured C# benchmark.</w:t>
      </w:r>
    </w:p>
    <w:p w14:paraId="6AA838CF" w14:textId="77777777" w:rsidR="007672C2" w:rsidRDefault="00000000">
      <w:pPr>
        <w:pStyle w:val="SourceCode"/>
        <w:keepLines/>
        <w:spacing w:before="80" w:after="80"/>
        <w:rPr>
          <w:rFonts w:hint="eastAsia"/>
        </w:rPr>
      </w:pPr>
      <w:r>
        <w:t>using System;</w:t>
      </w:r>
      <w:r>
        <w:br/>
        <w:t>using System.Linq;</w:t>
      </w:r>
    </w:p>
    <w:p w14:paraId="52983BD5" w14:textId="77777777" w:rsidR="007672C2" w:rsidRDefault="00000000">
      <w:pPr>
        <w:pStyle w:val="SourceCode"/>
        <w:keepLines/>
        <w:spacing w:before="80" w:after="80"/>
        <w:rPr>
          <w:rFonts w:hint="eastAsia"/>
        </w:rPr>
      </w:pPr>
      <w:r>
        <w:t>namespace HiddenTransformer;</w:t>
      </w:r>
    </w:p>
    <w:p w14:paraId="353C4407" w14:textId="77777777" w:rsidR="007672C2" w:rsidRDefault="00000000">
      <w:pPr>
        <w:pStyle w:val="SourceCode"/>
        <w:keepLines/>
        <w:spacing w:before="80" w:after="80"/>
        <w:rPr>
          <w:rFonts w:hint="eastAsia"/>
        </w:rPr>
      </w:pPr>
      <w:r>
        <w:t>public static class ExactRead</w:t>
      </w:r>
      <w:r>
        <w:br/>
        <w:t>{</w:t>
      </w:r>
      <w:r>
        <w:br/>
        <w:t xml:space="preserve">    public static double Dot(double[] x, double[] y) =&gt;</w:t>
      </w:r>
      <w:r>
        <w:br/>
        <w:t xml:space="preserve">        x.Zip(y, (a, b) =&gt; a * b).Sum();</w:t>
      </w:r>
    </w:p>
    <w:p w14:paraId="640A9EBA" w14:textId="77777777" w:rsidR="007672C2" w:rsidRDefault="00000000">
      <w:pPr>
        <w:pStyle w:val="SourceCode"/>
        <w:keepLines/>
        <w:spacing w:before="80" w:after="80"/>
        <w:rPr>
          <w:rFonts w:hint="eastAsia"/>
        </w:rPr>
      </w:pPr>
      <w:r>
        <w:t xml:space="preserve">    public static double[] Softmax(double[] logits)</w:t>
      </w:r>
      <w:r>
        <w:br/>
        <w:t xml:space="preserve">    {</w:t>
      </w:r>
      <w:r>
        <w:br/>
        <w:t xml:space="preserve">        double peak = logits.Max();</w:t>
      </w:r>
      <w:r>
        <w:br/>
        <w:t xml:space="preserve">        if (!double.IsFinite(peak))</w:t>
      </w:r>
      <w:r>
        <w:br/>
        <w:t xml:space="preserve">            throw new ArgumentException("No finite active key");</w:t>
      </w:r>
      <w:r>
        <w:br/>
        <w:t xml:space="preserve">        var weights = logits.Select(x =&gt; Math.Exp(x - peak)).ToArray();</w:t>
      </w:r>
      <w:r>
        <w:br/>
        <w:t xml:space="preserve">        double sum = weights.Sum();</w:t>
      </w:r>
      <w:r>
        <w:br/>
        <w:t xml:space="preserve">        return weights.Select(x =&gt; x / sum).ToArray();</w:t>
      </w:r>
      <w:r>
        <w:br/>
        <w:t xml:space="preserve">    }</w:t>
      </w:r>
    </w:p>
    <w:p w14:paraId="06782BC7" w14:textId="77777777" w:rsidR="007672C2" w:rsidRDefault="00000000">
      <w:pPr>
        <w:pStyle w:val="SourceCode"/>
        <w:keepLines/>
        <w:spacing w:before="80" w:after="80"/>
        <w:rPr>
          <w:rFonts w:hint="eastAsia"/>
        </w:rPr>
      </w:pPr>
      <w:r>
        <w:t xml:space="preserve">    public static double[] Mean(double[] q, double[][] y,</w:t>
      </w:r>
      <w:r>
        <w:br/>
        <w:t xml:space="preserve">        double[] logWeight, double a)</w:t>
      </w:r>
      <w:r>
        <w:br/>
        <w:t xml:space="preserve">    {</w:t>
      </w:r>
      <w:r>
        <w:br/>
        <w:t xml:space="preserve">        double tau = 1 - a;</w:t>
      </w:r>
      <w:r>
        <w:br/>
        <w:t xml:space="preserve">        var logits = y.Select((v, j) =&gt; logWeight[j] -</w:t>
      </w:r>
      <w:r>
        <w:br/>
        <w:t xml:space="preserve">            v.Select((x, d) =&gt; Math.Pow(q[d] - Math.Sqrt(a) * x, 2))</w:t>
      </w:r>
      <w:r>
        <w:br/>
        <w:t xml:space="preserve">             .Sum() / (2 * tau)).ToArray();</w:t>
      </w:r>
      <w:r>
        <w:br/>
        <w:t xml:space="preserve">        var r = Softmax(logits);</w:t>
      </w:r>
      <w:r>
        <w:br/>
        <w:t xml:space="preserve">        return Enumerable.Range(0, q.Length).Select(d =&gt;</w:t>
      </w:r>
      <w:r>
        <w:br/>
        <w:t xml:space="preserve">            y.Select((v, j) =&gt; r[j] * v[d]).Sum()).ToArray();</w:t>
      </w:r>
      <w:r>
        <w:br/>
        <w:t xml:space="preserve">    }</w:t>
      </w:r>
      <w:r>
        <w:br/>
        <w:t>}</w:t>
      </w:r>
    </w:p>
    <w:p w14:paraId="4B341B7A" w14:textId="77777777" w:rsidR="007672C2" w:rsidRDefault="00000000">
      <w:pPr>
        <w:pStyle w:val="SourceCode"/>
        <w:keepLines/>
        <w:spacing w:before="80" w:after="80"/>
        <w:rPr>
          <w:rFonts w:hint="eastAsia"/>
        </w:rPr>
      </w:pPr>
      <w:r>
        <w:t>public sealed class FeaturePlan</w:t>
      </w:r>
      <w:r>
        <w:br/>
        <w:t>{</w:t>
      </w:r>
      <w:r>
        <w:br/>
        <w:t xml:space="preserve">    readonly double[][] omega;</w:t>
      </w:r>
      <w:r>
        <w:br/>
        <w:t xml:space="preserve">    readonly double[] center, s0;</w:t>
      </w:r>
      <w:r>
        <w:br/>
        <w:t xml:space="preserve">    readonly double[][] s1;</w:t>
      </w:r>
      <w:r>
        <w:br/>
        <w:t xml:space="preserve">    readonly double scale;</w:t>
      </w:r>
    </w:p>
    <w:p w14:paraId="290EFB47" w14:textId="77777777" w:rsidR="007672C2" w:rsidRDefault="00000000">
      <w:pPr>
        <w:pStyle w:val="SourceCode"/>
        <w:keepLines/>
        <w:spacing w:before="80" w:after="80"/>
        <w:rPr>
          <w:rFonts w:hint="eastAsia"/>
        </w:rPr>
      </w:pPr>
      <w:r>
        <w:lastRenderedPageBreak/>
        <w:t xml:space="preserve">    public FeaturePlan(double[][] y, double[] logWeight, double a,</w:t>
      </w:r>
      <w:r>
        <w:br/>
        <w:t xml:space="preserve">        double[][] features, double[] commonCenter)</w:t>
      </w:r>
      <w:r>
        <w:br/>
        <w:t xml:space="preserve">    {</w:t>
      </w:r>
      <w:r>
        <w:br/>
        <w:t xml:space="preserve">        if (!(a &gt; 0 &amp;&amp; a &lt; 1) || features.Length == 0)</w:t>
      </w:r>
      <w:r>
        <w:br/>
        <w:t xml:space="preserve">            throw new ArgumentException("Invalid signal or feature count");</w:t>
      </w:r>
      <w:r>
        <w:br/>
        <w:t xml:space="preserve">        omega = features.Select(x =&gt; (double[])x.Clone()).ToArray();</w:t>
      </w:r>
      <w:r>
        <w:br/>
        <w:t xml:space="preserve">        center = (double[])commonCenter.Clone();</w:t>
      </w:r>
      <w:r>
        <w:br/>
        <w:t xml:space="preserve">        scale = 1 / Math.Sqrt(1 - a);</w:t>
      </w:r>
      <w:r>
        <w:br/>
        <w:t xml:space="preserve">        int n = y.Length, m = omega.Length, d = center.Length;</w:t>
      </w:r>
      <w:r>
        <w:br/>
        <w:t xml:space="preserve">        var logs = new double[n][];</w:t>
      </w:r>
      <w:r>
        <w:br/>
        <w:t xml:space="preserve">        for (int j = 0; j &lt; n; j++)</w:t>
      </w:r>
      <w:r>
        <w:br/>
        <w:t xml:space="preserve">        {</w:t>
      </w:r>
      <w:r>
        <w:br/>
        <w:t xml:space="preserve">            var v = y[j].Select((x, k) =&gt;</w:t>
      </w:r>
      <w:r>
        <w:br/>
        <w:t xml:space="preserve">                (Math.Sqrt(a) * x - center[k]) * scale).ToArray();</w:t>
      </w:r>
      <w:r>
        <w:br/>
        <w:t xml:space="preserve">            double norm2 = ExactRead.Dot(v, v);</w:t>
      </w:r>
      <w:r>
        <w:br/>
        <w:t xml:space="preserve">            double bias = logWeight[j] - norm2 / 2;</w:t>
      </w:r>
      <w:r>
        <w:br/>
        <w:t xml:space="preserve">            logs[j] = omega.Select(w =&gt;</w:t>
      </w:r>
      <w:r>
        <w:br/>
        <w:t xml:space="preserve">                ExactRead.Dot(w, v) - norm2 / 2 + bias).ToArray();</w:t>
      </w:r>
      <w:r>
        <w:br/>
        <w:t xml:space="preserve">        }</w:t>
      </w:r>
      <w:r>
        <w:br/>
        <w:t xml:space="preserve">        double peak = logs.SelectMany(x =&gt; x).Max();</w:t>
      </w:r>
      <w:r>
        <w:br/>
        <w:t xml:space="preserve">        if (!double.IsFinite(peak))</w:t>
      </w:r>
      <w:r>
        <w:br/>
        <w:t xml:space="preserve">            throw new ArgumentException("No finite active key");</w:t>
      </w:r>
      <w:r>
        <w:br/>
        <w:t xml:space="preserve">        s0 = new double[m];</w:t>
      </w:r>
      <w:r>
        <w:br/>
        <w:t xml:space="preserve">        s1 = Enumerable.Range(0, m).Select(_ =&gt; new double[d]).ToArray();</w:t>
      </w:r>
      <w:r>
        <w:br/>
        <w:t xml:space="preserve">        for (int j = 0; j &lt; n; j++)</w:t>
      </w:r>
      <w:r>
        <w:br/>
        <w:t xml:space="preserve">            for (int r = 0; r &lt; m; r++)</w:t>
      </w:r>
      <w:r>
        <w:br/>
        <w:t xml:space="preserve">            {</w:t>
      </w:r>
      <w:r>
        <w:br/>
        <w:t xml:space="preserve">                double f = Math.Exp(logs[j][r] - peak);</w:t>
      </w:r>
      <w:r>
        <w:br/>
        <w:t xml:space="preserve">                s0[r] += f;</w:t>
      </w:r>
      <w:r>
        <w:br/>
        <w:t xml:space="preserve">                for (int k = 0; k &lt; d; k++) s1[r][k] += f * y[j][k];</w:t>
      </w:r>
      <w:r>
        <w:br/>
        <w:t xml:space="preserve">            }</w:t>
      </w:r>
      <w:r>
        <w:br/>
        <w:t xml:space="preserve">    }</w:t>
      </w:r>
    </w:p>
    <w:p w14:paraId="3ECA921C" w14:textId="77777777" w:rsidR="007672C2" w:rsidRDefault="00000000">
      <w:pPr>
        <w:pStyle w:val="SourceCode"/>
        <w:keepLines/>
        <w:spacing w:before="80" w:after="80"/>
        <w:rPr>
          <w:rFonts w:hint="eastAsia"/>
        </w:rPr>
      </w:pPr>
      <w:r>
        <w:t xml:space="preserve">    public double[] Read(double[] q)</w:t>
      </w:r>
      <w:r>
        <w:br/>
        <w:t xml:space="preserve">    {</w:t>
      </w:r>
      <w:r>
        <w:br/>
        <w:t xml:space="preserve">        var u = q.Select((x, d) =&gt; (x - center[d]) * scale).ToArray();</w:t>
      </w:r>
      <w:r>
        <w:br/>
        <w:t xml:space="preserve">        // The query-only norm term cancels after row normalization.</w:t>
      </w:r>
      <w:r>
        <w:br/>
        <w:t xml:space="preserve">        var logq = omega.Select(w =&gt; ExactRead.Dot(w, u)).ToArray();</w:t>
      </w:r>
      <w:r>
        <w:br/>
        <w:t xml:space="preserve">        double peak = logq.Max(), den = 0;</w:t>
      </w:r>
      <w:r>
        <w:br/>
        <w:t xml:space="preserve">        var result = new double[q.Length];</w:t>
      </w:r>
      <w:r>
        <w:br/>
        <w:t xml:space="preserve">        for (int r = 0; r &lt; omega.Length; r++)</w:t>
      </w:r>
      <w:r>
        <w:br/>
        <w:t xml:space="preserve">        {</w:t>
      </w:r>
      <w:r>
        <w:br/>
        <w:t xml:space="preserve">            double f = Math.Exp(logq[r] - peak);</w:t>
      </w:r>
      <w:r>
        <w:br/>
        <w:t xml:space="preserve">            den += f * s0[r];</w:t>
      </w:r>
      <w:r>
        <w:br/>
        <w:t xml:space="preserve">            for (int d = 0; d &lt; result.Length; d++)</w:t>
      </w:r>
      <w:r>
        <w:br/>
        <w:t xml:space="preserve">                result[d] += f * s1[r][d];</w:t>
      </w:r>
      <w:r>
        <w:br/>
        <w:t xml:space="preserve">        }</w:t>
      </w:r>
      <w:r>
        <w:br/>
        <w:t xml:space="preserve">        if (!(den &gt; 0) || !double.IsFinite(den))</w:t>
      </w:r>
      <w:r>
        <w:br/>
        <w:t xml:space="preserve">            throw new ArithmeticException("Use an exact read fallback");</w:t>
      </w:r>
      <w:r>
        <w:br/>
        <w:t xml:space="preserve">        return result.Select(x =&gt; x / den).ToArray();</w:t>
      </w:r>
      <w:r>
        <w:br/>
        <w:t xml:space="preserve">    }</w:t>
      </w:r>
      <w:r>
        <w:br/>
        <w:t>}</w:t>
      </w:r>
    </w:p>
    <w:p w14:paraId="7C54024D" w14:textId="77777777" w:rsidR="007672C2" w:rsidRDefault="00000000">
      <w:pPr>
        <w:pStyle w:val="Heading1"/>
        <w:rPr>
          <w:rFonts w:hint="eastAsia"/>
        </w:rPr>
      </w:pPr>
      <w:bookmarkStart w:id="39" w:name="appendix-c-focused-python-checker"/>
      <w:bookmarkEnd w:id="38"/>
      <w:r>
        <w:t>Appendix C Focused Python checker</w:t>
      </w:r>
    </w:p>
    <w:p w14:paraId="3DE944C6" w14:textId="77777777" w:rsidR="007672C2" w:rsidRDefault="00000000">
      <w:pPr>
        <w:pStyle w:val="FirstParagraph"/>
        <w:rPr>
          <w:rFonts w:hint="eastAsia"/>
        </w:rPr>
      </w:pPr>
      <w:r>
        <w:t>Save the following listing as verify.py and run it with Python 3, NumPy and SciPy. It writes its numerical results to analysis/checks.json beside the script. The computation is single-process; the reported identity and derivative checks use float64. The Monte Carlo covariance and translation checks are separate from the preceding version’s optimization measurements. The listing is the code executed for Tables 3–4 and the newly computed figures.</w:t>
      </w:r>
    </w:p>
    <w:p w14:paraId="39004310" w14:textId="77777777" w:rsidR="007672C2" w:rsidRDefault="00000000">
      <w:pPr>
        <w:pStyle w:val="SourceCode"/>
        <w:keepLines/>
        <w:spacing w:before="80" w:after="80"/>
        <w:rPr>
          <w:rFonts w:hint="eastAsia"/>
        </w:rPr>
      </w:pPr>
      <w:r>
        <w:lastRenderedPageBreak/>
        <w:t>"""Focused reproducibility checks for Hidden Attention in Diffusion Evolution.</w:t>
      </w:r>
      <w:r>
        <w:br/>
        <w:t>Requires Python 3, NumPy and SciPy. No legacy DE benchmark is reproduced.</w:t>
      </w:r>
      <w:r>
        <w:br/>
        <w:t>"""</w:t>
      </w:r>
      <w:r>
        <w:br/>
        <w:t>import json, math, itertools</w:t>
      </w:r>
      <w:r>
        <w:br/>
        <w:t>from pathlib import Path</w:t>
      </w:r>
      <w:r>
        <w:br/>
        <w:t>import numpy as np</w:t>
      </w:r>
      <w:r>
        <w:br/>
        <w:t>from scipy.special import logsumexp</w:t>
      </w:r>
    </w:p>
    <w:p w14:paraId="5A197C33" w14:textId="77777777" w:rsidR="007672C2" w:rsidRDefault="00000000">
      <w:pPr>
        <w:pStyle w:val="SourceCode"/>
        <w:keepLines/>
        <w:spacing w:before="80" w:after="80"/>
        <w:rPr>
          <w:rFonts w:hint="eastAsia"/>
        </w:rPr>
      </w:pPr>
      <w:r>
        <w:t>def softmax(l):</w:t>
      </w:r>
      <w:r>
        <w:br/>
        <w:t xml:space="preserve">    return np.exp(l-logsumexp(l,axis=-1,keepdims=True))</w:t>
      </w:r>
    </w:p>
    <w:p w14:paraId="1EBEA3FF" w14:textId="77777777" w:rsidR="007672C2" w:rsidRDefault="00000000">
      <w:pPr>
        <w:pStyle w:val="SourceCode"/>
        <w:keepLines/>
        <w:spacing w:before="80" w:after="80"/>
        <w:rPr>
          <w:rFonts w:hint="eastAsia"/>
        </w:rPr>
      </w:pPr>
      <w:r>
        <w:t>def exact(Q,Y,lw,a):</w:t>
      </w:r>
      <w:r>
        <w:br/>
        <w:t xml:space="preserve">    k=np.sqrt(a)*Y; tau=1-a</w:t>
      </w:r>
      <w:r>
        <w:br/>
        <w:t xml:space="preserve">    lk=lw[None]-np.sum((Q[:,None]-k[None])**2,axis=-1)/(2*tau)</w:t>
      </w:r>
      <w:r>
        <w:br/>
        <w:t xml:space="preserve">    la=Q@k.T/tau+lw[None]-np.sum(k*k,axis=1)[None]/(2*tau)</w:t>
      </w:r>
      <w:r>
        <w:br/>
        <w:t xml:space="preserve">    return softmax(lk)@Y,softmax(la)@Y,softmax(lk)</w:t>
      </w:r>
    </w:p>
    <w:p w14:paraId="12A61D98" w14:textId="77777777" w:rsidR="007672C2" w:rsidRDefault="00000000">
      <w:pPr>
        <w:pStyle w:val="SourceCode"/>
        <w:keepLines/>
        <w:spacing w:before="80" w:after="80"/>
        <w:rPr>
          <w:rFonts w:hint="eastAsia"/>
        </w:rPr>
      </w:pPr>
      <w:r>
        <w:t>def feature_read(Q,Y,lw,a,omega,center=None):</w:t>
      </w:r>
      <w:r>
        <w:br/>
        <w:t xml:space="preserve">    # One global key shift preserves the common feature basis.</w:t>
      </w:r>
      <w:r>
        <w:br/>
        <w:t xml:space="preserve">    tau=1-a; K=np.sqrt(a)*Y</w:t>
      </w:r>
      <w:r>
        <w:br/>
        <w:t xml:space="preserve">    c=np.zeros(Y.shape[1]) if center is None else center</w:t>
      </w:r>
      <w:r>
        <w:br/>
        <w:t xml:space="preserve">    U=(Q-c)/np.sqrt(tau); V=(K-c)/np.sqrt(tau)</w:t>
      </w:r>
      <w:r>
        <w:br/>
        <w:t xml:space="preserve">    bias=lw-np.sum(V*V,axis=1)/2</w:t>
      </w:r>
      <w:r>
        <w:br/>
        <w:t xml:space="preserve">    klog=V@omega.T-np.sum(V*V,axis=1)[:,None]/2+bias[:,None]</w:t>
      </w:r>
      <w:r>
        <w:br/>
        <w:t xml:space="preserve">    # Query shifts can be row-specific; key shifts cannot be key-specific.</w:t>
      </w:r>
      <w:r>
        <w:br/>
        <w:t xml:space="preserve">    kf=np.exp(klog-np.max(klog))</w:t>
      </w:r>
      <w:r>
        <w:br/>
        <w:t xml:space="preserve">    S0=kf.sum(axis=0); S1=kf.T@Y</w:t>
      </w:r>
      <w:r>
        <w:br/>
        <w:t xml:space="preserve">    qlog=U@omega.T-np.sum(U*U,axis=1)[:,None]/2</w:t>
      </w:r>
      <w:r>
        <w:br/>
        <w:t xml:space="preserve">    qf=np.exp(qlog-np.max(qlog,axis=1,keepdims=True))</w:t>
      </w:r>
      <w:r>
        <w:br/>
        <w:t xml:space="preserve">    den=qf@S0</w:t>
      </w:r>
      <w:r>
        <w:br/>
        <w:t xml:space="preserve">    if np.any(den&lt;=0): raise FloatingPointError('Feature denominator underflow')</w:t>
      </w:r>
      <w:r>
        <w:br/>
        <w:t xml:space="preserve">    return (qf@S1)/den[:,None]</w:t>
      </w:r>
    </w:p>
    <w:p w14:paraId="09CA0D4A" w14:textId="77777777" w:rsidR="007672C2" w:rsidRDefault="00000000">
      <w:pPr>
        <w:pStyle w:val="SourceCode"/>
        <w:keepLines/>
        <w:spacing w:before="80" w:after="80"/>
        <w:rPr>
          <w:rFonts w:hint="eastAsia"/>
        </w:rPr>
      </w:pPr>
      <w:r>
        <w:t>def main():</w:t>
      </w:r>
      <w:r>
        <w:br/>
        <w:t xml:space="preserve">    rng=np.random.default_rng(20261017); out={}; maxerr=0.; ncases=0</w:t>
      </w:r>
      <w:r>
        <w:br/>
        <w:t xml:space="preserve">    for n,d,a,beta in itertools.product([8,64,512],[1,2,16,128],</w:t>
      </w:r>
      <w:r>
        <w:br/>
        <w:t xml:space="preserve">            [1e-4,.01,.3,.7,.99,.9999],[0,1,10]):</w:t>
      </w:r>
      <w:r>
        <w:br/>
        <w:t xml:space="preserve">        Y=rng.normal(size=(n,d)); Q=rng.normal(size=(7,d))</w:t>
      </w:r>
      <w:r>
        <w:br/>
        <w:t xml:space="preserve">        lw=-beta*rng.random(n)</w:t>
      </w:r>
      <w:r>
        <w:br/>
        <w:t xml:space="preserve">        m1,m2,_=exact(Q,Y,lw,a)</w:t>
      </w:r>
      <w:r>
        <w:br/>
        <w:t xml:space="preserve">        maxerr=max(maxerr,float(np.max(np.abs(m1-m2)))); ncases+=1</w:t>
      </w:r>
      <w:r>
        <w:br/>
        <w:t xml:space="preserve">    out['isotropic']={'cases':ncases,'max_absolute_error':maxerr}</w:t>
      </w:r>
    </w:p>
    <w:p w14:paraId="276C84C9" w14:textId="77777777" w:rsidR="007672C2" w:rsidRDefault="00000000">
      <w:pPr>
        <w:pStyle w:val="SourceCode"/>
        <w:keepLines/>
        <w:spacing w:before="80" w:after="80"/>
        <w:rPr>
          <w:rFonts w:hint="eastAsia"/>
        </w:rPr>
      </w:pPr>
      <w:r>
        <w:t xml:space="preserve">    worst=0.</w:t>
      </w:r>
      <w:r>
        <w:br/>
        <w:t xml:space="preserve">    for _ in range(30):</w:t>
      </w:r>
      <w:r>
        <w:br/>
        <w:t xml:space="preserve">        Y=rng.normal(size=(17,4)); q=rng.normal(size=4)</w:t>
      </w:r>
      <w:r>
        <w:br/>
        <w:t xml:space="preserve">        R=rng.normal(size=(4,4)); S=R@R.T+np.eye(4)*.5</w:t>
      </w:r>
      <w:r>
        <w:br/>
        <w:t xml:space="preserve">        Sinv=np.linalg.inv(S);a=.63;lw=rng.normal(size=17)</w:t>
      </w:r>
      <w:r>
        <w:br/>
        <w:t xml:space="preserve">        delta=q-np.sqrt(a)*Y</w:t>
      </w:r>
      <w:r>
        <w:br/>
        <w:t xml:space="preserve">        lk=lw-np.einsum('ni,ij,nj-&gt;n',delta,Sinv,delta)/2</w:t>
      </w:r>
      <w:r>
        <w:br/>
        <w:t xml:space="preserve">        la=np.sqrt(a)*(Y@Sinv@q)+lw-a*np.einsum('ni,ij,nj-&gt;n',Y,Sinv,Y)/2</w:t>
      </w:r>
      <w:r>
        <w:br/>
        <w:t xml:space="preserve">        worst=max(worst,float(np.max(np.abs(softmax(lk)@Y-softmax(la)@Y))))</w:t>
      </w:r>
      <w:r>
        <w:br/>
        <w:t xml:space="preserve">    out['covariance_max_error']=worst</w:t>
      </w:r>
    </w:p>
    <w:p w14:paraId="092ECFA4" w14:textId="77777777" w:rsidR="007672C2" w:rsidRDefault="00000000">
      <w:pPr>
        <w:pStyle w:val="SourceCode"/>
        <w:keepLines/>
        <w:spacing w:before="80" w:after="80"/>
        <w:rPr>
          <w:rFonts w:hint="eastAsia"/>
        </w:rPr>
      </w:pPr>
      <w:r>
        <w:lastRenderedPageBreak/>
        <w:t xml:space="preserve">    Y=rng.normal(size=(19,3));q=rng.normal(size=3);lw=rng.normal(size=19);a=.6;tau=1-a</w:t>
      </w:r>
      <w:r>
        <w:br/>
        <w:t xml:space="preserve">    m,_,r=exact(q[None],Y,lw,a);m=m[0];r=r[0]</w:t>
      </w:r>
      <w:r>
        <w:br/>
        <w:t xml:space="preserve">    def logdensity(x):</w:t>
      </w:r>
      <w:r>
        <w:br/>
        <w:t xml:space="preserve">        return logsumexp(lw-np.sum((x-np.sqrt(a)*Y)**2,axis=1)/(2*tau))</w:t>
      </w:r>
      <w:r>
        <w:br/>
        <w:t xml:space="preserve">    fd=np.array([(logdensity(q+np.eye(3)[j]*1e-5)-</w:t>
      </w:r>
      <w:r>
        <w:br/>
        <w:t xml:space="preserve">        logdensity(q-np.eye(3)[j]*1e-5))/2e-5 for j in range(3)])</w:t>
      </w:r>
      <w:r>
        <w:br/>
        <w:t xml:space="preserve">    score=(np.sqrt(a)*m-q)/tau</w:t>
      </w:r>
      <w:r>
        <w:br/>
        <w:t xml:space="preserve">    cov=(Y-m).T@(r[:,None]*(Y-m)); c=np.sqrt(a)/tau</w:t>
      </w:r>
      <w:r>
        <w:br/>
        <w:t xml:space="preserve">    jac=np.column_stack([(exact((q+np.eye(3)[j]*1e-5)[None],Y,lw,a)[0][0]-</w:t>
      </w:r>
      <w:r>
        <w:br/>
        <w:t xml:space="preserve">        exact((q-np.eye(3)[j]*1e-5)[None],Y,lw,a)[0][0])/2e-5 for j in range(3)])</w:t>
      </w:r>
      <w:r>
        <w:br/>
        <w:t xml:space="preserve">    out['score_error']=float(np.max(np.abs(fd-score)))</w:t>
      </w:r>
      <w:r>
        <w:br/>
        <w:t xml:space="preserve">    out['jacobian_error']=float(np.max(np.abs(jac-c*cov)))</w:t>
      </w:r>
      <w:r>
        <w:br/>
        <w:t xml:space="preserve">    def energy(x):</w:t>
      </w:r>
      <w:r>
        <w:br/>
        <w:t xml:space="preserve">        bias=lw-a*np.sum(Y*Y,axis=1)/(2*tau)</w:t>
      </w:r>
      <w:r>
        <w:br/>
        <w:t xml:space="preserve">        return .5*x@x-logsumexp(c*(Y@x)+bias)/c</w:t>
      </w:r>
      <w:r>
        <w:br/>
        <w:t xml:space="preserve">    out['hopfield_majorization_slack']=float(energy(q)-energy(m)-.5*np.sum((m-q)**2))</w:t>
      </w:r>
    </w:p>
    <w:p w14:paraId="63E07807" w14:textId="77777777" w:rsidR="007672C2" w:rsidRDefault="00000000">
      <w:pPr>
        <w:pStyle w:val="SourceCode"/>
        <w:keepLines/>
        <w:spacing w:before="80" w:after="80"/>
        <w:rPr>
          <w:rFonts w:hint="eastAsia"/>
        </w:rPr>
      </w:pPr>
      <w:r>
        <w:t xml:space="preserve">    maxschedule=0.;rows=[]</w:t>
      </w:r>
      <w:r>
        <w:br/>
        <w:t xml:space="preserve">    for a,b in zip(rng.uniform(.001,.9,1000),rng.uniform(.001,.999,1000)):</w:t>
      </w:r>
      <w:r>
        <w:br/>
        <w:t xml:space="preserve">        a,b=min(a,b),max(a,b)</w:t>
      </w:r>
      <w:r>
        <w:br/>
        <w:t xml:space="preserve">        if b-a&lt;1e-8:continue</w:t>
      </w:r>
      <w:r>
        <w:br/>
        <w:t xml:space="preserve">        r0,s0=np.sqrt(a),np.sqrt(b)</w:t>
      </w:r>
      <w:r>
        <w:br/>
        <w:t xml:space="preserve">        eta2=2*s0*s0*(1+r0)/((1+s0)*(s0+r0))</w:t>
      </w:r>
      <w:r>
        <w:br/>
        <w:t xml:space="preserve">        for eta in [0.,.3,.7,1.]:</w:t>
      </w:r>
      <w:r>
        <w:br/>
        <w:t xml:space="preserve">            v=eta**2*(1-b)*(1-a/b)/(1-a)</w:t>
      </w:r>
      <w:r>
        <w:br/>
        <w:t xml:space="preserve">            A=np.sqrt((1-b-v)/(1-a));B=np.sqrt(b)-A*np.sqrt(a)</w:t>
      </w:r>
      <w:r>
        <w:br/>
        <w:t xml:space="preserve">            assert A&gt;=0 and B&gt;=0</w:t>
      </w:r>
      <w:r>
        <w:br/>
        <w:t xml:space="preserve">            interp=A*np.sqrt(a/b)</w:t>
      </w:r>
      <w:r>
        <w:br/>
        <w:t xml:space="preserve">            assert 0&lt;=interp&lt;=1</w:t>
      </w:r>
      <w:r>
        <w:br/>
        <w:t xml:space="preserve">            pred=eta**2&lt;eta2</w:t>
      </w:r>
      <w:r>
        <w:br/>
        <w:t xml:space="preserve">            maxschedule=max(maxschedule,int(bool(A+B&gt;1)!=bool(pred)))</w:t>
      </w:r>
      <w:r>
        <w:br/>
        <w:t xml:space="preserve">    a,b=.25,.49</w:t>
      </w:r>
      <w:r>
        <w:br/>
        <w:t xml:space="preserve">    for eta in [0,.3,.7,1]:</w:t>
      </w:r>
      <w:r>
        <w:br/>
        <w:t xml:space="preserve">        v=eta**2*(1-b)*(1-a/b)/(1-a)</w:t>
      </w:r>
      <w:r>
        <w:br/>
        <w:t xml:space="preserve">        A=np.sqrt((1-b-v)/(1-a));B=np.sqrt(b)-A*np.sqrt(a)</w:t>
      </w:r>
      <w:r>
        <w:br/>
        <w:t xml:space="preserve">        rows.append([eta,A,B,A+B])</w:t>
      </w:r>
      <w:r>
        <w:br/>
        <w:t xml:space="preserve">    eta_critical=math.sqrt(2*b*(1+math.sqrt(a))/</w:t>
      </w:r>
      <w:r>
        <w:br/>
        <w:t xml:space="preserve">        ((1+math.sqrt(b))*(math.sqrt(b)+math.sqrt(a))))</w:t>
      </w:r>
      <w:r>
        <w:br/>
        <w:t xml:space="preserve">    out['schedule']={'a':a,'b':b,'eta_critical':eta_critical,</w:t>
      </w:r>
      <w:r>
        <w:br/>
        <w:t xml:space="preserve">                     'rows_eta_A_B_sum':rows,'classification_errors':maxschedule}</w:t>
      </w:r>
    </w:p>
    <w:p w14:paraId="3569A040" w14:textId="77777777" w:rsidR="007672C2" w:rsidRDefault="00000000">
      <w:pPr>
        <w:pStyle w:val="SourceCode"/>
        <w:keepLines/>
        <w:spacing w:before="80" w:after="80"/>
        <w:rPr>
          <w:rFonts w:hint="eastAsia"/>
        </w:rPr>
      </w:pPr>
      <w:r>
        <w:t xml:space="preserve">    # At q=0, posterior origins +/-1; exact reverse variance includes B^2.</w:t>
      </w:r>
      <w:r>
        <w:br/>
        <w:t xml:space="preserve">    a,b=.3,.9</w:t>
      </w:r>
      <w:r>
        <w:br/>
        <w:t xml:space="preserve">    sigma2=(1-b)*(1-a/b)/(1-a)</w:t>
      </w:r>
      <w:r>
        <w:br/>
        <w:t xml:space="preserve">    A=math.sqrt(a/b)*(1-b)/(1-a)</w:t>
      </w:r>
      <w:r>
        <w:br/>
        <w:t xml:space="preserve">    B=(b-a)/(math.sqrt(b)*(1-a))</w:t>
      </w:r>
      <w:r>
        <w:br/>
        <w:t xml:space="preserve">    out['reverse_variance']={'plug_in':sigma2,'exact':sigma2+B*B,'A':A,'B':B}</w:t>
      </w:r>
    </w:p>
    <w:p w14:paraId="30358CD2" w14:textId="77777777" w:rsidR="007672C2" w:rsidRDefault="00000000">
      <w:pPr>
        <w:pStyle w:val="SourceCode"/>
        <w:keepLines/>
        <w:spacing w:before="80" w:after="80"/>
        <w:rPr>
          <w:rFonts w:hint="eastAsia"/>
        </w:rPr>
      </w:pPr>
      <w:r>
        <w:t xml:space="preserve">    # Verify exact covariance of shared-feature numerator and denominator.</w:t>
      </w:r>
      <w:r>
        <w:br/>
        <w:t xml:space="preserve">    u=np.array([.1,-.15]);V=np.array([[.2,.1],[-.1,.2],[.05,-.2]])</w:t>
      </w:r>
      <w:r>
        <w:br/>
        <w:t xml:space="preserve">    values=np.array([[-1.,.3],[.7,-.2],[.1,.6]])</w:t>
      </w:r>
      <w:r>
        <w:br/>
        <w:t xml:space="preserve">    bias=np.array([.1,-.3,.2]);s=np.exp(V@u+bias);Z=s.sum();mu=s@values/Z</w:t>
      </w:r>
      <w:r>
        <w:br/>
        <w:t xml:space="preserve">    F=u[None]+V</w:t>
      </w:r>
      <w:r>
        <w:br/>
        <w:t xml:space="preserve">    C=np.outer(s,s)*np.expm1(F@F.T)</w:t>
      </w:r>
      <w:r>
        <w:br/>
        <w:t xml:space="preserve">    VZ=C.sum(); VH=np.sum(C*((values-mu)@(values-mu).T))</w:t>
      </w:r>
      <w:r>
        <w:br/>
        <w:t xml:space="preserve">    omega=rng.normal(size=(300000,2))</w:t>
      </w:r>
      <w:r>
        <w:br/>
        <w:t xml:space="preserve">    terms=np.exp(omega@F.T-(u@u+np.sum(V*V,axis=1))[None]/2+bias)</w:t>
      </w:r>
      <w:r>
        <w:br/>
        <w:t xml:space="preserve">    z=terms.sum(axis=1); H=terms@(values-mu)</w:t>
      </w:r>
      <w:r>
        <w:br/>
        <w:t xml:space="preserve">    out['feature_covariance']={'VZ_formula':float(VZ),'VZ_empirical':float(z.var(ddof=1)),</w:t>
      </w:r>
      <w:r>
        <w:br/>
        <w:t xml:space="preserve">        'VH_formula':float(VH),'VH_empirical':float(np.mean(np.sum(H*H,axis=1))),</w:t>
      </w:r>
      <w:r>
        <w:br/>
        <w:t xml:space="preserve">        'ratio_asymptotic_trace_per_feature':float(VH/Z**2)}</w:t>
      </w:r>
    </w:p>
    <w:p w14:paraId="11681867" w14:textId="77777777" w:rsidR="007672C2" w:rsidRDefault="00000000">
      <w:pPr>
        <w:pStyle w:val="SourceCode"/>
        <w:keepLines/>
        <w:spacing w:before="80" w:after="80"/>
        <w:rPr>
          <w:rFonts w:hint="eastAsia"/>
        </w:rPr>
      </w:pPr>
      <w:r>
        <w:lastRenderedPageBreak/>
        <w:t xml:space="preserve">    M=64; nrep=len(terms)//M</w:t>
      </w:r>
      <w:r>
        <w:br/>
        <w:t xml:space="preserve">    zbar=z[:nrep*M].reshape(nrep,M).mean(axis=1)</w:t>
      </w:r>
      <w:r>
        <w:br/>
        <w:t xml:space="preserve">    hbar=H[:nrep*M].reshape(nrep,M,2).mean(axis=1)</w:t>
      </w:r>
      <w:r>
        <w:br/>
        <w:t xml:space="preserve">    errors=np.linalg.norm(hbar/zbar[:,None],axis=1)</w:t>
      </w:r>
      <w:r>
        <w:br/>
        <w:t xml:space="preserve">    gamma,eps=.2,.1</w:t>
      </w:r>
      <w:r>
        <w:br/>
        <w:t xml:space="preserve">    bound=VZ/(M*gamma**2*Z**2)+VH/(M*eps**2*(1-gamma)**2*Z**2)</w:t>
      </w:r>
      <w:r>
        <w:br/>
        <w:t xml:space="preserve">    out['ratio_bound_check']={'replicates':nrep,'M':M,'epsilon':eps,</w:t>
      </w:r>
      <w:r>
        <w:br/>
        <w:t xml:space="preserve">        'bound':float(bound),'observed_exceedance':float(np.mean(errors&gt;eps))}</w:t>
      </w:r>
    </w:p>
    <w:p w14:paraId="617CDF2A" w14:textId="77777777" w:rsidR="007672C2" w:rsidRDefault="00000000">
      <w:pPr>
        <w:pStyle w:val="SourceCode"/>
        <w:keepLines/>
        <w:spacing w:before="80" w:after="80"/>
        <w:rPr>
          <w:rFonts w:hint="eastAsia"/>
        </w:rPr>
      </w:pPr>
      <w:r>
        <w:t xml:space="preserve">    # Translation test: q and Gaussian centers shift together, values shift accordingly.</w:t>
      </w:r>
      <w:r>
        <w:br/>
        <w:t xml:space="preserve">    Y0=rng.normal(scale=.07,size=(64,2)); a=.99;Q0=np.sqrt(a)*Y0[:8]</w:t>
      </w:r>
      <w:r>
        <w:br/>
        <w:t xml:space="preserve">    shift=np.array([8.,8.]);Ys=Y0+shift;Qs=Q0+np.sqrt(a)*shift</w:t>
      </w:r>
      <w:r>
        <w:br/>
        <w:t xml:space="preserve">    lw=np.zeros(64);me=exact(Q0,Y0,lw,a)[0]</w:t>
      </w:r>
      <w:r>
        <w:br/>
        <w:t xml:space="preserve">    errs0=[];errs_shift=[];errs_center=[]</w:t>
      </w:r>
      <w:r>
        <w:br/>
        <w:t xml:space="preserve">    for _ in range(40):</w:t>
      </w:r>
      <w:r>
        <w:br/>
        <w:t xml:space="preserve">        om=rng.normal(size=(256,2))</w:t>
      </w:r>
      <w:r>
        <w:br/>
        <w:t xml:space="preserve">        errs0.append(np.linalg.norm(feature_read(Q0,Y0,lw,a,om)-me,axis=1).mean())</w:t>
      </w:r>
      <w:r>
        <w:br/>
        <w:t xml:space="preserve">        shifted_read=feature_read(Qs,Ys,lw,a,om)</w:t>
      </w:r>
      <w:r>
        <w:br/>
        <w:t xml:space="preserve">        errs_shift.append(np.linalg.norm(</w:t>
      </w:r>
      <w:r>
        <w:br/>
        <w:t xml:space="preserve">            shifted_read-(me+shift),axis=1).mean())</w:t>
      </w:r>
      <w:r>
        <w:br/>
        <w:t xml:space="preserve">        centered_read=feature_read(</w:t>
      </w:r>
      <w:r>
        <w:br/>
        <w:t xml:space="preserve">            Qs,Ys,lw,a,om,np.sqrt(a)*Ys.mean(axis=0))</w:t>
      </w:r>
      <w:r>
        <w:br/>
        <w:t xml:space="preserve">        errs_center.append(np.linalg.norm(</w:t>
      </w:r>
      <w:r>
        <w:br/>
        <w:t xml:space="preserve">            centered_read-(me+shift),axis=1).mean())</w:t>
      </w:r>
      <w:r>
        <w:br/>
        <w:t xml:space="preserve">    out['translation_RF_mean_errors']={'unshifted':float(np.mean(errs0)),</w:t>
      </w:r>
      <w:r>
        <w:br/>
        <w:t xml:space="preserve">        'shifted_uncentered':float(np.mean(errs_shift)),</w:t>
      </w:r>
      <w:r>
        <w:br/>
        <w:t xml:space="preserve">        'shifted_centered':float(np.mean(errs_center))}</w:t>
      </w:r>
    </w:p>
    <w:p w14:paraId="0E8A2D7F" w14:textId="77777777" w:rsidR="007672C2" w:rsidRDefault="00000000">
      <w:pPr>
        <w:pStyle w:val="SourceCode"/>
        <w:keepLines/>
        <w:spacing w:before="80" w:after="80"/>
        <w:rPr>
          <w:rFonts w:hint="eastAsia"/>
        </w:rPr>
      </w:pPr>
      <w:r>
        <w:t xml:space="preserve">    # Tail certificate: uniform duplicate keys remain dense at every scale.</w:t>
      </w:r>
      <w:r>
        <w:br/>
        <w:t xml:space="preserve">    out['duplicate_keys']={'n':512,'k':64,'omitted_mass':1-64/512,'ESS':512}</w:t>
      </w:r>
      <w:r>
        <w:br/>
        <w:t xml:space="preserve">    tailchecks=0</w:t>
      </w:r>
      <w:r>
        <w:br/>
        <w:t xml:space="preserve">    for _ in range(1000):</w:t>
      </w:r>
      <w:r>
        <w:br/>
        <w:t xml:space="preserve">        Y=rng.normal(size=(40,3));l=rng.normal(size=40)*3</w:t>
      </w:r>
      <w:r>
        <w:br/>
        <w:t xml:space="preserve">        rr=softmax(l);ids=np.argsort(l)[-7:];m=rr@Y</w:t>
      </w:r>
      <w:r>
        <w:br/>
        <w:t xml:space="preserve">        mk=softmax(l[ids])@Y[ids];delta=1-rr[ids].sum()</w:t>
      </w:r>
      <w:r>
        <w:br/>
        <w:t xml:space="preserve">        R=np.sqrt(np.max(np.sum((Y[:,None]-Y[None])**2,axis=-1)))</w:t>
      </w:r>
      <w:r>
        <w:br/>
        <w:t xml:space="preserve">        assert np.linalg.norm(m-mk)&lt;=delta*R+1e-12</w:t>
      </w:r>
      <w:r>
        <w:br/>
        <w:t xml:space="preserve">        tailchecks+=1</w:t>
      </w:r>
      <w:r>
        <w:br/>
        <w:t xml:space="preserve">    out['tail_certificate_checks']=tailchecks</w:t>
      </w:r>
      <w:r>
        <w:br/>
        <w:t xml:space="preserve">    assert maxerr&lt;1e-8 and worst&lt;1e-10</w:t>
      </w:r>
      <w:r>
        <w:br/>
        <w:t xml:space="preserve">    assert out['score_error']&lt;1e-7 and out['jacobian_error']&lt;1e-7</w:t>
      </w:r>
      <w:r>
        <w:br/>
        <w:t xml:space="preserve">    assert out['hopfield_majorization_slack']&gt;=-1e-10</w:t>
      </w:r>
      <w:r>
        <w:br/>
        <w:t xml:space="preserve">    p=Path(__file__).parent/'analysis'/'checks.json';p.parent.mkdir(exist_ok=True)</w:t>
      </w:r>
      <w:r>
        <w:br/>
        <w:t xml:space="preserve">    p.write_text(json.dumps(out,indent=2));print(json.dumps(out,indent=2))</w:t>
      </w:r>
    </w:p>
    <w:p w14:paraId="66000F71" w14:textId="77777777" w:rsidR="007672C2" w:rsidRDefault="00000000">
      <w:pPr>
        <w:pStyle w:val="SourceCode"/>
        <w:keepLines/>
        <w:spacing w:before="80" w:after="80"/>
        <w:rPr>
          <w:rFonts w:hint="eastAsia"/>
        </w:rPr>
      </w:pPr>
      <w:r>
        <w:t>if __name__=='__main__':main()</w:t>
      </w:r>
      <w:bookmarkEnd w:id="39"/>
    </w:p>
    <w:sectPr w:rsidR="007672C2" w:rsidSect="00034616">
      <w:footerReference w:type="default" r:id="rId9"/>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25908" w14:textId="77777777" w:rsidR="00DE689A" w:rsidRDefault="00DE689A">
      <w:pPr>
        <w:spacing w:after="0" w:line="240" w:lineRule="auto"/>
        <w:rPr>
          <w:rFonts w:hint="eastAsia"/>
        </w:rPr>
      </w:pPr>
      <w:r>
        <w:separator/>
      </w:r>
    </w:p>
  </w:endnote>
  <w:endnote w:type="continuationSeparator" w:id="0">
    <w:p w14:paraId="785B6891" w14:textId="77777777" w:rsidR="00DE689A" w:rsidRDefault="00DE689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Nimbus Roman">
    <w:altName w:val="Cambria"/>
    <w:panose1 w:val="00000000000000000000"/>
    <w:charset w:val="00"/>
    <w:family w:val="roman"/>
    <w:notTrueType/>
    <w:pitch w:val="default"/>
  </w:font>
  <w:font w:name="Nimbus Sans">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7C167" w14:textId="77777777" w:rsidR="007672C2" w:rsidRDefault="00000000">
    <w:pPr>
      <w:pStyle w:val="Footer"/>
      <w:jc w:val="center"/>
      <w:rPr>
        <w:rFonts w:hint="eastAsia"/>
      </w:rPr>
    </w:pPr>
    <w:r>
      <w:fldChar w:fldCharType="begin"/>
    </w:r>
    <w:r>
      <w:instrText>PAGE</w:instrText>
    </w:r>
    <w:r>
      <w:rPr>
        <w:rFonts w:hint="eastAsia"/>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9BE1A" w14:textId="77777777" w:rsidR="00DE689A" w:rsidRDefault="00DE689A">
      <w:pPr>
        <w:rPr>
          <w:rFonts w:hint="eastAsia"/>
        </w:rPr>
      </w:pPr>
      <w:r>
        <w:separator/>
      </w:r>
    </w:p>
  </w:footnote>
  <w:footnote w:type="continuationSeparator" w:id="0">
    <w:p w14:paraId="4C88BDD0" w14:textId="77777777" w:rsidR="00DE689A" w:rsidRDefault="00DE689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63AAFF3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482963786">
    <w:abstractNumId w:val="8"/>
  </w:num>
  <w:num w:numId="2" w16cid:durableId="669715682">
    <w:abstractNumId w:val="6"/>
  </w:num>
  <w:num w:numId="3" w16cid:durableId="1126582837">
    <w:abstractNumId w:val="5"/>
  </w:num>
  <w:num w:numId="4" w16cid:durableId="1910193120">
    <w:abstractNumId w:val="4"/>
  </w:num>
  <w:num w:numId="5" w16cid:durableId="410583365">
    <w:abstractNumId w:val="7"/>
  </w:num>
  <w:num w:numId="6" w16cid:durableId="552814863">
    <w:abstractNumId w:val="3"/>
  </w:num>
  <w:num w:numId="7" w16cid:durableId="2002346407">
    <w:abstractNumId w:val="2"/>
  </w:num>
  <w:num w:numId="8" w16cid:durableId="956254589">
    <w:abstractNumId w:val="1"/>
  </w:num>
  <w:num w:numId="9" w16cid:durableId="2065594109">
    <w:abstractNumId w:val="0"/>
  </w:num>
  <w:num w:numId="10" w16cid:durableId="515891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72C2"/>
    <w:rsid w:val="0062617A"/>
    <w:rsid w:val="007672C2"/>
    <w:rsid w:val="00B83EEA"/>
    <w:rsid w:val="00DE689A"/>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7AF2F"/>
  <w15:docId w15:val="{F07B60C9-EECC-4387-B910-078D43B0B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jc w:val="both"/>
    </w:pPr>
    <w:rPr>
      <w:rFonts w:ascii="Nimbus Roman" w:hAnsi="Nimbus Roman"/>
      <w:color w:val="000000"/>
      <w:sz w:val="23"/>
    </w:rPr>
  </w:style>
  <w:style w:type="paragraph" w:styleId="Heading1">
    <w:name w:val="heading 1"/>
    <w:basedOn w:val="Normal"/>
    <w:next w:val="Normal"/>
    <w:link w:val="Heading1Char"/>
    <w:uiPriority w:val="9"/>
    <w:qFormat/>
    <w:rsid w:val="00FC693F"/>
    <w:pPr>
      <w:keepNext/>
      <w:keepLines/>
      <w:spacing w:before="260" w:after="100"/>
      <w:outlineLvl w:val="0"/>
    </w:pPr>
    <w:rPr>
      <w:rFonts w:ascii="Nimbus Sans" w:hAnsi="Nimbus Sans"/>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Nimbus Sans" w:hAnsi="Nimbus Sans"/>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Nimbus Sans" w:hAnsi="Nimbus San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b/>
      <w:spacing w:val="5"/>
      <w:kern w:val="28"/>
      <w:sz w:val="46"/>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6"/>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21"/>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10" w:line="259" w:lineRule="auto"/>
      <w:jc w:val="both"/>
    </w:pPr>
    <w:rPr>
      <w:rFonts w:ascii="Nimbus Roman" w:hAnsi="Nimbus Roman"/>
      <w:color w:val="000000"/>
      <w:sz w:val="23"/>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8"/>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Nimbus Roman" w:hAnsi="Nimbus Roman"/>
      <w:color w:val="000000"/>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62617A"/>
    <w:rPr>
      <w:color w:val="0000FF" w:themeColor="hyperlink"/>
      <w:u w:val="single"/>
    </w:rPr>
  </w:style>
  <w:style w:type="character" w:styleId="UnresolvedMention">
    <w:name w:val="Unresolved Mention"/>
    <w:basedOn w:val="DefaultParagraphFont"/>
    <w:uiPriority w:val="99"/>
    <w:semiHidden/>
    <w:unhideWhenUsed/>
    <w:rsid w:val="006261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23</Pages>
  <Words>9523</Words>
  <Characters>54283</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Hidden Transformer in Diffusion Evolution</dc:title>
  <dc:subject>Exact attention identities reverse laws and certified approximations in Diffusion Evolution</dc:subject>
  <dc:creator>Debi Prasad Ghosh</dc:creator>
  <cp:keywords>Diffusion Evolution; ADE; Gaussian retrieval; attention; Hopfield; random features; reverse conditional</cp:keywords>
  <dc:description/>
  <cp:lastModifiedBy>Debiprasad Ghosh</cp:lastModifiedBy>
  <cp:revision>2</cp:revision>
  <dcterms:created xsi:type="dcterms:W3CDTF">2026-10-17T10:06:00Z</dcterms:created>
  <dcterms:modified xsi:type="dcterms:W3CDTF">2026-10-17T10:21:00Z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Revised research manuscript • 17 October 2026</vt:lpwstr>
  </property>
  <property fmtid="{D5CDD505-2E9C-101B-9397-08002B2CF9AE}" pid="3" name="subtitle">
    <vt:lpwstr>Exact attention retrieval with corrected dynamics and certified approximation bounds</vt:lpwstr>
  </property>
</Properties>
</file>