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mbria" w:cs="Cambria" w:eastAsia="Cambria" w:hAnsi="Cambria"/>
          <w:b/>
          <w:bCs/>
          <w:color w:val="2A78D6"/>
          <w:sz w:val="20"/>
          <w:szCs w:val="20"/>
        </w:rPr>
        <w:t xml:space="preserve">BOOK PROPOSAL</w:t>
      </w:r>
    </w:p>
    <w:p>
      <w:pPr>
        <w:spacing w:after="100"/>
        <w:jc w:val="center"/>
      </w:pPr>
      <w:r>
        <w:rPr>
          <w:rFonts w:ascii="Cambria" w:cs="Cambria" w:eastAsia="Cambria" w:hAnsi="Cambria"/>
          <w:b/>
          <w:bCs/>
          <w:color w:val="1C3F6E"/>
          <w:sz w:val="40"/>
          <w:szCs w:val="40"/>
        </w:rPr>
        <w:t xml:space="preserve">Mathematics of Autoregressive Diffusion Evolution</w:t>
      </w:r>
    </w:p>
    <w:p>
      <w:pPr>
        <w:spacing w:after="240"/>
        <w:jc w:val="center"/>
      </w:pPr>
      <w:r>
        <w:rPr>
          <w:rFonts w:ascii="Cambria" w:cs="Cambria" w:eastAsia="Cambria" w:hAnsi="Cambria"/>
          <w:i/>
          <w:iCs/>
          <w:color w:val="52514E"/>
          <w:sz w:val="24"/>
          <w:szCs w:val="24"/>
        </w:rPr>
        <w:t xml:space="preserve">Theorems, Lemmas, Proofs and Conjectures, Organised by Field — how the results relate across mathematics, and the chapter plan that follows from it</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Book proposal, 17 October 2026, revised to the numbering of the finished book  ·  “Respect science. Import emotion.”</w:t>
      </w:r>
    </w:p>
    <w:p>
      <w:pPr>
        <w:spacing w:after="280"/>
        <w:jc w:val="center"/>
      </w:pPr>
      <w:r>
        <w:rPr>
          <w:rFonts w:ascii="Cambria" w:cs="Cambria" w:eastAsia="Cambria" w:hAnsi="Cambria"/>
          <w:color w:val="52514E"/>
          <w:sz w:val="19"/>
          <w:szCs w:val="19"/>
        </w:rPr>
        <w:t xml:space="preserve">A companion to </w:t>
      </w:r>
      <w:r>
        <w:rPr>
          <w:rFonts w:ascii="Cambria" w:cs="Cambria" w:eastAsia="Cambria" w:hAnsi="Cambria"/>
          <w:i/>
          <w:iCs/>
          <w:color w:val="52514E"/>
          <w:sz w:val="19"/>
          <w:szCs w:val="19"/>
        </w:rPr>
        <w:t xml:space="preserve">Autoregressive Diffusion Evolution: Engineering Methods and Mathematical Foundations</w:t>
      </w:r>
      <w:r>
        <w:rPr>
          <w:rFonts w:ascii="Cambria" w:cs="Cambria" w:eastAsia="Cambria" w:hAnsi="Cambria"/>
          <w:color w:val="52514E"/>
          <w:sz w:val="19"/>
          <w:szCs w:val="19"/>
        </w:rPr>
        <w:t xml:space="preserve"> (second revised edition) and to the revised papers of October 2026</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Summary</w:t>
            </w:r>
          </w:p>
          <w:p>
            <w:pPr>
              <w:spacing w:after="80" w:line="264"/>
              <w:jc w:val="both"/>
            </w:pPr>
            <w:r>
              <w:rPr>
                <w:rFonts w:ascii="Cambria" w:cs="Cambria" w:eastAsia="Cambria" w:hAnsi="Cambria"/>
              </w:rPr>
              <w:t xml:space="preserve">Autoregressive Diffusion Evolution (ADE) rests on one calculation: a Gaussian-kernel, Gibbs-weighted average of evaluated designs. The second edition of the engineering book and twenty revised papers state about two hundred mathematical results about that calculation and the machinery around it. Read together, they are not one theory but eleven: the same average is a pushforward of a Gibbs measure, a posterior mean, a softmax attention, a self-normalised importance estimator, a measure that concentrates under Laplace’s method, a scalarisation of a partial order, a convex combination that tends to a projection, a map through discontinuous decoders, a minimiser of a free energy, a record in a dependency graph and one step of a discrete dynamical system.</w:t>
            </w:r>
          </w:p>
          <w:p>
            <w:pPr>
              <w:spacing w:after="80" w:line="264"/>
              <w:jc w:val="both"/>
            </w:pPr>
            <w:r>
              <w:rPr>
                <w:rFonts w:ascii="Cambria" w:cs="Cambria" w:eastAsia="Cambria" w:hAnsi="Cambria"/>
              </w:rPr>
              <w:t xml:space="preserve">This proposal maps the results onto those eleven fields, names the twenty-four results that act as bridges between them, and derives a book plan from the map: eleven parts, one per field, nineteen chapters and 229 numbered items — 36 theorems, 150 lemmas, propositions and corollaries, and 43 definitions, worked examples and conjectures — with complete proofs, eleven results first stated and proved here, six conjectures and a set of open problems. Every statement adopts its corrected form; twenty-one corrections relative to first versions are recorded. The book contains only mathematics — definitions, statements, proofs, worked examples, counterexamples, conjectures and exercises — with front matter, back matter and a curriculum for three course formats.</w:t>
            </w:r>
          </w:p>
        </w:tc>
      </w:tr>
    </w:tbl>
    <w:p>
      <w:pPr>
        <w:pStyle w:val="Heading1"/>
      </w:pPr>
      <w:r>
        <w:t xml:space="preserve">1  Purpose and scope</w:t>
      </w:r>
    </w:p>
    <w:p>
      <w:pPr>
        <w:spacing w:after="120" w:before="0" w:line="276"/>
        <w:jc w:val="both"/>
      </w:pPr>
      <w:r>
        <w:rPr>
          <w:rFonts w:ascii="Cambria" w:cs="Cambria" w:eastAsia="Cambria" w:hAnsi="Cambria"/>
        </w:rPr>
        <w:t xml:space="preserve">The engineering book develops ADE as a method: archives, layers, proposals, verification, reporting. Its mathematics is distributed across eighteen chapters, five mathematical companions and the revised papers, each written for its own engineering question. A reader who wants the mathematics itself — what is proved, under which hypotheses, by which technique and in which branch of mathematics — has to reassemble it. The proposed book does that reassembly. It contains no algorithms except as mathematical maps, no experiments, no code and no engineering narrative. Numerical values appear only as worked examples, as counterexamples, or as evidence attached to a conjecture.</w:t>
      </w:r>
    </w:p>
    <w:p>
      <w:pPr>
        <w:spacing w:after="120" w:before="0" w:line="276"/>
        <w:jc w:val="both"/>
      </w:pPr>
      <w:r>
        <w:rPr>
          <w:rFonts w:ascii="Cambria" w:cs="Cambria" w:eastAsia="Cambria" w:hAnsi="Cambria"/>
          <w:b/>
          <w:bCs/>
        </w:rPr>
        <w:t xml:space="preserve">Sources.</w:t>
      </w:r>
      <w:r>
        <w:rPr>
          <w:rFonts w:ascii="Cambria" w:cs="Cambria" w:eastAsia="Cambria" w:hAnsi="Cambria"/>
        </w:rPr>
        <w:t xml:space="preserve"> The second revised edition of the engineering book (cited as B, with its numbering) and twenty revised papers and companions of October 2026: </w:t>
      </w:r>
      <w:r>
        <w:rPr>
          <w:rFonts w:ascii="Cambria" w:cs="Cambria" w:eastAsia="Cambria" w:hAnsi="Cambria"/>
          <w:i/>
          <w:iCs/>
        </w:rPr>
        <w:t xml:space="preserve">Specification as Density</w:t>
      </w:r>
      <w:r>
        <w:rPr>
          <w:rFonts w:ascii="Cambria" w:cs="Cambria" w:eastAsia="Cambria" w:hAnsi="Cambria"/>
        </w:rPr>
        <w:t xml:space="preserve"> (SD), </w:t>
      </w:r>
      <w:r>
        <w:rPr>
          <w:rFonts w:ascii="Cambria" w:cs="Cambria" w:eastAsia="Cambria" w:hAnsi="Cambria"/>
          <w:i/>
          <w:iCs/>
        </w:rPr>
        <w:t xml:space="preserve">The Hidden Transformer</w:t>
      </w:r>
      <w:r>
        <w:rPr>
          <w:rFonts w:ascii="Cambria" w:cs="Cambria" w:eastAsia="Cambria" w:hAnsi="Cambria"/>
        </w:rPr>
        <w:t xml:space="preserve"> (HT), </w:t>
      </w:r>
      <w:r>
        <w:rPr>
          <w:rFonts w:ascii="Cambria" w:cs="Cambria" w:eastAsia="Cambria" w:hAnsi="Cambria"/>
          <w:i/>
          <w:iCs/>
        </w:rPr>
        <w:t xml:space="preserve">Sambhavāmi Yuge Yuge</w:t>
      </w:r>
      <w:r>
        <w:rPr>
          <w:rFonts w:ascii="Cambria" w:cs="Cambria" w:eastAsia="Cambria" w:hAnsi="Cambria"/>
        </w:rPr>
        <w:t xml:space="preserve"> (SY), </w:t>
      </w:r>
      <w:r>
        <w:rPr>
          <w:rFonts w:ascii="Cambria" w:cs="Cambria" w:eastAsia="Cambria" w:hAnsi="Cambria"/>
          <w:i/>
          <w:iCs/>
        </w:rPr>
        <w:t xml:space="preserve">Optimisation-Attention</w:t>
      </w:r>
      <w:r>
        <w:rPr>
          <w:rFonts w:ascii="Cambria" w:cs="Cambria" w:eastAsia="Cambria" w:hAnsi="Cambria"/>
        </w:rPr>
        <w:t xml:space="preserve"> (OA), </w:t>
      </w:r>
      <w:r>
        <w:rPr>
          <w:rFonts w:ascii="Cambria" w:cs="Cambria" w:eastAsia="Cambria" w:hAnsi="Cambria"/>
          <w:i/>
          <w:iCs/>
        </w:rPr>
        <w:t xml:space="preserve">Fitness as Attention</w:t>
      </w:r>
      <w:r>
        <w:rPr>
          <w:rFonts w:ascii="Cambria" w:cs="Cambria" w:eastAsia="Cambria" w:hAnsi="Cambria"/>
        </w:rPr>
        <w:t xml:space="preserve"> (FA), </w:t>
      </w:r>
      <w:r>
        <w:rPr>
          <w:rFonts w:ascii="Cambria" w:cs="Cambria" w:eastAsia="Cambria" w:hAnsi="Cambria"/>
          <w:i/>
          <w:iCs/>
        </w:rPr>
        <w:t xml:space="preserve">Autoregressive Diffusion Evolution</w:t>
      </w:r>
      <w:r>
        <w:rPr>
          <w:rFonts w:ascii="Cambria" w:cs="Cambria" w:eastAsia="Cambria" w:hAnsi="Cambria"/>
        </w:rPr>
        <w:t xml:space="preserve"> (AD), </w:t>
      </w:r>
      <w:r>
        <w:rPr>
          <w:rFonts w:ascii="Cambria" w:cs="Cambria" w:eastAsia="Cambria" w:hAnsi="Cambria"/>
          <w:i/>
          <w:iCs/>
        </w:rPr>
        <w:t xml:space="preserve">Caches, Temperature and Reuse</w:t>
      </w:r>
      <w:r>
        <w:rPr>
          <w:rFonts w:ascii="Cambria" w:cs="Cambria" w:eastAsia="Cambria" w:hAnsi="Cambria"/>
        </w:rPr>
        <w:t xml:space="preserve"> (CT), </w:t>
      </w:r>
      <w:r>
        <w:rPr>
          <w:rFonts w:ascii="Cambria" w:cs="Cambria" w:eastAsia="Cambria" w:hAnsi="Cambria"/>
          <w:i/>
          <w:iCs/>
        </w:rPr>
        <w:t xml:space="preserve">Causal Bayes</w:t>
      </w:r>
      <w:r>
        <w:rPr>
          <w:rFonts w:ascii="Cambria" w:cs="Cambria" w:eastAsia="Cambria" w:hAnsi="Cambria"/>
        </w:rPr>
        <w:t xml:space="preserve"> (CB), </w:t>
      </w:r>
      <w:r>
        <w:rPr>
          <w:rFonts w:ascii="Cambria" w:cs="Cambria" w:eastAsia="Cambria" w:hAnsi="Cambria"/>
          <w:i/>
          <w:iCs/>
        </w:rPr>
        <w:t xml:space="preserve">Objectives as Modalities</w:t>
      </w:r>
      <w:r>
        <w:rPr>
          <w:rFonts w:ascii="Cambria" w:cs="Cambria" w:eastAsia="Cambria" w:hAnsi="Cambria"/>
        </w:rPr>
        <w:t xml:space="preserve"> (OM), </w:t>
      </w:r>
      <w:r>
        <w:rPr>
          <w:rFonts w:ascii="Cambria" w:cs="Cambria" w:eastAsia="Cambria" w:hAnsi="Cambria"/>
          <w:i/>
          <w:iCs/>
        </w:rPr>
        <w:t xml:space="preserve">The Geometry of Fusion</w:t>
      </w:r>
      <w:r>
        <w:rPr>
          <w:rFonts w:ascii="Cambria" w:cs="Cambria" w:eastAsia="Cambria" w:hAnsi="Cambria"/>
        </w:rPr>
        <w:t xml:space="preserve"> (GF), </w:t>
      </w:r>
      <w:r>
        <w:rPr>
          <w:rFonts w:ascii="Cambria" w:cs="Cambria" w:eastAsia="Cambria" w:hAnsi="Cambria"/>
          <w:i/>
          <w:iCs/>
        </w:rPr>
        <w:t xml:space="preserve">Niches, Strength and Memory</w:t>
      </w:r>
      <w:r>
        <w:rPr>
          <w:rFonts w:ascii="Cambria" w:cs="Cambria" w:eastAsia="Cambria" w:hAnsi="Cambria"/>
        </w:rPr>
        <w:t xml:space="preserve"> (NS), </w:t>
      </w:r>
      <w:r>
        <w:rPr>
          <w:rFonts w:ascii="Cambria" w:cs="Cambria" w:eastAsia="Cambria" w:hAnsi="Cambria"/>
          <w:i/>
          <w:iCs/>
        </w:rPr>
        <w:t xml:space="preserve">Deep, Wide and Growing</w:t>
      </w:r>
      <w:r>
        <w:rPr>
          <w:rFonts w:ascii="Cambria" w:cs="Cambria" w:eastAsia="Cambria" w:hAnsi="Cambria"/>
        </w:rPr>
        <w:t xml:space="preserve"> (DW), </w:t>
      </w:r>
      <w:r>
        <w:rPr>
          <w:rFonts w:ascii="Cambria" w:cs="Cambria" w:eastAsia="Cambria" w:hAnsi="Cambria"/>
          <w:i/>
          <w:iCs/>
        </w:rPr>
        <w:t xml:space="preserve">Many Windows, One Design</w:t>
      </w:r>
      <w:r>
        <w:rPr>
          <w:rFonts w:ascii="Cambria" w:cs="Cambria" w:eastAsia="Cambria" w:hAnsi="Cambria"/>
        </w:rPr>
        <w:t xml:space="preserve"> (MW), </w:t>
      </w:r>
      <w:r>
        <w:rPr>
          <w:rFonts w:ascii="Cambria" w:cs="Cambria" w:eastAsia="Cambria" w:hAnsi="Cambria"/>
          <w:i/>
          <w:iCs/>
        </w:rPr>
        <w:t xml:space="preserve">Embedding and De-embedding</w:t>
      </w:r>
      <w:r>
        <w:rPr>
          <w:rFonts w:ascii="Cambria" w:cs="Cambria" w:eastAsia="Cambria" w:hAnsi="Cambria"/>
        </w:rPr>
        <w:t xml:space="preserve">, Parts I and II (E1, E2), </w:t>
      </w:r>
      <w:r>
        <w:rPr>
          <w:rFonts w:ascii="Cambria" w:cs="Cambria" w:eastAsia="Cambria" w:hAnsi="Cambria"/>
          <w:i/>
          <w:iCs/>
        </w:rPr>
        <w:t xml:space="preserve">Two Hundred Load Cases, One Cost</w:t>
      </w:r>
      <w:r>
        <w:rPr>
          <w:rFonts w:ascii="Cambria" w:cs="Cambria" w:eastAsia="Cambria" w:hAnsi="Cambria"/>
        </w:rPr>
        <w:t xml:space="preserve"> (LC), the companions for mixed spaces (CM) and constraints (CC), </w:t>
      </w:r>
      <w:r>
        <w:rPr>
          <w:rFonts w:ascii="Cambria" w:cs="Cambria" w:eastAsia="Cambria" w:hAnsi="Cambria"/>
          <w:i/>
          <w:iCs/>
        </w:rPr>
        <w:t xml:space="preserve">Construction Harness</w:t>
      </w:r>
      <w:r>
        <w:rPr>
          <w:rFonts w:ascii="Cambria" w:cs="Cambria" w:eastAsia="Cambria" w:hAnsi="Cambria"/>
        </w:rPr>
        <w:t xml:space="preserve"> (CH) and its mathematical companion (CX). Each result in the book carries these codes, so every statement can be traced to the paper where it was first proved or checked.</w:t>
      </w:r>
    </w:p>
    <w:p>
      <w:pPr>
        <w:spacing w:after="120" w:before="0" w:line="276"/>
        <w:jc w:val="both"/>
      </w:pPr>
      <w:r>
        <w:rPr>
          <w:rFonts w:ascii="Cambria" w:cs="Cambria" w:eastAsia="Cambria" w:hAnsi="Cambria"/>
          <w:b/>
          <w:bCs/>
        </w:rPr>
        <w:t xml:space="preserve">Standard.</w:t>
      </w:r>
      <w:r>
        <w:rPr>
          <w:rFonts w:ascii="Cambria" w:cs="Cambria" w:eastAsia="Cambria" w:hAnsi="Cambria"/>
        </w:rPr>
        <w:t xml:space="preserve"> Every statement is proved in full, or attributed to a classical theorem collected with references in an appendix. Hypotheses are explicit; where a source stated a result too broadly, the corrected form is adopted and the correction recorded. Results first stated in the book are marked as new; each was checked numerically before it was written down, and the checks are reported here (Section 7).</w:t>
      </w:r>
    </w:p>
    <w:p>
      <w:pPr>
        <w:pStyle w:val="Heading1"/>
      </w:pPr>
      <w:r>
        <w:t xml:space="preserve">2  One calculation, eleven readings</w:t>
      </w:r>
    </w:p>
    <w:p>
      <w:pPr>
        <w:spacing w:after="120" w:before="0" w:line="276"/>
        <w:jc w:val="both"/>
      </w:pPr>
      <w:r>
        <w:rPr>
          <w:rFonts w:ascii="Cambria" w:cs="Cambria" w:eastAsia="Cambria" w:hAnsi="Cambria"/>
        </w:rPr>
        <w:t xml:space="preserve">The central object is the retrieval of the book’s Theorem 2.1. For records y</w:t>
      </w:r>
      <w:r>
        <w:rPr>
          <w:rFonts w:ascii="Cambria" w:cs="Cambria" w:eastAsia="Cambria" w:hAnsi="Cambria"/>
          <w:vertAlign w:val="subscript"/>
        </w:rPr>
        <w:t xml:space="preserve">1</w:t>
      </w:r>
      <w:r>
        <w:rPr>
          <w:rFonts w:ascii="Cambria" w:cs="Cambria" w:eastAsia="Cambria" w:hAnsi="Cambria"/>
        </w:rPr>
        <w:t xml:space="preserve">, …, y</w:t>
      </w:r>
      <w:r>
        <w:rPr>
          <w:rFonts w:ascii="Cambria" w:cs="Cambria" w:eastAsia="Cambria" w:hAnsi="Cambria"/>
          <w:vertAlign w:val="subscript"/>
        </w:rPr>
        <w:t xml:space="preserve">n</w:t>
      </w:r>
      <w:r>
        <w:rPr>
          <w:rFonts w:ascii="Cambria" w:cs="Cambria" w:eastAsia="Cambria" w:hAnsi="Cambria"/>
        </w:rPr>
        <w:t xml:space="preserve"> with non-negative weights w</w:t>
      </w:r>
      <w:r>
        <w:rPr>
          <w:rFonts w:ascii="Cambria" w:cs="Cambria" w:eastAsia="Cambria" w:hAnsi="Cambria"/>
          <w:vertAlign w:val="subscript"/>
        </w:rPr>
        <w:t xml:space="preserve">i</w:t>
      </w:r>
      <w:r>
        <w:rPr>
          <w:rFonts w:ascii="Cambria" w:cs="Cambria" w:eastAsia="Cambria" w:hAnsi="Cambria"/>
        </w:rPr>
        <w:t xml:space="preserve"> and a query q observed at signal level 0 &lt; a &lt; 1,</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m(q) = Σ</w:t>
      </w:r>
      <w:r>
        <w:rPr>
          <w:rFonts w:ascii="Cambria" w:cs="Cambria" w:eastAsia="Cambria" w:hAnsi="Cambria"/>
          <w:vertAlign w:val="subscript"/>
        </w:rPr>
        <w:t xml:space="preserve">i</w:t>
      </w:r>
      <w:r>
        <w:rPr>
          <w:rFonts w:ascii="Cambria" w:cs="Cambria" w:eastAsia="Cambria" w:hAnsi="Cambria"/>
        </w:rPr>
        <w:t xml:space="preserve"> softmax</w:t>
      </w:r>
      <w:r>
        <w:rPr>
          <w:rFonts w:ascii="Cambria" w:cs="Cambria" w:eastAsia="Cambria" w:hAnsi="Cambria"/>
          <w:vertAlign w:val="subscript"/>
        </w:rPr>
        <w:t xml:space="preserve">i</w:t>
      </w:r>
      <w:r>
        <w:rPr>
          <w:rFonts w:ascii="Cambria" w:cs="Cambria" w:eastAsia="Cambria" w:hAnsi="Cambria"/>
        </w:rPr>
        <w:t xml:space="preserve">( log w</w:t>
      </w:r>
      <w:r>
        <w:rPr>
          <w:rFonts w:ascii="Cambria" w:cs="Cambria" w:eastAsia="Cambria" w:hAnsi="Cambria"/>
          <w:vertAlign w:val="subscript"/>
        </w:rPr>
        <w:t xml:space="preserve">i</w:t>
      </w:r>
      <w:r>
        <w:rPr>
          <w:rFonts w:ascii="Cambria" w:cs="Cambria" w:eastAsia="Cambria" w:hAnsi="Cambria"/>
        </w:rPr>
        <w:t xml:space="preserve"> − ‖q − √a y</w:t>
      </w:r>
      <w:r>
        <w:rPr>
          <w:rFonts w:ascii="Cambria" w:cs="Cambria" w:eastAsia="Cambria" w:hAnsi="Cambria"/>
          <w:vertAlign w:val="subscript"/>
        </w:rPr>
        <w:t xml:space="preserve">i</w:t>
      </w:r>
      <w:r>
        <w:rPr>
          <w:rFonts w:ascii="Cambria" w:cs="Cambria" w:eastAsia="Cambria" w:hAnsi="Cambria"/>
        </w:rPr>
        <w:t xml:space="preserve">‖² / 2(1 − a) ) y</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 = e</w:t>
      </w:r>
      <w:r>
        <w:rPr>
          <w:rFonts w:ascii="Cambria" w:cs="Cambria" w:eastAsia="Cambria" w:hAnsi="Cambria"/>
          <w:vertAlign w:val="superscript"/>
        </w:rPr>
        <w:t xml:space="preserve">−βJ(y_i)</w:t>
      </w:r>
      <w:r>
        <w:rPr>
          <w:rFonts w:ascii="Cambria" w:cs="Cambria" w:eastAsia="Cambria" w:hAnsi="Cambria"/>
        </w:rPr>
        <w:t xml:space="preserve"> ν(y</w:t>
      </w:r>
      <w:r>
        <w:rPr>
          <w:rFonts w:ascii="Cambria" w:cs="Cambria" w:eastAsia="Cambria" w:hAnsi="Cambria"/>
          <w:vertAlign w:val="subscript"/>
        </w:rPr>
        <w:t xml:space="preserve">i</w:t>
      </w:r>
      <w:r>
        <w:rPr>
          <w:rFonts w:ascii="Cambria" w:cs="Cambria" w:eastAsia="Cambria" w:hAnsi="Cambria"/>
        </w:rPr>
        <w:t xml:space="preserve">) / p</w:t>
      </w:r>
      <w:r>
        <w:rPr>
          <w:rFonts w:ascii="Cambria" w:cs="Cambria" w:eastAsia="Cambria" w:hAnsi="Cambria"/>
          <w:vertAlign w:val="subscript"/>
        </w:rPr>
        <w:t xml:space="preserve">i</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w:t>
      </w:r>
      <w:r>
        <w:rPr>
          <w:rFonts w:ascii="Cambria" w:cs="Cambria" w:eastAsia="Cambria" w:hAnsi="Cambria"/>
        </w:rPr>
        <w:t xml:space="preserve">	(2.1)</w:t>
      </w:r>
    </w:p>
    <w:p>
      <w:pPr>
        <w:spacing w:after="120" w:before="0" w:line="276"/>
        <w:jc w:val="both"/>
      </w:pPr>
      <w:r>
        <w:rPr>
          <w:rFonts w:ascii="Cambria" w:cs="Cambria" w:eastAsia="Cambria" w:hAnsi="Cambria"/>
        </w:rPr>
        <w:t xml:space="preserve">Figure 1 shows the eleven readings of (2.1), one for each field from which the book draws its results. Each reading asks a different question of the same expression, and each answer constrains the others.</w:t>
      </w:r>
    </w:p>
    <w:p>
      <w:pPr>
        <w:keepNext/>
        <w:spacing w:after="60" w:before="120"/>
        <w:jc w:val="center"/>
      </w:pPr>
      <w:r>
        <w:drawing>
          <wp:inline distT="0" distB="0" distL="0" distR="0">
            <wp:extent cx="6096000" cy="3333750"/>
            <wp:effectExtent t="0" r="0" b="0" l="0"/>
            <wp:docPr id="1" name="fieldmap.png" descr="fieldmap.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33375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1.</w:t>
      </w:r>
      <w:r>
        <w:rPr>
          <w:rFonts w:ascii="Cambria" w:cs="Cambria" w:eastAsia="Cambria" w:hAnsi="Cambria"/>
          <w:sz w:val="19"/>
          <w:szCs w:val="19"/>
        </w:rPr>
        <w:t xml:space="preserve"> One calculation, eleven readings. Each field reads the Gibbs-weighted Gaussian retrieval (2.1) as a different mathematical object. The book has one part per field.</w:t>
      </w:r>
    </w:p>
    <w:p>
      <w:pPr>
        <w:spacing w:after="120" w:before="0" w:line="276"/>
        <w:jc w:val="both"/>
      </w:pPr>
      <w:r>
        <w:rPr>
          <w:rFonts w:ascii="Cambria" w:cs="Cambria" w:eastAsia="Cambria" w:hAnsi="Cambria"/>
          <w:b/>
          <w:bCs/>
        </w:rPr>
        <w:t xml:space="preserve">I  Measure and probability.</w:t>
      </w:r>
      <w:r>
        <w:rPr>
          <w:rFonts w:ascii="Cambria" w:cs="Cambria" w:eastAsia="Cambria" w:hAnsi="Cambria"/>
        </w:rPr>
        <w:t xml:space="preserve"> The target π</w:t>
      </w:r>
      <w:r>
        <w:rPr>
          <w:rFonts w:ascii="Cambria" w:cs="Cambria" w:eastAsia="Cambria" w:hAnsi="Cambria"/>
          <w:vertAlign w:val="subscript"/>
        </w:rPr>
        <w:t xml:space="preserve">β</w:t>
      </w:r>
      <w:r>
        <w:rPr>
          <w:rFonts w:ascii="Cambria" w:cs="Cambria" w:eastAsia="Cambria" w:hAnsi="Cambria"/>
        </w:rPr>
        <w:t xml:space="preserve"> ∝ e</w:t>
      </w:r>
      <w:r>
        <w:rPr>
          <w:rFonts w:ascii="Cambria" w:cs="Cambria" w:eastAsia="Cambria" w:hAnsi="Cambria"/>
          <w:vertAlign w:val="superscript"/>
        </w:rPr>
        <w:t xml:space="preserve">−βJ</w:t>
      </w:r>
      <w:r>
        <w:rPr>
          <w:rFonts w:ascii="Cambria" w:cs="Cambria" w:eastAsia="Cambria" w:hAnsi="Cambria"/>
        </w:rPr>
        <w:t xml:space="preserve">μ is a measure, and every later object is a measure derived from it: a pushforward under a decoder, a conditional law of the origin given a noisy query, a mixture over preferences, a restriction to a gate or a feasible set. The field supplies existence and normalisation, the change-of-variables formula for pushforwards (choosing a decoder chooses a prior), conditional expectation as an L² projection, the tower property (exact block updates leave a target invariant) and sufficiency (when a compressed state still yields a Markov chain).</w:t>
      </w:r>
    </w:p>
    <w:p>
      <w:pPr>
        <w:spacing w:after="120" w:before="0" w:line="276"/>
        <w:jc w:val="both"/>
      </w:pPr>
      <w:r>
        <w:rPr>
          <w:rFonts w:ascii="Cambria" w:cs="Cambria" w:eastAsia="Cambria" w:hAnsi="Cambria"/>
          <w:b/>
          <w:bCs/>
        </w:rPr>
        <w:t xml:space="preserve">II  Gaussian analysis and Bayesian statistics.</w:t>
      </w:r>
      <w:r>
        <w:rPr>
          <w:rFonts w:ascii="Cambria" w:cs="Cambria" w:eastAsia="Cambria" w:hAnsi="Cambria"/>
        </w:rPr>
        <w:t xml:space="preserve"> The observation model Q = √a Y + √(1 − a)Ξ makes (2.1) the exact posterior mean of the origin under the empirical prior Σw</w:t>
      </w:r>
      <w:r>
        <w:rPr>
          <w:rFonts w:ascii="Cambria" w:cs="Cambria" w:eastAsia="Cambria" w:hAnsi="Cambria"/>
          <w:vertAlign w:val="subscript"/>
        </w:rPr>
        <w:t xml:space="preserve">i</w:t>
      </w:r>
      <w:r>
        <w:rPr>
          <w:rFonts w:ascii="Cambria" w:cs="Cambria" w:eastAsia="Cambria" w:hAnsi="Cambria"/>
        </w:rPr>
        <w:t xml:space="preserve">δ</w:t>
      </w:r>
      <w:r>
        <w:rPr>
          <w:rFonts w:ascii="Cambria" w:cs="Cambria" w:eastAsia="Cambria" w:hAnsi="Cambria"/>
          <w:vertAlign w:val="subscript"/>
        </w:rPr>
        <w:t xml:space="preserve">y_i</w:t>
      </w:r>
      <w:r>
        <w:rPr>
          <w:rFonts w:ascii="Cambria" w:cs="Cambria" w:eastAsia="Cambria" w:hAnsi="Cambria"/>
        </w:rPr>
        <w:t xml:space="preserve">. Gaussian integrals then give closed forms throughout: Tweedie’s identity (the mean is a score), the exponential tilt (a linear cost shifts a Gaussian), truncation (a half-space constraint), the moment generating function of a noisy critic, the probit law of a threshold crossing and the exact variance of a distance logit. The same field shows what a mean does not determine: at the symmetric point of a two-point law the mean holds a particle where the posterior has no mass.</w:t>
      </w:r>
    </w:p>
    <w:p>
      <w:pPr>
        <w:spacing w:after="120" w:before="0" w:line="276"/>
        <w:jc w:val="both"/>
      </w:pPr>
      <w:r>
        <w:rPr>
          <w:rFonts w:ascii="Cambria" w:cs="Cambria" w:eastAsia="Cambria" w:hAnsi="Cambria"/>
          <w:b/>
          <w:bCs/>
        </w:rPr>
        <w:t xml:space="preserve">III  Linear algebra and convex geometry.</w:t>
      </w:r>
      <w:r>
        <w:rPr>
          <w:rFonts w:ascii="Cambria" w:cs="Cambria" w:eastAsia="Cambria" w:hAnsi="Cambria"/>
        </w:rPr>
        <w:t xml:space="preserve"> Expanding the square in (2.1) turns the posterior mean into softmax attention whose keys are √a y</w:t>
      </w:r>
      <w:r>
        <w:rPr>
          <w:rFonts w:ascii="Cambria" w:cs="Cambria" w:eastAsia="Cambria" w:hAnsi="Cambria"/>
          <w:vertAlign w:val="subscript"/>
        </w:rPr>
        <w:t xml:space="preserve">i</w:t>
      </w:r>
      <w:r>
        <w:rPr>
          <w:rFonts w:ascii="Cambria" w:cs="Cambria" w:eastAsia="Cambria" w:hAnsi="Cambria"/>
        </w:rPr>
        <w:t xml:space="preserve">, whose values are y</w:t>
      </w:r>
      <w:r>
        <w:rPr>
          <w:rFonts w:ascii="Cambria" w:cs="Cambria" w:eastAsia="Cambria" w:hAnsi="Cambria"/>
          <w:vertAlign w:val="subscript"/>
        </w:rPr>
        <w:t xml:space="preserve">i</w:t>
      </w:r>
      <w:r>
        <w:rPr>
          <w:rFonts w:ascii="Cambria" w:cs="Cambria" w:eastAsia="Cambria" w:hAnsi="Cambria"/>
        </w:rPr>
        <w:t xml:space="preserve">, whose temperature is 1 − a, and whose key bias carries the loss and every importance correction. From there the results are linear-algebraic — metric changes, segment reweighting with an exact mass-preserving correction, plurality reads of one-hot codes, spectral overlaps of chart projectors, random subspaces — and convex-geometric: the read lies in the hull of the archive, its Jacobian is a covariance bounded by Popoviciu’s inequality, and a sufficiently concentrated read decodes to an archive member.</w:t>
      </w:r>
    </w:p>
    <w:p>
      <w:pPr>
        <w:spacing w:after="120" w:before="0" w:line="276"/>
        <w:jc w:val="both"/>
      </w:pPr>
      <w:r>
        <w:rPr>
          <w:rFonts w:ascii="Cambria" w:cs="Cambria" w:eastAsia="Cambria" w:hAnsi="Cambria"/>
          <w:b/>
          <w:bCs/>
        </w:rPr>
        <w:t xml:space="preserve">IV  Monte Carlo and martingales.</w:t>
      </w:r>
      <w:r>
        <w:rPr>
          <w:rFonts w:ascii="Cambria" w:cs="Cambria" w:eastAsia="Cambria" w:hAnsi="Cambria"/>
        </w:rPr>
        <w:t xml:space="preserve"> With corrected weights, (2.1) is a self-normalised importance estimator built from predictable, history-dependent proposals. Filtrations make adaptivity harmless; defensive mixtures bound the weights; inclusion probabilities admit partial evaluation; Azuma’s and Freedman’s inequalities give rates; nets give uniformity over preferences and temperatures; geometric bounds give coverage. The field also delimits what weights cannot do: an archive truncated by objective value, an evaluation trigger with zero inclusion probability or a snapped latent cannot support an estimator.</w:t>
      </w:r>
    </w:p>
    <w:p>
      <w:pPr>
        <w:spacing w:after="120" w:before="0" w:line="276"/>
        <w:jc w:val="both"/>
      </w:pPr>
      <w:r>
        <w:rPr>
          <w:rFonts w:ascii="Cambria" w:cs="Cambria" w:eastAsia="Cambria" w:hAnsi="Cambria"/>
          <w:b/>
          <w:bCs/>
        </w:rPr>
        <w:t xml:space="preserve">V  Asymptotic analysis.</w:t>
      </w:r>
      <w:r>
        <w:rPr>
          <w:rFonts w:ascii="Cambria" w:cs="Cambria" w:eastAsia="Cambria" w:hAnsi="Cambria"/>
        </w:rPr>
        <w:t xml:space="preserve"> As β → ∞ the Gibbs target concentrates. Laplace’s method gives the limiting shares of nondegenerate minimisers (proportional to ν det H</w:t>
      </w:r>
      <w:r>
        <w:rPr>
          <w:rFonts w:ascii="Cambria" w:cs="Cambria" w:eastAsia="Cambria" w:hAnsi="Cambria"/>
          <w:vertAlign w:val="superscript"/>
        </w:rPr>
        <w:t xml:space="preserve">−1/2</w:t>
      </w:r>
      <w:r>
        <w:rPr>
          <w:rFonts w:ascii="Cambria" w:cs="Cambria" w:eastAsia="Cambria" w:hAnsi="Cambria"/>
        </w:rPr>
        <w:t xml:space="preserve">) and the expansion E[J] = J</w:t>
      </w:r>
      <w:r>
        <w:rPr>
          <w:rFonts w:ascii="Cambria" w:cs="Cambria" w:eastAsia="Cambria" w:hAnsi="Cambria"/>
          <w:vertAlign w:val="superscript"/>
        </w:rPr>
        <w:t xml:space="preserve">*</w:t>
      </w:r>
      <w:r>
        <w:rPr>
          <w:rFonts w:ascii="Cambria" w:cs="Cambria" w:eastAsia="Cambria" w:hAnsi="Cambria"/>
        </w:rPr>
        <w:t xml:space="preserve"> + D/2β; a gap argument gives concentration on near-optimal sets; tubular coordinates give limits on zero sets for homogeneous profiles; penalty targets converge at fixed temperature but can lose the feasible set when temperature and penalty grow together.</w:t>
      </w:r>
    </w:p>
    <w:p>
      <w:pPr>
        <w:spacing w:after="120" w:before="0" w:line="276"/>
        <w:jc w:val="both"/>
      </w:pPr>
      <w:r>
        <w:rPr>
          <w:rFonts w:ascii="Cambria" w:cs="Cambria" w:eastAsia="Cambria" w:hAnsi="Cambria"/>
          <w:b/>
          <w:bCs/>
        </w:rPr>
        <w:t xml:space="preserve">VI  Order theory and vector optimisation.</w:t>
      </w:r>
      <w:r>
        <w:rPr>
          <w:rFonts w:ascii="Cambria" w:cs="Cambria" w:eastAsia="Cambria" w:hAnsi="Cambria"/>
        </w:rPr>
        <w:t xml:space="preserve"> With several objectives, the loss in the key bias is a scalarisation of the Pareto order, and the questions become order-theoretic: which scalarisations preserve dominance strictly, which can reach every efficient vector (Chebyshev, from a strictly utopian reference), how normalisation reparametrises preference and temperature, when adding objectives destroys efficiency (only through ties), how fronts of mixed problems decompose over configurations (under compactness), and how random vectors behave (dominance has probability 2</w:t>
      </w:r>
      <w:r>
        <w:rPr>
          <w:rFonts w:ascii="Cambria" w:cs="Cambria" w:eastAsia="Cambria" w:hAnsi="Cambria"/>
          <w:vertAlign w:val="superscript"/>
        </w:rPr>
        <w:t xml:space="preserve">−m</w:t>
      </w:r>
      <w:r>
        <w:rPr>
          <w:rFonts w:ascii="Cambria" w:cs="Cambria" w:eastAsia="Cambria" w:hAnsi="Cambria"/>
        </w:rPr>
        <w:t xml:space="preserve">). Dominance depth connects to longest chains and, through the Calder–Esedoḡlu–Hero theorem, to a Hamilton–Jacobi equation.</w:t>
      </w:r>
    </w:p>
    <w:p>
      <w:pPr>
        <w:spacing w:after="120" w:before="0" w:line="276"/>
        <w:jc w:val="both"/>
      </w:pPr>
      <w:r>
        <w:rPr>
          <w:rFonts w:ascii="Cambria" w:cs="Cambria" w:eastAsia="Cambria" w:hAnsi="Cambria"/>
          <w:b/>
          <w:bCs/>
        </w:rPr>
        <w:t xml:space="preserve">VII  Convex analysis and nonlinear programming.</w:t>
      </w:r>
      <w:r>
        <w:rPr>
          <w:rFonts w:ascii="Cambria" w:cs="Cambria" w:eastAsia="Cambria" w:hAnsi="Cambria"/>
        </w:rPr>
        <w:t xml:space="preserve"> Constraints enter as Gaussian conditioning on half-spaces, which tends to Euclidean projection as noise falls. Each such layer is non-expansive — its derivative along the normal is the variance of a truncated normal — so screening errors in a stack of affine layers add. The field also supplies Dykstra’s correction of order dependence, curvature margins for nonlinear constraints, KKT conditions with Lagrangian dual certificates under convexity, conic Carathéodory compression of certificates, tangent descent with multiplier release, and certified lower bounds by monotone interval evaluation.</w:t>
      </w:r>
    </w:p>
    <w:p>
      <w:pPr>
        <w:spacing w:after="120" w:before="0" w:line="276"/>
        <w:jc w:val="both"/>
      </w:pPr>
      <w:r>
        <w:rPr>
          <w:rFonts w:ascii="Cambria" w:cs="Cambria" w:eastAsia="Cambria" w:hAnsi="Cambria"/>
          <w:b/>
          <w:bCs/>
        </w:rPr>
        <w:t xml:space="preserve">VIII  Topology and geometric measure theory.</w:t>
      </w:r>
      <w:r>
        <w:rPr>
          <w:rFonts w:ascii="Cambria" w:cs="Cambria" w:eastAsia="Cambria" w:hAnsi="Cambria"/>
        </w:rPr>
        <w:t xml:space="preserve"> Engineering designs live on disconnected and lower-dimensional sets. Connectedness forces every decoder of a connected latent space onto a disconnected domain to jump; pushforwards create atoms; fronts of mixed problems can have more components than configurations; atom-free decoders make exact recurrence a null event. The coarea formula shows that ‘uniform on a manifold’ depends on the residual function defining it: conditioning on a thin band gives density proportional to p/|∇h|.</w:t>
      </w:r>
    </w:p>
    <w:p>
      <w:pPr>
        <w:spacing w:after="120" w:before="0" w:line="276"/>
        <w:jc w:val="both"/>
      </w:pPr>
      <w:r>
        <w:rPr>
          <w:rFonts w:ascii="Cambria" w:cs="Cambria" w:eastAsia="Cambria" w:hAnsi="Cambria"/>
          <w:b/>
          <w:bCs/>
        </w:rPr>
        <w:t xml:space="preserve">IX  Information, concentration and statistical decision.</w:t>
      </w:r>
      <w:r>
        <w:rPr>
          <w:rFonts w:ascii="Cambria" w:cs="Cambria" w:eastAsia="Cambria" w:hAnsi="Cambria"/>
        </w:rPr>
        <w:t xml:space="preserve"> The Gibbs target minimises a free energy, E</w:t>
      </w:r>
      <w:r>
        <w:rPr>
          <w:rFonts w:ascii="Cambria" w:cs="Cambria" w:eastAsia="Cambria" w:hAnsi="Cambria"/>
          <w:vertAlign w:val="subscript"/>
        </w:rPr>
        <w:t xml:space="preserve">Q</w:t>
      </w:r>
      <w:r>
        <w:rPr>
          <w:rFonts w:ascii="Cambria" w:cs="Cambria" w:eastAsia="Cambria" w:hAnsi="Cambria"/>
        </w:rPr>
        <w:t xml:space="preserve">[J] + β</w:t>
      </w:r>
      <w:r>
        <w:rPr>
          <w:rFonts w:ascii="Cambria" w:cs="Cambria" w:eastAsia="Cambria" w:hAnsi="Cambria"/>
          <w:vertAlign w:val="superscript"/>
        </w:rPr>
        <w:t xml:space="preserve">−1</w:t>
      </w:r>
      <w:r>
        <w:rPr>
          <w:rFonts w:ascii="Cambria" w:cs="Cambria" w:eastAsia="Cambria" w:hAnsi="Cambria"/>
        </w:rPr>
        <w:t xml:space="preserve">KL(Q ‖ μ); the divergence between two temperatures is the Bregman divergence of log Z; the effective sample size of Gibbs weights decays like exp(−β² Var g). The admission of a revised system is a statistical decision: Hoeffding’s inequality with a union bound, anytime allocations, an evaluator-discrepancy margin, empirical Bernstein bounds, the design effect of clustered evaluations, Fréchet bounds on joint success and exact bounds for zero observed failures.</w:t>
      </w:r>
    </w:p>
    <w:p>
      <w:pPr>
        <w:spacing w:after="120" w:before="0" w:line="276"/>
        <w:jc w:val="both"/>
      </w:pPr>
      <w:r>
        <w:rPr>
          <w:rFonts w:ascii="Cambria" w:cs="Cambria" w:eastAsia="Cambria" w:hAnsi="Cambria"/>
          <w:b/>
          <w:bCs/>
        </w:rPr>
        <w:t xml:space="preserve">X  Combinatorics, graphs and logic.</w:t>
      </w:r>
      <w:r>
        <w:rPr>
          <w:rFonts w:ascii="Cambria" w:cs="Cambria" w:eastAsia="Cambria" w:hAnsi="Cambria"/>
        </w:rPr>
        <w:t xml:space="preserve"> Counting results size the search: simplex lattices of reference directions, induced category laws of binary codes, evaluation and storage counts, the expected number of maxima of random vectors. Dependency graphs give invalidation as a theorem — chained content digests change exactly on the descendants of an edited node — and a release predicate becomes a logical conjunction whose soundness can be proved.</w:t>
      </w:r>
    </w:p>
    <w:p>
      <w:pPr>
        <w:spacing w:after="120" w:before="0" w:line="276"/>
        <w:jc w:val="both"/>
      </w:pPr>
      <w:r>
        <w:rPr>
          <w:rFonts w:ascii="Cambria" w:cs="Cambria" w:eastAsia="Cambria" w:hAnsi="Cambria"/>
          <w:b/>
          <w:bCs/>
        </w:rPr>
        <w:t xml:space="preserve">XI  Numerical analysis and discrete-time dynamics.</w:t>
      </w:r>
      <w:r>
        <w:rPr>
          <w:rFonts w:ascii="Cambria" w:cs="Cambria" w:eastAsia="Cambria" w:hAnsi="Cambria"/>
        </w:rPr>
        <w:t xml:space="preserve"> The proposal step is a discrete dynamical system: its coefficients satisfy a radicand condition, its deterministic part is a convex interpolation in scaled coordinates, novelty enters through noise or through expansion about the origin depending on the schedule, flat schedules are identity maps, and the step is a fractional score step. Cosine schedules give explicit evaluation grids; log-sum-exp evaluation and stable inverse Mills ratios keep the formulas computable.</w:t>
      </w:r>
    </w:p>
    <w:p>
      <w:pPr>
        <w:pStyle w:val="Heading1"/>
      </w:pPr>
      <w:r>
        <w:t xml:space="preserve">3  Inventory by field</w:t>
      </w:r>
    </w:p>
    <w:p>
      <w:pPr>
        <w:spacing w:after="120" w:before="0" w:line="276"/>
        <w:jc w:val="both"/>
      </w:pPr>
      <w:r>
        <w:rPr>
          <w:rFonts w:ascii="Cambria" w:cs="Cambria" w:eastAsia="Cambria" w:hAnsi="Cambria"/>
        </w:rPr>
        <w:t xml:space="preserve">Table 1 counts the numbered items of each part of the finished book, drawn from the catalogue of all statements in the sources after merging duplicates. Several results appear in two or three sources with different wording; the book states each once, in its most precise form, and cites every source.</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Content by field (Defs = definitions, exs = worked examples and counterexamples, conjs = conjectures).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22"/>
        <w:gridCol w:w="827"/>
        <w:gridCol w:w="827"/>
        <w:gridCol w:w="1654"/>
        <w:gridCol w:w="1551"/>
        <w:gridCol w:w="725"/>
      </w:tblGrid>
      <w:tr>
        <w:trPr>
          <w:tblHeader/>
        </w:trPr>
        <w:tc>
          <w:tcPr>
            <w:tcW w:type="dxa" w:w="372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Part and field</w:t>
            </w:r>
          </w:p>
        </w:tc>
        <w:tc>
          <w:tcPr>
            <w:tcW w:type="dxa" w:w="82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Ch.</w:t>
            </w:r>
          </w:p>
        </w:tc>
        <w:tc>
          <w:tcPr>
            <w:tcW w:type="dxa" w:w="82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Thms</w:t>
            </w:r>
          </w:p>
        </w:tc>
        <w:tc>
          <w:tcPr>
            <w:tcW w:type="dxa" w:w="165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Lemmas, props, cors</w:t>
            </w:r>
          </w:p>
        </w:tc>
        <w:tc>
          <w:tcPr>
            <w:tcW w:type="dxa" w:w="155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Defs, exs, conjs</w:t>
            </w:r>
          </w:p>
        </w:tc>
        <w:tc>
          <w:tcPr>
            <w:tcW w:type="dxa" w:w="72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New</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  Measure and probability</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II  Gaussian analysis and Bayesian statistics</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3–4</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22</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III  Linear algebra and convex geometry</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5–6</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22</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IV  Monte Carlo and martingales</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7–8</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  Asymptotic analysis</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9–10</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VI  Order theory and vector optimisation</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11–12</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VII  Convex analysis and nonlinear programming</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13–14</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VIII  Topology and geometric measure theory</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IX  Information, concentration and decision</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16–17</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X  Combinatorics, graphs and logic</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XI  Numerical analysis and dynamics</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Total</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36</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150</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43</w:t>
            </w:r>
          </w:p>
        </w:tc>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w:t>
            </w:r>
          </w:p>
        </w:tc>
      </w:tr>
    </w:tbl>
    <w:p>
      <w:pPr>
        <w:spacing w:after="60"/>
      </w:pPr>
    </w:p>
    <w:p>
      <w:pPr>
        <w:pStyle w:val="Heading1"/>
      </w:pPr>
      <w:r>
        <w:t xml:space="preserve">4  Bridges between fields</w:t>
      </w:r>
    </w:p>
    <w:p>
      <w:pPr>
        <w:spacing w:after="120" w:before="0" w:line="276"/>
        <w:jc w:val="both"/>
      </w:pPr>
      <w:r>
        <w:rPr>
          <w:rFonts w:ascii="Cambria" w:cs="Cambria" w:eastAsia="Cambria" w:hAnsi="Cambria"/>
        </w:rPr>
        <w:t xml:space="preserve">A result is a </w:t>
      </w:r>
      <w:r>
        <w:rPr>
          <w:rFonts w:ascii="Cambria" w:cs="Cambria" w:eastAsia="Cambria" w:hAnsi="Cambria"/>
          <w:i/>
          <w:iCs/>
        </w:rPr>
        <w:t xml:space="preserve">bridge</w:t>
      </w:r>
      <w:r>
        <w:rPr>
          <w:rFonts w:ascii="Cambria" w:cs="Cambria" w:eastAsia="Cambria" w:hAnsi="Cambria"/>
        </w:rPr>
        <w:t xml:space="preserve"> when its statement belongs to one field and its proof, or its use, belongs to another. The bridges are what make a field-by-field arrangement coherent: each part ends with the results that hand its objects to the next. Table 2 lists the principal bridges with their numbers in the book.</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Principal bridges between fields.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482"/>
        <w:gridCol w:w="3722"/>
      </w:tblGrid>
      <w:tr>
        <w:trPr>
          <w:tblHeader/>
        </w:trPr>
        <w:tc>
          <w:tcPr>
            <w:tcW w:type="dxa" w:w="310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Result (number in the book)</w:t>
            </w:r>
          </w:p>
        </w:tc>
        <w:tc>
          <w:tcPr>
            <w:tcW w:type="dxa" w:w="248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Fields joined</w:t>
            </w:r>
          </w:p>
        </w:tc>
        <w:tc>
          <w:tcPr>
            <w:tcW w:type="dxa" w:w="372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What crosses the bridge</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Gaussian retrieval as attention (Thm 5.1)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Gaussian analysis → linear algebra</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Expanding the Gaussian exponent turns a posterior mean into a softmax; every weight correction becomes a key bias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Tweedie’s identity (Prop 3.3) and the score step (Prop 19.6)</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Bayesian statistics → analysis → numerical analysis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posterior mean is a score; the deterministic proposal is a fractional score step towards it</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Gibbs variational principle (Thm 16.1)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Information theory → measure theory → optimisation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π</w:t>
            </w:r>
            <w:r>
              <w:rPr>
                <w:rFonts w:ascii="Cambria" w:cs="Cambria" w:eastAsia="Cambria" w:hAnsi="Cambria"/>
                <w:b w:val="false"/>
                <w:bCs w:val="false"/>
                <w:sz w:val="19"/>
                <w:szCs w:val="19"/>
                <w:vertAlign w:val="subscript"/>
              </w:rPr>
              <w:t xml:space="preserve">β</w:t>
            </w:r>
            <w:r>
              <w:rPr>
                <w:rFonts w:ascii="Cambria" w:cs="Cambria" w:eastAsia="Cambria" w:hAnsi="Cambria"/>
                <w:b w:val="false"/>
                <w:bCs w:val="false"/>
                <w:sz w:val="19"/>
                <w:szCs w:val="19"/>
              </w:rPr>
              <w:t xml:space="preserve"> uniquely minimises E</w:t>
            </w:r>
            <w:r>
              <w:rPr>
                <w:rFonts w:ascii="Cambria" w:cs="Cambria" w:eastAsia="Cambria" w:hAnsi="Cambria"/>
                <w:b w:val="false"/>
                <w:bCs w:val="false"/>
                <w:sz w:val="19"/>
                <w:szCs w:val="19"/>
                <w:vertAlign w:val="subscript"/>
              </w:rPr>
              <w:t xml:space="preserve">Q</w:t>
            </w:r>
            <w:r>
              <w:rPr>
                <w:rFonts w:ascii="Cambria" w:cs="Cambria" w:eastAsia="Cambria" w:hAnsi="Cambria"/>
                <w:b w:val="false"/>
                <w:bCs w:val="false"/>
                <w:sz w:val="19"/>
                <w:szCs w:val="19"/>
              </w:rPr>
              <w:t xml:space="preserve">[J] + β</w:t>
            </w:r>
            <w:r>
              <w:rPr>
                <w:rFonts w:ascii="Cambria" w:cs="Cambria" w:eastAsia="Cambria" w:hAnsi="Cambria"/>
                <w:b w:val="false"/>
                <w:bCs w:val="false"/>
                <w:sz w:val="19"/>
                <w:szCs w:val="19"/>
                <w:vertAlign w:val="superscript"/>
              </w:rPr>
              <w:t xml:space="preserve">−1</w:t>
            </w:r>
            <w:r>
              <w:rPr>
                <w:rFonts w:ascii="Cambria" w:cs="Cambria" w:eastAsia="Cambria" w:hAnsi="Cambria"/>
                <w:b w:val="false"/>
                <w:bCs w:val="false"/>
                <w:sz w:val="19"/>
                <w:szCs w:val="19"/>
              </w:rPr>
              <w:t xml:space="preserve">KL(Q ‖ μ)</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Temperature derivatives and Bregman form (Lemma 1.6, Prop 16.2)</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Analysis → information geometry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dE[J]/dβ = −Var J; KL between temperatures is the Bregman divergence of log Z</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Laplace shares (Thm 9.5)</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Asymptotic analysis → optimisation → statistics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Limiting mass of each minimiser ∝ ν det H</w:t>
            </w:r>
            <w:r>
              <w:rPr>
                <w:rFonts w:ascii="Cambria" w:cs="Cambria" w:eastAsia="Cambria" w:hAnsi="Cambria"/>
                <w:b w:val="false"/>
                <w:bCs w:val="false"/>
                <w:sz w:val="19"/>
                <w:szCs w:val="19"/>
                <w:vertAlign w:val="superscript"/>
              </w:rPr>
              <w:t xml:space="preserve">−1/2</w:t>
            </w:r>
            <w:r>
              <w:rPr>
                <w:rFonts w:ascii="Cambria" w:cs="Cambria" w:eastAsia="Cambria" w:hAnsi="Cambria"/>
                <w:b w:val="false"/>
                <w:bCs w:val="false"/>
                <w:sz w:val="19"/>
                <w:szCs w:val="19"/>
              </w:rPr>
              <w:t xml:space="preserve">; E[J] = J</w:t>
            </w:r>
            <w:r>
              <w:rPr>
                <w:rFonts w:ascii="Cambria" w:cs="Cambria" w:eastAsia="Cambria" w:hAnsi="Cambria"/>
                <w:b w:val="false"/>
                <w:bCs w:val="false"/>
                <w:sz w:val="19"/>
                <w:szCs w:val="19"/>
                <w:vertAlign w:val="superscript"/>
              </w:rPr>
              <w:t xml:space="preserve">*</w:t>
            </w:r>
            <w:r>
              <w:rPr>
                <w:rFonts w:ascii="Cambria" w:cs="Cambria" w:eastAsia="Cambria" w:hAnsi="Cambria"/>
                <w:b w:val="false"/>
                <w:bCs w:val="false"/>
                <w:sz w:val="19"/>
                <w:szCs w:val="19"/>
              </w:rPr>
              <w:t xml:space="preserve"> + D/2β + o(1/β)</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Half-space conditioning and its limit (Thm 4.5, Cor 4.6)</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Probability → convex analysis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truncated Gaussian mean tends to the Euclidean projection; the inverse Mills ratio controls the rate</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Non-expansive layers (Prop 13.2, Cor 13.3)</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Probability → convex analysis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normal derivative of a layer is a truncated-normal variance in (0, 1); in the Σ</w:t>
            </w:r>
            <w:r>
              <w:rPr>
                <w:rFonts w:ascii="Cambria" w:cs="Cambria" w:eastAsia="Cambria" w:hAnsi="Cambria"/>
                <w:b w:val="false"/>
                <w:bCs w:val="false"/>
                <w:sz w:val="19"/>
                <w:szCs w:val="19"/>
                <w:vertAlign w:val="superscript"/>
              </w:rPr>
              <w:t xml:space="preserve">−1</w:t>
            </w:r>
            <w:r>
              <w:rPr>
                <w:rFonts w:ascii="Cambria" w:cs="Cambria" w:eastAsia="Cambria" w:hAnsi="Cambria"/>
                <w:b w:val="false"/>
                <w:bCs w:val="false"/>
                <w:sz w:val="19"/>
                <w:szCs w:val="19"/>
              </w:rPr>
              <w:t xml:space="preserve"> metric for general covariance</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Chebyshev reachability (Thm 11.8)</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Order theory → convex analysis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From a strictly utopian reference every efficient vector minimises a weighted maximum</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Energy variance and effective sample size (Prop 11.13, Prop 16.4)</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Order theory → information → probability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 a uniform archive a balanced Chebyshev energy has one third of the weighted-sum variance, so equal β means weaker selection</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Pareto depth limit (Thm 12.5)</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Combinatorics → PDE → order theory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Longest dominance chains converge to the viscosity solution of ∂₁U⋯∂</w:t>
            </w:r>
            <w:r>
              <w:rPr>
                <w:rFonts w:ascii="Cambria" w:cs="Cambria" w:eastAsia="Cambria" w:hAnsi="Cambria"/>
                <w:b w:val="false"/>
                <w:bCs w:val="false"/>
                <w:sz w:val="19"/>
                <w:szCs w:val="19"/>
                <w:vertAlign w:val="subscript"/>
              </w:rPr>
              <w:t xml:space="preserve">M</w:t>
            </w:r>
            <w:r>
              <w:rPr>
                <w:rFonts w:ascii="Cambria" w:cs="Cambria" w:eastAsia="Cambria" w:hAnsi="Cambria"/>
                <w:b w:val="false"/>
                <w:bCs w:val="false"/>
                <w:sz w:val="19"/>
                <w:szCs w:val="19"/>
              </w:rPr>
              <w:t xml:space="preserve">U = g</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Conditional self-balancing (Prop 12.9, Conj 12.10)</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PDE → asymptotics → order theory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Linear growth of depth at the front plus a zero-set Laplace limit gives density ∝ g</w:t>
            </w:r>
            <w:r>
              <w:rPr>
                <w:rFonts w:ascii="Cambria" w:cs="Cambria" w:eastAsia="Cambria" w:hAnsi="Cambria"/>
                <w:b w:val="false"/>
                <w:bCs w:val="false"/>
                <w:sz w:val="19"/>
                <w:szCs w:val="19"/>
                <w:vertAlign w:val="superscript"/>
              </w:rPr>
              <w:t xml:space="preserve">−1/M</w:t>
            </w:r>
            <w:r>
              <w:rPr>
                <w:rFonts w:ascii="Cambria" w:cs="Cambria" w:eastAsia="Cambria" w:hAnsi="Cambria"/>
                <w:b w:val="false"/>
                <w:bCs w:val="false"/>
                <w:sz w:val="19"/>
                <w:szCs w:val="19"/>
              </w:rPr>
              <w:t xml:space="preserve"> on the front</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Decoder is the prior (Thm 2.2)</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Measure theory → design encodings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Choosing a decoder chooses the physical prior; no invertibility is needed</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Disconnected support (Thm 15.1)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Topology → measure theory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continuous surjection onto a disconnected domain; projection decoders create atoms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Band conditioning (Prop 15.5)</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Geometric measure theory → probability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Conditioning on |h| ≤ δ gives density ∝ p/|∇h| on {h = 0}: the residual chooses the prior</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Laplace limits on zero sets (Thm 9.7, Thm 9.8)</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Asymptotics → differential geometry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Tubular coordinates and homogeneous profiles give limits Γ(1 + k/p) vol{ℓ ≤ 1}</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Conditional integration and consistency (Lemma 7.4, Thm 8.1)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Martingales → concentration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Predictable proposals make weighted sums martingales; Azuma gives finite-sample rates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Freedman-type bound (Thm 8.11)</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Martingales → concentration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Variance proxy B·Z</w:t>
            </w:r>
            <w:r>
              <w:rPr>
                <w:rFonts w:ascii="Cambria" w:cs="Cambria" w:eastAsia="Cambria" w:hAnsi="Cambria"/>
                <w:b w:val="false"/>
                <w:bCs w:val="false"/>
                <w:sz w:val="19"/>
                <w:szCs w:val="19"/>
                <w:vertAlign w:val="subscript"/>
              </w:rPr>
              <w:t xml:space="preserve">2β</w:t>
            </w:r>
            <w:r>
              <w:rPr>
                <w:rFonts w:ascii="Cambria" w:cs="Cambria" w:eastAsia="Cambria" w:hAnsi="Cambria"/>
                <w:b w:val="false"/>
                <w:bCs w:val="false"/>
                <w:sz w:val="19"/>
                <w:szCs w:val="19"/>
              </w:rPr>
              <w:t xml:space="preserve"> replaces the worst case, so the sample size scales with B instead of B²</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Conic Carathéodory (Prop 14.4)</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Convex geometry → optimisation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KKT certificate compresses to at most d</w:t>
            </w:r>
            <w:r>
              <w:rPr>
                <w:rFonts w:ascii="Cambria" w:cs="Cambria" w:eastAsia="Cambria" w:hAnsi="Cambria"/>
                <w:b w:val="false"/>
                <w:bCs w:val="false"/>
                <w:sz w:val="19"/>
                <w:szCs w:val="19"/>
                <w:vertAlign w:val="subscript"/>
              </w:rPr>
              <w:t xml:space="preserve">a</w:t>
            </w:r>
            <w:r>
              <w:rPr>
                <w:rFonts w:ascii="Cambria" w:cs="Cambria" w:eastAsia="Cambria" w:hAnsi="Cambria"/>
                <w:b w:val="false"/>
                <w:bCs w:val="false"/>
                <w:sz w:val="19"/>
                <w:szCs w:val="19"/>
              </w:rPr>
              <w:t xml:space="preserve"> active normals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Chained digests (Thm 18.9)</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Graph theory → cryptography → logic</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digest chained through parents changes exactly when the node or an ancestor changes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Design effect (Prop 17.6)</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Survey sampling → concentration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Counting rollouts as independent gives coverage Φ(√(2 log(1/δ)/(σ²·DEFF))), independent of the number of projects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Re-selection (Prop 6.12)</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Linear algebra → dynamics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concentrated read decodes to an archive member: denoising on one-hot keys re-selects</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One-hot plurality (Prop 5.14)</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Linear algebra → combinatorics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argmax of averaged one-hot representatives is a plurality vote, not a categorical draw</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Markov representation (Prop 2.14)</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Probability → systems theory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sufficient and closed state makes the agent trajectory a Markov chain; compaction can break sufficiency</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Measurement weights (Props 4.8–4.10)</w:t>
            </w:r>
          </w:p>
        </w:tc>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Statistics → probability</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Normal MGFs and χ² Laplace transforms; shared critic error survives any number of repetitions</w:t>
            </w:r>
          </w:p>
        </w:tc>
      </w:tr>
    </w:tbl>
    <w:p>
      <w:pPr>
        <w:spacing w:after="60"/>
      </w:pPr>
    </w:p>
    <w:p>
      <w:pPr>
        <w:pStyle w:val="Heading1"/>
      </w:pPr>
      <w:r>
        <w:t xml:space="preserve">5  Dependency structure and reading paths</w:t>
      </w:r>
    </w:p>
    <w:p>
      <w:pPr>
        <w:spacing w:after="120" w:before="0" w:line="276"/>
        <w:jc w:val="both"/>
      </w:pPr>
      <w:r>
        <w:rPr>
          <w:rFonts w:ascii="Cambria" w:cs="Cambria" w:eastAsia="Cambria" w:hAnsi="Cambria"/>
        </w:rPr>
        <w:t xml:space="preserve">Figure 2 shows the cross-references between parts, computed from the text of the book: a solid arrow from A to B means that a statement or proof in B cites a result of A, and a dashed arrow that only a remark or an example does. The definitions of Part I are used everywhere and are not drawn. Parts I and II feed most of the logical dependencies; Part VI is where asymptotics (Part V) and information (Part IX) meet order theory; Part XI draws on Parts II, III and X. The two forward references in proofs — Part IV citing the Laplace limits of Part V, and Part VI citing the effective sample size of Part IX — are to self-contained statements.</w:t>
      </w:r>
    </w:p>
    <w:p>
      <w:pPr>
        <w:keepNext/>
        <w:spacing w:after="60" w:before="120"/>
        <w:jc w:val="center"/>
      </w:pPr>
      <w:r>
        <w:drawing>
          <wp:inline distT="0" distB="0" distL="0" distR="0">
            <wp:extent cx="5715000" cy="3533775"/>
            <wp:effectExtent t="0" r="0" b="0" l="0"/>
            <wp:docPr id="1" name="xref.png" descr="xref.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33775"/>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2.</w:t>
      </w:r>
      <w:r>
        <w:rPr>
          <w:rFonts w:ascii="Cambria" w:cs="Cambria" w:eastAsia="Cambria" w:hAnsi="Cambria"/>
          <w:sz w:val="19"/>
          <w:szCs w:val="19"/>
        </w:rPr>
        <w:t xml:space="preserve"> Cross-references between parts, computed from the book. Solid: cited in a statement or proof; dashed: cited only in a remark or example. Arrows from a later part to an earlier one are forward references.</w:t>
      </w:r>
    </w:p>
    <w:p>
      <w:pPr>
        <w:spacing w:after="120" w:before="0" w:line="276"/>
        <w:jc w:val="both"/>
      </w:pPr>
      <w:r>
        <w:rPr>
          <w:rFonts w:ascii="Cambria" w:cs="Cambria" w:eastAsia="Cambria" w:hAnsi="Cambria"/>
        </w:rPr>
        <w:t xml:space="preserve">Four reading paths serve different readers. The </w:t>
      </w:r>
      <w:r>
        <w:rPr>
          <w:rFonts w:ascii="Cambria" w:cs="Cambria" w:eastAsia="Cambria" w:hAnsi="Cambria"/>
          <w:b/>
          <w:bCs/>
        </w:rPr>
        <w:t xml:space="preserve">probabilist’s path</w:t>
      </w:r>
      <w:r>
        <w:rPr>
          <w:rFonts w:ascii="Cambria" w:cs="Cambria" w:eastAsia="Cambria" w:hAnsi="Cambria"/>
        </w:rPr>
        <w:t xml:space="preserve"> is I → II → IV → V → IX: measures, Gaussian conditioning, martingale estimators, Laplace limits and concentration. The </w:t>
      </w:r>
      <w:r>
        <w:rPr>
          <w:rFonts w:ascii="Cambria" w:cs="Cambria" w:eastAsia="Cambria" w:hAnsi="Cambria"/>
          <w:b/>
          <w:bCs/>
        </w:rPr>
        <w:t xml:space="preserve">optimiser’s path</w:t>
      </w:r>
      <w:r>
        <w:rPr>
          <w:rFonts w:ascii="Cambria" w:cs="Cambria" w:eastAsia="Cambria" w:hAnsi="Cambria"/>
        </w:rPr>
        <w:t xml:space="preserve"> is I → V → VI → VII → VIII: Gibbs limits, Pareto orders, scalarisations, projections, certificates and the topology of mixed domains. The </w:t>
      </w:r>
      <w:r>
        <w:rPr>
          <w:rFonts w:ascii="Cambria" w:cs="Cambria" w:eastAsia="Cambria" w:hAnsi="Cambria"/>
          <w:b/>
          <w:bCs/>
        </w:rPr>
        <w:t xml:space="preserve">attention theorist’s path</w:t>
      </w:r>
      <w:r>
        <w:rPr>
          <w:rFonts w:ascii="Cambria" w:cs="Cambria" w:eastAsia="Cambria" w:hAnsi="Cambria"/>
        </w:rPr>
        <w:t xml:space="preserve"> is II → III → XI, with Chapter 7: the identity, its linear algebra, its dynamics and its estimator. The </w:t>
      </w:r>
      <w:r>
        <w:rPr>
          <w:rFonts w:ascii="Cambria" w:cs="Cambria" w:eastAsia="Cambria" w:hAnsi="Cambria"/>
          <w:b/>
          <w:bCs/>
        </w:rPr>
        <w:t xml:space="preserve">verification path</w:t>
      </w:r>
      <w:r>
        <w:rPr>
          <w:rFonts w:ascii="Cambria" w:cs="Cambria" w:eastAsia="Cambria" w:hAnsi="Cambria"/>
        </w:rPr>
        <w:t xml:space="preserve"> is I → IV → IX → X: what an estimate means, how admission is decided and how records and releases are kept sound.</w:t>
      </w:r>
    </w:p>
    <w:p>
      <w:pPr>
        <w:pStyle w:val="Heading1"/>
      </w:pPr>
      <w:r>
        <w:t xml:space="preserve">6  Corrections adopted</w:t>
      </w:r>
    </w:p>
    <w:p>
      <w:pPr>
        <w:spacing w:after="120" w:before="0" w:line="276"/>
        <w:jc w:val="both"/>
      </w:pPr>
      <w:r>
        <w:rPr>
          <w:rFonts w:ascii="Cambria" w:cs="Cambria" w:eastAsia="Cambria" w:hAnsi="Cambria"/>
        </w:rPr>
        <w:t xml:space="preserve">A mathematics book cannot carry two versions of a theorem. The revisions of October 2026 corrected a number of first-version statements, and the book adopts the corrected forms. Table 3 records all twenty-one, so that a reader of the earlier papers knows which statement to trust; the book marks each as a corrected form and lists them again in its Appendix D.</w:t>
      </w:r>
    </w:p>
    <w:p>
      <w:pPr>
        <w:keepNext/>
        <w:spacing w:after="80" w:before="120"/>
      </w:pPr>
      <w:r>
        <w:rPr>
          <w:rFonts w:ascii="Cambria" w:cs="Cambria" w:eastAsia="Cambria" w:hAnsi="Cambria"/>
          <w:b/>
          <w:bCs/>
          <w:sz w:val="20"/>
          <w:szCs w:val="20"/>
        </w:rPr>
        <w:t xml:space="preserve">Table 3.</w:t>
      </w:r>
      <w:r>
        <w:rPr>
          <w:rFonts w:ascii="Cambria" w:cs="Cambria" w:eastAsia="Cambria" w:hAnsi="Cambria"/>
          <w:sz w:val="20"/>
          <w:szCs w:val="20"/>
        </w:rPr>
        <w:t xml:space="preserve"> First-version statements and the forms adopted.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895"/>
        <w:gridCol w:w="4550"/>
      </w:tblGrid>
      <w:tr>
        <w:trPr>
          <w:tblHeader/>
        </w:trPr>
        <w:tc>
          <w:tcPr>
            <w:tcW w:type="dxa" w:w="186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Topic</w:t>
            </w:r>
          </w:p>
        </w:tc>
        <w:tc>
          <w:tcPr>
            <w:tcW w:type="dxa" w:w="289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Earlier statement</w:t>
            </w:r>
          </w:p>
        </w:tc>
        <w:tc>
          <w:tcPr>
            <w:tcW w:type="dxa" w:w="455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Form adopted (number in the book)</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Novelty of the proposal</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Everything new enters through noise or residual extrapolation</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With η = 1 the deterministic part is a convex combination with the origin; with η = 0 it expands about the origin (Prop 19.4)</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Chebyshev reference</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log minimum as ideal point reaches every Pareto point</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strictly utopian reference is required; the ideal point fails at efficient points attaining it (Thm 11.8, Prop 11.9)</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Penalties and constrained dominance</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Multiplicative penalties recover the constrained order as λ → ∞</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Only additive penalties do; a multiplicative one can reverse it for every λ (Prop 10.6)</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Span projection</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Continuous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Jumps at every gap midpoint and creates endpoint atoms (Thm 15.1)</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Snapped records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Snapping keeps importance estimates valid</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Raw latents are required; snapping bias is a conditional Jensen gap (Thm 7.15, Prop 2.9)</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Deterministic steps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importance weight exists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Inside a defensive mixture the Radon–Nikodym derivative exists and is zero on the atom (Prop 7.5)</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Infinite weight variance</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For s² &lt; ½</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For s² ≤ ½ and J bounded above; false for coercive losses (Prop 7.6)</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Consistency of retrieval</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 every layer and every query</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 fixed queries; uniformly on compact domains, which covers adaptive queries (Cor 8.2, Prop 8.3)</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Feasible concentration</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Compactness and continuity suffice</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prior must charge every sublevel set; otherwise the target can concentrate away from the minimiser (Thm 9.3, Ex 9.4)</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De-duplication</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Restores a prior over distinct designs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Changes the proposal geometry, not the declared target (Prop 18.5)</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Annealing schedule</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Proved on ℝ</w:t>
            </w:r>
            <w:r>
              <w:rPr>
                <w:rFonts w:ascii="Cambria" w:cs="Cambria" w:eastAsia="Cambria" w:hAnsi="Cambria"/>
                <w:b w:val="false"/>
                <w:bCs w:val="false"/>
                <w:sz w:val="19"/>
                <w:szCs w:val="19"/>
                <w:vertAlign w:val="superscript"/>
              </w:rPr>
              <w:t xml:space="preserve">D</w:t>
            </w:r>
            <w:r>
              <w:rPr>
                <w:rFonts w:ascii="Cambria" w:cs="Cambria" w:eastAsia="Cambria" w:hAnsi="Cambria"/>
                <w:b w:val="false"/>
                <w:bCs w:val="false"/>
                <w:sz w:val="19"/>
                <w:szCs w:val="19"/>
              </w:rPr>
              <w:t xml:space="preserve"> with bounded loss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Requires compactness for the loss gap (Thm 8.6)</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Active constraints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stack needs at most d</w:t>
            </w:r>
            <w:r>
              <w:rPr>
                <w:rFonts w:ascii="Cambria" w:cs="Cambria" w:eastAsia="Cambria" w:hAnsi="Cambria"/>
                <w:b w:val="false"/>
                <w:bCs w:val="false"/>
                <w:sz w:val="19"/>
                <w:szCs w:val="19"/>
                <w:vertAlign w:val="subscript"/>
              </w:rPr>
              <w:t xml:space="preserve">a</w:t>
            </w:r>
            <w:r>
              <w:rPr>
                <w:rFonts w:ascii="Cambria" w:cs="Cambria" w:eastAsia="Cambria" w:hAnsi="Cambria"/>
                <w:b w:val="false"/>
                <w:bCs w:val="false"/>
                <w:sz w:val="19"/>
                <w:szCs w:val="19"/>
              </w:rPr>
              <w:t xml:space="preserve"> near-active layers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bound counts exactly active constraints at a regular minimiser only (Prop 14.3)</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Growing objectives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Non-dominated designs stay non-dominated</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Except through ties on all old objectives (Thm 11.14)</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Mixed fronts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union of at most |𝒞| pieces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ND of the union under compactness; the number of components is unbounded (Thm 11.16, Prop 15.3)</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Recurring designs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Only in purely discrete problems</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Atoms from projection, clipping and repair create repeats (Prop 15.4)</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Segment correction</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Shift by the log-mean of e</w:t>
            </w:r>
            <w:r>
              <w:rPr>
                <w:rFonts w:ascii="Cambria" w:cs="Cambria" w:eastAsia="Cambria" w:hAnsi="Cambria"/>
                <w:b w:val="false"/>
                <w:bCs w:val="false"/>
                <w:sz w:val="19"/>
                <w:szCs w:val="19"/>
                <w:vertAlign w:val="superscript"/>
              </w:rPr>
              <w:t xml:space="preserve">b</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 only for equal baseline masses; C = log(Σm</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e</w:t>
            </w:r>
            <w:r>
              <w:rPr>
                <w:rFonts w:ascii="Cambria" w:cs="Cambria" w:eastAsia="Cambria" w:hAnsi="Cambria"/>
                <w:b w:val="false"/>
                <w:bCs w:val="false"/>
                <w:sz w:val="19"/>
                <w:szCs w:val="19"/>
                <w:vertAlign w:val="superscript"/>
              </w:rPr>
              <w:t xml:space="preserve">b_j</w:t>
            </w:r>
            <w:r>
              <w:rPr>
                <w:rFonts w:ascii="Cambria" w:cs="Cambria" w:eastAsia="Cambria" w:hAnsi="Cambria"/>
                <w:b w:val="false"/>
                <w:bCs w:val="false"/>
                <w:sz w:val="19"/>
                <w:szCs w:val="19"/>
              </w:rPr>
              <w:t xml:space="preserve">/M) is exact (Thm 5.12)</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Projected writes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blocked Gibbs sweep</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Only an idealised layer drawing exact conditionals is one (Thm 2.11, Cor 2.12)</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Chart overlap</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Conflict is overlap</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Overlap permits interaction and does not imply conflict (Prop 6.6)</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Evaluation grid 2</w:t>
            </w:r>
            <w:r>
              <w:rPr>
                <w:rFonts w:ascii="Cambria" w:cs="Cambria" w:eastAsia="Cambria" w:hAnsi="Cambria"/>
                <w:b w:val="false"/>
                <w:bCs w:val="false"/>
                <w:sz w:val="19"/>
                <w:szCs w:val="19"/>
                <w:vertAlign w:val="superscript"/>
              </w:rPr>
              <w:t xml:space="preserve">i</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evaluation at σ̄ ≥ 1/√2</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Exactly one, at t = T/2 (Prop 19.8)</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Late fusion gates</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Fixed gates γ</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 = λ</w:t>
            </w:r>
            <w:r>
              <w:rPr>
                <w:rFonts w:ascii="Cambria" w:cs="Cambria" w:eastAsia="Cambria" w:hAnsi="Cambria"/>
                <w:b w:val="false"/>
                <w:bCs w:val="false"/>
                <w:sz w:val="19"/>
                <w:szCs w:val="19"/>
                <w:vertAlign w:val="subscript"/>
              </w:rPr>
              <w:t xml:space="preserve">j</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Evidence gates λ</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L</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(q)/Σλ</w:t>
            </w:r>
            <w:r>
              <w:rPr>
                <w:rFonts w:ascii="Cambria" w:cs="Cambria" w:eastAsia="Cambria" w:hAnsi="Cambria"/>
                <w:b w:val="false"/>
                <w:bCs w:val="false"/>
                <w:sz w:val="19"/>
                <w:szCs w:val="19"/>
                <w:vertAlign w:val="subscript"/>
              </w:rPr>
              <w:t xml:space="preserve">l</w:t>
            </w:r>
            <w:r>
              <w:rPr>
                <w:rFonts w:ascii="Cambria" w:cs="Cambria" w:eastAsia="Cambria" w:hAnsi="Cambria"/>
                <w:b w:val="false"/>
                <w:bCs w:val="false"/>
                <w:sz w:val="19"/>
                <w:szCs w:val="19"/>
              </w:rPr>
              <w:t xml:space="preserve">L</w:t>
            </w:r>
            <w:r>
              <w:rPr>
                <w:rFonts w:ascii="Cambria" w:cs="Cambria" w:eastAsia="Cambria" w:hAnsi="Cambria"/>
                <w:b w:val="false"/>
                <w:bCs w:val="false"/>
                <w:sz w:val="19"/>
                <w:szCs w:val="19"/>
                <w:vertAlign w:val="subscript"/>
              </w:rPr>
              <w:t xml:space="preserve">l</w:t>
            </w:r>
            <w:r>
              <w:rPr>
                <w:rFonts w:ascii="Cambria" w:cs="Cambria" w:eastAsia="Cambria" w:hAnsi="Cambria"/>
                <w:b w:val="false"/>
                <w:bCs w:val="false"/>
                <w:sz w:val="19"/>
                <w:szCs w:val="19"/>
              </w:rPr>
              <w:t xml:space="preserve">(q); fixed gates only in the pure-noise limit (Thm 3.10, Cor 3.11)</w:t>
            </w:r>
          </w:p>
        </w:tc>
      </w:tr>
      <w:tr>
        <w:trPr>
          <w:cantSplit/>
        </w:trPr>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Shared critic error</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Repetition removes noise</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shared component survives: the residual factor tends to e</w:t>
            </w:r>
            <w:r>
              <w:rPr>
                <w:rFonts w:ascii="Cambria" w:cs="Cambria" w:eastAsia="Cambria" w:hAnsi="Cambria"/>
                <w:b w:val="false"/>
                <w:bCs w:val="false"/>
                <w:sz w:val="19"/>
                <w:szCs w:val="19"/>
                <w:vertAlign w:val="superscript"/>
              </w:rPr>
              <w:t xml:space="preserve">β²σ²ρ/2</w:t>
            </w:r>
            <w:r>
              <w:rPr>
                <w:rFonts w:ascii="Cambria" w:cs="Cambria" w:eastAsia="Cambria" w:hAnsi="Cambria"/>
                <w:b w:val="false"/>
                <w:bCs w:val="false"/>
                <w:sz w:val="19"/>
                <w:szCs w:val="19"/>
              </w:rPr>
              <w:t xml:space="preserve"> (Prop 4.10)</w:t>
            </w:r>
          </w:p>
        </w:tc>
      </w:tr>
    </w:tbl>
    <w:p>
      <w:pPr>
        <w:spacing w:after="60"/>
      </w:pPr>
    </w:p>
    <w:p>
      <w:pPr>
        <w:pStyle w:val="Heading1"/>
      </w:pPr>
      <w:r>
        <w:t xml:space="preserve">7  Results first stated in the book</w:t>
      </w:r>
    </w:p>
    <w:p>
      <w:pPr>
        <w:spacing w:after="120" w:before="0" w:line="276"/>
        <w:jc w:val="both"/>
      </w:pPr>
      <w:r>
        <w:rPr>
          <w:rFonts w:ascii="Cambria" w:cs="Cambria" w:eastAsia="Cambria" w:hAnsi="Cambria"/>
        </w:rPr>
        <w:t xml:space="preserve">Assembling the mathematics by field exposed gaps that are small enough to close in the book itself. Each new result below was checked numerically before it was written down; the checks are part of the verification record, not of the book’s text.</w:t>
      </w:r>
    </w:p>
    <w:p>
      <w:pPr>
        <w:keepNext/>
        <w:spacing w:after="80" w:before="120"/>
      </w:pPr>
      <w:r>
        <w:rPr>
          <w:rFonts w:ascii="Cambria" w:cs="Cambria" w:eastAsia="Cambria" w:hAnsi="Cambria"/>
          <w:b/>
          <w:bCs/>
          <w:sz w:val="20"/>
          <w:szCs w:val="20"/>
        </w:rPr>
        <w:t xml:space="preserve">Table 4.</w:t>
      </w:r>
      <w:r>
        <w:rPr>
          <w:rFonts w:ascii="Cambria" w:cs="Cambria" w:eastAsia="Cambria" w:hAnsi="Cambria"/>
          <w:sz w:val="20"/>
          <w:szCs w:val="20"/>
        </w:rPr>
        <w:t xml:space="preserve"> New results and their checks.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75"/>
        <w:gridCol w:w="4446"/>
        <w:gridCol w:w="2585"/>
      </w:tblGrid>
      <w:tr>
        <w:trPr>
          <w:tblHeader/>
        </w:trPr>
        <w:tc>
          <w:tcPr>
            <w:tcW w:type="dxa" w:w="227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Number</w:t>
            </w:r>
          </w:p>
        </w:tc>
        <w:tc>
          <w:tcPr>
            <w:tcW w:type="dxa" w:w="444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Statement (informal)</w:t>
            </w:r>
          </w:p>
        </w:tc>
        <w:tc>
          <w:tcPr>
            <w:tcW w:type="dxa" w:w="258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Check</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 6.12 re-selection; Cor 6.13 reach</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If the last read puts mass ≥ 1 − ε on one archived one-hot key and (1 − ρ)(1 − 2ε) &gt; ρ·max osc(z), the decoded configuration is that key’s</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 violations in 3,793 random cases meeting the condition, and in 2,930 more for the book</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Thm 8.11 Freedman-type bound</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With probability ≥ 1 − 4exp(−Nu²/(2B(Z</w:t>
            </w:r>
            <w:r>
              <w:rPr>
                <w:rFonts w:ascii="Cambria" w:cs="Cambria" w:eastAsia="Cambria" w:hAnsi="Cambria"/>
                <w:b w:val="false"/>
                <w:bCs w:val="false"/>
                <w:sz w:val="19"/>
                <w:szCs w:val="19"/>
                <w:vertAlign w:val="subscript"/>
              </w:rPr>
              <w:t xml:space="preserve">2β</w:t>
            </w:r>
            <w:r>
              <w:rPr>
                <w:rFonts w:ascii="Cambria" w:cs="Cambria" w:eastAsia="Cambria" w:hAnsi="Cambria"/>
                <w:b w:val="false"/>
                <w:bCs w:val="false"/>
                <w:sz w:val="19"/>
                <w:szCs w:val="19"/>
              </w:rPr>
              <w:t xml:space="preserve"> + 2u/3))), |π</w:t>
            </w:r>
            <w:r>
              <w:rPr>
                <w:rFonts w:ascii="Cambria" w:cs="Cambria" w:eastAsia="Cambria" w:hAnsi="Cambria"/>
                <w:b w:val="false"/>
                <w:bCs w:val="false"/>
                <w:sz w:val="19"/>
                <w:szCs w:val="19"/>
                <w:vertAlign w:val="subscript"/>
              </w:rPr>
              <w:t xml:space="preserve">N</w:t>
            </w:r>
            <w:r>
              <w:rPr>
                <w:rFonts w:ascii="Cambria" w:cs="Cambria" w:eastAsia="Cambria" w:hAnsi="Cambria"/>
                <w:b w:val="false"/>
                <w:bCs w:val="false"/>
                <w:sz w:val="19"/>
                <w:szCs w:val="19"/>
              </w:rPr>
              <w:t xml:space="preserve">(h) − π</w:t>
            </w:r>
            <w:r>
              <w:rPr>
                <w:rFonts w:ascii="Cambria" w:cs="Cambria" w:eastAsia="Cambria" w:hAnsi="Cambria"/>
                <w:b w:val="false"/>
                <w:bCs w:val="false"/>
                <w:sz w:val="19"/>
                <w:szCs w:val="19"/>
                <w:vertAlign w:val="subscript"/>
              </w:rPr>
              <w:t xml:space="preserve">β</w:t>
            </w:r>
            <w:r>
              <w:rPr>
                <w:rFonts w:ascii="Cambria" w:cs="Cambria" w:eastAsia="Cambria" w:hAnsi="Cambria"/>
                <w:b w:val="false"/>
                <w:bCs w:val="false"/>
                <w:sz w:val="19"/>
                <w:szCs w:val="19"/>
              </w:rPr>
              <w:t xml:space="preserve">(h)| ≤ 2Hu/(Z</w:t>
            </w:r>
            <w:r>
              <w:rPr>
                <w:rFonts w:ascii="Cambria" w:cs="Cambria" w:eastAsia="Cambria" w:hAnsi="Cambria"/>
                <w:b w:val="false"/>
                <w:bCs w:val="false"/>
                <w:sz w:val="19"/>
                <w:szCs w:val="19"/>
                <w:vertAlign w:val="subscript"/>
              </w:rPr>
              <w:t xml:space="preserve">β</w:t>
            </w:r>
            <w:r>
              <w:rPr>
                <w:rFonts w:ascii="Cambria" w:cs="Cambria" w:eastAsia="Cambria" w:hAnsi="Cambria"/>
                <w:b w:val="false"/>
                <w:bCs w:val="false"/>
                <w:sz w:val="19"/>
                <w:szCs w:val="19"/>
              </w:rPr>
              <w:t xml:space="preserve"> − u); the sample size scales with B, not B²</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One-dimensional defensive mixture, B = 10, u = 0.03: about 45,500 attempts for 95% against 3.90 million under Azuma; at N = 40,000 the bound (0.042) held (0, 0 and 1 exceedances in three sets of 1,000 runs)</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Thm 9.8 p-homogeneous zero-set limit</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Profiles ℓ</w:t>
            </w:r>
            <w:r>
              <w:rPr>
                <w:rFonts w:ascii="Cambria" w:cs="Cambria" w:eastAsia="Cambria" w:hAnsi="Cambria"/>
                <w:b w:val="false"/>
                <w:bCs w:val="false"/>
                <w:sz w:val="19"/>
                <w:szCs w:val="19"/>
                <w:vertAlign w:val="subscript"/>
              </w:rPr>
              <w:t xml:space="preserve">s</w:t>
            </w:r>
            <w:r>
              <w:rPr>
                <w:rFonts w:ascii="Cambria" w:cs="Cambria" w:eastAsia="Cambria" w:hAnsi="Cambria"/>
                <w:b w:val="false"/>
                <w:bCs w:val="false"/>
                <w:sz w:val="19"/>
                <w:szCs w:val="19"/>
              </w:rPr>
              <w:t xml:space="preserve">(tv) = t</w:t>
            </w:r>
            <w:r>
              <w:rPr>
                <w:rFonts w:ascii="Cambria" w:cs="Cambria" w:eastAsia="Cambria" w:hAnsi="Cambria"/>
                <w:b w:val="false"/>
                <w:bCs w:val="false"/>
                <w:sz w:val="19"/>
                <w:szCs w:val="19"/>
                <w:vertAlign w:val="superscript"/>
              </w:rPr>
              <w:t xml:space="preserve">p</w:t>
            </w:r>
            <w:r>
              <w:rPr>
                <w:rFonts w:ascii="Cambria" w:cs="Cambria" w:eastAsia="Cambria" w:hAnsi="Cambria"/>
                <w:b w:val="false"/>
                <w:bCs w:val="false"/>
                <w:sz w:val="19"/>
                <w:szCs w:val="19"/>
              </w:rPr>
              <w:t xml:space="preserve">ℓ</w:t>
            </w:r>
            <w:r>
              <w:rPr>
                <w:rFonts w:ascii="Cambria" w:cs="Cambria" w:eastAsia="Cambria" w:hAnsi="Cambria"/>
                <w:b w:val="false"/>
                <w:bCs w:val="false"/>
                <w:sz w:val="19"/>
                <w:szCs w:val="19"/>
                <w:vertAlign w:val="subscript"/>
              </w:rPr>
              <w:t xml:space="preserve">s</w:t>
            </w:r>
            <w:r>
              <w:rPr>
                <w:rFonts w:ascii="Cambria" w:cs="Cambria" w:eastAsia="Cambria" w:hAnsi="Cambria"/>
                <w:b w:val="false"/>
                <w:bCs w:val="false"/>
                <w:sz w:val="19"/>
                <w:szCs w:val="19"/>
              </w:rPr>
              <w:t xml:space="preserve">(v) give the limit density ∝ μJ Γ(1 + k/p) vol{ℓ</w:t>
            </w:r>
            <w:r>
              <w:rPr>
                <w:rFonts w:ascii="Cambria" w:cs="Cambria" w:eastAsia="Cambria" w:hAnsi="Cambria"/>
                <w:b w:val="false"/>
                <w:bCs w:val="false"/>
                <w:sz w:val="19"/>
                <w:szCs w:val="19"/>
                <w:vertAlign w:val="subscript"/>
              </w:rPr>
              <w:t xml:space="preserve">s</w:t>
            </w:r>
            <w:r>
              <w:rPr>
                <w:rFonts w:ascii="Cambria" w:cs="Cambria" w:eastAsia="Cambria" w:hAnsi="Cambria"/>
                <w:b w:val="false"/>
                <w:bCs w:val="false"/>
                <w:sz w:val="19"/>
                <w:szCs w:val="19"/>
              </w:rPr>
              <w:t xml:space="preserve"> ≤ 1}</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L¹ errors decaying like β</w:t>
            </w:r>
            <w:r>
              <w:rPr>
                <w:rFonts w:ascii="Cambria" w:cs="Cambria" w:eastAsia="Cambria" w:hAnsi="Cambria"/>
                <w:b w:val="false"/>
                <w:bCs w:val="false"/>
                <w:sz w:val="19"/>
                <w:szCs w:val="19"/>
                <w:vertAlign w:val="superscript"/>
              </w:rPr>
              <w:t xml:space="preserve">−2/p</w:t>
            </w:r>
            <w:r>
              <w:rPr>
                <w:rFonts w:ascii="Cambria" w:cs="Cambria" w:eastAsia="Cambria" w:hAnsi="Cambria"/>
                <w:b w:val="false"/>
                <w:bCs w:val="false"/>
                <w:sz w:val="19"/>
                <w:szCs w:val="19"/>
              </w:rPr>
              <w:t xml:space="preserve">: 6.5 × 10</w:t>
            </w:r>
            <w:r>
              <w:rPr>
                <w:rFonts w:ascii="Cambria" w:cs="Cambria" w:eastAsia="Cambria" w:hAnsi="Cambria"/>
                <w:b w:val="false"/>
                <w:bCs w:val="false"/>
                <w:sz w:val="19"/>
                <w:szCs w:val="19"/>
                <w:vertAlign w:val="superscript"/>
              </w:rPr>
              <w:t xml:space="preserve">−4</w:t>
            </w:r>
            <w:r>
              <w:rPr>
                <w:rFonts w:ascii="Cambria" w:cs="Cambria" w:eastAsia="Cambria" w:hAnsi="Cambria"/>
                <w:b w:val="false"/>
                <w:bCs w:val="false"/>
                <w:sz w:val="19"/>
                <w:szCs w:val="19"/>
              </w:rPr>
              <w:t xml:space="preserve">, 8.2 × 10</w:t>
            </w:r>
            <w:r>
              <w:rPr>
                <w:rFonts w:ascii="Cambria" w:cs="Cambria" w:eastAsia="Cambria" w:hAnsi="Cambria"/>
                <w:b w:val="false"/>
                <w:bCs w:val="false"/>
                <w:sz w:val="19"/>
                <w:szCs w:val="19"/>
                <w:vertAlign w:val="superscript"/>
              </w:rPr>
              <w:t xml:space="preserve">−5</w:t>
            </w:r>
            <w:r>
              <w:rPr>
                <w:rFonts w:ascii="Cambria" w:cs="Cambria" w:eastAsia="Cambria" w:hAnsi="Cambria"/>
                <w:b w:val="false"/>
                <w:bCs w:val="false"/>
                <w:sz w:val="19"/>
                <w:szCs w:val="19"/>
              </w:rPr>
              <w:t xml:space="preserve">, 1.0 × 10</w:t>
            </w:r>
            <w:r>
              <w:rPr>
                <w:rFonts w:ascii="Cambria" w:cs="Cambria" w:eastAsia="Cambria" w:hAnsi="Cambria"/>
                <w:b w:val="false"/>
                <w:bCs w:val="false"/>
                <w:sz w:val="19"/>
                <w:szCs w:val="19"/>
                <w:vertAlign w:val="superscript"/>
              </w:rPr>
              <w:t xml:space="preserve">−5</w:t>
            </w:r>
            <w:r>
              <w:rPr>
                <w:rFonts w:ascii="Cambria" w:cs="Cambria" w:eastAsia="Cambria" w:hAnsi="Cambria"/>
                <w:b w:val="false"/>
                <w:bCs w:val="false"/>
                <w:sz w:val="19"/>
                <w:szCs w:val="19"/>
              </w:rPr>
              <w:t xml:space="preserve"> at β = 50, 400, 3,200 for p = 2; 1.55 × 10</w:t>
            </w:r>
            <w:r>
              <w:rPr>
                <w:rFonts w:ascii="Cambria" w:cs="Cambria" w:eastAsia="Cambria" w:hAnsi="Cambria"/>
                <w:b w:val="false"/>
                <w:bCs w:val="false"/>
                <w:sz w:val="19"/>
                <w:szCs w:val="19"/>
                <w:vertAlign w:val="superscript"/>
              </w:rPr>
              <w:t xml:space="preserve">−3</w:t>
            </w:r>
            <w:r>
              <w:rPr>
                <w:rFonts w:ascii="Cambria" w:cs="Cambria" w:eastAsia="Cambria" w:hAnsi="Cambria"/>
                <w:b w:val="false"/>
                <w:bCs w:val="false"/>
                <w:sz w:val="19"/>
                <w:szCs w:val="19"/>
              </w:rPr>
              <w:t xml:space="preserve">, 9.9 × 10</w:t>
            </w:r>
            <w:r>
              <w:rPr>
                <w:rFonts w:ascii="Cambria" w:cs="Cambria" w:eastAsia="Cambria" w:hAnsi="Cambria"/>
                <w:b w:val="false"/>
                <w:bCs w:val="false"/>
                <w:sz w:val="19"/>
                <w:szCs w:val="19"/>
                <w:vertAlign w:val="superscript"/>
              </w:rPr>
              <w:t xml:space="preserve">−5</w:t>
            </w:r>
            <w:r>
              <w:rPr>
                <w:rFonts w:ascii="Cambria" w:cs="Cambria" w:eastAsia="Cambria" w:hAnsi="Cambria"/>
                <w:b w:val="false"/>
                <w:bCs w:val="false"/>
                <w:sz w:val="19"/>
                <w:szCs w:val="19"/>
              </w:rPr>
              <w:t xml:space="preserve">, 6.2 × 10</w:t>
            </w:r>
            <w:r>
              <w:rPr>
                <w:rFonts w:ascii="Cambria" w:cs="Cambria" w:eastAsia="Cambria" w:hAnsi="Cambria"/>
                <w:b w:val="false"/>
                <w:bCs w:val="false"/>
                <w:sz w:val="19"/>
                <w:szCs w:val="19"/>
                <w:vertAlign w:val="superscript"/>
              </w:rPr>
              <w:t xml:space="preserve">−6</w:t>
            </w:r>
            <w:r>
              <w:rPr>
                <w:rFonts w:ascii="Cambria" w:cs="Cambria" w:eastAsia="Cambria" w:hAnsi="Cambria"/>
                <w:b w:val="false"/>
                <w:bCs w:val="false"/>
                <w:sz w:val="19"/>
                <w:szCs w:val="19"/>
              </w:rPr>
              <w:t xml:space="preserve"> at β = 10, 20, 40 for p = ½</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Cor 13.3 Mahalanobis non-expansiveness</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half-space layer with covariance s²Σ is 1-Lipschitz in ‖·‖</w:t>
            </w:r>
            <w:r>
              <w:rPr>
                <w:rFonts w:ascii="Cambria" w:cs="Cambria" w:eastAsia="Cambria" w:hAnsi="Cambria"/>
                <w:b w:val="false"/>
                <w:bCs w:val="false"/>
                <w:sz w:val="19"/>
                <w:szCs w:val="19"/>
                <w:vertAlign w:val="subscript"/>
              </w:rPr>
              <w:t xml:space="preserve">Σ^{−1}</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Largest ratio 1.000 in 20,000 random cases; the Euclidean ratio reached 3.66</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 16.2 and Cor 16.3</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KL(π</w:t>
            </w:r>
            <w:r>
              <w:rPr>
                <w:rFonts w:ascii="Cambria" w:cs="Cambria" w:eastAsia="Cambria" w:hAnsi="Cambria"/>
                <w:b w:val="false"/>
                <w:bCs w:val="false"/>
                <w:sz w:val="19"/>
                <w:szCs w:val="19"/>
                <w:vertAlign w:val="subscript"/>
              </w:rPr>
              <w:t xml:space="preserve">β</w:t>
            </w:r>
            <w:r>
              <w:rPr>
                <w:rFonts w:ascii="Cambria" w:cs="Cambria" w:eastAsia="Cambria" w:hAnsi="Cambria"/>
                <w:b w:val="false"/>
                <w:bCs w:val="false"/>
                <w:sz w:val="19"/>
                <w:szCs w:val="19"/>
              </w:rPr>
              <w:t xml:space="preserve"> ‖ π</w:t>
            </w:r>
            <w:r>
              <w:rPr>
                <w:rFonts w:ascii="Cambria" w:cs="Cambria" w:eastAsia="Cambria" w:hAnsi="Cambria"/>
                <w:b w:val="false"/>
                <w:bCs w:val="false"/>
                <w:sz w:val="19"/>
                <w:szCs w:val="19"/>
                <w:vertAlign w:val="subscript"/>
              </w:rPr>
              <w:t xml:space="preserve">β′</w:t>
            </w:r>
            <w:r>
              <w:rPr>
                <w:rFonts w:ascii="Cambria" w:cs="Cambria" w:eastAsia="Cambria" w:hAnsi="Cambria"/>
                <w:b w:val="false"/>
                <w:bCs w:val="false"/>
                <w:sz w:val="19"/>
                <w:szCs w:val="19"/>
              </w:rPr>
              <w:t xml:space="preserve">) is the Bregman divergence of log Z; TV ≤ |β′ − β| osc(J)/4</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Identity to 1.7 × 10</w:t>
            </w:r>
            <w:r>
              <w:rPr>
                <w:rFonts w:ascii="Cambria" w:cs="Cambria" w:eastAsia="Cambria" w:hAnsi="Cambria"/>
                <w:b w:val="false"/>
                <w:bCs w:val="false"/>
                <w:sz w:val="19"/>
                <w:szCs w:val="19"/>
                <w:vertAlign w:val="superscript"/>
              </w:rPr>
              <w:t xml:space="preserve">−16</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 16.4 effective sample size</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ESS/n → exp(−β² Var</w:t>
            </w:r>
            <w:r>
              <w:rPr>
                <w:rFonts w:ascii="Cambria" w:cs="Cambria" w:eastAsia="Cambria" w:hAnsi="Cambria"/>
                <w:b w:val="false"/>
                <w:bCs w:val="false"/>
                <w:sz w:val="19"/>
                <w:szCs w:val="19"/>
                <w:vertAlign w:val="subscript"/>
              </w:rPr>
              <w:t xml:space="preserve">ξ</w:t>
            </w:r>
            <w:r>
              <w:rPr>
                <w:rFonts w:ascii="Cambria" w:cs="Cambria" w:eastAsia="Cambria" w:hAnsi="Cambria"/>
                <w:b w:val="false"/>
                <w:bCs w:val="false"/>
                <w:sz w:val="19"/>
                <w:szCs w:val="19"/>
              </w:rPr>
              <w:t xml:space="preserve">(g)) for some ξ ∈ (0, 2β)</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 limit formula to 10</w:t>
            </w:r>
            <w:r>
              <w:rPr>
                <w:rFonts w:ascii="Cambria" w:cs="Cambria" w:eastAsia="Cambria" w:hAnsi="Cambria"/>
                <w:b w:val="false"/>
                <w:bCs w:val="false"/>
                <w:sz w:val="19"/>
                <w:szCs w:val="19"/>
                <w:vertAlign w:val="superscript"/>
              </w:rPr>
              <w:t xml:space="preserve">−15</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 11.13 energy variance</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For uniform archives Var max(aU, bV) = a²/12 + b³/6a − b²/6 − b⁴/36a²; one third of the weighted-sum variance at balance</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Four preferences, 4 × 10⁶ draws, agreement to 10</w:t>
            </w:r>
            <w:r>
              <w:rPr>
                <w:rFonts w:ascii="Cambria" w:cs="Cambria" w:eastAsia="Cambria" w:hAnsi="Cambria"/>
                <w:b w:val="false"/>
                <w:bCs w:val="false"/>
                <w:sz w:val="19"/>
                <w:szCs w:val="19"/>
                <w:vertAlign w:val="superscript"/>
              </w:rPr>
              <w:t xml:space="preserve">−5</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 17.8 Berry–Esseen accuracy</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design-effect coverage formula is accurate to O(1/√P) with Shevtsova’s constant</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Proof by citation; the formula itself was within 0.006 in four designs</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 12.9 conditional self-balancing</w:t>
            </w:r>
          </w:p>
        </w:tc>
        <w:tc>
          <w:tcPr>
            <w:tcW w:type="dxa" w:w="4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If depth grows linearly off the front, the dominance target’s density on the front is ∝ (Πν</w:t>
            </w:r>
            <w:r>
              <w:rPr>
                <w:rFonts w:ascii="Cambria" w:cs="Cambria" w:eastAsia="Cambria" w:hAnsi="Cambria"/>
                <w:b w:val="false"/>
                <w:bCs w:val="false"/>
                <w:sz w:val="19"/>
                <w:szCs w:val="19"/>
                <w:vertAlign w:val="subscript"/>
              </w:rPr>
              <w:t xml:space="preserve">m</w:t>
            </w:r>
            <w:r>
              <w:rPr>
                <w:rFonts w:ascii="Cambria" w:cs="Cambria" w:eastAsia="Cambria" w:hAnsi="Cambria"/>
                <w:b w:val="false"/>
                <w:bCs w:val="false"/>
                <w:sz w:val="19"/>
                <w:szCs w:val="19"/>
              </w:rPr>
              <w:t xml:space="preserve">)</w:t>
            </w:r>
            <w:r>
              <w:rPr>
                <w:rFonts w:ascii="Cambria" w:cs="Cambria" w:eastAsia="Cambria" w:hAnsi="Cambria"/>
                <w:b w:val="false"/>
                <w:bCs w:val="false"/>
                <w:sz w:val="19"/>
                <w:szCs w:val="19"/>
                <w:vertAlign w:val="superscript"/>
              </w:rPr>
              <w:t xml:space="preserve">1/M</w:t>
            </w:r>
            <w:r>
              <w:rPr>
                <w:rFonts w:ascii="Cambria" w:cs="Cambria" w:eastAsia="Cambria" w:hAnsi="Cambria"/>
                <w:b w:val="false"/>
                <w:bCs w:val="false"/>
                <w:sz w:val="19"/>
                <w:szCs w:val="19"/>
              </w:rPr>
              <w:t xml:space="preserve"> g</w:t>
            </w:r>
            <w:r>
              <w:rPr>
                <w:rFonts w:ascii="Cambria" w:cs="Cambria" w:eastAsia="Cambria" w:hAnsi="Cambria"/>
                <w:b w:val="false"/>
                <w:bCs w:val="false"/>
                <w:sz w:val="19"/>
                <w:szCs w:val="19"/>
                <w:vertAlign w:val="superscript"/>
              </w:rPr>
              <w:t xml:space="preserve">−1/M</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Mean longest chains over 30 samples near a straight front: 60.9, 124.1, 249.1 against the predicted 63.2, 126.5, 253.0</w:t>
            </w:r>
          </w:p>
        </w:tc>
      </w:tr>
    </w:tbl>
    <w:p>
      <w:pPr>
        <w:spacing w:after="60"/>
      </w:pPr>
    </w:p>
    <w:p>
      <w:pPr>
        <w:pStyle w:val="Heading1"/>
      </w:pPr>
      <w:r>
        <w:t xml:space="preserve">8  Conjectures and open problems</w:t>
      </w:r>
    </w:p>
    <w:p>
      <w:pPr>
        <w:spacing w:after="120" w:before="0" w:line="276"/>
        <w:jc w:val="both"/>
      </w:pPr>
      <w:r>
        <w:rPr>
          <w:rFonts w:ascii="Cambria" w:cs="Cambria" w:eastAsia="Cambria" w:hAnsi="Cambria"/>
        </w:rPr>
        <w:t xml:space="preserve">The book separates conjectures (precise statements with evidence) from open problems (questions whose right formulation is part of the work).</w:t>
      </w:r>
    </w:p>
    <w:p>
      <w:pPr>
        <w:pStyle w:val="ListParagraph"/>
        <w:numPr>
          <w:ilvl w:val="0"/>
          <w:numId w:val="2"/>
        </w:numPr>
        <w:spacing w:after="60" w:line="264"/>
        <w:jc w:val="both"/>
      </w:pPr>
      <w:r>
        <w:rPr>
          <w:rFonts w:ascii="Cambria" w:cs="Cambria" w:eastAsia="Cambria" w:hAnsi="Cambria"/>
          <w:b/>
          <w:bCs/>
        </w:rPr>
        <w:t xml:space="preserve">Conjecture 1 (self-balancing; Conj 12.10).</w:t>
      </w:r>
      <w:r>
        <w:rPr>
          <w:rFonts w:ascii="Cambria" w:cs="Cambria" w:eastAsia="Cambria" w:hAnsi="Cambria"/>
        </w:rPr>
        <w:t xml:space="preserve"> The Pareto depth U is C¹ up to a C² front with normal derivative (g/Πν</w:t>
      </w:r>
      <w:r>
        <w:rPr>
          <w:rFonts w:ascii="Cambria" w:cs="Cambria" w:eastAsia="Cambria" w:hAnsi="Cambria"/>
          <w:vertAlign w:val="subscript"/>
        </w:rPr>
        <w:t xml:space="preserve">m</w:t>
      </w:r>
      <w:r>
        <w:rPr>
          <w:rFonts w:ascii="Cambria" w:cs="Cambria" w:eastAsia="Cambria" w:hAnsi="Cambria"/>
        </w:rPr>
        <w:t xml:space="preserve">)</w:t>
      </w:r>
      <w:r>
        <w:rPr>
          <w:rFonts w:ascii="Cambria" w:cs="Cambria" w:eastAsia="Cambria" w:hAnsi="Cambria"/>
          <w:vertAlign w:val="superscript"/>
        </w:rPr>
        <w:t xml:space="preserve">1/M</w:t>
      </w:r>
      <w:r>
        <w:rPr>
          <w:rFonts w:ascii="Cambria" w:cs="Cambria" w:eastAsia="Cambria" w:hAnsi="Cambria"/>
        </w:rPr>
        <w:t xml:space="preserve">; consequently the dominance-rank target’s limiting density on the front is proportional to ρ</w:t>
      </w:r>
      <w:r>
        <w:rPr>
          <w:rFonts w:ascii="Cambria" w:cs="Cambria" w:eastAsia="Cambria" w:hAnsi="Cambria"/>
          <w:vertAlign w:val="subscript"/>
        </w:rPr>
        <w:t xml:space="preserve">F</w:t>
      </w:r>
      <w:r>
        <w:rPr>
          <w:rFonts w:ascii="Cambria" w:cs="Cambria" w:eastAsia="Cambria" w:hAnsi="Cambria"/>
        </w:rPr>
        <w:t xml:space="preserve">(Πν</w:t>
      </w:r>
      <w:r>
        <w:rPr>
          <w:rFonts w:ascii="Cambria" w:cs="Cambria" w:eastAsia="Cambria" w:hAnsi="Cambria"/>
          <w:vertAlign w:val="subscript"/>
        </w:rPr>
        <w:t xml:space="preserve">m</w:t>
      </w:r>
      <w:r>
        <w:rPr>
          <w:rFonts w:ascii="Cambria" w:cs="Cambria" w:eastAsia="Cambria" w:hAnsi="Cambria"/>
        </w:rPr>
        <w:t xml:space="preserve">)</w:t>
      </w:r>
      <w:r>
        <w:rPr>
          <w:rFonts w:ascii="Cambria" w:cs="Cambria" w:eastAsia="Cambria" w:hAnsi="Cambria"/>
          <w:vertAlign w:val="superscript"/>
        </w:rPr>
        <w:t xml:space="preserve">1/M</w:t>
      </w:r>
      <w:r>
        <w:rPr>
          <w:rFonts w:ascii="Cambria" w:cs="Cambria" w:eastAsia="Cambria" w:hAnsi="Cambria"/>
        </w:rPr>
        <w:t xml:space="preserve">g</w:t>
      </w:r>
      <w:r>
        <w:rPr>
          <w:rFonts w:ascii="Cambria" w:cs="Cambria" w:eastAsia="Cambria" w:hAnsi="Cambria"/>
          <w:vertAlign w:val="superscript"/>
        </w:rPr>
        <w:t xml:space="preserve">−1/M</w:t>
      </w:r>
      <w:r>
        <w:rPr>
          <w:rFonts w:ascii="Cambria" w:cs="Cambria" w:eastAsia="Cambria" w:hAnsi="Cambria"/>
        </w:rPr>
        <w:t xml:space="preserve">, which builds diversity pressure into the rank. For M = 2 this is the exponent −1/2 of the first version of </w:t>
      </w:r>
      <w:r>
        <w:rPr>
          <w:rFonts w:ascii="Cambria" w:cs="Cambria" w:eastAsia="Cambria" w:hAnsi="Cambria"/>
          <w:i/>
          <w:iCs/>
        </w:rPr>
        <w:t xml:space="preserve">The Geometry of Fusion</w:t>
      </w:r>
      <w:r>
        <w:rPr>
          <w:rFonts w:ascii="Cambria" w:cs="Cambria" w:eastAsia="Cambria" w:hAnsi="Cambria"/>
        </w:rPr>
        <w:t xml:space="preserve">. (Part VI; evidence from simulated chain lengths.)</w:t>
      </w:r>
    </w:p>
    <w:p>
      <w:pPr>
        <w:pStyle w:val="ListParagraph"/>
        <w:numPr>
          <w:ilvl w:val="0"/>
          <w:numId w:val="2"/>
        </w:numPr>
        <w:spacing w:after="60" w:line="264"/>
        <w:jc w:val="both"/>
      </w:pPr>
      <w:r>
        <w:rPr>
          <w:rFonts w:ascii="Cambria" w:cs="Cambria" w:eastAsia="Cambria" w:hAnsi="Cambria"/>
          <w:b/>
          <w:bCs/>
        </w:rPr>
        <w:t xml:space="preserve">Conjecture 2 (adaptive Pareto depth; Conj 12.11).</w:t>
      </w:r>
      <w:r>
        <w:rPr>
          <w:rFonts w:ascii="Cambria" w:cs="Cambria" w:eastAsia="Cambria" w:hAnsi="Cambria"/>
        </w:rPr>
        <w:t xml:space="preserve"> The depth limit extends from independent reference samples to an adaptive log, with g replaced by a time-averaged proposal density, under a mixing condition. (Part VI.)</w:t>
      </w:r>
    </w:p>
    <w:p>
      <w:pPr>
        <w:pStyle w:val="ListParagraph"/>
        <w:numPr>
          <w:ilvl w:val="0"/>
          <w:numId w:val="2"/>
        </w:numPr>
        <w:spacing w:after="60" w:line="264"/>
        <w:jc w:val="both"/>
      </w:pPr>
      <w:r>
        <w:rPr>
          <w:rFonts w:ascii="Cambria" w:cs="Cambria" w:eastAsia="Cambria" w:hAnsi="Cambria"/>
          <w:b/>
          <w:bCs/>
        </w:rPr>
        <w:t xml:space="preserve">Conjecture 3 (balance-heuristic consistency; Conj 8.13).</w:t>
      </w:r>
      <w:r>
        <w:rPr>
          <w:rFonts w:ascii="Cambria" w:cs="Cambria" w:eastAsia="Cambria" w:hAnsi="Cambria"/>
        </w:rPr>
        <w:t xml:space="preserve"> Self-normalised estimators that divide by the running average of all past proposal densities are strongly consistent under the defensive condition. (Part IV.)</w:t>
      </w:r>
    </w:p>
    <w:p>
      <w:pPr>
        <w:pStyle w:val="ListParagraph"/>
        <w:numPr>
          <w:ilvl w:val="0"/>
          <w:numId w:val="2"/>
        </w:numPr>
        <w:spacing w:after="60" w:line="264"/>
        <w:jc w:val="both"/>
      </w:pPr>
      <w:r>
        <w:rPr>
          <w:rFonts w:ascii="Cambria" w:cs="Cambria" w:eastAsia="Cambria" w:hAnsi="Cambria"/>
          <w:b/>
          <w:bCs/>
        </w:rPr>
        <w:t xml:space="preserve">Conjecture 4 (re-linearised layers; Conj 13.11).</w:t>
      </w:r>
      <w:r>
        <w:rPr>
          <w:rFonts w:ascii="Cambria" w:cs="Cambria" w:eastAsia="Cambria" w:hAnsi="Cambria"/>
        </w:rPr>
        <w:t xml:space="preserve"> For constraints with L-Lipschitz gradients, a re-linearised half-space layer applied with a curvature margin is (1 + O(Ls))-Lipschitz on the region where the margin holds. (Part VII.)</w:t>
      </w:r>
    </w:p>
    <w:p>
      <w:pPr>
        <w:pStyle w:val="ListParagraph"/>
        <w:numPr>
          <w:ilvl w:val="0"/>
          <w:numId w:val="2"/>
        </w:numPr>
        <w:spacing w:after="60" w:line="264"/>
        <w:jc w:val="both"/>
      </w:pPr>
      <w:r>
        <w:rPr>
          <w:rFonts w:ascii="Cambria" w:cs="Cambria" w:eastAsia="Cambria" w:hAnsi="Cambria"/>
          <w:b/>
          <w:bCs/>
        </w:rPr>
        <w:t xml:space="preserve">Conjecture 5 (adaptive queries on ℝ</w:t>
      </w:r>
      <w:r>
        <w:rPr>
          <w:rFonts w:ascii="Cambria" w:cs="Cambria" w:eastAsia="Cambria" w:hAnsi="Cambria"/>
          <w:b/>
          <w:bCs/>
          <w:vertAlign w:val="superscript"/>
        </w:rPr>
        <w:t xml:space="preserve">D</w:t>
      </w:r>
      <w:r>
        <w:rPr>
          <w:rFonts w:ascii="Cambria" w:cs="Cambria" w:eastAsia="Cambria" w:hAnsi="Cambria"/>
          <w:b/>
          <w:bCs/>
        </w:rPr>
        <w:t xml:space="preserve">; Conj 8.14).</w:t>
      </w:r>
      <w:r>
        <w:rPr>
          <w:rFonts w:ascii="Cambria" w:cs="Cambria" w:eastAsia="Cambria" w:hAnsi="Cambria"/>
        </w:rPr>
        <w:t xml:space="preserve"> Retrieval estimates converge along adaptive query sequences on ℝ</w:t>
      </w:r>
      <w:r>
        <w:rPr>
          <w:rFonts w:ascii="Cambria" w:cs="Cambria" w:eastAsia="Cambria" w:hAnsi="Cambria"/>
          <w:vertAlign w:val="superscript"/>
        </w:rPr>
        <w:t xml:space="preserve">D</w:t>
      </w:r>
      <w:r>
        <w:rPr>
          <w:rFonts w:ascii="Cambria" w:cs="Cambria" w:eastAsia="Cambria" w:hAnsi="Cambria"/>
        </w:rPr>
        <w:t xml:space="preserve"> when the prior has Gaussian tails and the queries remain in balls whose radius grows slower than √(log N). (Part IV.)</w:t>
      </w:r>
    </w:p>
    <w:p>
      <w:pPr>
        <w:pStyle w:val="ListParagraph"/>
        <w:numPr>
          <w:ilvl w:val="0"/>
          <w:numId w:val="2"/>
        </w:numPr>
        <w:spacing w:after="60" w:line="264"/>
        <w:jc w:val="both"/>
      </w:pPr>
      <w:r>
        <w:rPr>
          <w:rFonts w:ascii="Cambria" w:cs="Cambria" w:eastAsia="Cambria" w:hAnsi="Cambria"/>
          <w:b/>
          <w:bCs/>
        </w:rPr>
        <w:t xml:space="preserve">Conjecture 6 (matched selection pressure; Conj 16.5).</w:t>
      </w:r>
      <w:r>
        <w:rPr>
          <w:rFonts w:ascii="Cambria" w:cs="Cambria" w:eastAsia="Cambria" w:hAnsi="Cambria"/>
        </w:rPr>
        <w:t xml:space="preserve"> For bounded energies on a fixed archive, choosing β for each scalarisation so that the effective sample sizes agree makes the parent laws agree to second order in β; the Chebyshev-to-weighted-sum temperature ratio needed, for balanced preferences on uniform archives, is √3 at small β and falls towards √2 at large β. (Parts VI and IX; the second-order statement is proved in the book, the claim about search behaviour is the conjecture.)</w:t>
      </w:r>
    </w:p>
    <w:p>
      <w:pPr>
        <w:pStyle w:val="ListParagraph"/>
        <w:numPr>
          <w:ilvl w:val="0"/>
          <w:numId w:val="2"/>
        </w:numPr>
        <w:spacing w:after="60" w:line="264"/>
        <w:jc w:val="both"/>
      </w:pPr>
      <w:r>
        <w:rPr>
          <w:rFonts w:ascii="Cambria" w:cs="Cambria" w:eastAsia="Cambria" w:hAnsi="Cambria"/>
          <w:b/>
          <w:bCs/>
        </w:rPr>
        <w:t xml:space="preserve">Open problems.</w:t>
      </w:r>
      <w:r>
        <w:rPr>
          <w:rFonts w:ascii="Cambria" w:cs="Cambria" w:eastAsia="Cambria" w:hAnsi="Cambria"/>
        </w:rPr>
        <w:t xml:space="preserve"> Data-dependent temperatures with uniform control; noisy losses inside the likelihood; a rule for the defensive share ε; optimal evaluation grids in noise scale; prompt selection by Hausdorff excess; why cone ranks improve attention geometry away from the weak edge.</w:t>
      </w:r>
    </w:p>
    <w:p>
      <w:pPr>
        <w:pStyle w:val="Heading1"/>
      </w:pPr>
      <w:r>
        <w:t xml:space="preserve">9  Chapter plan</w:t>
      </w:r>
    </w:p>
    <w:p>
      <w:pPr>
        <w:spacing w:after="120" w:before="0" w:line="276"/>
        <w:jc w:val="both"/>
      </w:pPr>
      <w:r>
        <w:rPr>
          <w:rFonts w:ascii="Cambria" w:cs="Cambria" w:eastAsia="Cambria" w:hAnsi="Cambria"/>
        </w:rPr>
        <w:t xml:space="preserve">Each chapter opens with a short statement of what it proves, then gives definitions, results with proofs, worked examples and counterexamples, notes on sources and exercises. Results are numbered in one sequence per chapter (Definition 5.1, Theorem 5.2, …); equations as (5.1); exercises separately.</w:t>
      </w:r>
    </w:p>
    <w:p>
      <w:pPr>
        <w:keepNext/>
        <w:spacing w:after="80" w:before="120"/>
      </w:pPr>
      <w:r>
        <w:rPr>
          <w:rFonts w:ascii="Cambria" w:cs="Cambria" w:eastAsia="Cambria" w:hAnsi="Cambria"/>
          <w:b/>
          <w:bCs/>
          <w:sz w:val="20"/>
          <w:szCs w:val="20"/>
        </w:rPr>
        <w:t xml:space="preserve">Table 5.</w:t>
      </w:r>
      <w:r>
        <w:rPr>
          <w:rFonts w:ascii="Cambria" w:cs="Cambria" w:eastAsia="Cambria" w:hAnsi="Cambria"/>
          <w:sz w:val="20"/>
          <w:szCs w:val="20"/>
        </w:rPr>
        <w:t xml:space="preserve"> Parts, chapters and principal results.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54"/>
        <w:gridCol w:w="2688"/>
        <w:gridCol w:w="4964"/>
      </w:tblGrid>
      <w:tr>
        <w:trPr>
          <w:tblHeader/>
        </w:trPr>
        <w:tc>
          <w:tcPr>
            <w:tcW w:type="dxa" w:w="165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Part</w:t>
            </w:r>
          </w:p>
        </w:tc>
        <w:tc>
          <w:tcPr>
            <w:tcW w:type="dxa" w:w="268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Chapter</w:t>
            </w:r>
          </w:p>
        </w:tc>
        <w:tc>
          <w:tcPr>
            <w:tcW w:type="dxa" w:w="496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Principal results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 Measure and probability</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 Gibbs Targets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Existence and gates; temperature derivatives; re-tempering; score transforms; products of experts; raw mixtures as reweighted mixtures; selection coverage; monotone incumbent</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 Pushforwards, Conditional Expectation and Markov Structure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Decoder is the prior; L² optimality of representatives; argmax means; self-consistency; snapping as Jensen gap; invariance of exact block updates; Markov representation of sufficient states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II Gaussian analysis</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 The Gaussian Observation Model</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Existence of the origin mean; Tweedie; noise limits; two-point law; query-dependent normaliser; logit variance; chart and power posteriors; mixture denoiser with evidence gates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 Tilting, Truncation and Measurement</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Truncated moments; Mills bounds; linear tilt; half-space conditioning and its projection limit; screening; measurement weights; probit laws; sampled parents; spread of a step; random features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III Attention geometry</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 Retrieval as Attention</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identity and its corollaries; bias calculus; rescoring; segment reweighting; exact mass-preserving correction; one-hot plurality; branch-conditional reads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 Convexity, Lipschitz Geometry and Charts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Hull ceiling; Jacobian as covariance; Lipschitz bound; local re-establishment; chart envelopes; certified gating; random spans; re-selection (new)</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IV Monte Carlo</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 Importance Weights under Predictable Proposals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Conditional integration; singular steps; infinite variance; component labels; inverse-probability inclusion; truncation; prompts; re-tempering; occupancy sums; raw-latent weights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 Consistency, Uniformity and Coverage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Strong consistency with rates; fixed and compact queries; uniformity in preference and temperature; annealing; frozen archives; coverage; Freedman-type bound (new)</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 Asymptotics</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 Concentration of Gibbs Measures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Near-optimal sets; feasible concentration and its counterexample; Laplace shares; concave fronts; zero-set limits (1-homogeneous and p-homogeneous, new); lexicographic composites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 Penalties and Limits of Targets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Total-variation penalty limits; rate K/κ; failure of simultaneous limits; exact local penalties; penalties and orders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VI Order theory</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 Dominance Orders and Scalarisations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Constrained dominance; group maps; rank bias; weighted sums; normalisation; range compression; Chebyshev reachability; compliance; cone dominance; energy variance (new); extension; configuration fronts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 Pareto Metrics, Depth and Random Dominance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IGD⁺; transfer bound; pairwise dominance; maxima recursion; Pareto depth limit; weak Pareto zero set; frozen ranks; absorbing end points; conditional self-balancing (new); conjectures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VII Convex analysis</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 Projections, Non-expansive Layers and Screening</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Non-expansive layers (Mahalanobis form new); stack screening; order dependence and Dykstra; curvature margins; Lipschitz intervals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 Stationarity, Duality and Certificates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Convex KKT and duality; active subspaces; conic Carathéodory; tangent descent and release; quadratic families; finite reductions; certified bounds; beam critical loads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VIII Topology and GMT</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 Connectedness, Atoms and Manifolds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Disconnected support; support-quantile decoders; fronts with many components; atoms and recurrence; band conditioning by the coarea formula</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IX Information and concentration</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 Information</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Gibbs variational principle; Bregman form between temperatures and TV bound (new); effective sample size (new); entropy witnesses; mutual information and its null level</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17 Concentration and Admission</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Simultaneous Hoeffding admission; anytime allocation; evaluator discrepancy; empirical Bernstein and crossover; design effect and Berry–Esseen accuracy (new); Fréchet bounds; zero failures; wrong release</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X Discrete mathematics</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18 Counting, Dependency Graphs and the Logic of Release</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Simplex lattices; evaluation counts; code-induced laws; maxima recursion; memoisation; invalidation; chained digests; release soundness</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XI Numerical analysis</w:t>
            </w:r>
          </w:p>
        </w:tc>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 The Proposal Map and its Schedules</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Radicand and coefficient signs; convex interpolation; novelty channels; identity steps; score-step form; displacement identity; cosine grids; log-sum-exp; stable Mills ratios; random-feature cost</w:t>
            </w:r>
          </w:p>
        </w:tc>
      </w:tr>
    </w:tbl>
    <w:p>
      <w:pPr>
        <w:spacing w:after="60"/>
      </w:pPr>
    </w:p>
    <w:p>
      <w:pPr>
        <w:spacing w:after="120" w:before="0" w:line="276"/>
        <w:jc w:val="both"/>
      </w:pPr>
      <w:r>
        <w:rPr>
          <w:rFonts w:ascii="Cambria" w:cs="Cambria" w:eastAsia="Cambria" w:hAnsi="Cambria"/>
          <w:b/>
          <w:bCs/>
        </w:rPr>
        <w:t xml:space="preserve">Front matter:</w:t>
      </w:r>
      <w:r>
        <w:rPr>
          <w:rFonts w:ascii="Cambria" w:cs="Cambria" w:eastAsia="Cambria" w:hAnsi="Cambria"/>
        </w:rPr>
        <w:t xml:space="preserve"> half-title, title page, copyright, contents, preface, how to use the book (with Figures 1 and 2), curriculum, notation and standing conventions, source codes. </w:t>
      </w:r>
      <w:r>
        <w:rPr>
          <w:rFonts w:ascii="Cambria" w:cs="Cambria" w:eastAsia="Cambria" w:hAnsi="Cambria"/>
          <w:b/>
          <w:bCs/>
        </w:rPr>
        <w:t xml:space="preserve">Back matter:</w:t>
      </w:r>
      <w:r>
        <w:rPr>
          <w:rFonts w:ascii="Cambria" w:cs="Cambria" w:eastAsia="Cambria" w:hAnsi="Cambria"/>
        </w:rPr>
        <w:t xml:space="preserve"> Appendix A, classical results used without proof, with references; Appendix B, a register of every numbered result with field, source and status; Appendix C, conjectures and open problems; Appendix D, corrections adopted; Appendix E, hints to selected exercises; bibliography; index of results by field and keyword; index of notation.</w:t>
      </w:r>
    </w:p>
    <w:p>
      <w:pPr>
        <w:pStyle w:val="Heading1"/>
      </w:pPr>
      <w:r>
        <w:t xml:space="preserve">10  Curriculum</w:t>
      </w:r>
    </w:p>
    <w:p>
      <w:pPr>
        <w:spacing w:after="120" w:before="0" w:line="276"/>
        <w:jc w:val="both"/>
      </w:pPr>
      <w:r>
        <w:rPr>
          <w:rFonts w:ascii="Cambria" w:cs="Cambria" w:eastAsia="Cambria" w:hAnsi="Cambria"/>
        </w:rPr>
        <w:t xml:space="preserve">The book supports three course formats. Prerequisites for all three are measure-theoretic probability at the level of conditional expectation and martingales, linear algebra with spectral norms and projectors, and basic convex analysis; Chapter 1 and Appendix A fill small gaps.</w:t>
      </w:r>
    </w:p>
    <w:p>
      <w:pPr>
        <w:keepNext/>
        <w:spacing w:after="80" w:before="120"/>
      </w:pPr>
      <w:r>
        <w:rPr>
          <w:rFonts w:ascii="Cambria" w:cs="Cambria" w:eastAsia="Cambria" w:hAnsi="Cambria"/>
          <w:b/>
          <w:bCs/>
          <w:sz w:val="20"/>
          <w:szCs w:val="20"/>
        </w:rPr>
        <w:t xml:space="preserve">Table 6.</w:t>
      </w:r>
      <w:r>
        <w:rPr>
          <w:rFonts w:ascii="Cambria" w:cs="Cambria" w:eastAsia="Cambria" w:hAnsi="Cambria"/>
          <w:sz w:val="20"/>
          <w:szCs w:val="20"/>
        </w:rPr>
        <w:t xml:space="preserve"> A fourteen-week graduate course (three hours a week).</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14"/>
        <w:gridCol w:w="1280"/>
        <w:gridCol w:w="5351"/>
        <w:gridCol w:w="1861"/>
      </w:tblGrid>
      <w:tr>
        <w:trPr>
          <w:tblHeader/>
        </w:trPr>
        <w:tc>
          <w:tcPr>
            <w:tcW w:type="dxa" w:w="81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Week</w:t>
            </w:r>
          </w:p>
        </w:tc>
        <w:tc>
          <w:tcPr>
            <w:tcW w:type="dxa" w:w="128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Chapters</w:t>
            </w:r>
          </w:p>
        </w:tc>
        <w:tc>
          <w:tcPr>
            <w:tcW w:type="dxa" w:w="535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Topic</w:t>
            </w:r>
          </w:p>
        </w:tc>
        <w:tc>
          <w:tcPr>
            <w:tcW w:type="dxa" w:w="186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Assessment</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Gibbs targets, temperature, mixtures</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Problem set 1</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Pushforwards, representatives, Markov structure</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Gaussian observations, Tweedie, mixture gates</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Problem set 2</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Tilting, truncation, measurement</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5–6</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Attention identity, segment calculus, Lipschitz geometry</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Problem set 3</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Weights under predictable proposals</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Consistency, uniformity, coverage</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Midterm</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9–10</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Laplace limits, zero sets, penalties</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Problem set 4</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Orders and scalarisations</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Metrics, depth, random dominance</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Problem set 5</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13–14</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Projections, certificates</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15–16</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Topology of encodings; information</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Problem set 6</w:t>
            </w: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17–18</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Concentration and admission; graphs and release</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p>
        </w:tc>
      </w:tr>
      <w:tr>
        <w:trPr>
          <w:cantSplit/>
        </w:trPr>
        <w:tc>
          <w:tcPr>
            <w:tcW w:type="dxa" w:w="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w:t>
            </w: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 App. C</w:t>
            </w:r>
          </w:p>
        </w:tc>
        <w:tc>
          <w:tcPr>
            <w:tcW w:type="dxa" w:w="53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Proposal dynamics; a conjecture of the student’s choice</w:t>
            </w:r>
          </w:p>
        </w:tc>
        <w:tc>
          <w:tcPr>
            <w:tcW w:type="dxa" w:w="18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Project</w:t>
            </w:r>
          </w:p>
        </w:tc>
      </w:tr>
    </w:tbl>
    <w:p>
      <w:pPr>
        <w:spacing w:after="60"/>
      </w:pPr>
    </w:p>
    <w:p>
      <w:pPr>
        <w:spacing w:after="120" w:before="0" w:line="276"/>
        <w:jc w:val="both"/>
      </w:pPr>
      <w:r>
        <w:rPr>
          <w:rFonts w:ascii="Cambria" w:cs="Cambria" w:eastAsia="Cambria" w:hAnsi="Cambria"/>
        </w:rPr>
        <w:t xml:space="preserve">A </w:t>
      </w:r>
      <w:r>
        <w:rPr>
          <w:rFonts w:ascii="Cambria" w:cs="Cambria" w:eastAsia="Cambria" w:hAnsi="Cambria"/>
          <w:b/>
          <w:bCs/>
        </w:rPr>
        <w:t xml:space="preserve">two-semester sequence</w:t>
      </w:r>
      <w:r>
        <w:rPr>
          <w:rFonts w:ascii="Cambria" w:cs="Cambria" w:eastAsia="Cambria" w:hAnsi="Cambria"/>
        </w:rPr>
        <w:t xml:space="preserve"> splits the book at Part V: </w:t>
      </w:r>
      <w:r>
        <w:rPr>
          <w:rFonts w:ascii="Cambria" w:cs="Cambria" w:eastAsia="Cambria" w:hAnsi="Cambria"/>
          <w:i/>
          <w:iCs/>
        </w:rPr>
        <w:t xml:space="preserve">Probability and Estimation for ADE</w:t>
      </w:r>
      <w:r>
        <w:rPr>
          <w:rFonts w:ascii="Cambria" w:cs="Cambria" w:eastAsia="Cambria" w:hAnsi="Cambria"/>
        </w:rPr>
        <w:t xml:space="preserve"> (Parts I–V and IX) and </w:t>
      </w:r>
      <w:r>
        <w:rPr>
          <w:rFonts w:ascii="Cambria" w:cs="Cambria" w:eastAsia="Cambria" w:hAnsi="Cambria"/>
          <w:i/>
          <w:iCs/>
        </w:rPr>
        <w:t xml:space="preserve">Optimisation, Order and Verification</w:t>
      </w:r>
      <w:r>
        <w:rPr>
          <w:rFonts w:ascii="Cambria" w:cs="Cambria" w:eastAsia="Cambria" w:hAnsi="Cambria"/>
        </w:rPr>
        <w:t xml:space="preserve"> (Parts VI–VIII, X and XI), each with a project on one conjecture. A </w:t>
      </w:r>
      <w:r>
        <w:rPr>
          <w:rFonts w:ascii="Cambria" w:cs="Cambria" w:eastAsia="Cambria" w:hAnsi="Cambria"/>
          <w:b/>
          <w:bCs/>
        </w:rPr>
        <w:t xml:space="preserve">five-day intensive</w:t>
      </w:r>
      <w:r>
        <w:rPr>
          <w:rFonts w:ascii="Cambria" w:cs="Cambria" w:eastAsia="Cambria" w:hAnsi="Cambria"/>
        </w:rPr>
        <w:t xml:space="preserve"> covers the odd-numbered chapters 1–19, one per half-day, with the release theorem of Chapter 18 on the last afternoon. Learning outcomes, by part, are stated in the book’s curriculum section: for example, after Part IV a student can prove conditional exactness of a weight for any predictable proposal and identify which operations destroy it.</w:t>
      </w:r>
    </w:p>
    <w:p>
      <w:pPr>
        <w:pStyle w:val="Heading1"/>
      </w:pPr>
      <w:r>
        <w:t xml:space="preserve">11  Conventions</w:t>
      </w:r>
    </w:p>
    <w:p>
      <w:pPr>
        <w:spacing w:after="120" w:before="0" w:line="276"/>
        <w:jc w:val="both"/>
      </w:pPr>
      <w:r>
        <w:rPr>
          <w:rFonts w:ascii="Cambria" w:cs="Cambria" w:eastAsia="Cambria" w:hAnsi="Cambria"/>
        </w:rPr>
        <w:t xml:space="preserve">Losses are minimised and non-negative where a bound requires it; β ≥ 0 is the inverse temperature; a</w:t>
      </w:r>
      <w:r>
        <w:rPr>
          <w:rFonts w:ascii="Cambria" w:cs="Cambria" w:eastAsia="Cambria" w:hAnsi="Cambria"/>
          <w:vertAlign w:val="subscript"/>
        </w:rPr>
        <w:t xml:space="preserve">t</w:t>
      </w:r>
      <w:r>
        <w:rPr>
          <w:rFonts w:ascii="Cambria" w:cs="Cambria" w:eastAsia="Cambria" w:hAnsi="Cambria"/>
        </w:rPr>
        <w:t xml:space="preserve"> is the cumulative signal coefficient, with a</w:t>
      </w:r>
      <w:r>
        <w:rPr>
          <w:rFonts w:ascii="Cambria" w:cs="Cambria" w:eastAsia="Cambria" w:hAnsi="Cambria"/>
          <w:vertAlign w:val="subscript"/>
        </w:rPr>
        <w:t xml:space="preserve">T</w:t>
      </w:r>
      <w:r>
        <w:rPr>
          <w:rFonts w:ascii="Cambria" w:cs="Cambria" w:eastAsia="Cambria" w:hAnsi="Cambria"/>
        </w:rPr>
        <w:t xml:space="preserve"> ≤ ⋯ ≤ a₁ in (0, 1) and a₀ ∈ (0, 1]; the prior μ is a probability measure on the design space, λ₀ a stated reference measure and ν = dμ/dλ₀ the prior density; p</w:t>
      </w:r>
      <w:r>
        <w:rPr>
          <w:rFonts w:ascii="Cambria" w:cs="Cambria" w:eastAsia="Cambria" w:hAnsi="Cambria"/>
          <w:vertAlign w:val="subscript"/>
        </w:rPr>
        <w:t xml:space="preserve">i</w:t>
      </w:r>
      <w:r>
        <w:rPr>
          <w:rFonts w:ascii="Cambria" w:cs="Cambria" w:eastAsia="Cambria" w:hAnsi="Cambria"/>
        </w:rPr>
        <w:t xml:space="preserve"> is the conditional proposal density of the i-th attempt; ε is the defensive share and e</w:t>
      </w:r>
      <w:r>
        <w:rPr>
          <w:rFonts w:ascii="Cambria" w:cs="Cambria" w:eastAsia="Cambria" w:hAnsi="Cambria"/>
          <w:vertAlign w:val="subscript"/>
        </w:rPr>
        <w:t xml:space="preserve">min</w:t>
      </w:r>
      <w:r>
        <w:rPr>
          <w:rFonts w:ascii="Cambria" w:cs="Cambria" w:eastAsia="Cambria" w:hAnsi="Cambria"/>
        </w:rPr>
        <w:t xml:space="preserve"> the inclusion floor, with B = 1/(εe</w:t>
      </w:r>
      <w:r>
        <w:rPr>
          <w:rFonts w:ascii="Cambria" w:cs="Cambria" w:eastAsia="Cambria" w:hAnsi="Cambria"/>
          <w:vertAlign w:val="subscript"/>
        </w:rPr>
        <w:t xml:space="preserve">min</w:t>
      </w:r>
      <w:r>
        <w:rPr>
          <w:rFonts w:ascii="Cambria" w:cs="Cambria" w:eastAsia="Cambria" w:hAnsi="Cambria"/>
        </w:rPr>
        <w:t xml:space="preserve">); u ≺ v is Pareto dominance (u</w:t>
      </w:r>
      <w:r>
        <w:rPr>
          <w:rFonts w:ascii="Cambria" w:cs="Cambria" w:eastAsia="Cambria" w:hAnsi="Cambria"/>
          <w:vertAlign w:val="subscript"/>
        </w:rPr>
        <w:t xml:space="preserve">j</w:t>
      </w:r>
      <w:r>
        <w:rPr>
          <w:rFonts w:ascii="Cambria" w:cs="Cambria" w:eastAsia="Cambria" w:hAnsi="Cambria"/>
        </w:rPr>
        <w:t xml:space="preserve"> ≤ v</w:t>
      </w:r>
      <w:r>
        <w:rPr>
          <w:rFonts w:ascii="Cambria" w:cs="Cambria" w:eastAsia="Cambria" w:hAnsi="Cambria"/>
          <w:vertAlign w:val="subscript"/>
        </w:rPr>
        <w:t xml:space="preserve">j</w:t>
      </w:r>
      <w:r>
        <w:rPr>
          <w:rFonts w:ascii="Cambria" w:cs="Cambria" w:eastAsia="Cambria" w:hAnsi="Cambria"/>
        </w:rPr>
        <w:t xml:space="preserve"> for all j, strict for one) and u &lt; v strict inequality in every coordinate. Spelling and notation follow the second edition of the engineering book, whose Notation table is extended rather than replaced.</w:t>
      </w:r>
    </w:p>
    <w:p>
      <w:pPr>
        <w:pStyle w:val="Heading1"/>
      </w:pPr>
      <w:r>
        <w:t xml:space="preserve">12  Production plan</w:t>
      </w:r>
    </w:p>
    <w:p>
      <w:pPr>
        <w:keepNext/>
        <w:spacing w:after="80" w:before="120"/>
      </w:pPr>
      <w:r>
        <w:rPr>
          <w:rFonts w:ascii="Cambria" w:cs="Cambria" w:eastAsia="Cambria" w:hAnsi="Cambria"/>
          <w:b/>
          <w:bCs/>
          <w:sz w:val="20"/>
          <w:szCs w:val="20"/>
        </w:rPr>
        <w:t xml:space="preserve">Table 7.</w:t>
      </w:r>
      <w:r>
        <w:rPr>
          <w:rFonts w:ascii="Cambria" w:cs="Cambria" w:eastAsia="Cambria" w:hAnsi="Cambria"/>
          <w:sz w:val="20"/>
          <w:szCs w:val="20"/>
        </w:rPr>
        <w:t xml:space="preserve"> Production parameters.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tblHeader/>
        </w:trPr>
        <w:tc>
          <w:tcPr>
            <w:tcW w:type="dxa" w:w="206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Item</w:t>
            </w:r>
          </w:p>
        </w:tc>
        <w:tc>
          <w:tcPr>
            <w:tcW w:type="dxa" w:w="72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Plan</w:t>
            </w:r>
          </w:p>
        </w:tc>
      </w:tr>
      <w:tr>
        <w:trPr>
          <w:cantSplit/>
        </w:trPr>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Format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Microsoft Word (.docx), A4, Cambria; theorem statements in shaded boxes; proofs end with ∎</w:t>
            </w:r>
          </w:p>
        </w:tc>
      </w:tr>
      <w:tr>
        <w:trPr>
          <w:cantSplit/>
        </w:trPr>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Length</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229 numbered items in 19 chapters and 11 parts; 137 A4 pages with front and back matter</w:t>
            </w:r>
          </w:p>
        </w:tc>
      </w:tr>
      <w:tr>
        <w:trPr>
          <w:cantSplit/>
        </w:trPr>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Proofs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Complete for every result except classical theorems, which are stated with references in Appendix A</w:t>
            </w:r>
          </w:p>
        </w:tc>
      </w:tr>
      <w:tr>
        <w:trPr>
          <w:cantSplit/>
        </w:trPr>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Provenance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Every result tagged with source codes (B, SD, …, CX) or marked new; Appendix B lists all</w:t>
            </w:r>
          </w:p>
        </w:tc>
      </w:tr>
      <w:tr>
        <w:trPr>
          <w:cantSplit/>
        </w:trPr>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Verification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322 numerical checks of the formulas, worked examples, hints and new results, all passing; new results checked as in Table 4</w:t>
            </w:r>
          </w:p>
        </w:tc>
      </w:tr>
      <w:tr>
        <w:trPr>
          <w:cantSplit/>
        </w:trPr>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Exercises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Four to six per chapter, 98 in all, drawn from the engineering book’s mathematical exercises and the companions, with hints to 38 of them in Appendix E</w:t>
            </w:r>
          </w:p>
        </w:tc>
      </w:tr>
    </w:tbl>
    <w:p>
      <w:pPr>
        <w:spacing w:after="60"/>
      </w:pPr>
    </w:p>
    <w:p>
      <w:pPr>
        <w:pStyle w:val="Heading1"/>
      </w:pPr>
      <w:r>
        <w:t xml:space="preserve">References</w:t>
      </w:r>
    </w:p>
    <w:p>
      <w:pPr>
        <w:spacing w:after="80" w:line="252"/>
        <w:ind w:left="440" w:hanging="440"/>
      </w:pPr>
      <w:r>
        <w:rPr>
          <w:rFonts w:ascii="Cambria" w:cs="Cambria" w:eastAsia="Cambria" w:hAnsi="Cambria"/>
          <w:sz w:val="20"/>
          <w:szCs w:val="20"/>
        </w:rPr>
        <w:t xml:space="preserve">[B] D. P. Ghosh. </w:t>
      </w:r>
      <w:r>
        <w:rPr>
          <w:rFonts w:ascii="Cambria" w:cs="Cambria" w:eastAsia="Cambria" w:hAnsi="Cambria"/>
          <w:i/>
          <w:iCs/>
          <w:sz w:val="20"/>
          <w:szCs w:val="20"/>
        </w:rPr>
        <w:t xml:space="preserve">Autoregressive Diffusion Evolution: Engineering Methods and Mathematical Foundations</w:t>
      </w:r>
      <w:r>
        <w:rPr>
          <w:rFonts w:ascii="Cambria" w:cs="Cambria" w:eastAsia="Cambria" w:hAnsi="Cambria"/>
          <w:sz w:val="20"/>
          <w:szCs w:val="20"/>
        </w:rPr>
        <w:t xml:space="preserve">. Second revised edition, October 2026.</w:t>
      </w:r>
    </w:p>
    <w:p>
      <w:pPr>
        <w:spacing w:after="80" w:line="252"/>
        <w:ind w:left="440" w:hanging="440"/>
      </w:pPr>
      <w:r>
        <w:rPr>
          <w:rFonts w:ascii="Cambria" w:cs="Cambria" w:eastAsia="Cambria" w:hAnsi="Cambria"/>
          <w:sz w:val="20"/>
          <w:szCs w:val="20"/>
        </w:rPr>
        <w:t xml:space="preserve">[SD, HT, SY, OA, FA, AD, CT, CB, OM, GF, NS, DW, MW, E1, E2, LC, CM, CC, CH, CX] D. P. Ghosh. Revised papers and mathematical companions on Autoregressive Diffusion Evolution, 15–16 October 2026. ResearchOverFlow source collection: https://github.com/debiprasadghosh/ResearchOverFlow/tree/main/October2026/AutoregressiveDiffusionEvolution</w:t>
      </w:r>
    </w:p>
    <w:p>
      <w:pPr>
        <w:spacing w:after="80" w:line="252"/>
        <w:ind w:left="440" w:hanging="440"/>
      </w:pPr>
      <w:r>
        <w:rPr>
          <w:rFonts w:ascii="Cambria" w:cs="Cambria" w:eastAsia="Cambria" w:hAnsi="Cambria"/>
          <w:sz w:val="20"/>
          <w:szCs w:val="20"/>
        </w:rPr>
        <w:t xml:space="preserve">J. P. Boyle and R. L. Dykstra. A method for finding projections onto the intersection of convex sets in Hilbert spaces. </w:t>
      </w:r>
      <w:r>
        <w:rPr>
          <w:rFonts w:ascii="Cambria" w:cs="Cambria" w:eastAsia="Cambria" w:hAnsi="Cambria"/>
          <w:i/>
          <w:iCs/>
          <w:sz w:val="20"/>
          <w:szCs w:val="20"/>
        </w:rPr>
        <w:t xml:space="preserve">Lecture Notes in Statistics</w:t>
      </w:r>
      <w:r>
        <w:rPr>
          <w:rFonts w:ascii="Cambria" w:cs="Cambria" w:eastAsia="Cambria" w:hAnsi="Cambria"/>
          <w:sz w:val="20"/>
          <w:szCs w:val="20"/>
        </w:rPr>
        <w:t xml:space="preserve"> 37, 28–47, 1986.</w:t>
      </w:r>
    </w:p>
    <w:p>
      <w:pPr>
        <w:spacing w:after="80" w:line="252"/>
        <w:ind w:left="440" w:hanging="440"/>
      </w:pPr>
      <w:r>
        <w:rPr>
          <w:rFonts w:ascii="Cambria" w:cs="Cambria" w:eastAsia="Cambria" w:hAnsi="Cambria"/>
          <w:sz w:val="20"/>
          <w:szCs w:val="20"/>
        </w:rPr>
        <w:t xml:space="preserve">J. Calder, S. Esedoḡlu and A. O. Hero. A Hamilton–Jacobi equation for the continuum limit of nondominated sorting. </w:t>
      </w:r>
      <w:r>
        <w:rPr>
          <w:rFonts w:ascii="Cambria" w:cs="Cambria" w:eastAsia="Cambria" w:hAnsi="Cambria"/>
          <w:i/>
          <w:iCs/>
          <w:sz w:val="20"/>
          <w:szCs w:val="20"/>
        </w:rPr>
        <w:t xml:space="preserve">SIAM Journal on Mathematical Analysis</w:t>
      </w:r>
      <w:r>
        <w:rPr>
          <w:rFonts w:ascii="Cambria" w:cs="Cambria" w:eastAsia="Cambria" w:hAnsi="Cambria"/>
          <w:sz w:val="20"/>
          <w:szCs w:val="20"/>
        </w:rPr>
        <w:t xml:space="preserve"> 46(1), 603–638, 2014.</w:t>
      </w:r>
    </w:p>
    <w:p>
      <w:pPr>
        <w:spacing w:after="80" w:line="252"/>
        <w:ind w:left="440" w:hanging="440"/>
      </w:pPr>
      <w:r>
        <w:rPr>
          <w:rFonts w:ascii="Cambria" w:cs="Cambria" w:eastAsia="Cambria" w:hAnsi="Cambria"/>
          <w:sz w:val="20"/>
          <w:szCs w:val="20"/>
        </w:rPr>
        <w:t xml:space="preserve">B. Efron. Tweedie’s formula and selection bias. </w:t>
      </w:r>
      <w:r>
        <w:rPr>
          <w:rFonts w:ascii="Cambria" w:cs="Cambria" w:eastAsia="Cambria" w:hAnsi="Cambria"/>
          <w:i/>
          <w:iCs/>
          <w:sz w:val="20"/>
          <w:szCs w:val="20"/>
        </w:rPr>
        <w:t xml:space="preserve">Journal of the American Statistical Association</w:t>
      </w:r>
      <w:r>
        <w:rPr>
          <w:rFonts w:ascii="Cambria" w:cs="Cambria" w:eastAsia="Cambria" w:hAnsi="Cambria"/>
          <w:sz w:val="20"/>
          <w:szCs w:val="20"/>
        </w:rPr>
        <w:t xml:space="preserve"> 106(496), 1602–1614, 2011.</w:t>
      </w:r>
    </w:p>
    <w:p>
      <w:pPr>
        <w:spacing w:after="80" w:line="252"/>
        <w:ind w:left="440" w:hanging="440"/>
      </w:pPr>
      <w:r>
        <w:rPr>
          <w:rFonts w:ascii="Cambria" w:cs="Cambria" w:eastAsia="Cambria" w:hAnsi="Cambria"/>
          <w:sz w:val="20"/>
          <w:szCs w:val="20"/>
        </w:rPr>
        <w:t xml:space="preserve">H. Federer. </w:t>
      </w:r>
      <w:r>
        <w:rPr>
          <w:rFonts w:ascii="Cambria" w:cs="Cambria" w:eastAsia="Cambria" w:hAnsi="Cambria"/>
          <w:i/>
          <w:iCs/>
          <w:sz w:val="20"/>
          <w:szCs w:val="20"/>
        </w:rPr>
        <w:t xml:space="preserve">Geometric Measure Theory</w:t>
      </w:r>
      <w:r>
        <w:rPr>
          <w:rFonts w:ascii="Cambria" w:cs="Cambria" w:eastAsia="Cambria" w:hAnsi="Cambria"/>
          <w:sz w:val="20"/>
          <w:szCs w:val="20"/>
        </w:rPr>
        <w:t xml:space="preserve">. Springer, 1969.</w:t>
      </w:r>
    </w:p>
    <w:p>
      <w:pPr>
        <w:spacing w:after="80" w:line="252"/>
        <w:ind w:left="440" w:hanging="440"/>
      </w:pPr>
      <w:r>
        <w:rPr>
          <w:rFonts w:ascii="Cambria" w:cs="Cambria" w:eastAsia="Cambria" w:hAnsi="Cambria"/>
          <w:sz w:val="20"/>
          <w:szCs w:val="20"/>
        </w:rPr>
        <w:t xml:space="preserve">D. A. Freedman. On tail probabilities for martingales. </w:t>
      </w:r>
      <w:r>
        <w:rPr>
          <w:rFonts w:ascii="Cambria" w:cs="Cambria" w:eastAsia="Cambria" w:hAnsi="Cambria"/>
          <w:i/>
          <w:iCs/>
          <w:sz w:val="20"/>
          <w:szCs w:val="20"/>
        </w:rPr>
        <w:t xml:space="preserve">Annals of Probability</w:t>
      </w:r>
      <w:r>
        <w:rPr>
          <w:rFonts w:ascii="Cambria" w:cs="Cambria" w:eastAsia="Cambria" w:hAnsi="Cambria"/>
          <w:sz w:val="20"/>
          <w:szCs w:val="20"/>
        </w:rPr>
        <w:t xml:space="preserve"> 3(1), 100–118, 1975.</w:t>
      </w:r>
    </w:p>
    <w:p>
      <w:pPr>
        <w:spacing w:after="80" w:line="252"/>
        <w:ind w:left="440" w:hanging="440"/>
      </w:pPr>
      <w:r>
        <w:rPr>
          <w:rFonts w:ascii="Cambria" w:cs="Cambria" w:eastAsia="Cambria" w:hAnsi="Cambria"/>
          <w:sz w:val="20"/>
          <w:szCs w:val="20"/>
        </w:rPr>
        <w:t xml:space="preserve">W. Hoeffding. Probability inequalities for sums of bounded random variables. </w:t>
      </w:r>
      <w:r>
        <w:rPr>
          <w:rFonts w:ascii="Cambria" w:cs="Cambria" w:eastAsia="Cambria" w:hAnsi="Cambria"/>
          <w:i/>
          <w:iCs/>
          <w:sz w:val="20"/>
          <w:szCs w:val="20"/>
        </w:rPr>
        <w:t xml:space="preserve">Journal of the American Statistical Association</w:t>
      </w:r>
      <w:r>
        <w:rPr>
          <w:rFonts w:ascii="Cambria" w:cs="Cambria" w:eastAsia="Cambria" w:hAnsi="Cambria"/>
          <w:sz w:val="20"/>
          <w:szCs w:val="20"/>
        </w:rPr>
        <w:t xml:space="preserve"> 58(301), 13–30, 1963.</w:t>
      </w:r>
    </w:p>
    <w:p>
      <w:pPr>
        <w:spacing w:after="80" w:line="252"/>
        <w:ind w:left="440" w:hanging="440"/>
      </w:pPr>
      <w:r>
        <w:rPr>
          <w:rFonts w:ascii="Cambria" w:cs="Cambria" w:eastAsia="Cambria" w:hAnsi="Cambria"/>
          <w:sz w:val="20"/>
          <w:szCs w:val="20"/>
        </w:rPr>
        <w:t xml:space="preserve">C.-R. Hwang. Laplace’s method revisited: weak convergence of probability measures. </w:t>
      </w:r>
      <w:r>
        <w:rPr>
          <w:rFonts w:ascii="Cambria" w:cs="Cambria" w:eastAsia="Cambria" w:hAnsi="Cambria"/>
          <w:i/>
          <w:iCs/>
          <w:sz w:val="20"/>
          <w:szCs w:val="20"/>
        </w:rPr>
        <w:t xml:space="preserve">Annals of Probability</w:t>
      </w:r>
      <w:r>
        <w:rPr>
          <w:rFonts w:ascii="Cambria" w:cs="Cambria" w:eastAsia="Cambria" w:hAnsi="Cambria"/>
          <w:sz w:val="20"/>
          <w:szCs w:val="20"/>
        </w:rPr>
        <w:t xml:space="preserve"> 8(6), 1177–1182, 1980.</w:t>
      </w:r>
    </w:p>
    <w:p>
      <w:pPr>
        <w:spacing w:after="80" w:line="252"/>
        <w:ind w:left="440" w:hanging="440"/>
      </w:pPr>
      <w:r>
        <w:rPr>
          <w:rFonts w:ascii="Cambria" w:cs="Cambria" w:eastAsia="Cambria" w:hAnsi="Cambria"/>
          <w:sz w:val="20"/>
          <w:szCs w:val="20"/>
        </w:rPr>
        <w:t xml:space="preserve">L. Kish. </w:t>
      </w:r>
      <w:r>
        <w:rPr>
          <w:rFonts w:ascii="Cambria" w:cs="Cambria" w:eastAsia="Cambria" w:hAnsi="Cambria"/>
          <w:i/>
          <w:iCs/>
          <w:sz w:val="20"/>
          <w:szCs w:val="20"/>
        </w:rPr>
        <w:t xml:space="preserve">Survey Sampling</w:t>
      </w:r>
      <w:r>
        <w:rPr>
          <w:rFonts w:ascii="Cambria" w:cs="Cambria" w:eastAsia="Cambria" w:hAnsi="Cambria"/>
          <w:sz w:val="20"/>
          <w:szCs w:val="20"/>
        </w:rPr>
        <w:t xml:space="preserve">. Wiley, 1965.</w:t>
      </w:r>
    </w:p>
    <w:p>
      <w:pPr>
        <w:spacing w:after="80" w:line="252"/>
        <w:ind w:left="440" w:hanging="440"/>
      </w:pPr>
      <w:r>
        <w:rPr>
          <w:rFonts w:ascii="Cambria" w:cs="Cambria" w:eastAsia="Cambria" w:hAnsi="Cambria"/>
          <w:sz w:val="20"/>
          <w:szCs w:val="20"/>
        </w:rPr>
        <w:t xml:space="preserve">A. Maurer and M. Pontil. Empirical Bernstein bounds and sample-variance penalization. </w:t>
      </w:r>
      <w:r>
        <w:rPr>
          <w:rFonts w:ascii="Cambria" w:cs="Cambria" w:eastAsia="Cambria" w:hAnsi="Cambria"/>
          <w:i/>
          <w:iCs/>
          <w:sz w:val="20"/>
          <w:szCs w:val="20"/>
        </w:rPr>
        <w:t xml:space="preserve">Proceedings of COLT</w:t>
      </w:r>
      <w:r>
        <w:rPr>
          <w:rFonts w:ascii="Cambria" w:cs="Cambria" w:eastAsia="Cambria" w:hAnsi="Cambria"/>
          <w:sz w:val="20"/>
          <w:szCs w:val="20"/>
        </w:rPr>
        <w:t xml:space="preserve">, 2009.</w:t>
      </w:r>
    </w:p>
    <w:p>
      <w:pPr>
        <w:spacing w:after="80" w:line="252"/>
        <w:ind w:left="440" w:hanging="440"/>
      </w:pPr>
      <w:r>
        <w:rPr>
          <w:rFonts w:ascii="Cambria" w:cs="Cambria" w:eastAsia="Cambria" w:hAnsi="Cambria"/>
          <w:sz w:val="20"/>
          <w:szCs w:val="20"/>
        </w:rPr>
        <w:t xml:space="preserve">R. C. Merkle. A digital signature based on a conventional encryption function. </w:t>
      </w:r>
      <w:r>
        <w:rPr>
          <w:rFonts w:ascii="Cambria" w:cs="Cambria" w:eastAsia="Cambria" w:hAnsi="Cambria"/>
          <w:i/>
          <w:iCs/>
          <w:sz w:val="20"/>
          <w:szCs w:val="20"/>
        </w:rPr>
        <w:t xml:space="preserve">Advances in Cryptology — CRYPTO ’87</w:t>
      </w:r>
      <w:r>
        <w:rPr>
          <w:rFonts w:ascii="Cambria" w:cs="Cambria" w:eastAsia="Cambria" w:hAnsi="Cambria"/>
          <w:sz w:val="20"/>
          <w:szCs w:val="20"/>
        </w:rPr>
        <w:t xml:space="preserve">, LNCS 293, 369–378, 1988.</w:t>
      </w:r>
    </w:p>
    <w:p>
      <w:pPr>
        <w:spacing w:after="80" w:line="252"/>
        <w:ind w:left="440" w:hanging="440"/>
      </w:pPr>
      <w:r>
        <w:rPr>
          <w:rFonts w:ascii="Cambria" w:cs="Cambria" w:eastAsia="Cambria" w:hAnsi="Cambria"/>
          <w:sz w:val="20"/>
          <w:szCs w:val="20"/>
        </w:rPr>
        <w:t xml:space="preserve">I. Shevtsova. On the absolute constants in the Berry–Esseen type inequalities for identically distributed summands. arXiv:1111.6554, 2011.</w:t>
      </w:r>
    </w:p>
    <w:p>
      <w:pPr>
        <w:spacing w:after="80" w:line="252"/>
        <w:ind w:left="440" w:hanging="440"/>
      </w:pPr>
      <w:r>
        <w:rPr>
          <w:rFonts w:ascii="Cambria" w:cs="Cambria" w:eastAsia="Cambria" w:hAnsi="Cambria"/>
          <w:sz w:val="20"/>
          <w:szCs w:val="20"/>
        </w:rPr>
        <w:t xml:space="preserve">Y. Zhang, B. Hartl, H. Hazan and M. Levin. Diffusion models are evolutionary algorithms. </w:t>
      </w:r>
      <w:r>
        <w:rPr>
          <w:rFonts w:ascii="Cambria" w:cs="Cambria" w:eastAsia="Cambria" w:hAnsi="Cambria"/>
          <w:i/>
          <w:iCs/>
          <w:sz w:val="20"/>
          <w:szCs w:val="20"/>
        </w:rPr>
        <w:t xml:space="preserve">ICLR</w:t>
      </w:r>
      <w:r>
        <w:rPr>
          <w:rFonts w:ascii="Cambria" w:cs="Cambria" w:eastAsia="Cambria" w:hAnsi="Cambria"/>
          <w:sz w:val="20"/>
          <w:szCs w:val="20"/>
        </w:rPr>
        <w:t xml:space="preserve">, 2025. arXiv:2410.02543.</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Mathematics of Autoregressive Diffusion Evolution · Book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1519728c17c25b8faf481998f98f8b47b251af.png"/><Relationship Id="rId10" Type="http://schemas.openxmlformats.org/officeDocument/2006/relationships/image" Target="media/6652114b8cdfb7297612e2fb9bed3f10a5061e6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of Autoregressive Diffusion Evolution · Book proposal</dc:title>
  <dc:creator>Debi Prasad Ghosh</dc:creator>
  <cp:lastModifiedBy>Un-named</cp:lastModifiedBy>
  <cp:revision>1</cp:revision>
  <dcterms:created xsi:type="dcterms:W3CDTF">2026-10-17T16:56:15.631Z</dcterms:created>
  <dcterms:modified xsi:type="dcterms:W3CDTF">2026-10-17T16:56:15.631Z</dcterms:modified>
</cp:coreProperties>
</file>

<file path=docProps/custom.xml><?xml version="1.0" encoding="utf-8"?>
<Properties xmlns="http://schemas.openxmlformats.org/officeDocument/2006/custom-properties" xmlns:vt="http://schemas.openxmlformats.org/officeDocument/2006/docPropsVTypes"/>
</file>