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120F" w14:textId="77777777" w:rsidR="00287EFD" w:rsidRPr="007B33B3" w:rsidRDefault="00000000" w:rsidP="007B33B3">
      <w:pPr>
        <w:pStyle w:val="Title"/>
        <w:rPr>
          <w:rFonts w:hint="eastAsia"/>
          <w:sz w:val="84"/>
          <w:szCs w:val="84"/>
        </w:rPr>
      </w:pPr>
      <w:r>
        <w:rPr>
          <w:sz w:val="84"/>
          <w:szCs w:val="84"/>
        </w:rPr>
        <w:t>Specification as Density</w:t>
      </w:r>
    </w:p>
    <w:p w14:paraId="44A98312" w14:textId="77777777" w:rsidR="00287EFD" w:rsidRPr="007B33B3" w:rsidRDefault="00000000" w:rsidP="007B33B3">
      <w:pPr>
        <w:pStyle w:val="Subtitle"/>
        <w:rPr>
          <w:rFonts w:hint="eastAsia"/>
          <w:color w:val="00B0F0"/>
          <w:sz w:val="28"/>
          <w:szCs w:val="28"/>
        </w:rPr>
      </w:pPr>
      <w:r>
        <w:rPr>
          <w:color w:val="00B0F0"/>
          <w:sz w:val="28"/>
          <w:szCs w:val="28"/>
        </w:rPr>
        <w:t>Gated targets and critic measurements in adaptive engineering search</w:t>
      </w:r>
    </w:p>
    <w:p w14:paraId="3616172A" w14:textId="77777777" w:rsidR="00287EFD" w:rsidRDefault="00000000" w:rsidP="007B33B3">
      <w:pPr>
        <w:pStyle w:val="Author"/>
        <w:rPr>
          <w:rFonts w:hint="eastAsia"/>
        </w:rPr>
      </w:pPr>
      <w:r>
        <w:t>Debi Prasad Ghosh</w:t>
      </w:r>
    </w:p>
    <w:p w14:paraId="088386FE" w14:textId="77777777" w:rsidR="00287EFD" w:rsidRDefault="00000000" w:rsidP="007B33B3">
      <w:pPr>
        <w:pStyle w:val="Date1"/>
        <w:rPr>
          <w:rFonts w:hint="eastAsia"/>
        </w:rPr>
      </w:pPr>
      <w:r>
        <w:t>Revised edition 26 October 2026, with numerical exploration</w:t>
      </w:r>
    </w:p>
    <w:p w14:paraId="38DE84DB" w14:textId="77777777" w:rsidR="00287EFD" w:rsidRDefault="00000000" w:rsidP="007B33B3">
      <w:pPr>
        <w:pStyle w:val="FirstParagraph"/>
        <w:jc w:val="center"/>
        <w:rPr>
          <w:rFonts w:hint="eastAsia"/>
        </w:rPr>
      </w:pPr>
      <w:r>
        <w:t>Founder and Principal Engineer, Debias Parametric Guru, Kolkata, India</w:t>
      </w:r>
    </w:p>
    <w:p w14:paraId="4B9BA372" w14:textId="77777777" w:rsidR="00287EFD" w:rsidRDefault="00000000" w:rsidP="007B33B3">
      <w:pPr>
        <w:pStyle w:val="Heading1"/>
        <w:spacing w:before="240"/>
        <w:rPr>
          <w:rFonts w:hint="eastAsia"/>
        </w:rPr>
      </w:pPr>
      <w:bookmarkStart w:id="0" w:name="abstract"/>
      <w:r>
        <w:t>Abstract</w:t>
      </w:r>
    </w:p>
    <w:p w14:paraId="2CDA16BF" w14:textId="77777777" w:rsidR="00287EFD" w:rsidRDefault="00000000" w:rsidP="007B33B3">
      <w:pPr>
        <w:pStyle w:val="FirstParagraph"/>
        <w:rPr>
          <w:rFonts w:hint="eastAsia"/>
        </w:rPr>
      </w:pPr>
      <w:r>
        <w:t>A specification defines a search target after its design space, reference measure, losses and acceptance conditions have been declared. We formulate a gated Gibbs target and establish its existence conditions, variational interpretation and acceptance guarantee. Its samples pass the encoded gate; their mean need not. For critic measurements we distinguish the logarithm of expected weight, expected log weight and expected normalised weight. In a two-design example, normalising expected raw weights assigns 95.17 percent to the worse design, while averaging its normalised weight gives 33.33 percent. A known-variance correction removes Gaussian raw-moment inflation but does not remove finite normalisation bias. We derive the residual of a sample-variance correction under independent and correlated judgements, and identify the common error that cancels across candidates. For adaptive proposals, a defensive reference component gives a bounded-weight martingale argument and a finite-sample ratio bound for a frozen target and query. Rounding and repair require the law of the realised design or a justified lifted target. Normalised preference densities extend the construction to multiple objectives. For programs, behavioural entropy witnesses disagreement; test incompleteness additionally depends on the intended requirement. Closed forms, quadrature and fresh Monte Carlo checks verify these mechanisms. The resulting contracts connect specification-driven Diffusion Evolution and Autoregressive Diffusion Evolution to actual measurements and artifact verification. A numerical exploration adds three findings. With variance estimated from the same Gaussian judgements, no nonnegative unbiased estimator of the exponential loss weight exists; the unique unbiased one, a Bessel-type factor that reduces to a sinc function at four judgements, is negative with probability 0.0016 in the running example and 0.22 in the two-design example. A Freedman-type refinement of the adaptive bound reduces the draws needed for a 0.1 ratio guarantee in the finite catalogue from 678395 to 27460, yet remains 14 times the observed error. In the retrieval example, importance weights have infinite variance for proposal standard deviations below 0.378 while the effective-sample-size ratio still reports 14 to 22 percent.</w:t>
      </w:r>
    </w:p>
    <w:p w14:paraId="45A7580E" w14:textId="77777777" w:rsidR="00287EFD" w:rsidRDefault="00000000" w:rsidP="007B33B3">
      <w:pPr>
        <w:pStyle w:val="BodyText"/>
        <w:rPr>
          <w:rFonts w:hint="eastAsia"/>
        </w:rPr>
      </w:pPr>
      <w:r>
        <w:rPr>
          <w:b/>
          <w:bCs/>
        </w:rPr>
        <w:t>Keywords:</w:t>
      </w:r>
      <w:r>
        <w:t xml:space="preserve"> specification-driven optimisation; gated Gibbs targets; critic measurement error; adaptive importance sampling; Diffusion Evolution; autoregressive diffusion evolution; multi-objective optimisation; verification.</w:t>
      </w:r>
    </w:p>
    <w:p w14:paraId="3FE9F38B" w14:textId="77777777" w:rsidR="00287EFD" w:rsidRDefault="00000000" w:rsidP="007B33B3">
      <w:pPr>
        <w:pStyle w:val="Heading1"/>
        <w:rPr>
          <w:rFonts w:hint="eastAsia"/>
        </w:rPr>
      </w:pPr>
      <w:bookmarkStart w:id="1" w:name="introduction"/>
      <w:bookmarkEnd w:id="0"/>
      <w:r>
        <w:t>1 Introduction</w:t>
      </w:r>
    </w:p>
    <w:p w14:paraId="0D30E8E7" w14:textId="77777777" w:rsidR="00287EFD" w:rsidRDefault="00000000" w:rsidP="007B33B3">
      <w:pPr>
        <w:pStyle w:val="FirstParagraph"/>
        <w:rPr>
          <w:rFonts w:hint="eastAsia"/>
        </w:rPr>
      </w:pPr>
      <w:r>
        <w:t>An engineering specification contains acceptance conditions and preferences that support different operations. A section’s availability can be checked against a catalogue. Resistance and deflection are calculated under a stated model and loading. Mass, cost and embodied carbon can be competing objectives. Maintainability or clarity may still require judgement. A probability target should preserve these distinctions, because a low numerical loss cannot substitute for an unmet acceptance condition.</w:t>
      </w:r>
    </w:p>
    <w:p w14:paraId="28638B62" w14:textId="77777777" w:rsidR="00287EFD" w:rsidRDefault="00000000" w:rsidP="007B33B3">
      <w:pPr>
        <w:pStyle w:val="BodyText"/>
        <w:rPr>
          <w:rFonts w:hint="eastAsia"/>
        </w:rPr>
      </w:pPr>
      <w:r>
        <w:t xml:space="preserve">Diffusion Evolution, abbreviated DE here, makes the target question concrete [1]. It weights candidate values by measured fitness and a Gaussian observation kernel, then uses the resulting retrieval in a diffusion-inspired proposal related to DDIM [6]. Autoregressive Diffusion Evolution, ADE, extends this organisation through sequentially updated evaluated memory [8]. Neither the retrieval identity nor the choice of a Gibbs weight proves that an adaptive population follows a </w:t>
        <w:lastRenderedPageBreak/>
        <w:t>prescribed continuous distribution. The target, the empirical retrieval, the proposal and the final verification procedure must be specified separately.</w:t>
      </w:r>
    </w:p>
    <w:p w14:paraId="0DE7018D" w14:textId="77777777" w:rsidR="00287EFD" w:rsidRDefault="00000000" w:rsidP="007B33B3">
      <w:pPr>
        <w:pStyle w:val="BodyText"/>
        <w:rPr>
          <w:rFonts w:hint="eastAsia"/>
        </w:rPr>
      </w:pPr>
      <w:r>
        <w:t>This paper develops those contracts. The exponential tilt follows the established loss-based updating framework [2]. Importance weighting and defensive mixtures follow established Monte Carlo principles [3–5]. We state the mathematical assumptions locally and provide derivations for the particular engineering construction. The contributions are their explicit combination, the corrected interpretation of critic weighting, a bounded adaptive estimation result, and a treatment of decoded and mixed design spaces.</w:t>
      </w:r>
    </w:p>
    <w:p w14:paraId="7233349E" w14:textId="77777777" w:rsidR="00287EFD" w:rsidRDefault="00000000" w:rsidP="007B33B3">
      <w:pPr>
        <w:pStyle w:val="BodyText"/>
        <w:rPr>
          <w:rFonts w:hint="eastAsia"/>
        </w:rPr>
      </w:pPr>
      <w:r>
        <w:t xml:space="preserve">Two distinctions are especially consequential. First, </w:t>
      </w:r>
      <m:oMath>
        <m:r>
          <m:rPr>
            <m:sty m:val="p"/>
          </m:rPr>
          <w:rPr>
            <w:rFonts w:ascii="Cambria Math" w:hAnsi="Cambria Math"/>
          </w:rPr>
          <m:t>log</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e>
        </m:d>
      </m:oMath>
      <w:r>
        <w:t xml:space="preserve">,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W</m:t>
            </m:r>
          </m:e>
        </m:d>
      </m:oMath>
      <w:r>
        <w:t xml:space="preserve"> and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W</m:t>
            </m:r>
          </m:e>
        </m:d>
      </m:oMath>
      <w:r>
        <w:t xml:space="preserve"> answer different questions. Correcting one does not automatically correct the others. Second, an executable test can establish a declared property of an artifact under a stated input bundle, while a search distribution describes how proposals are allocated. The mathematical support of the distribution and the evidence required for release must remain connected through actual evaluations.</w:t>
      </w:r>
    </w:p>
    <w:p w14:paraId="31768CA8" w14:textId="77777777" w:rsidR="00287EFD" w:rsidRDefault="00000000" w:rsidP="007B33B3">
      <w:pPr>
        <w:pStyle w:val="BodyText"/>
        <w:rPr>
          <w:rFonts w:hint="eastAsia"/>
        </w:rPr>
      </w:pPr>
      <w:r>
        <w:t>All objectives are minimised. DE always means Diffusion Evolution; differential evolution is written in full. A target is frozen within an estimation block, including its specification version, reference measure, scales, temperature and gate. Changes to these objects define a new target.</w:t>
      </w:r>
    </w:p>
    <w:p w14:paraId="2BFEDB3B" w14:textId="77777777" w:rsidR="00287EFD" w:rsidRDefault="00000000" w:rsidP="007B33B3">
      <w:pPr>
        <w:pStyle w:val="Heading1"/>
        <w:rPr>
          <w:rFonts w:hint="eastAsia"/>
        </w:rPr>
      </w:pPr>
      <w:bookmarkStart w:id="2" w:name="declaring-the-design-space-and-gate"/>
      <w:bookmarkEnd w:id="1"/>
      <w:r>
        <w:t>2 Declaring the design space and gate</w:t>
      </w:r>
    </w:p>
    <w:p w14:paraId="6B2D23DF" w14:textId="77777777" w:rsidR="00287EFD" w:rsidRDefault="00000000" w:rsidP="007B33B3">
      <w:pPr>
        <w:pStyle w:val="FirstParagraph"/>
        <w:keepNext/>
        <w:rPr>
          <w:rFonts w:hint="eastAsia"/>
        </w:rPr>
      </w:pPr>
      <w:r>
        <w:t xml:space="preserve">Let </w:t>
      </w:r>
      <m:oMath>
        <m:d>
          <m:dPr>
            <m:ctrlPr>
              <w:rPr>
                <w:rFonts w:ascii="Cambria Math" w:hAnsi="Cambria Math"/>
              </w:rPr>
            </m:ctrlPr>
          </m:dPr>
          <m:e>
            <m:r>
              <m:rPr>
                <m:scr m:val="script"/>
                <m:sty m:val="p"/>
              </m:rPr>
              <w:rPr>
                <w:rFonts w:ascii="Cambria Math" w:hAnsi="Cambria Math"/>
              </w:rPr>
              <m:t>X,A</m:t>
            </m:r>
          </m:e>
        </m:d>
      </m:oMath>
      <w:r>
        <w:t xml:space="preserve"> be a measurable design space, let </w:t>
      </w:r>
      <m:oMath>
        <m:r>
          <w:rPr>
            <w:rFonts w:ascii="Cambria Math" w:hAnsi="Cambria Math"/>
          </w:rPr>
          <m:t>μ</m:t>
        </m:r>
      </m:oMath>
      <w:r>
        <w:t xml:space="preserve"> be a probability measure representing reference preferences, and let </w:t>
      </w:r>
      <m:oMath>
        <m:sSub>
          <m:sSubPr>
            <m:ctrlPr>
              <w:rPr>
                <w:rFonts w:ascii="Cambria Math" w:hAnsi="Cambria Math"/>
              </w:rPr>
            </m:ctrlPr>
          </m:sSubPr>
          <m:e>
            <m:r>
              <w:rPr>
                <w:rFonts w:ascii="Cambria Math" w:hAnsi="Cambria Math"/>
              </w:rPr>
              <m:t>J</m:t>
            </m:r>
          </m:e>
          <m:sub>
            <m:r>
              <w:rPr>
                <w:rFonts w:ascii="Cambria Math" w:hAnsi="Cambria Math"/>
              </w:rPr>
              <m:t>v</m:t>
            </m:r>
          </m:sub>
        </m:sSub>
        <m:r>
          <m:rPr>
            <m:scr m:val="script"/>
            <m:sty m:val="p"/>
          </m:rPr>
          <w:rPr>
            <w:rFonts w:ascii="Cambria Math" w:hAnsi="Cambria Math"/>
          </w:rPr>
          <m:t>:X</m:t>
        </m:r>
        <m:r>
          <m:rPr>
            <m:scr m:val="double-struck"/>
            <m:sty m:val="p"/>
          </m:rPr>
          <w:rPr>
            <w:rFonts w:ascii="Cambria Math" w:hAnsi="Cambria Math"/>
          </w:rPr>
          <m:t>→R</m:t>
        </m:r>
      </m:oMath>
      <w:r>
        <w:t xml:space="preserve"> be a finite measurable loss for specification version </w:t>
      </w:r>
      <m:oMath>
        <m:r>
          <w:rPr>
            <w:rFonts w:ascii="Cambria Math" w:hAnsi="Cambria Math"/>
          </w:rPr>
          <m:t>v</m:t>
        </m:r>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v</m:t>
            </m:r>
          </m:sub>
        </m:sSub>
        <m:r>
          <m:rPr>
            <m:scr m:val="script"/>
            <m:sty m:val="p"/>
          </m:rPr>
          <w:rPr>
            <w:rFonts w:ascii="Cambria Math" w:hAnsi="Cambria Math"/>
          </w:rPr>
          <m:t>:X→{</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a measurable acceptance predicate. The version includes the required input and evaluation definitions. For inverse temperature </w:t>
      </w:r>
      <m:oMath>
        <m:r>
          <w:rPr>
            <w:rFonts w:ascii="Cambria Math" w:hAnsi="Cambria Math"/>
          </w:rPr>
          <m:t>β</m:t>
        </m:r>
        <m:r>
          <m:rPr>
            <m:sty m:val="p"/>
          </m:rPr>
          <w:rPr>
            <w:rFonts w:ascii="Cambria Math" w:hAnsi="Cambria Math"/>
          </w:rPr>
          <m:t>≥</m:t>
        </m:r>
        <m:r>
          <w:rPr>
            <w:rFonts w:ascii="Cambria Math" w:hAnsi="Cambria Math"/>
          </w:rPr>
          <m:t>0</m:t>
        </m:r>
      </m:oMath>
      <w:r>
        <w:t>, define</w:t>
      </w:r>
    </w:p>
    <w:p w14:paraId="3DC6201E"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sup>
          </m:sSup>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nor/>
            </m:rPr>
            <m:t>    </m:t>
          </m:r>
          <m:r>
            <w:rPr>
              <w:rFonts w:ascii="Cambria Math" w:hAnsi="Cambria Math"/>
            </w:rPr>
            <m:t>dμ</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v</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Z</m:t>
                  </m:r>
                </m:e>
                <m:sub>
                  <m:r>
                    <w:rPr>
                      <w:rFonts w:ascii="Cambria Math" w:hAnsi="Cambria Math"/>
                    </w:rPr>
                    <m:t>v</m:t>
                  </m:r>
                </m:sub>
              </m:sSub>
            </m:den>
          </m:f>
          <m:r>
            <m:rPr>
              <m:nor/>
            </m:rPr>
            <m:t>    </m:t>
          </m:r>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(1)</m:t>
          </m:r>
        </m:oMath>
      </m:oMathPara>
    </w:p>
    <w:p w14:paraId="74CAED58" w14:textId="77777777" w:rsidR="00287EFD" w:rsidRDefault="00000000" w:rsidP="007B33B3">
      <w:pPr>
        <w:pStyle w:val="FirstParagraph"/>
        <w:rPr>
          <w:rFonts w:hint="eastAsia"/>
        </w:rPr>
      </w:pPr>
      <w:r>
        <w:rPr>
          <w:b/>
          <w:bCs/>
        </w:rPr>
        <w:t>Theorem 1.</w:t>
      </w:r>
      <w:r>
        <w:t xml:space="preserve"> The target in (1) is a probability measure exactly when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&lt;∞</m:t>
        </m:r>
      </m:oMath>
      <w:r>
        <w:t xml:space="preserve">.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is bounded below on the passing set, these conditions hold. The target assigns probability one to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oMath>
      <w:r>
        <w:t>.</w:t>
      </w:r>
    </w:p>
    <w:p w14:paraId="28004FFE" w14:textId="77777777" w:rsidR="00287EFD" w:rsidRDefault="00000000" w:rsidP="007B33B3">
      <w:pPr>
        <w:pStyle w:val="BodyText"/>
        <w:rPr>
          <w:rFonts w:hint="eastAsia"/>
        </w:rPr>
      </w:pPr>
      <w:r>
        <w:rPr>
          <w:i/>
          <w:iCs/>
        </w:rPr>
        <w:t>Proof.</w:t>
      </w:r>
      <w:r>
        <w:t xml:space="preserve"> Positivity and finiteness are the normalisation conditions for a nonnegative measure. Under the sufficient conditions,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sup>
        </m:sSup>
      </m:oMath>
      <w:r>
        <w:t xml:space="preserve"> is strictly positive on a set of positive prior mass and bounded above there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oMath>
      <w:r>
        <w:t xml:space="preserve"> for a finite lower bound </w:t>
      </w:r>
      <m:oMath>
        <m:r>
          <w:rPr>
            <w:rFonts w:ascii="Cambria Math" w:hAnsi="Cambria Math"/>
          </w:rPr>
          <m:t>L</m:t>
        </m:r>
      </m:oMath>
      <w:r>
        <w:t xml:space="preserve">. The integral is therefore positive and finite. On the failing set the integrand is zero. </w:t>
      </w:r>
      <m:oMath>
        <m:r>
          <m:rPr>
            <m:sty m:val="p"/>
          </m:rPr>
          <w:rPr>
            <w:rFonts w:ascii="Cambria Math" w:hAnsi="Cambria Math"/>
          </w:rPr>
          <m:t>▫</m:t>
        </m:r>
      </m:oMath>
    </w:p>
    <w:p w14:paraId="2F09830A" w14:textId="77777777" w:rsidR="00287EFD" w:rsidRDefault="00000000" w:rsidP="007B33B3">
      <w:pPr>
        <w:pStyle w:val="BodyText"/>
        <w:rPr>
          <w:rFonts w:hint="eastAsia"/>
        </w:rPr>
      </w:pPr>
      <w:r>
        <w:t xml:space="preserve">A probability reference does not guarantee normalisability for every loss. For example, if </w:t>
      </w:r>
      <m:oMath>
        <m:r>
          <w:rPr>
            <w:rFonts w:ascii="Cambria Math" w:hAnsi="Cambria Math"/>
          </w:rPr>
          <m:t>G</m:t>
        </m:r>
        <m:r>
          <m:rPr>
            <m:sty m:val="p"/>
          </m:rPr>
          <w:rPr>
            <w:rFonts w:ascii="Cambria Math" w:hAnsi="Cambria Math"/>
          </w:rPr>
          <m:t>=</m:t>
        </m:r>
        <m:r>
          <w:rPr>
            <w:rFonts w:ascii="Cambria Math" w:hAnsi="Cambria Math"/>
          </w:rPr>
          <m:t>1</m:t>
        </m:r>
      </m:oMath>
      <w:r>
        <w:t xml:space="preserve">, </w:t>
      </w:r>
      <m:oMath>
        <m:r>
          <w:rPr>
            <w:rFonts w:ascii="Cambria Math" w:hAnsi="Cambria Math"/>
          </w:rPr>
          <m:t>μ</m:t>
        </m:r>
      </m:oMath>
      <w:r>
        <w:t xml:space="preserve"> is standard normal and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the exponential tilt is nonintegrable for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 flat expression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against Lebesgue measure is also insufficient without checking integrability. A constant loss on an unbounded Euclidean space already fails that construction.</w:t>
      </w:r>
    </w:p>
    <w:p w14:paraId="1AF4E037" w14:textId="77777777" w:rsidR="00287EFD" w:rsidRDefault="00000000" w:rsidP="007B33B3">
      <w:pPr>
        <w:pStyle w:val="BodyText"/>
        <w:rPr>
          <w:rFonts w:hint="eastAsia"/>
        </w:rPr>
      </w:pPr>
      <w:r>
        <w:t xml:space="preserve">The prior is part of the target. In a finite section catalogue it may assign mass to each listed design. In a mixed space it can combine counting measure over grades and section identifiers with continuous distributions over geometric variables. If </w:t>
      </w:r>
      <m:oMath>
        <m:r>
          <w:rPr>
            <w:rFonts w:ascii="Cambria Math" w:hAnsi="Cambria Math"/>
          </w:rPr>
          <m:t>μ</m:t>
        </m:r>
      </m:oMath>
      <w:r>
        <w:t xml:space="preserve"> has density </w:t>
      </w:r>
      <m:oMath>
        <m:r>
          <w:rPr>
            <w:rFonts w:ascii="Cambria Math" w:hAnsi="Cambria Math"/>
          </w:rPr>
          <m:t>ν</m:t>
        </m:r>
      </m:oMath>
      <w:r>
        <w:t xml:space="preserve"> relative to a dominating measure </w:t>
      </w:r>
      <m:oMath>
        <m:r>
          <w:rPr>
            <w:rFonts w:ascii="Cambria Math" w:hAnsi="Cambria Math"/>
          </w:rPr>
          <m:t>ζ</m:t>
        </m:r>
      </m:oMath>
      <w:r>
        <w:t>, later proposal densities must be defined relative to that same measure or transformed explicitly.</w:t>
      </w:r>
    </w:p>
    <w:p w14:paraId="3F4A5FB1" w14:textId="77777777" w:rsidR="00287EFD" w:rsidRDefault="00000000" w:rsidP="007B33B3">
      <w:pPr>
        <w:pStyle w:val="BodyText"/>
        <w:rPr>
          <w:rFonts w:hint="eastAsia"/>
        </w:rPr>
      </w:pPr>
      <w:r>
        <w:t xml:space="preserve">Exact equality constraints need particular care. With an absolutely continuous prior, a constraint such as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oMath>
      <w:r>
        <w:t xml:space="preserve"> can have zero prior mass, giving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r>
          <w:rPr>
            <w:rFonts w:ascii="Cambria Math" w:hAnsi="Cambria Math"/>
          </w:rPr>
          <m:t>0</m:t>
        </m:r>
      </m:oMath>
      <w:r>
        <w:t xml:space="preserve"> even though feasible designs exist. Suitable options include a prior defined on an explicitly parameterised feasible set, a justified </w:t>
        <w:lastRenderedPageBreak/>
        <w:t>conditional construction, or a declared tolerance band. A tolerance changes the admissible set. There is no unique constrained prior obtained merely by writing an indicator on a null set.</w:t>
      </w:r>
    </w:p>
    <w:p w14:paraId="2345EE9B" w14:textId="77777777" w:rsidR="00287EFD" w:rsidRDefault="00000000" w:rsidP="007B33B3">
      <w:pPr>
        <w:pStyle w:val="Heading2"/>
        <w:rPr>
          <w:rFonts w:hint="eastAsia"/>
        </w:rPr>
      </w:pPr>
      <w:bookmarkStart w:id="3" w:name="what-the-gate-guarantees"/>
      <w:r>
        <w:t>2.1 What the gate guarantees</w:t>
      </w:r>
    </w:p>
    <w:p w14:paraId="4CDF79F6" w14:textId="77777777" w:rsidR="00287EFD" w:rsidRDefault="00000000" w:rsidP="007B33B3">
      <w:pPr>
        <w:pStyle w:val="FirstParagraph"/>
        <w:rPr>
          <w:rFonts w:hint="eastAsia"/>
        </w:rPr>
      </w:pPr>
      <w:r>
        <w:t xml:space="preserve">Theorem 1 concerns the encoded predicate. If its tests are sufficient for an intended measurable property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meaning </w:t>
      </w:r>
      <m:oMath>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w:r>
        <w:t xml:space="preserve"> implies </w:t>
      </w:r>
      <m:oMath>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x</m:t>
            </m:r>
          </m:e>
        </m:d>
      </m:oMath>
      <w:r>
        <w:t xml:space="preserve">, then the target also assigns probability one to </w:t>
      </w:r>
      <m:oMath>
        <m:sSub>
          <m:sSubPr>
            <m:ctrlPr>
              <w:rPr>
                <w:rFonts w:ascii="Cambria Math" w:hAnsi="Cambria Math"/>
              </w:rPr>
            </m:ctrlPr>
          </m:sSubPr>
          <m:e>
            <m:r>
              <w:rPr>
                <w:rFonts w:ascii="Cambria Math" w:hAnsi="Cambria Math"/>
              </w:rPr>
              <m:t>P</m:t>
            </m:r>
          </m:e>
          <m:sub>
            <m:r>
              <w:rPr>
                <w:rFonts w:ascii="Cambria Math" w:hAnsi="Cambria Math"/>
              </w:rPr>
              <m:t>v</m:t>
            </m:r>
          </m:sub>
        </m:sSub>
      </m:oMath>
      <w:r>
        <w:t>. Establishing that implication is an engineering and verification task. A solver’s resistance check concerns its declared model; its successful execution alone does not establish adequacy against unmodelled conditions.</w:t>
      </w:r>
    </w:p>
    <w:p w14:paraId="3456C169" w14:textId="77777777" w:rsidR="00287EFD" w:rsidRDefault="00000000" w:rsidP="007B33B3">
      <w:pPr>
        <w:pStyle w:val="BodyText"/>
        <w:rPr>
          <w:rFonts w:hint="eastAsia"/>
        </w:rPr>
      </w:pPr>
      <w:r>
        <w:t>A gate may also accept an unsafe or incorrect artifact if it consumes fabricated or stale evidence. A practical gate verifies the artifact identity, input and source versions, trusted evaluation records and authorisation required for the requested release. Missing mandatory results receive an unresolved or failing disposition rather than being inferred from persuasive text. The mathematical predicate must represent that actual acceptance procedure.</w:t>
      </w:r>
    </w:p>
    <w:p w14:paraId="7F46BA53" w14:textId="77777777" w:rsidR="00287EFD" w:rsidRDefault="00000000" w:rsidP="007B33B3">
      <w:pPr>
        <w:pStyle w:val="BodyText"/>
        <w:rPr>
          <w:rFonts w:hint="eastAsia"/>
        </w:rPr>
      </w:pPr>
      <w:r>
        <w:t xml:space="preserve">A hard-gated target does not make every intermediate calculation feasible. If </w:t>
      </w:r>
      <m:oMath>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gives equal mass to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and the passing set is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its mean is zero and fails the gate. The same issue occurs for nonconvex design sets and categorical variables. Every realised proposal is checked after averaging, repair or decoding.</w:t>
      </w:r>
    </w:p>
    <w:p w14:paraId="5766F28B" w14:textId="77777777" w:rsidR="00287EFD" w:rsidRDefault="00000000" w:rsidP="007B33B3">
      <w:pPr>
        <w:pStyle w:val="Heading2"/>
        <w:rPr>
          <w:rFonts w:hint="eastAsia"/>
        </w:rPr>
      </w:pPr>
      <w:bookmarkStart w:id="4" w:name="a-penalty-defines-a-different-target"/>
      <w:bookmarkEnd w:id="3"/>
      <w:r>
        <w:t>2.2 A penalty defines a different target</w:t>
      </w:r>
    </w:p>
    <w:p w14:paraId="2373AA05" w14:textId="77777777" w:rsidR="00287EFD" w:rsidRDefault="00000000" w:rsidP="007B33B3">
      <w:pPr>
        <w:pStyle w:val="FirstParagraph"/>
        <w:rPr>
          <w:rFonts w:hint="eastAsia"/>
        </w:rPr>
      </w:pPr>
      <w:r>
        <w:t xml:space="preserve">Replacing the hard gate by a finite penalty produces weights proportional to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e>
            </m:d>
            <m:r>
              <m:rPr>
                <m:sty m:val="p"/>
              </m:rPr>
              <w:rPr>
                <w:rFonts w:ascii="Cambria Math" w:hAnsi="Cambria Math"/>
              </w:rPr>
              <m:t>}</m:t>
            </m:r>
          </m:e>
        </m:d>
      </m:oMath>
      <w:r>
        <w:t>. Failing designs with positive prior mass then have positive target mass whenever the relevant losses and penalty are finite. This may be useful for exploratory search, but it is a different target and does not supply the support guarantee of Theorem 1.</w:t>
      </w:r>
    </w:p>
    <w:p w14:paraId="274E4E65" w14:textId="77777777" w:rsidR="00287EFD" w:rsidRDefault="00000000" w:rsidP="007B33B3">
      <w:pPr>
        <w:pStyle w:val="Caption"/>
        <w:keepNext/>
        <w:jc w:val="both"/>
        <w:rPr>
          <w:rFonts w:hint="eastAsia"/>
        </w:rPr>
      </w:pPr>
      <w:r>
        <w:t>Table 1. A finite catalogue with a hard gate and a finite penalty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584"/>
        <w:gridCol w:w="1152"/>
        <w:gridCol w:w="1224"/>
        <w:gridCol w:w="2376"/>
        <w:gridCol w:w="2376"/>
      </w:tblGrid>
      <w:tr w:rsidR="00287EFD" w14:paraId="7A9A92EF" w14:textId="77777777">
        <w:trPr>
          <w:cantSplit/>
          <w:tblHeader/>
          <w:jc w:val="center"/>
        </w:trPr>
        <w:tc>
          <w:tcPr>
            <w:tcW w:w="1224" w:type="dxa"/>
            <w:shd w:val="clear" w:color="auto" w:fill="EAEAEA"/>
            <w:tcMar>
              <w:top w:w="80" w:type="dxa"/>
              <w:left w:w="85" w:type="dxa"/>
              <w:bottom w:w="80" w:type="dxa"/>
              <w:right w:w="85" w:type="dxa"/>
            </w:tcMar>
            <w:vAlign w:val="center"/>
          </w:tcPr>
          <w:p w14:paraId="02224499" w14:textId="77777777" w:rsidR="00287EFD" w:rsidRDefault="00000000" w:rsidP="007B33B3">
            <w:pPr>
              <w:keepNext/>
              <w:keepLines/>
              <w:spacing w:after="0" w:line="247" w:lineRule="auto"/>
              <w:rPr>
                <w:rFonts w:hint="eastAsia"/>
              </w:rPr>
            </w:pPr>
            <w:r>
              <w:rPr>
                <w:b/>
                <w:sz w:val="21"/>
              </w:rPr>
              <w:t>Design</w:t>
            </w:r>
          </w:p>
        </w:tc>
        <w:tc>
          <w:tcPr>
            <w:tcW w:w="1584" w:type="dxa"/>
            <w:shd w:val="clear" w:color="auto" w:fill="EAEAEA"/>
            <w:tcMar>
              <w:top w:w="80" w:type="dxa"/>
              <w:left w:w="85" w:type="dxa"/>
              <w:bottom w:w="80" w:type="dxa"/>
              <w:right w:w="85" w:type="dxa"/>
            </w:tcMar>
            <w:vAlign w:val="center"/>
          </w:tcPr>
          <w:p w14:paraId="77AE5521" w14:textId="77777777" w:rsidR="00287EFD" w:rsidRDefault="00000000" w:rsidP="007B33B3">
            <w:pPr>
              <w:keepNext/>
              <w:keepLines/>
              <w:spacing w:after="0" w:line="247" w:lineRule="auto"/>
              <w:rPr>
                <w:rFonts w:hint="eastAsia"/>
              </w:rPr>
            </w:pPr>
            <w:r>
              <w:rPr>
                <w:b/>
                <w:sz w:val="21"/>
              </w:rPr>
              <w:t>Prior mass</w:t>
            </w:r>
          </w:p>
        </w:tc>
        <w:tc>
          <w:tcPr>
            <w:tcW w:w="1152" w:type="dxa"/>
            <w:shd w:val="clear" w:color="auto" w:fill="EAEAEA"/>
            <w:tcMar>
              <w:top w:w="80" w:type="dxa"/>
              <w:left w:w="85" w:type="dxa"/>
              <w:bottom w:w="80" w:type="dxa"/>
              <w:right w:w="85" w:type="dxa"/>
            </w:tcMar>
            <w:vAlign w:val="center"/>
          </w:tcPr>
          <w:p w14:paraId="7604D1FE" w14:textId="77777777" w:rsidR="00287EFD" w:rsidRDefault="00000000" w:rsidP="007B33B3">
            <w:pPr>
              <w:keepNext/>
              <w:keepLines/>
              <w:spacing w:after="0" w:line="247" w:lineRule="auto"/>
              <w:rPr>
                <w:rFonts w:hint="eastAsia"/>
              </w:rPr>
            </w:pPr>
            <w:r>
              <w:rPr>
                <w:b/>
                <w:sz w:val="21"/>
              </w:rPr>
              <w:t>Loss</w:t>
            </w:r>
          </w:p>
        </w:tc>
        <w:tc>
          <w:tcPr>
            <w:tcW w:w="1224" w:type="dxa"/>
            <w:shd w:val="clear" w:color="auto" w:fill="EAEAEA"/>
            <w:tcMar>
              <w:top w:w="80" w:type="dxa"/>
              <w:left w:w="85" w:type="dxa"/>
              <w:bottom w:w="80" w:type="dxa"/>
              <w:right w:w="85" w:type="dxa"/>
            </w:tcMar>
            <w:vAlign w:val="center"/>
          </w:tcPr>
          <w:p w14:paraId="31F8E98C" w14:textId="77777777" w:rsidR="00287EFD" w:rsidRDefault="00000000" w:rsidP="007B33B3">
            <w:pPr>
              <w:keepNext/>
              <w:keepLines/>
              <w:spacing w:after="0" w:line="247" w:lineRule="auto"/>
              <w:rPr>
                <w:rFonts w:hint="eastAsia"/>
              </w:rPr>
            </w:pPr>
            <w:r>
              <w:rPr>
                <w:b/>
                <w:sz w:val="21"/>
              </w:rPr>
              <w:t>Gate</w:t>
            </w:r>
          </w:p>
        </w:tc>
        <w:tc>
          <w:tcPr>
            <w:tcW w:w="2376" w:type="dxa"/>
            <w:shd w:val="clear" w:color="auto" w:fill="EAEAEA"/>
            <w:tcMar>
              <w:top w:w="80" w:type="dxa"/>
              <w:left w:w="85" w:type="dxa"/>
              <w:bottom w:w="80" w:type="dxa"/>
              <w:right w:w="85" w:type="dxa"/>
            </w:tcMar>
            <w:vAlign w:val="center"/>
          </w:tcPr>
          <w:p w14:paraId="35246578" w14:textId="77777777" w:rsidR="00287EFD" w:rsidRDefault="00000000" w:rsidP="007B33B3">
            <w:pPr>
              <w:keepNext/>
              <w:keepLines/>
              <w:spacing w:after="0" w:line="247" w:lineRule="auto"/>
              <w:rPr>
                <w:rFonts w:hint="eastAsia"/>
              </w:rPr>
            </w:pPr>
            <w:r>
              <w:rPr>
                <w:b/>
                <w:sz w:val="21"/>
              </w:rPr>
              <w:t>Hard target</w:t>
            </w:r>
          </w:p>
        </w:tc>
        <w:tc>
          <w:tcPr>
            <w:tcW w:w="2376" w:type="dxa"/>
            <w:shd w:val="clear" w:color="auto" w:fill="EAEAEA"/>
            <w:tcMar>
              <w:top w:w="80" w:type="dxa"/>
              <w:left w:w="85" w:type="dxa"/>
              <w:bottom w:w="80" w:type="dxa"/>
              <w:right w:w="85" w:type="dxa"/>
            </w:tcMar>
            <w:vAlign w:val="center"/>
          </w:tcPr>
          <w:p w14:paraId="50557C9E" w14:textId="77777777" w:rsidR="00287EFD" w:rsidRDefault="00000000" w:rsidP="007B33B3">
            <w:pPr>
              <w:keepNext/>
              <w:keepLines/>
              <w:spacing w:after="0" w:line="247" w:lineRule="auto"/>
              <w:rPr>
                <w:rFonts w:hint="eastAsia"/>
              </w:rPr>
            </w:pPr>
            <w:r>
              <w:rPr>
                <w:b/>
                <w:sz w:val="21"/>
              </w:rPr>
              <w:t>Penalty target</w:t>
            </w:r>
          </w:p>
        </w:tc>
      </w:tr>
      <w:tr w:rsidR="00287EFD" w14:paraId="641BE687" w14:textId="77777777">
        <w:trPr>
          <w:cantSplit/>
          <w:jc w:val="center"/>
        </w:trPr>
        <w:tc>
          <w:tcPr>
            <w:tcW w:w="1224" w:type="dxa"/>
            <w:shd w:val="clear" w:color="auto" w:fill="FFFFFF"/>
            <w:tcMar>
              <w:top w:w="80" w:type="dxa"/>
              <w:left w:w="85" w:type="dxa"/>
              <w:bottom w:w="80" w:type="dxa"/>
              <w:right w:w="85" w:type="dxa"/>
            </w:tcMar>
            <w:vAlign w:val="center"/>
          </w:tcPr>
          <w:p w14:paraId="1703DD5A" w14:textId="77777777" w:rsidR="00287EFD" w:rsidRDefault="00000000" w:rsidP="007B33B3">
            <w:pPr>
              <w:keepNext/>
              <w:keepLines/>
              <w:spacing w:after="0" w:line="247" w:lineRule="auto"/>
              <w:rPr>
                <w:rFonts w:hint="eastAsia"/>
              </w:rPr>
            </w:pPr>
            <w:r>
              <w:rPr>
                <w:sz w:val="21"/>
              </w:rPr>
              <w:t>A</w:t>
            </w:r>
          </w:p>
        </w:tc>
        <w:tc>
          <w:tcPr>
            <w:tcW w:w="1584" w:type="dxa"/>
            <w:shd w:val="clear" w:color="auto" w:fill="FFFFFF"/>
            <w:tcMar>
              <w:top w:w="80" w:type="dxa"/>
              <w:left w:w="85" w:type="dxa"/>
              <w:bottom w:w="80" w:type="dxa"/>
              <w:right w:w="85" w:type="dxa"/>
            </w:tcMar>
            <w:vAlign w:val="center"/>
          </w:tcPr>
          <w:p w14:paraId="0A4F895C" w14:textId="77777777" w:rsidR="00287EFD" w:rsidRDefault="00000000" w:rsidP="007B33B3">
            <w:pPr>
              <w:keepNext/>
              <w:keepLines/>
              <w:spacing w:after="0" w:line="247" w:lineRule="auto"/>
              <w:rPr>
                <w:rFonts w:hint="eastAsia"/>
              </w:rPr>
            </w:pPr>
            <w:r>
              <w:rPr>
                <w:sz w:val="21"/>
              </w:rPr>
              <w:t>0.4</w:t>
            </w:r>
          </w:p>
        </w:tc>
        <w:tc>
          <w:tcPr>
            <w:tcW w:w="1152" w:type="dxa"/>
            <w:shd w:val="clear" w:color="auto" w:fill="FFFFFF"/>
            <w:tcMar>
              <w:top w:w="80" w:type="dxa"/>
              <w:left w:w="85" w:type="dxa"/>
              <w:bottom w:w="80" w:type="dxa"/>
              <w:right w:w="85" w:type="dxa"/>
            </w:tcMar>
            <w:vAlign w:val="center"/>
          </w:tcPr>
          <w:p w14:paraId="285542B9" w14:textId="77777777" w:rsidR="00287EFD" w:rsidRDefault="00000000" w:rsidP="007B33B3">
            <w:pPr>
              <w:keepNext/>
              <w:keepLines/>
              <w:spacing w:after="0" w:line="247" w:lineRule="auto"/>
              <w:rPr>
                <w:rFonts w:hint="eastAsia"/>
              </w:rPr>
            </w:pPr>
            <w:r>
              <w:rPr>
                <w:sz w:val="21"/>
              </w:rPr>
              <w:t>1.0</w:t>
            </w:r>
          </w:p>
        </w:tc>
        <w:tc>
          <w:tcPr>
            <w:tcW w:w="1224" w:type="dxa"/>
            <w:shd w:val="clear" w:color="auto" w:fill="FFFFFF"/>
            <w:tcMar>
              <w:top w:w="80" w:type="dxa"/>
              <w:left w:w="85" w:type="dxa"/>
              <w:bottom w:w="80" w:type="dxa"/>
              <w:right w:w="85" w:type="dxa"/>
            </w:tcMar>
            <w:vAlign w:val="center"/>
          </w:tcPr>
          <w:p w14:paraId="69ED84CD"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580CA542" w14:textId="77777777" w:rsidR="00287EFD" w:rsidRDefault="00000000" w:rsidP="007B33B3">
            <w:pPr>
              <w:keepNext/>
              <w:keepLines/>
              <w:spacing w:after="0" w:line="247" w:lineRule="auto"/>
              <w:rPr>
                <w:rFonts w:hint="eastAsia"/>
              </w:rPr>
            </w:pPr>
            <w:r>
              <w:rPr>
                <w:sz w:val="21"/>
              </w:rPr>
              <w:t>0.194338</w:t>
            </w:r>
          </w:p>
        </w:tc>
        <w:tc>
          <w:tcPr>
            <w:tcW w:w="2376" w:type="dxa"/>
            <w:shd w:val="clear" w:color="auto" w:fill="FFFFFF"/>
            <w:tcMar>
              <w:top w:w="80" w:type="dxa"/>
              <w:left w:w="85" w:type="dxa"/>
              <w:bottom w:w="80" w:type="dxa"/>
              <w:right w:w="85" w:type="dxa"/>
            </w:tcMar>
            <w:vAlign w:val="center"/>
          </w:tcPr>
          <w:p w14:paraId="782CA752" w14:textId="77777777" w:rsidR="00287EFD" w:rsidRDefault="00000000" w:rsidP="007B33B3">
            <w:pPr>
              <w:keepNext/>
              <w:keepLines/>
              <w:spacing w:after="0" w:line="247" w:lineRule="auto"/>
              <w:rPr>
                <w:rFonts w:hint="eastAsia"/>
              </w:rPr>
            </w:pPr>
            <w:r>
              <w:rPr>
                <w:sz w:val="21"/>
              </w:rPr>
              <w:t>0.185334</w:t>
            </w:r>
          </w:p>
        </w:tc>
      </w:tr>
      <w:tr w:rsidR="00287EFD" w14:paraId="3D2DCA64" w14:textId="77777777">
        <w:trPr>
          <w:cantSplit/>
          <w:jc w:val="center"/>
        </w:trPr>
        <w:tc>
          <w:tcPr>
            <w:tcW w:w="1224" w:type="dxa"/>
            <w:shd w:val="clear" w:color="auto" w:fill="FFFFFF"/>
            <w:tcMar>
              <w:top w:w="80" w:type="dxa"/>
              <w:left w:w="85" w:type="dxa"/>
              <w:bottom w:w="80" w:type="dxa"/>
              <w:right w:w="85" w:type="dxa"/>
            </w:tcMar>
            <w:vAlign w:val="center"/>
          </w:tcPr>
          <w:p w14:paraId="1D67BF0F" w14:textId="77777777" w:rsidR="00287EFD" w:rsidRDefault="00000000" w:rsidP="007B33B3">
            <w:pPr>
              <w:keepNext/>
              <w:keepLines/>
              <w:spacing w:after="0" w:line="247" w:lineRule="auto"/>
              <w:rPr>
                <w:rFonts w:hint="eastAsia"/>
              </w:rPr>
            </w:pPr>
            <w:r>
              <w:rPr>
                <w:sz w:val="21"/>
              </w:rPr>
              <w:t>B</w:t>
            </w:r>
          </w:p>
        </w:tc>
        <w:tc>
          <w:tcPr>
            <w:tcW w:w="1584" w:type="dxa"/>
            <w:shd w:val="clear" w:color="auto" w:fill="FFFFFF"/>
            <w:tcMar>
              <w:top w:w="80" w:type="dxa"/>
              <w:left w:w="85" w:type="dxa"/>
              <w:bottom w:w="80" w:type="dxa"/>
              <w:right w:w="85" w:type="dxa"/>
            </w:tcMar>
            <w:vAlign w:val="center"/>
          </w:tcPr>
          <w:p w14:paraId="30195926" w14:textId="77777777" w:rsidR="00287EFD" w:rsidRDefault="00000000" w:rsidP="007B33B3">
            <w:pPr>
              <w:keepNext/>
              <w:keepLines/>
              <w:spacing w:after="0" w:line="247" w:lineRule="auto"/>
              <w:rPr>
                <w:rFonts w:hint="eastAsia"/>
              </w:rPr>
            </w:pPr>
            <w:r>
              <w:rPr>
                <w:sz w:val="21"/>
              </w:rPr>
              <w:t>0.3</w:t>
            </w:r>
          </w:p>
        </w:tc>
        <w:tc>
          <w:tcPr>
            <w:tcW w:w="1152" w:type="dxa"/>
            <w:shd w:val="clear" w:color="auto" w:fill="FFFFFF"/>
            <w:tcMar>
              <w:top w:w="80" w:type="dxa"/>
              <w:left w:w="85" w:type="dxa"/>
              <w:bottom w:w="80" w:type="dxa"/>
              <w:right w:w="85" w:type="dxa"/>
            </w:tcMar>
            <w:vAlign w:val="center"/>
          </w:tcPr>
          <w:p w14:paraId="577DD135" w14:textId="77777777" w:rsidR="00287EFD" w:rsidRDefault="00000000" w:rsidP="007B33B3">
            <w:pPr>
              <w:keepNext/>
              <w:keepLines/>
              <w:spacing w:after="0" w:line="247" w:lineRule="auto"/>
              <w:rPr>
                <w:rFonts w:hint="eastAsia"/>
              </w:rPr>
            </w:pPr>
            <w:r>
              <w:rPr>
                <w:sz w:val="21"/>
              </w:rPr>
              <w:t>0.6</w:t>
            </w:r>
          </w:p>
        </w:tc>
        <w:tc>
          <w:tcPr>
            <w:tcW w:w="1224" w:type="dxa"/>
            <w:shd w:val="clear" w:color="auto" w:fill="FFFFFF"/>
            <w:tcMar>
              <w:top w:w="80" w:type="dxa"/>
              <w:left w:w="85" w:type="dxa"/>
              <w:bottom w:w="80" w:type="dxa"/>
              <w:right w:w="85" w:type="dxa"/>
            </w:tcMar>
            <w:vAlign w:val="center"/>
          </w:tcPr>
          <w:p w14:paraId="10CFC642"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0DF589F4" w14:textId="77777777" w:rsidR="00287EFD" w:rsidRDefault="00000000" w:rsidP="007B33B3">
            <w:pPr>
              <w:keepNext/>
              <w:keepLines/>
              <w:spacing w:after="0" w:line="247" w:lineRule="auto"/>
              <w:rPr>
                <w:rFonts w:hint="eastAsia"/>
              </w:rPr>
            </w:pPr>
            <w:r>
              <w:rPr>
                <w:sz w:val="21"/>
              </w:rPr>
              <w:t>0.324381</w:t>
            </w:r>
          </w:p>
        </w:tc>
        <w:tc>
          <w:tcPr>
            <w:tcW w:w="2376" w:type="dxa"/>
            <w:shd w:val="clear" w:color="auto" w:fill="FFFFFF"/>
            <w:tcMar>
              <w:top w:w="80" w:type="dxa"/>
              <w:left w:w="85" w:type="dxa"/>
              <w:bottom w:w="80" w:type="dxa"/>
              <w:right w:w="85" w:type="dxa"/>
            </w:tcMar>
            <w:vAlign w:val="center"/>
          </w:tcPr>
          <w:p w14:paraId="1FB9FD0E" w14:textId="77777777" w:rsidR="00287EFD" w:rsidRDefault="00000000" w:rsidP="007B33B3">
            <w:pPr>
              <w:keepNext/>
              <w:keepLines/>
              <w:spacing w:after="0" w:line="247" w:lineRule="auto"/>
              <w:rPr>
                <w:rFonts w:hint="eastAsia"/>
              </w:rPr>
            </w:pPr>
            <w:r>
              <w:rPr>
                <w:sz w:val="21"/>
              </w:rPr>
              <w:t>0.309351</w:t>
            </w:r>
          </w:p>
        </w:tc>
      </w:tr>
      <w:tr w:rsidR="00287EFD" w14:paraId="54BD4AD7" w14:textId="77777777">
        <w:trPr>
          <w:cantSplit/>
          <w:jc w:val="center"/>
        </w:trPr>
        <w:tc>
          <w:tcPr>
            <w:tcW w:w="1224" w:type="dxa"/>
            <w:shd w:val="clear" w:color="auto" w:fill="FFFFFF"/>
            <w:tcMar>
              <w:top w:w="80" w:type="dxa"/>
              <w:left w:w="85" w:type="dxa"/>
              <w:bottom w:w="80" w:type="dxa"/>
              <w:right w:w="85" w:type="dxa"/>
            </w:tcMar>
            <w:vAlign w:val="center"/>
          </w:tcPr>
          <w:p w14:paraId="20BA4309" w14:textId="77777777" w:rsidR="00287EFD" w:rsidRDefault="00000000" w:rsidP="007B33B3">
            <w:pPr>
              <w:keepNext/>
              <w:keepLines/>
              <w:spacing w:after="0" w:line="247" w:lineRule="auto"/>
              <w:rPr>
                <w:rFonts w:hint="eastAsia"/>
              </w:rPr>
            </w:pPr>
            <w:r>
              <w:rPr>
                <w:sz w:val="21"/>
              </w:rPr>
              <w:t>C</w:t>
            </w:r>
          </w:p>
        </w:tc>
        <w:tc>
          <w:tcPr>
            <w:tcW w:w="1584" w:type="dxa"/>
            <w:shd w:val="clear" w:color="auto" w:fill="FFFFFF"/>
            <w:tcMar>
              <w:top w:w="80" w:type="dxa"/>
              <w:left w:w="85" w:type="dxa"/>
              <w:bottom w:w="80" w:type="dxa"/>
              <w:right w:w="85" w:type="dxa"/>
            </w:tcMar>
            <w:vAlign w:val="center"/>
          </w:tcPr>
          <w:p w14:paraId="24AA688B" w14:textId="77777777" w:rsidR="00287EFD" w:rsidRDefault="00000000" w:rsidP="007B33B3">
            <w:pPr>
              <w:keepNext/>
              <w:keepLines/>
              <w:spacing w:after="0" w:line="247" w:lineRule="auto"/>
              <w:rPr>
                <w:rFonts w:hint="eastAsia"/>
              </w:rPr>
            </w:pPr>
            <w:r>
              <w:rPr>
                <w:sz w:val="21"/>
              </w:rPr>
              <w:t>0.2</w:t>
            </w:r>
          </w:p>
        </w:tc>
        <w:tc>
          <w:tcPr>
            <w:tcW w:w="1152" w:type="dxa"/>
            <w:shd w:val="clear" w:color="auto" w:fill="FFFFFF"/>
            <w:tcMar>
              <w:top w:w="80" w:type="dxa"/>
              <w:left w:w="85" w:type="dxa"/>
              <w:bottom w:w="80" w:type="dxa"/>
              <w:right w:w="85" w:type="dxa"/>
            </w:tcMar>
            <w:vAlign w:val="center"/>
          </w:tcPr>
          <w:p w14:paraId="38795FC8" w14:textId="77777777" w:rsidR="00287EFD" w:rsidRDefault="00000000" w:rsidP="007B33B3">
            <w:pPr>
              <w:keepNext/>
              <w:keepLines/>
              <w:spacing w:after="0" w:line="247" w:lineRule="auto"/>
              <w:rPr>
                <w:rFonts w:hint="eastAsia"/>
              </w:rPr>
            </w:pPr>
            <w:r>
              <w:rPr>
                <w:sz w:val="21"/>
              </w:rPr>
              <w:t>0.2</w:t>
            </w:r>
          </w:p>
        </w:tc>
        <w:tc>
          <w:tcPr>
            <w:tcW w:w="1224" w:type="dxa"/>
            <w:shd w:val="clear" w:color="auto" w:fill="FFFFFF"/>
            <w:tcMar>
              <w:top w:w="80" w:type="dxa"/>
              <w:left w:w="85" w:type="dxa"/>
              <w:bottom w:w="80" w:type="dxa"/>
              <w:right w:w="85" w:type="dxa"/>
            </w:tcMar>
            <w:vAlign w:val="center"/>
          </w:tcPr>
          <w:p w14:paraId="235C59D8"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28EF734F" w14:textId="77777777" w:rsidR="00287EFD" w:rsidRDefault="00000000" w:rsidP="007B33B3">
            <w:pPr>
              <w:keepNext/>
              <w:keepLines/>
              <w:spacing w:after="0" w:line="247" w:lineRule="auto"/>
              <w:rPr>
                <w:rFonts w:hint="eastAsia"/>
              </w:rPr>
            </w:pPr>
            <w:r>
              <w:rPr>
                <w:sz w:val="21"/>
              </w:rPr>
              <w:t>0.481281</w:t>
            </w:r>
          </w:p>
        </w:tc>
        <w:tc>
          <w:tcPr>
            <w:tcW w:w="2376" w:type="dxa"/>
            <w:shd w:val="clear" w:color="auto" w:fill="FFFFFF"/>
            <w:tcMar>
              <w:top w:w="80" w:type="dxa"/>
              <w:left w:w="85" w:type="dxa"/>
              <w:bottom w:w="80" w:type="dxa"/>
              <w:right w:w="85" w:type="dxa"/>
            </w:tcMar>
            <w:vAlign w:val="center"/>
          </w:tcPr>
          <w:p w14:paraId="05276E40" w14:textId="77777777" w:rsidR="00287EFD" w:rsidRDefault="00000000" w:rsidP="007B33B3">
            <w:pPr>
              <w:keepNext/>
              <w:keepLines/>
              <w:spacing w:after="0" w:line="247" w:lineRule="auto"/>
              <w:rPr>
                <w:rFonts w:hint="eastAsia"/>
              </w:rPr>
            </w:pPr>
            <w:r>
              <w:rPr>
                <w:sz w:val="21"/>
              </w:rPr>
              <w:t>0.458982</w:t>
            </w:r>
          </w:p>
        </w:tc>
      </w:tr>
      <w:tr w:rsidR="00287EFD" w14:paraId="70B41348" w14:textId="77777777">
        <w:trPr>
          <w:cantSplit/>
          <w:jc w:val="center"/>
        </w:trPr>
        <w:tc>
          <w:tcPr>
            <w:tcW w:w="1224" w:type="dxa"/>
            <w:shd w:val="clear" w:color="auto" w:fill="FFFFFF"/>
            <w:tcMar>
              <w:top w:w="80" w:type="dxa"/>
              <w:left w:w="85" w:type="dxa"/>
              <w:bottom w:w="80" w:type="dxa"/>
              <w:right w:w="85" w:type="dxa"/>
            </w:tcMar>
            <w:vAlign w:val="center"/>
          </w:tcPr>
          <w:p w14:paraId="7CECFFC8" w14:textId="77777777" w:rsidR="00287EFD" w:rsidRDefault="00000000" w:rsidP="007B33B3">
            <w:pPr>
              <w:keepLines/>
              <w:spacing w:after="0" w:line="247" w:lineRule="auto"/>
              <w:rPr>
                <w:rFonts w:hint="eastAsia"/>
              </w:rPr>
            </w:pPr>
            <w:r>
              <w:rPr>
                <w:sz w:val="21"/>
              </w:rPr>
              <w:t>D</w:t>
            </w:r>
          </w:p>
        </w:tc>
        <w:tc>
          <w:tcPr>
            <w:tcW w:w="1584" w:type="dxa"/>
            <w:shd w:val="clear" w:color="auto" w:fill="FFFFFF"/>
            <w:tcMar>
              <w:top w:w="80" w:type="dxa"/>
              <w:left w:w="85" w:type="dxa"/>
              <w:bottom w:w="80" w:type="dxa"/>
              <w:right w:w="85" w:type="dxa"/>
            </w:tcMar>
            <w:vAlign w:val="center"/>
          </w:tcPr>
          <w:p w14:paraId="2B1D8827" w14:textId="77777777" w:rsidR="00287EFD" w:rsidRDefault="00000000" w:rsidP="007B33B3">
            <w:pPr>
              <w:keepLines/>
              <w:spacing w:after="0" w:line="247" w:lineRule="auto"/>
              <w:rPr>
                <w:rFonts w:hint="eastAsia"/>
              </w:rPr>
            </w:pPr>
            <w:r>
              <w:rPr>
                <w:sz w:val="21"/>
              </w:rPr>
              <w:t>0.1</w:t>
            </w:r>
          </w:p>
        </w:tc>
        <w:tc>
          <w:tcPr>
            <w:tcW w:w="1152" w:type="dxa"/>
            <w:shd w:val="clear" w:color="auto" w:fill="FFFFFF"/>
            <w:tcMar>
              <w:top w:w="80" w:type="dxa"/>
              <w:left w:w="85" w:type="dxa"/>
              <w:bottom w:w="80" w:type="dxa"/>
              <w:right w:w="85" w:type="dxa"/>
            </w:tcMar>
            <w:vAlign w:val="center"/>
          </w:tcPr>
          <w:p w14:paraId="26FD1A9C" w14:textId="77777777" w:rsidR="00287EFD" w:rsidRDefault="00000000" w:rsidP="007B33B3">
            <w:pPr>
              <w:keepLines/>
              <w:spacing w:after="0" w:line="247" w:lineRule="auto"/>
              <w:rPr>
                <w:rFonts w:hint="eastAsia"/>
              </w:rPr>
            </w:pPr>
            <w:r>
              <w:rPr>
                <w:sz w:val="21"/>
              </w:rPr>
              <w:t>0.0</w:t>
            </w:r>
          </w:p>
        </w:tc>
        <w:tc>
          <w:tcPr>
            <w:tcW w:w="1224" w:type="dxa"/>
            <w:shd w:val="clear" w:color="auto" w:fill="FFFFFF"/>
            <w:tcMar>
              <w:top w:w="80" w:type="dxa"/>
              <w:left w:w="85" w:type="dxa"/>
              <w:bottom w:w="80" w:type="dxa"/>
              <w:right w:w="85" w:type="dxa"/>
            </w:tcMar>
            <w:vAlign w:val="center"/>
          </w:tcPr>
          <w:p w14:paraId="56F28F5D" w14:textId="77777777" w:rsidR="00287EFD" w:rsidRDefault="00000000" w:rsidP="007B33B3">
            <w:pPr>
              <w:keepLines/>
              <w:spacing w:after="0" w:line="247" w:lineRule="auto"/>
              <w:rPr>
                <w:rFonts w:hint="eastAsia"/>
              </w:rPr>
            </w:pPr>
            <w:r>
              <w:rPr>
                <w:sz w:val="21"/>
              </w:rPr>
              <w:t>Fail</w:t>
            </w:r>
          </w:p>
        </w:tc>
        <w:tc>
          <w:tcPr>
            <w:tcW w:w="2376" w:type="dxa"/>
            <w:shd w:val="clear" w:color="auto" w:fill="FFFFFF"/>
            <w:tcMar>
              <w:top w:w="80" w:type="dxa"/>
              <w:left w:w="85" w:type="dxa"/>
              <w:bottom w:w="80" w:type="dxa"/>
              <w:right w:w="85" w:type="dxa"/>
            </w:tcMar>
            <w:vAlign w:val="center"/>
          </w:tcPr>
          <w:p w14:paraId="3272C192" w14:textId="77777777" w:rsidR="00287EFD" w:rsidRDefault="00000000" w:rsidP="007B33B3">
            <w:pPr>
              <w:keepLines/>
              <w:spacing w:after="0" w:line="247" w:lineRule="auto"/>
              <w:rPr>
                <w:rFonts w:hint="eastAsia"/>
              </w:rPr>
            </w:pPr>
            <w:r>
              <w:rPr>
                <w:sz w:val="21"/>
              </w:rPr>
              <w:t>0</w:t>
            </w:r>
          </w:p>
        </w:tc>
        <w:tc>
          <w:tcPr>
            <w:tcW w:w="2376" w:type="dxa"/>
            <w:shd w:val="clear" w:color="auto" w:fill="FFFFFF"/>
            <w:tcMar>
              <w:top w:w="80" w:type="dxa"/>
              <w:left w:w="85" w:type="dxa"/>
              <w:bottom w:w="80" w:type="dxa"/>
              <w:right w:w="85" w:type="dxa"/>
            </w:tcMar>
            <w:vAlign w:val="center"/>
          </w:tcPr>
          <w:p w14:paraId="7778CF42" w14:textId="77777777" w:rsidR="00287EFD" w:rsidRDefault="00000000" w:rsidP="007B33B3">
            <w:pPr>
              <w:keepLines/>
              <w:spacing w:after="0" w:line="247" w:lineRule="auto"/>
              <w:rPr>
                <w:rFonts w:hint="eastAsia"/>
              </w:rPr>
            </w:pPr>
            <w:r>
              <w:rPr>
                <w:sz w:val="21"/>
              </w:rPr>
              <w:t>0.046333</w:t>
            </w:r>
          </w:p>
        </w:tc>
      </w:tr>
    </w:tbl>
    <w:p w14:paraId="4754982F" w14:textId="77777777" w:rsidR="00287EFD" w:rsidRDefault="00000000" w:rsidP="007B33B3">
      <w:pPr>
        <w:pStyle w:val="BodyText"/>
        <w:spacing w:before="140"/>
        <w:rPr>
          <w:rFonts w:hint="eastAsia"/>
        </w:rPr>
      </w:pPr>
      <w:r>
        <w:t xml:space="preserve">Here </w:t>
      </w:r>
      <m:oMath>
        <m:r>
          <w:rPr>
            <w:rFonts w:ascii="Cambria Math" w:hAnsi="Cambria Math"/>
          </w:rPr>
          <m:t>β</m:t>
        </m:r>
        <m:r>
          <m:rPr>
            <m:sty m:val="p"/>
          </m:rPr>
          <w:rPr>
            <w:rFonts w:ascii="Cambria Math" w:hAnsi="Cambria Math"/>
          </w:rPr>
          <m:t>=</m:t>
        </m:r>
        <m:r>
          <w:rPr>
            <w:rFonts w:ascii="Cambria Math" w:hAnsi="Cambria Math"/>
          </w:rPr>
          <m:t>2</m:t>
        </m:r>
      </m:oMath>
      <w:r>
        <w:t xml:space="preserve"> and the penalty is </w:t>
      </w:r>
      <m:oMath>
        <m:r>
          <w:rPr>
            <w:rFonts w:ascii="Cambria Math" w:hAnsi="Cambria Math"/>
          </w:rPr>
          <m:t>λ</m:t>
        </m:r>
        <m:r>
          <m:rPr>
            <m:sty m:val="p"/>
          </m:rPr>
          <w:rPr>
            <w:rFonts w:ascii="Cambria Math" w:hAnsi="Cambria Math"/>
          </w:rPr>
          <m:t>=</m:t>
        </m:r>
        <m:r>
          <w:rPr>
            <w:rFonts w:ascii="Cambria Math" w:hAnsi="Cambria Math"/>
          </w:rPr>
          <m:t>1</m:t>
        </m:r>
      </m:oMath>
      <w:r>
        <w:t>. The hard normaliser is 0.2785563861. Design D has the smallest loss but no hard-target mass. These probabilities are exact finite-catalogue calculations, not measured design success rates.</w:t>
      </w:r>
    </w:p>
    <w:p w14:paraId="135F13A0" w14:textId="77777777" w:rsidR="00287EFD" w:rsidRDefault="00000000" w:rsidP="007B33B3">
      <w:pPr>
        <w:pStyle w:val="Heading1"/>
        <w:rPr>
          <w:rFonts w:hint="eastAsia"/>
        </w:rPr>
      </w:pPr>
      <w:bookmarkStart w:id="5" w:name="X82ad608001eebd61fbb599226c1b37d0cd6c63a"/>
      <w:bookmarkEnd w:id="2"/>
      <w:bookmarkEnd w:id="4"/>
      <w:r>
        <w:t>3 The role of temperature and reference preference</w:t>
      </w:r>
    </w:p>
    <w:p w14:paraId="41809EB7" w14:textId="77777777" w:rsidR="00287EFD" w:rsidRDefault="00000000" w:rsidP="007B33B3">
      <w:pPr>
        <w:pStyle w:val="FirstParagraph"/>
        <w:rPr>
          <w:rFonts w:hint="eastAsia"/>
        </w:rPr>
      </w:pPr>
      <w:r>
        <w:t xml:space="preserve">Assume </w:t>
      </w:r>
      <m:oMath>
        <m:r>
          <w:rPr>
            <w:rFonts w:ascii="Cambria Math" w:hAnsi="Cambria Math"/>
          </w:rPr>
          <m:t>β</m:t>
        </m:r>
        <m:r>
          <m:rPr>
            <m:sty m:val="p"/>
          </m:rPr>
          <w:rPr>
            <w:rFonts w:ascii="Cambria Math" w:hAnsi="Cambria Math"/>
          </w:rPr>
          <m:t>&gt;</m:t>
        </m:r>
        <m:r>
          <w:rPr>
            <w:rFonts w:ascii="Cambria Math" w:hAnsi="Cambria Math"/>
          </w:rPr>
          <m:t>0</m:t>
        </m:r>
      </m:oMath>
      <w:r>
        <w:t xml:space="preserve"> and, for the following variational statement, that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is bounded on the passing set. Let </w:t>
      </w:r>
      <m:oMath>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denote </w:t>
      </w:r>
      <m:oMath>
        <m:r>
          <w:rPr>
            <w:rFonts w:ascii="Cambria Math" w:hAnsi="Cambria Math"/>
          </w:rPr>
          <m:t>μ</m:t>
        </m:r>
      </m:oMath>
      <w:r>
        <w:t xml:space="preserve"> conditioned on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oMath>
      <w:r>
        <w:t xml:space="preserve">, and put </w:t>
      </w:r>
      <m:oMath>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e>
        </m:d>
      </m:oMath>
      <w:r>
        <w:t>.</w:t>
      </w:r>
    </w:p>
    <w:p w14:paraId="7E55B828" w14:textId="77777777" w:rsidR="00287EFD" w:rsidRDefault="00000000" w:rsidP="007B33B3">
      <w:pPr>
        <w:pStyle w:val="BodyText"/>
        <w:keepNext/>
        <w:rPr>
          <w:rFonts w:hint="eastAsia"/>
        </w:rPr>
      </w:pPr>
      <w:r>
        <w:rPr>
          <w:b/>
          <w:bCs/>
        </w:rPr>
        <w:t>Theorem 2.</w:t>
      </w:r>
      <w:r>
        <w:t xml:space="preserve"> Over probability measures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of finite relative entropy, </w:t>
      </w:r>
      <m:oMath>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uniquely minimises</w:t>
      </w:r>
    </w:p>
    <w:p w14:paraId="3986C307" w14:textId="77777777" w:rsidR="00287EFD" w:rsidRDefault="00000000" w:rsidP="007B33B3">
      <w:pPr>
        <w:pStyle w:val="BodyText"/>
        <w:keepLines/>
        <w:spacing w:before="60" w:after="120"/>
        <w:rPr>
          <w:rFonts w:hint="eastAsia"/>
        </w:rPr>
      </w:pPr>
      <m:oMathPara>
        <m:oMathParaPr>
          <m:jc m:val="center"/>
        </m:oMathParaPr>
        <m:oMath>
          <m:r>
            <m:rPr>
              <m:scr m:val="script"/>
              <m:sty m:val="p"/>
            </m:rP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nor/>
                </m:rPr>
                <m:t>KL</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e>
          </m:d>
          <m:r>
            <m:rPr>
              <m:nor/>
            </m:rPr>
            <m:t>    (2)</m:t>
          </m:r>
        </m:oMath>
      </m:oMathPara>
    </w:p>
    <w:p w14:paraId="01F4BDFC" w14:textId="77777777" w:rsidR="00287EFD" w:rsidRDefault="00000000" w:rsidP="007B33B3">
      <w:pPr>
        <w:pStyle w:val="FirstParagraph"/>
        <w:keepNext/>
        <w:rPr>
          <w:rFonts w:hint="eastAsia"/>
        </w:rPr>
      </w:pPr>
      <w:r>
        <w:lastRenderedPageBreak/>
        <w:t>The exact identity is</w:t>
      </w:r>
    </w:p>
    <w:p w14:paraId="2529293E" w14:textId="77777777" w:rsidR="00287EFD" w:rsidRDefault="00000000" w:rsidP="007B33B3">
      <w:pPr>
        <w:pStyle w:val="BodyText"/>
        <w:keepLines/>
        <w:spacing w:before="60" w:after="120"/>
        <w:rPr>
          <w:rFonts w:hint="eastAsia"/>
        </w:rPr>
      </w:pPr>
      <m:oMathPara>
        <m:oMathParaPr>
          <m:jc m:val="center"/>
        </m:oMathParaPr>
        <m:oMath>
          <m:r>
            <m:rPr>
              <m:scr m:val="script"/>
              <m:sty m:val="p"/>
            </m:rP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nor/>
                </m:rPr>
                <m:t>KL</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v</m:t>
                  </m:r>
                </m:sub>
              </m:sSub>
            </m:e>
          </m:d>
          <m:r>
            <m:rPr>
              <m:sty m:val="p"/>
            </m:rPr>
            <w:rPr>
              <w:rFonts w:ascii="Cambria Math" w:hAnsi="Cambria Math"/>
            </w:rPr>
            <m:t>.</m:t>
          </m:r>
          <m:r>
            <m:rPr>
              <m:nor/>
            </m:rPr>
            <m:t>    (3)</m:t>
          </m:r>
        </m:oMath>
      </m:oMathPara>
    </w:p>
    <w:p w14:paraId="371FE7F3" w14:textId="77777777" w:rsidR="00287EFD" w:rsidRDefault="00000000" w:rsidP="007B33B3">
      <w:pPr>
        <w:pStyle w:val="FirstParagraph"/>
        <w:rPr>
          <w:rFonts w:hint="eastAsia"/>
        </w:rPr>
      </w:pPr>
      <w:r>
        <w:rPr>
          <w:i/>
          <w:iCs/>
        </w:rPr>
        <w:t>Proof.</w:t>
      </w:r>
      <w:r>
        <w:t xml:space="preserve"> Substitute </w:t>
      </w:r>
      <m:oMath>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v</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t>
            </m:r>
          </m:sub>
        </m:sSub>
      </m:oMath>
      <w:r>
        <w:t xml:space="preserve"> into the last relative entropy and rearrange. Nonnegativity of relative entropy gives the minimum, and equality holds only when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Boundedness of the loss makes the change of reference and expectations legitimate in this formulation. </w:t>
      </w:r>
      <m:oMath>
        <m:r>
          <m:rPr>
            <m:sty m:val="p"/>
          </m:rPr>
          <w:rPr>
            <w:rFonts w:ascii="Cambria Math" w:hAnsi="Cambria Math"/>
          </w:rPr>
          <m:t>▫</m:t>
        </m:r>
      </m:oMath>
    </w:p>
    <w:p w14:paraId="5E121723" w14:textId="77777777" w:rsidR="00287EFD" w:rsidRDefault="00000000" w:rsidP="007B33B3">
      <w:pPr>
        <w:pStyle w:val="BodyText"/>
        <w:rPr>
          <w:rFonts w:hint="eastAsia"/>
        </w:rPr>
      </w:pPr>
      <w:r>
        <w:t xml:space="preserve">This is the Gibbs variational identity used in loss-based updating [2]. It explains how the reference and the loss trade off; it does not establish that a finite DE run finds the minimising distribution. At </w:t>
      </w:r>
      <m:oMath>
        <m:r>
          <w:rPr>
            <w:rFonts w:ascii="Cambria Math" w:hAnsi="Cambria Math"/>
          </w:rPr>
          <m:t>β</m:t>
        </m:r>
        <m:r>
          <m:rPr>
            <m:sty m:val="p"/>
          </m:rPr>
          <w:rPr>
            <w:rFonts w:ascii="Cambria Math" w:hAnsi="Cambria Math"/>
          </w:rPr>
          <m:t>=</m:t>
        </m:r>
        <m:r>
          <w:rPr>
            <w:rFonts w:ascii="Cambria Math" w:hAnsi="Cambria Math"/>
          </w:rPr>
          <m:t>0</m:t>
        </m:r>
      </m:oMath>
      <w:r>
        <w:t xml:space="preserve">, (1) reduces to the reference conditioned on the gate. Larger positive </w:t>
      </w:r>
      <m:oMath>
        <m:r>
          <w:rPr>
            <w:rFonts w:ascii="Cambria Math" w:hAnsi="Cambria Math"/>
          </w:rPr>
          <m:t>β</m:t>
        </m:r>
      </m:oMath>
      <w:r>
        <w:t xml:space="preserve"> gives stronger preference to lower loss, relative to the same prior.</w:t>
      </w:r>
    </w:p>
    <w:p w14:paraId="770E8CF4" w14:textId="77777777" w:rsidR="00287EFD" w:rsidRDefault="00000000" w:rsidP="007B33B3">
      <w:pPr>
        <w:pStyle w:val="BodyText"/>
        <w:rPr>
          <w:rFonts w:hint="eastAsia"/>
        </w:rPr>
      </w:pPr>
      <w:r>
        <w:t xml:space="preserve">The product </w:t>
      </w:r>
      <m:oMath>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must be dimensionless. Adding a constant to the loss leaves the normalised target unchanged. Multiplying the loss by a positive constant requires an inverse adjustment of </w:t>
      </w:r>
      <m:oMath>
        <m:r>
          <w:rPr>
            <w:rFonts w:ascii="Cambria Math" w:hAnsi="Cambria Math"/>
          </w:rPr>
          <m:t>β</m:t>
        </m:r>
      </m:oMath>
      <w:r>
        <w:t xml:space="preserve"> to preserve it. Scaling mass, cost or critic ratings after examining outcomes changes the target and should be recorded as such.</w:t>
      </w:r>
    </w:p>
    <w:p w14:paraId="0442546C" w14:textId="77777777" w:rsidR="00287EFD" w:rsidRDefault="00000000" w:rsidP="007B33B3">
      <w:pPr>
        <w:pStyle w:val="BodyText"/>
        <w:rPr>
          <w:rFonts w:hint="eastAsia"/>
        </w:rPr>
      </w:pPr>
      <w:r>
        <w:t>The target is a declared search preference. Unless a separate probabilistic model establishes another interpretation, its mass is not a calibrated probability of correctness, structural failure or client approval. Those quantities require their own observation models and evidence.</w:t>
      </w:r>
    </w:p>
    <w:p w14:paraId="7FAD565F" w14:textId="77777777" w:rsidR="00287EFD" w:rsidRDefault="00000000" w:rsidP="007B33B3">
      <w:pPr>
        <w:pStyle w:val="Heading1"/>
        <w:rPr>
          <w:rFonts w:hint="eastAsia"/>
        </w:rPr>
      </w:pPr>
      <w:bookmarkStart w:id="6" w:name="X3bf82b83d7ac9f051d050379132cb9bc790e72b"/>
      <w:bookmarkEnd w:id="5"/>
      <w:r>
        <w:t>4 Critic measurements and exponential weighting</w:t>
      </w:r>
    </w:p>
    <w:p w14:paraId="37D781FC" w14:textId="77777777" w:rsidR="00287EFD" w:rsidRDefault="00000000" w:rsidP="007B33B3">
      <w:pPr>
        <w:pStyle w:val="FirstParagraph"/>
        <w:keepNext/>
        <w:rPr>
          <w:rFonts w:hint="eastAsia"/>
        </w:rPr>
      </w:pPr>
      <w:r>
        <w:t xml:space="preserve">For a fixed candidate </w:t>
      </w:r>
      <m:oMath>
        <m:r>
          <w:rPr>
            <w:rFonts w:ascii="Cambria Math" w:hAnsi="Cambria Math"/>
          </w:rPr>
          <m:t>x</m:t>
        </m:r>
      </m:oMath>
      <w:r>
        <w:t xml:space="preserve">, suppose </w:t>
      </w:r>
      <m:oMath>
        <m:r>
          <w:rPr>
            <w:rFonts w:ascii="Cambria Math" w:hAnsi="Cambria Math"/>
          </w:rPr>
          <m:t>k</m:t>
        </m:r>
      </m:oMath>
      <w:r>
        <w:t xml:space="preserve"> critic judgements are independent normal observations with mean </w:t>
      </w:r>
      <m:oMath>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x</m:t>
            </m:r>
          </m:e>
        </m:d>
      </m:oMath>
      <w:r>
        <w:t xml:space="preserve">. Their mean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satisfies</w:t>
      </w:r>
    </w:p>
    <w:p w14:paraId="61A2639B"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k</m:t>
                  </m:r>
                </m:e>
              </m:rad>
            </m:den>
          </m:f>
          <m:r>
            <w:rPr>
              <w:rFonts w:ascii="Cambria Math" w:hAnsi="Cambria Math"/>
            </w:rPr>
            <m:t>ξ</m:t>
          </m:r>
          <m:r>
            <m:rPr>
              <m:sty m:val="p"/>
            </m:rPr>
            <w:rPr>
              <w:rFonts w:ascii="Cambria Math" w:hAnsi="Cambria Math"/>
            </w:rPr>
            <m:t>,</m:t>
          </m:r>
          <m:r>
            <m:rPr>
              <m:nor/>
            </m:rPr>
            <m:t>    </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m:rPr>
              <m:nor/>
            </m:rPr>
            <m:t>    (4)</m:t>
          </m:r>
        </m:oMath>
      </m:oMathPara>
    </w:p>
    <w:p w14:paraId="2DD420F4" w14:textId="77777777" w:rsidR="00287EFD" w:rsidRDefault="00000000" w:rsidP="007B33B3">
      <w:pPr>
        <w:pStyle w:val="FirstParagraph"/>
        <w:rPr>
          <w:rFonts w:hint="eastAsia"/>
        </w:rPr>
      </w:pPr>
      <w:r>
        <w:t xml:space="preserve">The bias </w:t>
      </w:r>
      <m:oMath>
        <m:r>
          <w:rPr>
            <w:rFonts w:ascii="Cambria Math" w:hAnsi="Cambria Math"/>
          </w:rPr>
          <m:t>b</m:t>
        </m:r>
      </m:oMath>
      <w:r>
        <w:t xml:space="preserve"> is not identified by repeated calls alone. The Gaussian model is an analytic assumption; bounded, discrete or prompt-dependent scores may require a different model. For clarity, all expectations in this section are conditional on the fixed candidate and critic version.</w:t>
      </w:r>
    </w:p>
    <w:p w14:paraId="3E00FCD8" w14:textId="77777777" w:rsidR="00287EFD" w:rsidRDefault="00000000" w:rsidP="007B33B3">
      <w:pPr>
        <w:pStyle w:val="Heading2"/>
        <w:rPr>
          <w:rFonts w:hint="eastAsia"/>
        </w:rPr>
      </w:pPr>
      <w:bookmarkStart w:id="7" w:name="X1485c3d567eaf449e9f38afc649f3338fffcb1f"/>
      <w:r>
        <w:t>4.1 Three quantities that must remain distinct</w:t>
      </w:r>
    </w:p>
    <w:p w14:paraId="46F0B9E5" w14:textId="77777777" w:rsidR="00287EFD" w:rsidRDefault="00000000" w:rsidP="007B33B3">
      <w:pPr>
        <w:pStyle w:val="FirstParagraph"/>
        <w:keepNext/>
        <w:rPr>
          <w:rFonts w:hint="eastAsia"/>
        </w:rPr>
      </w:pPr>
      <w:r>
        <w:rPr>
          <w:b/>
          <w:bCs/>
        </w:rPr>
        <w:t>Proposition 1.</w:t>
      </w:r>
      <w:r>
        <w:t xml:space="preserve"> Under (4),</w:t>
      </w:r>
    </w:p>
    <w:p w14:paraId="1C184E5A" w14:textId="77777777" w:rsidR="00287EFD" w:rsidRDefault="00000000" w:rsidP="007B33B3">
      <w:pPr>
        <w:pStyle w:val="BodyText"/>
        <w:keepLines/>
        <w:spacing w:before="60" w:after="120"/>
        <w:rPr>
          <w:rFonts w:hint="eastAsia"/>
        </w:rPr>
      </w:pPr>
      <m:oMathPara>
        <m:oMathParaPr>
          <m:jc m:val="center"/>
        </m:oMathParaPr>
        <m:oMath>
          <m:r>
            <w:rPr>
              <w:rFonts w:ascii="Cambria Math" w:hAnsi="Cambria Math"/>
            </w:rPr>
            <m:t>Λ</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log</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2k</m:t>
              </m:r>
            </m:den>
          </m:f>
          <m:r>
            <m:rPr>
              <m:sty m:val="p"/>
            </m:rPr>
            <w:rPr>
              <w:rFonts w:ascii="Cambria Math" w:hAnsi="Cambria Math"/>
            </w:rPr>
            <m:t>,</m:t>
          </m:r>
          <m:r>
            <m:rPr>
              <m:nor/>
            </m:rPr>
            <m:t>    </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W</m:t>
              </m:r>
            </m:e>
          </m:d>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r>
            <m:rPr>
              <m:sty m:val="p"/>
            </m:rPr>
            <w:rPr>
              <w:rFonts w:ascii="Cambria Math" w:hAnsi="Cambria Math"/>
            </w:rPr>
            <m:t>.</m:t>
          </m:r>
          <m:r>
            <m:rPr>
              <m:nor/>
            </m:rPr>
            <m:t>    (5)</m:t>
          </m:r>
        </m:oMath>
      </m:oMathPara>
    </w:p>
    <w:p w14:paraId="6B828319" w14:textId="77777777" w:rsidR="00287EFD" w:rsidRDefault="00000000" w:rsidP="007B33B3">
      <w:pPr>
        <w:pStyle w:val="FirstParagraph"/>
        <w:rPr>
          <w:rFonts w:hint="eastAsia"/>
        </w:rPr>
      </w:pPr>
      <w:r>
        <w:rPr>
          <w:i/>
          <w:iCs/>
        </w:rPr>
        <w:t>Proof.</w:t>
      </w:r>
      <w:r>
        <w:t xml:space="preserve"> The first identity follows from the normal moment-generating function. The second follows by linearity of expectation applied to </w:t>
      </w:r>
      <m:oMath>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t>
      </w:r>
      <m:oMath>
        <m:r>
          <m:rPr>
            <m:sty m:val="p"/>
          </m:rPr>
          <w:rPr>
            <w:rFonts w:ascii="Cambria Math" w:hAnsi="Cambria Math"/>
          </w:rPr>
          <m:t>▫</m:t>
        </m:r>
      </m:oMath>
    </w:p>
    <w:p w14:paraId="08EC3CF6" w14:textId="77777777" w:rsidR="00287EFD" w:rsidRDefault="00000000" w:rsidP="007B33B3">
      <w:pPr>
        <w:pStyle w:val="BodyText"/>
        <w:keepNext/>
        <w:rPr>
          <w:rFonts w:hint="eastAsia"/>
        </w:rPr>
      </w:pPr>
      <w:r>
        <w:t xml:space="preserve">The variance term in </w:t>
      </w:r>
      <m:oMath>
        <m:r>
          <w:rPr>
            <w:rFonts w:ascii="Cambria Math" w:hAnsi="Cambria Math"/>
          </w:rPr>
          <m:t>Λ</m:t>
        </m:r>
      </m:oMath>
      <w:r>
        <w:t xml:space="preserve"> increases the expected </w:t>
      </w:r>
      <w:r>
        <w:rPr>
          <w:i/>
          <w:iCs/>
        </w:rPr>
        <w:t>raw</w:t>
      </w:r>
      <w:r>
        <w:t xml:space="preserve"> weight. It is absent from the expected log weight. For a finite group of candidates, the expected normalised weight is a third object:</w:t>
      </w:r>
    </w:p>
    <w:p w14:paraId="69EB6BFA" w14:textId="77777777" w:rsidR="00287EFD" w:rsidRDefault="00000000" w:rsidP="007B33B3">
      <w:pPr>
        <w:pStyle w:val="BodyText"/>
        <w:keepLines/>
        <w:spacing w:before="60" w:after="120"/>
        <w:rPr>
          <w:rFonts w:hint="eastAsia"/>
        </w:rPr>
      </w:pPr>
      <m:oMathPara>
        <m:oMathParaPr>
          <m:jc m:val="center"/>
        </m:oMathParaPr>
        <m:oMath>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e>
          </m:d>
          <m:r>
            <m:rPr>
              <m:nor/>
            </m:rPr>
            <m:t>    generally differs from    </m:t>
          </m:r>
          <m:f>
            <m:fPr>
              <m:ctrlPr>
                <w:rPr>
                  <w:rFonts w:ascii="Cambria Math" w:hAnsi="Cambria Math"/>
                </w:rPr>
              </m:ctrlPr>
            </m:fPr>
            <m:num>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cr m:val="double-struck"/>
                      <m:sty m:val="p"/>
                    </m:rP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den>
          </m:f>
          <m:r>
            <m:rPr>
              <m:sty m:val="p"/>
            </m:rPr>
            <w:rPr>
              <w:rFonts w:ascii="Cambria Math" w:hAnsi="Cambria Math"/>
            </w:rPr>
            <m:t>.</m:t>
          </m:r>
          <m:r>
            <m:rPr>
              <m:nor/>
            </m:rPr>
            <m:t>    (6)</m:t>
          </m:r>
        </m:oMath>
      </m:oMathPara>
    </w:p>
    <w:p w14:paraId="079A4205" w14:textId="77777777" w:rsidR="00287EFD" w:rsidRDefault="00000000" w:rsidP="007B33B3">
      <w:pPr>
        <w:pStyle w:val="FirstParagraph"/>
        <w:rPr>
          <w:rFonts w:hint="eastAsia"/>
        </w:rPr>
      </w:pPr>
      <w:r>
        <w:t>A large raw moment does not determine which design receives most mass in a normalised read. Its interpretation also depends on whether noise is redrawn for each sampled design or retained as a persistent random error field across the entire search.</w:t>
      </w:r>
    </w:p>
    <w:p w14:paraId="43E37862" w14:textId="77777777" w:rsidR="00287EFD" w:rsidRDefault="00000000" w:rsidP="007B33B3">
      <w:pPr>
        <w:pStyle w:val="Heading3"/>
        <w:rPr>
          <w:rFonts w:hint="eastAsia"/>
        </w:rPr>
      </w:pPr>
      <w:bookmarkStart w:id="8" w:name="a-two-design-calculation"/>
      <w:r>
        <w:lastRenderedPageBreak/>
        <w:t>A two-design calculation</w:t>
      </w:r>
    </w:p>
    <w:p w14:paraId="088E14C8" w14:textId="77777777" w:rsidR="00287EFD" w:rsidRDefault="00000000" w:rsidP="007B33B3">
      <w:pPr>
        <w:pStyle w:val="FirstParagraph"/>
        <w:rPr>
          <w:rFonts w:hint="eastAsia"/>
        </w:rPr>
      </w:pPr>
      <w:r>
        <w:t xml:space="preserve">Consider losses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0.15</m:t>
        </m:r>
      </m:oMath>
      <w:r>
        <w:t xml:space="preserve">, standard deviations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r>
          <w:rPr>
            <w:rFonts w:ascii="Cambria Math" w:hAnsi="Cambria Math"/>
          </w:rPr>
          <m:t>0.02</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0.30</m:t>
        </m:r>
      </m:oMath>
      <w:r>
        <w:t xml:space="preserve">, no bias, equal reference masses and </w:t>
      </w:r>
      <m:oMath>
        <m:r>
          <w:rPr>
            <w:rFonts w:ascii="Cambria Math" w:hAnsi="Cambria Math"/>
          </w:rPr>
          <m:t>β</m:t>
        </m:r>
        <m:r>
          <m:rPr>
            <m:sty m:val="p"/>
          </m:rPr>
          <w:rPr>
            <w:rFonts w:ascii="Cambria Math" w:hAnsi="Cambria Math"/>
          </w:rPr>
          <m:t>=</m:t>
        </m:r>
        <m:r>
          <w:rPr>
            <w:rFonts w:ascii="Cambria Math" w:hAnsi="Cambria Math"/>
          </w:rPr>
          <m:t>10</m:t>
        </m:r>
      </m:oMath>
      <w:r>
        <w:t xml:space="preserve">. For one judgement,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0.020</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3.000</m:t>
        </m:r>
      </m:oMath>
      <w:r>
        <w:t xml:space="preserve">. For four judgements the values are 0.005 and </w:t>
      </w:r>
      <m:oMath>
        <m:r>
          <m:rPr>
            <m:sty m:val="p"/>
          </m:rPr>
          <w:rPr>
            <w:rFonts w:ascii="Cambria Math" w:hAnsi="Cambria Math"/>
          </w:rPr>
          <m:t>-</m:t>
        </m:r>
        <m:r>
          <w:rPr>
            <w:rFonts w:ascii="Cambria Math" w:hAnsi="Cambria Math"/>
          </w:rPr>
          <m:t>0.375</m:t>
        </m:r>
      </m:oMath>
      <w:r>
        <w:t xml:space="preserve">. These are logarithms of expected weights, not expected log weights. The latter are always 0 and </w:t>
      </w:r>
      <m:oMath>
        <m:r>
          <m:rPr>
            <m:sty m:val="p"/>
          </m:rPr>
          <w:rPr>
            <w:rFonts w:ascii="Cambria Math" w:hAnsi="Cambria Math"/>
          </w:rPr>
          <m:t>-</m:t>
        </m:r>
        <m:r>
          <w:rPr>
            <w:rFonts w:ascii="Cambria Math" w:hAnsi="Cambria Math"/>
          </w:rPr>
          <m:t>1.5</m:t>
        </m:r>
      </m:oMath>
      <w:r>
        <w:t xml:space="preserve"> in this example.</w:t>
      </w:r>
    </w:p>
    <w:p w14:paraId="4DBFF394" w14:textId="77777777" w:rsidR="00287EFD" w:rsidRDefault="00000000" w:rsidP="007B33B3">
      <w:pPr>
        <w:pStyle w:val="BodyText"/>
        <w:rPr>
          <w:rFonts w:hint="eastAsia"/>
        </w:rPr>
      </w:pPr>
      <w:r>
        <w:t xml:space="preserve">For independent errors across the two designs, let </w:t>
      </w:r>
      <m:oMath>
        <m:r>
          <m:rPr>
            <m:scr m:val="script"/>
            <m:sty m:val="p"/>
          </m:rPr>
          <w:rPr>
            <w:rFonts w:ascii="Cambria Math" w:hAnsi="Cambria Math"/>
          </w:rPr>
          <m:t>l</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e>
        </m:d>
      </m:oMath>
      <w:r>
        <w:t xml:space="preserve">. The worse design’s normalised weight is </w:t>
      </w:r>
      <m:oMath>
        <m:r>
          <m:rPr>
            <m:scr m:val="script"/>
            <m:sty m:val="p"/>
          </m:rPr>
          <w:rPr>
            <w:rFonts w:ascii="Cambria Math" w:hAnsi="Cambria Math"/>
          </w:rPr>
          <m:t>l</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e>
            </m:d>
          </m:e>
        </m:d>
      </m:oMath>
      <w:r>
        <w:t>. Direct normal integration gives Table 2.</w:t>
      </w:r>
    </w:p>
    <w:p w14:paraId="57F05413" w14:textId="77777777" w:rsidR="00287EFD" w:rsidRDefault="00000000" w:rsidP="007B33B3">
      <w:pPr>
        <w:pStyle w:val="Caption"/>
        <w:keepNext/>
        <w:jc w:val="both"/>
        <w:rPr>
          <w:rFonts w:hint="eastAsia"/>
        </w:rPr>
      </w:pPr>
      <w:r>
        <w:t>Table 2. Different averages for the same two critic-scored designs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3096"/>
        <w:gridCol w:w="3096"/>
        <w:gridCol w:w="2448"/>
      </w:tblGrid>
      <w:tr w:rsidR="00287EFD" w14:paraId="2E11A2AC" w14:textId="77777777">
        <w:trPr>
          <w:cantSplit/>
          <w:tblHeader/>
          <w:jc w:val="center"/>
        </w:trPr>
        <w:tc>
          <w:tcPr>
            <w:tcW w:w="1296" w:type="dxa"/>
            <w:shd w:val="clear" w:color="auto" w:fill="EAEAEA"/>
            <w:tcMar>
              <w:top w:w="80" w:type="dxa"/>
              <w:left w:w="85" w:type="dxa"/>
              <w:bottom w:w="80" w:type="dxa"/>
              <w:right w:w="85" w:type="dxa"/>
            </w:tcMar>
            <w:vAlign w:val="center"/>
          </w:tcPr>
          <w:p w14:paraId="39D6388A" w14:textId="77777777" w:rsidR="00287EFD" w:rsidRDefault="00000000" w:rsidP="007B33B3">
            <w:pPr>
              <w:keepNext/>
              <w:keepLines/>
              <w:spacing w:after="0" w:line="247" w:lineRule="auto"/>
              <w:rPr>
                <w:rFonts w:hint="eastAsia"/>
              </w:rPr>
            </w:pPr>
            <w:r>
              <w:rPr>
                <w:b/>
                <w:sz w:val="21"/>
              </w:rPr>
              <w:t>Judgements per design</w:t>
            </w:r>
          </w:p>
        </w:tc>
        <w:tc>
          <w:tcPr>
            <w:tcW w:w="3096" w:type="dxa"/>
            <w:shd w:val="clear" w:color="auto" w:fill="EAEAEA"/>
            <w:tcMar>
              <w:top w:w="80" w:type="dxa"/>
              <w:left w:w="85" w:type="dxa"/>
              <w:bottom w:w="80" w:type="dxa"/>
              <w:right w:w="85" w:type="dxa"/>
            </w:tcMar>
            <w:vAlign w:val="center"/>
          </w:tcPr>
          <w:p w14:paraId="6A43E597" w14:textId="77777777" w:rsidR="00287EFD" w:rsidRDefault="00000000" w:rsidP="007B33B3">
            <w:pPr>
              <w:keepNext/>
              <w:keepLines/>
              <w:spacing w:after="0" w:line="247" w:lineRule="auto"/>
              <w:rPr>
                <w:rFonts w:hint="eastAsia"/>
              </w:rPr>
            </w:pPr>
            <w:r>
              <w:rPr>
                <w:b/>
                <w:sz w:val="21"/>
              </w:rPr>
              <w:t>Ratio of expected raw weights for design 2</w:t>
            </w:r>
          </w:p>
        </w:tc>
        <w:tc>
          <w:tcPr>
            <w:tcW w:w="3096" w:type="dxa"/>
            <w:shd w:val="clear" w:color="auto" w:fill="EAEAEA"/>
            <w:tcMar>
              <w:top w:w="80" w:type="dxa"/>
              <w:left w:w="85" w:type="dxa"/>
              <w:bottom w:w="80" w:type="dxa"/>
              <w:right w:w="85" w:type="dxa"/>
            </w:tcMar>
            <w:vAlign w:val="center"/>
          </w:tcPr>
          <w:p w14:paraId="49CBBB6E" w14:textId="77777777" w:rsidR="00287EFD" w:rsidRDefault="00000000" w:rsidP="007B33B3">
            <w:pPr>
              <w:keepNext/>
              <w:keepLines/>
              <w:spacing w:after="0" w:line="247" w:lineRule="auto"/>
              <w:rPr>
                <w:rFonts w:hint="eastAsia"/>
              </w:rPr>
            </w:pPr>
            <w:r>
              <w:rPr>
                <w:b/>
                <w:sz w:val="21"/>
              </w:rPr>
              <w:t>Expected normalised weight for design 2</w:t>
            </w:r>
          </w:p>
        </w:tc>
        <w:tc>
          <w:tcPr>
            <w:tcW w:w="2448" w:type="dxa"/>
            <w:shd w:val="clear" w:color="auto" w:fill="EAEAEA"/>
            <w:tcMar>
              <w:top w:w="80" w:type="dxa"/>
              <w:left w:w="85" w:type="dxa"/>
              <w:bottom w:w="80" w:type="dxa"/>
              <w:right w:w="85" w:type="dxa"/>
            </w:tcMar>
            <w:vAlign w:val="center"/>
          </w:tcPr>
          <w:p w14:paraId="27E2422E" w14:textId="77777777" w:rsidR="00287EFD" w:rsidRDefault="00000000" w:rsidP="007B33B3">
            <w:pPr>
              <w:keepNext/>
              <w:keepLines/>
              <w:spacing w:after="0" w:line="247" w:lineRule="auto"/>
              <w:rPr>
                <w:rFonts w:hint="eastAsia"/>
              </w:rPr>
            </w:pPr>
            <w:r>
              <w:rPr>
                <w:b/>
                <w:sz w:val="21"/>
              </w:rPr>
              <w:t>With known-variance correction</w:t>
            </w:r>
          </w:p>
        </w:tc>
      </w:tr>
      <w:tr w:rsidR="00287EFD" w14:paraId="1DC374C1" w14:textId="77777777">
        <w:trPr>
          <w:cantSplit/>
          <w:jc w:val="center"/>
        </w:trPr>
        <w:tc>
          <w:tcPr>
            <w:tcW w:w="1296" w:type="dxa"/>
            <w:shd w:val="clear" w:color="auto" w:fill="FFFFFF"/>
            <w:tcMar>
              <w:top w:w="80" w:type="dxa"/>
              <w:left w:w="85" w:type="dxa"/>
              <w:bottom w:w="80" w:type="dxa"/>
              <w:right w:w="85" w:type="dxa"/>
            </w:tcMar>
            <w:vAlign w:val="center"/>
          </w:tcPr>
          <w:p w14:paraId="759A70A8" w14:textId="77777777" w:rsidR="00287EFD" w:rsidRDefault="00000000" w:rsidP="007B33B3">
            <w:pPr>
              <w:keepNext/>
              <w:keepLines/>
              <w:spacing w:after="0" w:line="247" w:lineRule="auto"/>
              <w:rPr>
                <w:rFonts w:hint="eastAsia"/>
              </w:rPr>
            </w:pPr>
            <w:r>
              <w:rPr>
                <w:sz w:val="21"/>
              </w:rPr>
              <w:t>1</w:t>
            </w:r>
          </w:p>
        </w:tc>
        <w:tc>
          <w:tcPr>
            <w:tcW w:w="3096" w:type="dxa"/>
            <w:shd w:val="clear" w:color="auto" w:fill="FFFFFF"/>
            <w:tcMar>
              <w:top w:w="80" w:type="dxa"/>
              <w:left w:w="85" w:type="dxa"/>
              <w:bottom w:w="80" w:type="dxa"/>
              <w:right w:w="85" w:type="dxa"/>
            </w:tcMar>
            <w:vAlign w:val="center"/>
          </w:tcPr>
          <w:p w14:paraId="40E0C482" w14:textId="77777777" w:rsidR="00287EFD" w:rsidRDefault="00000000" w:rsidP="007B33B3">
            <w:pPr>
              <w:keepNext/>
              <w:keepLines/>
              <w:spacing w:after="0" w:line="247" w:lineRule="auto"/>
              <w:rPr>
                <w:rFonts w:hint="eastAsia"/>
              </w:rPr>
            </w:pPr>
            <w:r>
              <w:rPr>
                <w:sz w:val="21"/>
              </w:rPr>
              <w:t>0.951662</w:t>
            </w:r>
          </w:p>
        </w:tc>
        <w:tc>
          <w:tcPr>
            <w:tcW w:w="3096" w:type="dxa"/>
            <w:shd w:val="clear" w:color="auto" w:fill="FFFFFF"/>
            <w:tcMar>
              <w:top w:w="80" w:type="dxa"/>
              <w:left w:w="85" w:type="dxa"/>
              <w:bottom w:w="80" w:type="dxa"/>
              <w:right w:w="85" w:type="dxa"/>
            </w:tcMar>
            <w:vAlign w:val="center"/>
          </w:tcPr>
          <w:p w14:paraId="09DF833A" w14:textId="77777777" w:rsidR="00287EFD" w:rsidRDefault="00000000" w:rsidP="007B33B3">
            <w:pPr>
              <w:keepNext/>
              <w:keepLines/>
              <w:spacing w:after="0" w:line="247" w:lineRule="auto"/>
              <w:rPr>
                <w:rFonts w:hint="eastAsia"/>
              </w:rPr>
            </w:pPr>
            <w:r>
              <w:rPr>
                <w:sz w:val="21"/>
              </w:rPr>
              <w:t>0.333289</w:t>
            </w:r>
          </w:p>
        </w:tc>
        <w:tc>
          <w:tcPr>
            <w:tcW w:w="2448" w:type="dxa"/>
            <w:shd w:val="clear" w:color="auto" w:fill="FFFFFF"/>
            <w:tcMar>
              <w:top w:w="80" w:type="dxa"/>
              <w:left w:w="85" w:type="dxa"/>
              <w:bottom w:w="80" w:type="dxa"/>
              <w:right w:w="85" w:type="dxa"/>
            </w:tcMar>
            <w:vAlign w:val="center"/>
          </w:tcPr>
          <w:p w14:paraId="5EB9ECEF" w14:textId="77777777" w:rsidR="00287EFD" w:rsidRDefault="00000000" w:rsidP="007B33B3">
            <w:pPr>
              <w:keepNext/>
              <w:keepLines/>
              <w:spacing w:after="0" w:line="247" w:lineRule="auto"/>
              <w:rPr>
                <w:rFonts w:hint="eastAsia"/>
              </w:rPr>
            </w:pPr>
            <w:r>
              <w:rPr>
                <w:sz w:val="21"/>
              </w:rPr>
              <w:t>0.044146</w:t>
            </w:r>
          </w:p>
        </w:tc>
      </w:tr>
      <w:tr w:rsidR="00287EFD" w14:paraId="759264B0" w14:textId="77777777">
        <w:trPr>
          <w:cantSplit/>
          <w:jc w:val="center"/>
        </w:trPr>
        <w:tc>
          <w:tcPr>
            <w:tcW w:w="1296" w:type="dxa"/>
            <w:shd w:val="clear" w:color="auto" w:fill="FFFFFF"/>
            <w:tcMar>
              <w:top w:w="80" w:type="dxa"/>
              <w:left w:w="85" w:type="dxa"/>
              <w:bottom w:w="80" w:type="dxa"/>
              <w:right w:w="85" w:type="dxa"/>
            </w:tcMar>
            <w:vAlign w:val="center"/>
          </w:tcPr>
          <w:p w14:paraId="6E62C11D" w14:textId="77777777" w:rsidR="00287EFD" w:rsidRDefault="00000000" w:rsidP="007B33B3">
            <w:pPr>
              <w:keepLines/>
              <w:spacing w:after="0" w:line="247" w:lineRule="auto"/>
              <w:rPr>
                <w:rFonts w:hint="eastAsia"/>
              </w:rPr>
            </w:pPr>
            <w:r>
              <w:rPr>
                <w:sz w:val="21"/>
              </w:rPr>
              <w:t>4</w:t>
            </w:r>
          </w:p>
        </w:tc>
        <w:tc>
          <w:tcPr>
            <w:tcW w:w="3096" w:type="dxa"/>
            <w:shd w:val="clear" w:color="auto" w:fill="FFFFFF"/>
            <w:tcMar>
              <w:top w:w="80" w:type="dxa"/>
              <w:left w:w="85" w:type="dxa"/>
              <w:bottom w:w="80" w:type="dxa"/>
              <w:right w:w="85" w:type="dxa"/>
            </w:tcMar>
            <w:vAlign w:val="center"/>
          </w:tcPr>
          <w:p w14:paraId="5D976DCB" w14:textId="77777777" w:rsidR="00287EFD" w:rsidRDefault="00000000" w:rsidP="007B33B3">
            <w:pPr>
              <w:keepLines/>
              <w:spacing w:after="0" w:line="247" w:lineRule="auto"/>
              <w:rPr>
                <w:rFonts w:hint="eastAsia"/>
              </w:rPr>
            </w:pPr>
            <w:r>
              <w:rPr>
                <w:sz w:val="21"/>
              </w:rPr>
              <w:t>0.406127</w:t>
            </w:r>
          </w:p>
        </w:tc>
        <w:tc>
          <w:tcPr>
            <w:tcW w:w="3096" w:type="dxa"/>
            <w:shd w:val="clear" w:color="auto" w:fill="FFFFFF"/>
            <w:tcMar>
              <w:top w:w="80" w:type="dxa"/>
              <w:left w:w="85" w:type="dxa"/>
              <w:bottom w:w="80" w:type="dxa"/>
              <w:right w:w="85" w:type="dxa"/>
            </w:tcMar>
            <w:vAlign w:val="center"/>
          </w:tcPr>
          <w:p w14:paraId="155BF31E" w14:textId="77777777" w:rsidR="00287EFD" w:rsidRDefault="00000000" w:rsidP="007B33B3">
            <w:pPr>
              <w:keepLines/>
              <w:spacing w:after="0" w:line="247" w:lineRule="auto"/>
              <w:rPr>
                <w:rFonts w:hint="eastAsia"/>
              </w:rPr>
            </w:pPr>
            <w:r>
              <w:rPr>
                <w:sz w:val="21"/>
              </w:rPr>
              <w:t>0.254525</w:t>
            </w:r>
          </w:p>
        </w:tc>
        <w:tc>
          <w:tcPr>
            <w:tcW w:w="2448" w:type="dxa"/>
            <w:shd w:val="clear" w:color="auto" w:fill="FFFFFF"/>
            <w:tcMar>
              <w:top w:w="80" w:type="dxa"/>
              <w:left w:w="85" w:type="dxa"/>
              <w:bottom w:w="80" w:type="dxa"/>
              <w:right w:w="85" w:type="dxa"/>
            </w:tcMar>
            <w:vAlign w:val="center"/>
          </w:tcPr>
          <w:p w14:paraId="038A8EBC" w14:textId="77777777" w:rsidR="00287EFD" w:rsidRDefault="00000000" w:rsidP="007B33B3">
            <w:pPr>
              <w:keepLines/>
              <w:spacing w:after="0" w:line="247" w:lineRule="auto"/>
              <w:rPr>
                <w:rFonts w:hint="eastAsia"/>
              </w:rPr>
            </w:pPr>
            <w:r>
              <w:rPr>
                <w:sz w:val="21"/>
              </w:rPr>
              <w:t>0.126945</w:t>
            </w:r>
          </w:p>
        </w:tc>
      </w:tr>
    </w:tbl>
    <w:p w14:paraId="0C2D9C17" w14:textId="77777777" w:rsidR="00287EFD" w:rsidRDefault="00000000" w:rsidP="007B33B3">
      <w:pPr>
        <w:pStyle w:val="BodyText"/>
        <w:spacing w:before="140"/>
        <w:rPr>
          <w:rFonts w:hint="eastAsia"/>
        </w:rPr>
      </w:pPr>
      <w:r>
        <w:t xml:space="preserve">The noise-free normalised probability of design 2 is </w:t>
      </w:r>
      <m:oMath>
        <m:r>
          <m:rPr>
            <m:scr m:val="script"/>
            <m:sty m:val="p"/>
          </m:rPr>
          <w:rPr>
            <w:rFonts w:ascii="Cambria Math" w:hAnsi="Cambria Math"/>
          </w:rPr>
          <m:t>l</m:t>
        </m:r>
        <m:d>
          <m:dPr>
            <m:ctrlPr>
              <w:rPr>
                <w:rFonts w:ascii="Cambria Math" w:hAnsi="Cambria Math"/>
              </w:rPr>
            </m:ctrlPr>
          </m:dPr>
          <m:e>
            <m:r>
              <m:rPr>
                <m:sty m:val="p"/>
              </m:rPr>
              <w:rPr>
                <w:rFonts w:ascii="Cambria Math" w:hAnsi="Cambria Math"/>
              </w:rPr>
              <m:t>-</m:t>
            </m:r>
            <m:r>
              <w:rPr>
                <w:rFonts w:ascii="Cambria Math" w:hAnsi="Cambria Math"/>
              </w:rPr>
              <m:t>1.5</m:t>
            </m:r>
          </m:e>
        </m:d>
        <m:r>
          <m:rPr>
            <m:sty m:val="p"/>
          </m:rPr>
          <w:rPr>
            <w:rFonts w:ascii="Cambria Math" w:hAnsi="Cambria Math"/>
          </w:rPr>
          <m:t>=</m:t>
        </m:r>
        <m:r>
          <w:rPr>
            <w:rFonts w:ascii="Cambria Math" w:hAnsi="Cambria Math"/>
          </w:rPr>
          <m:t>0.182426</m:t>
        </m:r>
      </m:oMath>
      <w:r>
        <w:t>. The corrected column is also an expected finite normalisation and need not equal this value.</w:t>
      </w:r>
    </w:p>
    <w:p w14:paraId="4CC9E46A" w14:textId="77777777" w:rsidR="00287EFD" w:rsidRDefault="00000000" w:rsidP="007B33B3">
      <w:pPr>
        <w:pStyle w:val="BodyText"/>
        <w:rPr>
          <w:rFonts w:hint="eastAsia"/>
        </w:rPr>
      </w:pPr>
      <w:r>
        <w:rPr>
          <w:b/>
          <w:bCs/>
        </w:rPr>
        <w:t>Proposition 2.</w:t>
      </w:r>
      <w:r>
        <w:t xml:space="preserve"> Suppose two gate-passing designs have equal positive deterministic reference and kernel factors, the mean critic loss of design 2 is strictly greater than that of design 1, and their loss-difference error is symmetric about zero. Then design 2 has expected normalised weight strictly below one half, regardless of whether its expected raw weight is larger.</w:t>
      </w:r>
    </w:p>
    <w:p w14:paraId="784C89FA" w14:textId="77777777" w:rsidR="00287EFD" w:rsidRDefault="00000000" w:rsidP="007B33B3">
      <w:pPr>
        <w:pStyle w:val="BodyText"/>
        <w:rPr>
          <w:rFonts w:hint="eastAsia"/>
        </w:rPr>
      </w:pPr>
      <w:r>
        <w:rPr>
          <w:i/>
          <w:iCs/>
        </w:rPr>
        <w:t>Proof.</w:t>
      </w:r>
      <w:r>
        <w:t xml:space="preserve"> Write the log weight ratio as </w:t>
      </w:r>
      <m:oMath>
        <m:r>
          <w:rPr>
            <w:rFonts w:ascii="Cambria Math" w:hAnsi="Cambria Math"/>
          </w:rPr>
          <m:t>m</m:t>
        </m:r>
        <m:r>
          <m:rPr>
            <m:sty m:val="p"/>
          </m:rPr>
          <w:rPr>
            <w:rFonts w:ascii="Cambria Math" w:hAnsi="Cambria Math"/>
          </w:rPr>
          <m:t>+</m:t>
        </m:r>
        <m:r>
          <w:rPr>
            <w:rFonts w:ascii="Cambria Math" w:hAnsi="Cambria Math"/>
          </w:rPr>
          <m:t>Z</m:t>
        </m:r>
      </m:oMath>
      <w:r>
        <w:t xml:space="preserve">, with </w:t>
      </w:r>
      <m:oMath>
        <m:r>
          <w:rPr>
            <w:rFonts w:ascii="Cambria Math" w:hAnsi="Cambria Math"/>
          </w:rPr>
          <m:t>m</m:t>
        </m:r>
        <m:r>
          <m:rPr>
            <m:sty m:val="p"/>
          </m:rPr>
          <w:rPr>
            <w:rFonts w:ascii="Cambria Math" w:hAnsi="Cambria Math"/>
          </w:rPr>
          <m:t>&lt;</m:t>
        </m:r>
        <m:r>
          <w:rPr>
            <w:rFonts w:ascii="Cambria Math" w:hAnsi="Cambria Math"/>
          </w:rPr>
          <m:t>0</m:t>
        </m:r>
      </m:oMath>
      <w:r>
        <w:t xml:space="preserve"> and </w:t>
      </w:r>
      <m:oMath>
        <m:r>
          <w:rPr>
            <w:rFonts w:ascii="Cambria Math" w:hAnsi="Cambria Math"/>
          </w:rPr>
          <m:t>Z</m:t>
        </m:r>
      </m:oMath>
      <w:r>
        <w:t xml:space="preserve"> symmetric about zero. The function </w:t>
      </w:r>
      <m:oMath>
        <m:r>
          <w:rPr>
            <w:rFonts w:ascii="Cambria Math" w:hAnsi="Cambria Math"/>
          </w:rPr>
          <m:t>h</m:t>
        </m:r>
        <m:d>
          <m:dPr>
            <m:ctrlPr>
              <w:rPr>
                <w:rFonts w:ascii="Cambria Math" w:hAnsi="Cambria Math"/>
              </w:rPr>
            </m:ctrlPr>
          </m:dPr>
          <m:e>
            <m:r>
              <w:rPr>
                <w:rFonts w:ascii="Cambria Math" w:hAnsi="Cambria Math"/>
              </w:rPr>
              <m:t>m</m:t>
            </m:r>
          </m:e>
        </m:d>
        <m:r>
          <m:rPr>
            <m:scr m:val="double-struck"/>
            <m:sty m:val="p"/>
          </m:rPr>
          <w:rPr>
            <w:rFonts w:ascii="Cambria Math" w:hAnsi="Cambria Math"/>
          </w:rPr>
          <m:t>=E</m:t>
        </m:r>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e>
        </m:d>
      </m:oMath>
      <w:r>
        <w:t xml:space="preserve"> is strictly increasing because </w:t>
      </w:r>
      <m:oMath>
        <m:r>
          <m:rPr>
            <m:scr m:val="script"/>
            <m:sty m:val="p"/>
          </m:rPr>
          <w:rPr>
            <w:rFonts w:ascii="Cambria Math" w:hAnsi="Cambria Math"/>
          </w:rPr>
          <m:t>l</m:t>
        </m:r>
      </m:oMath>
      <w:r>
        <w:t xml:space="preserve"> is strictly increasing. Symmetry and </w:t>
      </w:r>
      <m:oMath>
        <m:r>
          <m:rPr>
            <m:scr m:val="script"/>
            <m:sty m:val="p"/>
          </m:rPr>
          <w:rPr>
            <w:rFonts w:ascii="Cambria Math" w:hAnsi="Cambria Math"/>
          </w:rPr>
          <m:t>l</m:t>
        </m:r>
        <m:d>
          <m:dPr>
            <m:ctrlPr>
              <w:rPr>
                <w:rFonts w:ascii="Cambria Math" w:hAnsi="Cambria Math"/>
              </w:rPr>
            </m:ctrlPr>
          </m:dPr>
          <m:e>
            <m:r>
              <w:rPr>
                <w:rFonts w:ascii="Cambria Math" w:hAnsi="Cambria Math"/>
              </w:rPr>
              <m:t>z</m:t>
            </m:r>
          </m:e>
        </m:d>
        <m:r>
          <m:rPr>
            <m:scr m:val="script"/>
            <m:sty m:val="p"/>
          </m:rPr>
          <w:rPr>
            <w:rFonts w:ascii="Cambria Math" w:hAnsi="Cambria Math"/>
          </w:rPr>
          <m:t>+l</m:t>
        </m:r>
        <m:d>
          <m:dPr>
            <m:ctrlPr>
              <w:rPr>
                <w:rFonts w:ascii="Cambria Math" w:hAnsi="Cambria Math"/>
              </w:rPr>
            </m:ctrlPr>
          </m:dPr>
          <m:e>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1</m:t>
        </m:r>
      </m:oMath>
      <w:r>
        <w:t xml:space="preserve"> give </w:t>
      </w:r>
      <m:oMath>
        <m:r>
          <w:rPr>
            <w:rFonts w:ascii="Cambria Math" w:hAnsi="Cambria Math"/>
          </w:rPr>
          <m:t>h</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so </w:t>
      </w:r>
      <m:oMath>
        <m:r>
          <w:rPr>
            <w:rFonts w:ascii="Cambria Math" w:hAnsi="Cambria Math"/>
          </w:rPr>
          <m:t>h</m:t>
        </m:r>
        <m:d>
          <m:dPr>
            <m:ctrlPr>
              <w:rPr>
                <w:rFonts w:ascii="Cambria Math" w:hAnsi="Cambria Math"/>
              </w:rPr>
            </m:ctrlPr>
          </m:dPr>
          <m:e>
            <m:r>
              <w:rPr>
                <w:rFonts w:ascii="Cambria Math" w:hAnsi="Cambria Math"/>
              </w:rPr>
              <m:t>m</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w:t>
      </w:r>
      <m:oMath>
        <m:r>
          <m:rPr>
            <m:sty m:val="p"/>
          </m:rPr>
          <w:rPr>
            <w:rFonts w:ascii="Cambria Math" w:hAnsi="Cambria Math"/>
          </w:rPr>
          <m:t>▫</m:t>
        </m:r>
      </m:oMath>
    </w:p>
    <w:p w14:paraId="2B562300" w14:textId="77777777" w:rsidR="00287EFD" w:rsidRDefault="00000000" w:rsidP="007B33B3">
      <w:pPr>
        <w:pStyle w:val="BodyText"/>
        <w:rPr>
          <w:rFonts w:hint="eastAsia"/>
        </w:rPr>
      </w:pPr>
      <w:r>
        <w:t xml:space="preserve">The raw-moment crossover occurs at </w:t>
      </w:r>
      <m:oMath>
        <m:sSub>
          <m:sSubPr>
            <m:ctrlPr>
              <w:rPr>
                <w:rFonts w:ascii="Cambria Math" w:hAnsi="Cambria Math"/>
              </w:rPr>
            </m:ctrlPr>
          </m:sSubPr>
          <m:e>
            <m:r>
              <w:rPr>
                <w:rFonts w:ascii="Cambria Math" w:hAnsi="Cambria Math"/>
              </w:rPr>
              <m:t>σ</m:t>
            </m:r>
          </m:e>
          <m:sub>
            <m:r>
              <w:rPr>
                <w:rFonts w:ascii="Cambria Math" w:hAnsi="Cambria Math"/>
              </w:rPr>
              <m:t>2</m:t>
            </m:r>
            <m:r>
              <m:rPr>
                <m:sty m:val="p"/>
              </m:rPr>
              <w:rPr>
                <w:rFonts w:ascii="Cambria Math" w:hAnsi="Cambria Math"/>
              </w:rPr>
              <m:t>,*</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2k</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e>
            </m:d>
            <m:r>
              <m:rPr>
                <m:sty m:val="p"/>
              </m:rPr>
              <w:rPr>
                <w:rFonts w:ascii="Cambria Math" w:hAnsi="Cambria Math"/>
              </w:rPr>
              <m:t>/</m:t>
            </m:r>
            <m:r>
              <w:rPr>
                <w:rFonts w:ascii="Cambria Math" w:hAnsi="Cambria Math"/>
              </w:rPr>
              <m:t>β</m:t>
            </m:r>
          </m:e>
        </m:rad>
      </m:oMath>
      <w:r>
        <w:t xml:space="preserve"> when </w:t>
      </w:r>
      <m:oMath>
        <m:r>
          <w:rPr>
            <w:rFonts w:ascii="Cambria Math" w:hAnsi="Cambria Math"/>
          </w:rPr>
          <m:t>β</m:t>
        </m:r>
        <m:r>
          <m:rPr>
            <m:sty m:val="p"/>
          </m:rPr>
          <w:rPr>
            <w:rFonts w:ascii="Cambria Math" w:hAnsi="Cambria Math"/>
          </w:rPr>
          <m:t>&gt;</m:t>
        </m:r>
        <m:r>
          <w:rPr>
            <w:rFonts w:ascii="Cambria Math" w:hAnsi="Cambria Math"/>
          </w:rPr>
          <m:t>0</m:t>
        </m:r>
      </m:oMath>
      <w:r>
        <w:t>. Its values here are 0.174356 and 0.346987 for one and four judgements. This is a crossover of expected unnormalised moments. Proposition 2 prevents interpreting it as a majority crossover of expected two-design normalised mass under the stated symmetric model.</w:t>
      </w:r>
    </w:p>
    <w:p w14:paraId="22896F20" w14:textId="77777777" w:rsidR="00287EFD" w:rsidRDefault="00000000" w:rsidP="007B33B3">
      <w:pPr>
        <w:pStyle w:val="Heading2"/>
        <w:rPr>
          <w:rFonts w:hint="eastAsia"/>
        </w:rPr>
      </w:pPr>
      <w:bookmarkStart w:id="9" w:name="known-variance-and-estimated-variance"/>
      <w:bookmarkEnd w:id="7"/>
      <w:bookmarkEnd w:id="8"/>
      <w:r>
        <w:t>4.2 Known variance and estimated variance</w:t>
      </w:r>
    </w:p>
    <w:p w14:paraId="0D78D3FA" w14:textId="77777777" w:rsidR="00287EFD" w:rsidRDefault="00000000" w:rsidP="007B33B3">
      <w:pPr>
        <w:pStyle w:val="FirstParagraph"/>
        <w:keepNext/>
        <w:rPr>
          <w:rFonts w:hint="eastAsia"/>
        </w:rPr>
      </w:pPr>
      <w:r>
        <w:t xml:space="preserve">When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known, define</w:t>
      </w:r>
    </w:p>
    <w:p w14:paraId="6F68DDE2"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W</m:t>
              </m:r>
            </m:e>
            <m:sub>
              <m:r>
                <m:rPr>
                  <m:nor/>
                </m:rPr>
                <m:t>kv</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2k</m:t>
                  </m:r>
                </m:den>
              </m:f>
            </m:e>
          </m:d>
          <m:r>
            <m:rPr>
              <m:sty m:val="p"/>
            </m:rPr>
            <w:rPr>
              <w:rFonts w:ascii="Cambria Math" w:hAnsi="Cambria Math"/>
            </w:rPr>
            <m:t>.</m:t>
          </m:r>
          <m:r>
            <m:rPr>
              <m:nor/>
            </m:rPr>
            <m:t>    (7)</m:t>
          </m:r>
        </m:oMath>
      </m:oMathPara>
    </w:p>
    <w:p w14:paraId="25150C8E" w14:textId="77777777" w:rsidR="00287EFD" w:rsidRDefault="00000000" w:rsidP="007B33B3">
      <w:pPr>
        <w:pStyle w:val="FirstParagraph"/>
        <w:rPr>
          <w:rFonts w:hint="eastAsia"/>
        </w:rPr>
      </w:pPr>
      <w:r>
        <w:t xml:space="preserve">Then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nor/>
                  </m:rPr>
                  <m:t>kv</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xml:space="preserve">. The correction removes the Gaussian variance inflation of the raw moment, while preserving the critic bias. It does not make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W</m:t>
                </m:r>
              </m:e>
              <m:sub>
                <m:r>
                  <m:rPr>
                    <m:nor/>
                  </m:rPr>
                  <m:t>kv</m:t>
                </m:r>
              </m:sub>
            </m:sSub>
          </m:e>
        </m:d>
      </m:oMath>
      <w:r>
        <w:t xml:space="preserve"> equal to </w:t>
      </w:r>
      <m:oMath>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oMath>
      <w:r>
        <w:t>; that expectation includes the negative correction term. It also does not commute with finite normalisation, as Table 2 demonstrates.</w:t>
      </w:r>
    </w:p>
    <w:p w14:paraId="338F7B54" w14:textId="77777777" w:rsidR="00287EFD" w:rsidRDefault="00000000" w:rsidP="007B33B3">
      <w:pPr>
        <w:pStyle w:val="BodyText"/>
        <w:rPr>
          <w:rFonts w:hint="eastAsia"/>
        </w:rPr>
      </w:pPr>
      <w:r>
        <w:t xml:space="preserve">Let </w:t>
      </w:r>
      <m:oMath>
        <m:r>
          <w:rPr>
            <w:rFonts w:ascii="Cambria Math" w:hAnsi="Cambria Math"/>
          </w:rPr>
          <m:t>V</m:t>
        </m:r>
      </m:oMath>
      <w:r>
        <w:t xml:space="preserve"> be the unbiased sample variance of </w:t>
      </w:r>
      <m:oMath>
        <m:r>
          <w:rPr>
            <w:rFonts w:ascii="Cambria Math" w:hAnsi="Cambria Math"/>
          </w:rPr>
          <m:t>k</m:t>
        </m:r>
        <m:r>
          <m:rPr>
            <m:sty m:val="p"/>
          </m:rPr>
          <w:rPr>
            <w:rFonts w:ascii="Cambria Math" w:hAnsi="Cambria Math"/>
          </w:rPr>
          <m:t>&gt;</m:t>
        </m:r>
        <m:r>
          <w:rPr>
            <w:rFonts w:ascii="Cambria Math" w:hAnsi="Cambria Math"/>
          </w:rPr>
          <m:t>1</m:t>
        </m:r>
      </m:oMath>
      <w:r>
        <w:t xml:space="preserve"> independent normal judgements, and set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oMath>
      <w:r>
        <w:t>.</w:t>
      </w:r>
    </w:p>
    <w:p w14:paraId="227B13E5" w14:textId="77777777" w:rsidR="00287EFD" w:rsidRDefault="00000000" w:rsidP="007B33B3">
      <w:pPr>
        <w:pStyle w:val="BodyText"/>
        <w:keepNext/>
        <w:rPr>
          <w:rFonts w:hint="eastAsia"/>
        </w:rPr>
      </w:pPr>
      <w:r>
        <w:rPr>
          <w:b/>
          <w:bCs/>
        </w:rPr>
        <w:lastRenderedPageBreak/>
        <w:t>Proposition 3.</w:t>
      </w:r>
      <w:r>
        <w:t xml:space="preserve"> The sample-variance plug-in weight has residual raw-moment factor</w:t>
      </w:r>
    </w:p>
    <w:p w14:paraId="66B6EB84" w14:textId="77777777" w:rsidR="00287EFD" w:rsidRDefault="00000000" w:rsidP="007B33B3">
      <w:pPr>
        <w:pStyle w:val="BodyText"/>
        <w:keepLines/>
        <w:spacing w:before="60" w:after="120"/>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k</m:t>
                    </m:r>
                  </m:sub>
                </m:sSub>
              </m:e>
              <m:e>
                <m:box>
                  <m:boxPr>
                    <m:opEmu m:val="1"/>
                    <m:ctrlPr>
                      <w:rPr>
                        <w:rFonts w:ascii="Cambria Math" w:hAnsi="Cambria Math"/>
                      </w:rPr>
                    </m:ctrlPr>
                  </m:boxPr>
                  <m:e>
                    <m:r>
                      <m:rPr>
                        <m:sty m:val="p"/>
                      </m:rPr>
                      <w:rPr>
                        <w:rFonts w:ascii="Cambria Math" w:hAnsi="Cambria Math"/>
                      </w:rPr>
                      <m:t>:=</m:t>
                    </m:r>
                  </m:e>
                </m:box>
                <m:f>
                  <m:fPr>
                    <m:ctrlPr>
                      <w:rPr>
                        <w:rFonts w:ascii="Cambria Math" w:hAnsi="Cambria Math"/>
                      </w:rPr>
                    </m:ctrlPr>
                  </m:fPr>
                  <m:num>
                    <m:r>
                      <m:rPr>
                        <m:scr m:val="double-struck"/>
                        <m:sty m:val="p"/>
                      </m:rPr>
                      <w:rPr>
                        <w:rFonts w:ascii="Cambria Math" w:hAnsi="Cambria Math"/>
                      </w:rPr>
                      <m:t>E</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2k</m:t>
                            </m:r>
                          </m:e>
                        </m:d>
                      </m:e>
                    </m:d>
                  </m:num>
                  <m:den>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den>
                </m:f>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k</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2A</m:t>
                            </m:r>
                          </m:num>
                          <m:den>
                            <m:r>
                              <w:rPr>
                                <w:rFonts w:ascii="Cambria Math" w:hAnsi="Cambria Math"/>
                              </w:rPr>
                              <m:t>k</m:t>
                            </m:r>
                            <m:r>
                              <m:rPr>
                                <m:sty m:val="p"/>
                              </m:rPr>
                              <w:rPr>
                                <w:rFonts w:ascii="Cambria Math" w:hAnsi="Cambria Math"/>
                              </w:rPr>
                              <m:t>-</m:t>
                            </m:r>
                            <m:r>
                              <w:rPr>
                                <w:rFonts w:ascii="Cambria Math" w:hAnsi="Cambria Math"/>
                              </w:rPr>
                              <m:t>1</m:t>
                            </m:r>
                          </m:den>
                        </m:f>
                      </m:e>
                    </m:d>
                  </m:e>
                  <m: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e>
            </m:mr>
          </m:m>
          <m:r>
            <m:rPr>
              <m:nor/>
            </m:rPr>
            <m:t>    (8)</m:t>
          </m:r>
        </m:oMath>
      </m:oMathPara>
    </w:p>
    <w:p w14:paraId="1276110E" w14:textId="77777777" w:rsidR="00287EFD" w:rsidRDefault="00000000" w:rsidP="007B33B3">
      <w:pPr>
        <w:pStyle w:val="FirstParagraph"/>
        <w:rPr>
          <w:rFonts w:hint="eastAsia"/>
        </w:rPr>
      </w:pPr>
      <w:r>
        <w:rPr>
          <w:i/>
          <w:iCs/>
        </w:rPr>
        <w:t>Proof.</w:t>
      </w:r>
      <w:r>
        <w:t xml:space="preserve"> For </w:t>
      </w:r>
      <m:oMath>
        <m:r>
          <w:rPr>
            <w:rFonts w:ascii="Cambria Math" w:hAnsi="Cambria Math"/>
          </w:rPr>
          <m:t>σ</m:t>
        </m:r>
        <m:r>
          <m:rPr>
            <m:sty m:val="p"/>
          </m:rPr>
          <w:rPr>
            <w:rFonts w:ascii="Cambria Math" w:hAnsi="Cambria Math"/>
          </w:rPr>
          <m:t>&gt;</m:t>
        </m:r>
        <m:r>
          <w:rPr>
            <w:rFonts w:ascii="Cambria Math" w:hAnsi="Cambria Math"/>
          </w:rPr>
          <m:t>0</m:t>
        </m:r>
      </m:oMath>
      <w:r>
        <w:t xml:space="preserve">, normal sample mean and sample variance are independent. The variable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chi-squared with </w:t>
      </w:r>
      <m:oMath>
        <m:r>
          <w:rPr>
            <w:rFonts w:ascii="Cambria Math" w:hAnsi="Cambria Math"/>
          </w:rPr>
          <m:t>k</m:t>
        </m:r>
        <m:r>
          <m:rPr>
            <m:sty m:val="p"/>
          </m:rPr>
          <w:rPr>
            <w:rFonts w:ascii="Cambria Math" w:hAnsi="Cambria Math"/>
          </w:rPr>
          <m:t>-</m:t>
        </m:r>
        <m:r>
          <w:rPr>
            <w:rFonts w:ascii="Cambria Math" w:hAnsi="Cambria Math"/>
          </w:rPr>
          <m:t>1</m:t>
        </m:r>
      </m:oMath>
      <w:r>
        <w:t xml:space="preserve"> degrees of freedom. The expectation therefore factors into </w:t>
      </w:r>
      <m:oMath>
        <m:sSup>
          <m:sSupPr>
            <m:ctrlPr>
              <w:rPr>
                <w:rFonts w:ascii="Cambria Math" w:hAnsi="Cambria Math"/>
              </w:rPr>
            </m:ctrlPr>
          </m:sSupPr>
          <m:e>
            <m:r>
              <w:rPr>
                <w:rFonts w:ascii="Cambria Math" w:hAnsi="Cambria Math"/>
              </w:rPr>
              <m:t>e</m:t>
            </m:r>
          </m:e>
          <m:sup>
            <m:r>
              <w:rPr>
                <w:rFonts w:ascii="Cambria Math" w:hAnsi="Cambria Math"/>
              </w:rPr>
              <m:t>A</m:t>
            </m:r>
          </m:sup>
        </m:sSup>
      </m:oMath>
      <w:r>
        <w:t xml:space="preserve"> and the chi-squared Laplace transform in (8). Its logarithm is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e>
        </m:d>
        <m:r>
          <m:rPr>
            <m:sty m:val="p"/>
          </m:rPr>
          <w:rPr>
            <w:rFonts w:ascii="Cambria Math" w:hAnsi="Cambria Math"/>
          </w:rPr>
          <m:t>log</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which is nonnegative by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t</m:t>
        </m:r>
      </m:oMath>
      <w:r>
        <w:t xml:space="preserve">. For </w:t>
      </w:r>
      <m:oMath>
        <m:r>
          <w:rPr>
            <w:rFonts w:ascii="Cambria Math" w:hAnsi="Cambria Math"/>
          </w:rPr>
          <m:t>σ</m:t>
        </m:r>
        <m:r>
          <m:rPr>
            <m:sty m:val="p"/>
          </m:rPr>
          <w:rPr>
            <w:rFonts w:ascii="Cambria Math" w:hAnsi="Cambria Math"/>
          </w:rPr>
          <m:t>=</m:t>
        </m:r>
        <m:r>
          <w:rPr>
            <w:rFonts w:ascii="Cambria Math" w:hAnsi="Cambria Math"/>
          </w:rPr>
          <m:t>0</m:t>
        </m:r>
      </m:oMath>
      <w:r>
        <w:t xml:space="preserve">, both sides of (8) equal one directly. </w:t>
      </w:r>
      <m:oMath>
        <m:r>
          <m:rPr>
            <m:sty m:val="p"/>
          </m:rPr>
          <w:rPr>
            <w:rFonts w:ascii="Cambria Math" w:hAnsi="Cambria Math"/>
          </w:rPr>
          <m:t>▫</m:t>
        </m:r>
      </m:oMath>
    </w:p>
    <w:p w14:paraId="5679015A" w14:textId="77777777" w:rsidR="00287EFD" w:rsidRDefault="00000000" w:rsidP="007B33B3">
      <w:pPr>
        <w:pStyle w:val="BodyText"/>
        <w:rPr>
          <w:rFonts w:hint="eastAsia"/>
        </w:rPr>
      </w:pPr>
      <w:r>
        <w:t xml:space="preserve">For small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the logarithm of the residual is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O</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sup>
                <m:r>
                  <w:rPr>
                    <w:rFonts w:ascii="Cambria Math" w:hAnsi="Cambria Math"/>
                  </w:rPr>
                  <m:t>2</m:t>
                </m:r>
              </m:sup>
            </m:sSup>
          </m:e>
        </m:d>
      </m:oMath>
      <w:r>
        <w:t xml:space="preserve">. Estimating a variance and substituting it into an exact correction creates a different estimator. With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(8) gives 1.031126656.</w:t>
      </w:r>
    </w:p>
    <w:p w14:paraId="7B35CD88" w14:textId="77777777" w:rsidR="00287EFD" w:rsidRDefault="00000000" w:rsidP="007B33B3">
      <w:pPr>
        <w:pStyle w:val="Heading2"/>
        <w:rPr>
          <w:rFonts w:hint="eastAsia"/>
        </w:rPr>
      </w:pPr>
      <w:bookmarkStart w:id="10" w:name="X02b77f30304d81cc3f9073e928c55e71010018c"/>
      <w:bookmarkEnd w:id="9"/>
      <w:r>
        <w:t>4.3 Errors shared across repetitions and candidates</w:t>
      </w:r>
    </w:p>
    <w:p w14:paraId="5A1AD390" w14:textId="77777777" w:rsidR="00287EFD" w:rsidRDefault="00000000" w:rsidP="007B33B3">
      <w:pPr>
        <w:pStyle w:val="FirstParagraph"/>
        <w:rPr>
          <w:rFonts w:hint="eastAsia"/>
        </w:rPr>
      </w:pPr>
      <w:r>
        <w:t xml:space="preserve">Suppose the </w:t>
      </w:r>
      <m:oMath>
        <m:r>
          <w:rPr>
            <w:rFonts w:ascii="Cambria Math" w:hAnsi="Cambria Math"/>
          </w:rPr>
          <m:t>k</m:t>
        </m:r>
      </m:oMath>
      <w:r>
        <w:t xml:space="preserve"> scores for one design are jointly normal with marginal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common correlation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They can be written as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d>
          <m:dPr>
            <m:ctrlPr>
              <w:rPr>
                <w:rFonts w:ascii="Cambria Math" w:hAnsi="Cambria Math"/>
              </w:rPr>
            </m:ctrlPr>
          </m:dPr>
          <m:e>
            <m:rad>
              <m:radPr>
                <m:degHide m:val="1"/>
                <m:ctrlPr>
                  <w:rPr>
                    <w:rFonts w:ascii="Cambria Math" w:hAnsi="Cambria Math"/>
                  </w:rPr>
                </m:ctrlPr>
              </m:radPr>
              <m:deg/>
              <m:e>
                <m:r>
                  <w:rPr>
                    <w:rFonts w:ascii="Cambria Math" w:hAnsi="Cambria Math"/>
                  </w:rPr>
                  <m:t>ρ</m:t>
                </m:r>
              </m:e>
            </m:rad>
            <m:r>
              <m:rPr>
                <m:nor/>
              </m:rPr>
              <m:t>    </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ρ</m:t>
                </m:r>
              </m:e>
            </m:rad>
            <m:r>
              <m:rPr>
                <m:nor/>
              </m:rPr>
              <m:t>    </m:t>
            </m:r>
            <m:sSub>
              <m:sSubPr>
                <m:ctrlPr>
                  <w:rPr>
                    <w:rFonts w:ascii="Cambria Math" w:hAnsi="Cambria Math"/>
                  </w:rPr>
                </m:ctrlPr>
              </m:sSubPr>
              <m:e>
                <m:r>
                  <w:rPr>
                    <w:rFonts w:ascii="Cambria Math" w:hAnsi="Cambria Math"/>
                  </w:rPr>
                  <m:t>ε</m:t>
                </m:r>
              </m:e>
              <m:sub>
                <m:r>
                  <w:rPr>
                    <w:rFonts w:ascii="Cambria Math" w:hAnsi="Cambria Math"/>
                  </w:rPr>
                  <m:t>j</m:t>
                </m:r>
              </m:sub>
            </m:sSub>
          </m:e>
        </m:d>
      </m:oMath>
      <w:r>
        <w:t xml:space="preserve"> with independent standard normals. The sample mean has variance </w:t>
      </w:r>
      <m:oMath>
        <m:sSup>
          <m:sSupPr>
            <m:ctrlPr>
              <w:rPr>
                <w:rFonts w:ascii="Cambria Math" w:hAnsi="Cambria Math"/>
              </w:rPr>
            </m:ctrlPr>
          </m:sSupPr>
          <m:e>
            <m:r>
              <w:rPr>
                <w:rFonts w:ascii="Cambria Math" w:hAnsi="Cambria Math"/>
              </w:rPr>
              <m:t>σ</m:t>
            </m:r>
          </m:e>
          <m:sup>
            <m:r>
              <w:rPr>
                <w:rFonts w:ascii="Cambria Math" w:hAnsi="Cambria Math"/>
              </w:rPr>
              <m:t>2</m:t>
            </m:r>
          </m:sup>
        </m:sSup>
        <m:d>
          <m:dPr>
            <m:begChr m:val="["/>
            <m:endChr m:val="]"/>
            <m:ctrlPr>
              <w:rPr>
                <w:rFonts w:ascii="Cambria Math" w:hAnsi="Cambria Math"/>
              </w:rPr>
            </m:ctrlPr>
          </m:dPr>
          <m:e>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k</m:t>
            </m:r>
          </m:e>
        </m:d>
      </m:oMath>
      <w:r>
        <w:t xml:space="preserve">, whereas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oMath>
      <w:r>
        <w:t>.</w:t>
      </w:r>
    </w:p>
    <w:p w14:paraId="52333093" w14:textId="77777777" w:rsidR="00287EFD" w:rsidRDefault="00000000" w:rsidP="007B33B3">
      <w:pPr>
        <w:pStyle w:val="BodyText"/>
        <w:keepNext/>
        <w:rPr>
          <w:rFonts w:hint="eastAsia"/>
        </w:rPr>
      </w:pPr>
      <w:r>
        <w:rPr>
          <w:b/>
          <w:bCs/>
        </w:rPr>
        <w:t>Proposition 4.</w:t>
      </w:r>
      <w:r>
        <w:t xml:space="preserve"> With </w:t>
      </w:r>
      <m:oMath>
        <m:sSub>
          <m:sSubPr>
            <m:ctrlPr>
              <w:rPr>
                <w:rFonts w:ascii="Cambria Math" w:hAnsi="Cambria Math"/>
              </w:rPr>
            </m:ctrlPr>
          </m:sSubPr>
          <m:e>
            <m:r>
              <w:rPr>
                <w:rFonts w:ascii="Cambria Math" w:hAnsi="Cambria Math"/>
              </w:rPr>
              <m:t>A</m:t>
            </m:r>
          </m:e>
          <m:sub>
            <m:r>
              <w:rPr>
                <w:rFonts w:ascii="Cambria Math" w:hAnsi="Cambria Math"/>
              </w:rPr>
              <m:t>ρ</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d>
          <m:dPr>
            <m:ctrlPr>
              <w:rPr>
                <w:rFonts w:ascii="Cambria Math" w:hAnsi="Cambria Math"/>
              </w:rPr>
            </m:ctrlPr>
          </m:dPr>
          <m:e>
            <m:r>
              <w:rPr>
                <w:rFonts w:ascii="Cambria Math" w:hAnsi="Cambria Math"/>
              </w:rPr>
              <m:t>2k</m:t>
            </m:r>
          </m:e>
        </m:d>
      </m:oMath>
      <w:r>
        <w:t>, the plug-in residual becomes</w:t>
      </w:r>
    </w:p>
    <w:p w14:paraId="10DB5B82" w14:textId="77777777" w:rsidR="00287EFD" w:rsidRDefault="00000000" w:rsidP="007B33B3">
      <w:pPr>
        <w:pStyle w:val="BodyText"/>
        <w:keepLines/>
        <w:spacing w:before="60" w:after="120"/>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ρ</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ρ</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ρ</m:t>
                        </m:r>
                      </m:sub>
                    </m:sSub>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ρ</m:t>
                                </m:r>
                              </m:sub>
                            </m:sSub>
                          </m:num>
                          <m:den>
                            <m:r>
                              <w:rPr>
                                <w:rFonts w:ascii="Cambria Math" w:hAnsi="Cambria Math"/>
                              </w:rPr>
                              <m:t>k</m:t>
                            </m:r>
                            <m:r>
                              <m:rPr>
                                <m:sty m:val="p"/>
                              </m:rPr>
                              <w:rPr>
                                <w:rFonts w:ascii="Cambria Math" w:hAnsi="Cambria Math"/>
                              </w:rPr>
                              <m:t>-</m:t>
                            </m:r>
                            <m:r>
                              <w:rPr>
                                <w:rFonts w:ascii="Cambria Math" w:hAnsi="Cambria Math"/>
                              </w:rPr>
                              <m:t>1</m:t>
                            </m:r>
                          </m:den>
                        </m:f>
                      </m:e>
                    </m:d>
                  </m:e>
                  <m: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ρ</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ρ</m:t>
                    </m:r>
                    <m:r>
                      <m:rPr>
                        <m:sty m:val="p"/>
                      </m:rPr>
                      <w:rPr>
                        <w:rFonts w:ascii="Cambria Math" w:hAnsi="Cambria Math"/>
                      </w:rPr>
                      <m:t>/</m:t>
                    </m:r>
                    <m:r>
                      <w:rPr>
                        <w:rFonts w:ascii="Cambria Math" w:hAnsi="Cambria Math"/>
                      </w:rPr>
                      <m:t>2</m:t>
                    </m:r>
                  </m:sup>
                </m:sSup>
                <m:r>
                  <m:rPr>
                    <m:sty m:val="p"/>
                  </m:rPr>
                  <w:rPr>
                    <w:rFonts w:ascii="Cambria Math" w:hAnsi="Cambria Math"/>
                  </w:rPr>
                  <m:t>.</m:t>
                </m:r>
              </m:e>
            </m:mr>
          </m:m>
          <m:r>
            <m:rPr>
              <m:nor/>
            </m:rPr>
            <m:t>    (9)</m:t>
          </m:r>
        </m:oMath>
      </m:oMathPara>
    </w:p>
    <w:p w14:paraId="4A52577A" w14:textId="77777777" w:rsidR="00287EFD" w:rsidRDefault="00000000" w:rsidP="007B33B3">
      <w:pPr>
        <w:pStyle w:val="FirstParagraph"/>
        <w:rPr>
          <w:rFonts w:hint="eastAsia"/>
        </w:rPr>
      </w:pPr>
      <w:r>
        <w:rPr>
          <w:i/>
          <w:iCs/>
        </w:rPr>
        <w:t>Proof.</w:t>
      </w:r>
      <w:r>
        <w:t xml:space="preserve"> The common normal variable is independent of the sample variance and mean of the idiosyncratic normal variables. Its moment contributes the first exponential. Applying Proposition 3 to the idiosyncratic part gives the other factors. The logarithm of their product tends to zero as </w:t>
      </w:r>
      <m:oMath>
        <m:r>
          <w:rPr>
            <w:rFonts w:ascii="Cambria Math" w:hAnsi="Cambria Math"/>
          </w:rPr>
          <m:t>k</m:t>
        </m:r>
        <m:r>
          <m:rPr>
            <m:sty m:val="p"/>
          </m:rPr>
          <w:rPr>
            <w:rFonts w:ascii="Cambria Math" w:hAnsi="Cambria Math"/>
          </w:rPr>
          <m:t>→∞</m:t>
        </m:r>
      </m:oMath>
      <w:r>
        <w:t xml:space="preserve">. </w:t>
      </w:r>
      <m:oMath>
        <m:r>
          <m:rPr>
            <m:sty m:val="p"/>
          </m:rPr>
          <w:rPr>
            <w:rFonts w:ascii="Cambria Math" w:hAnsi="Cambria Math"/>
          </w:rPr>
          <m:t>▫</m:t>
        </m:r>
      </m:oMath>
    </w:p>
    <w:p w14:paraId="53F2C793" w14:textId="77777777" w:rsidR="00287EFD" w:rsidRDefault="00000000" w:rsidP="007B33B3">
      <w:pPr>
        <w:pStyle w:val="BodyText"/>
        <w:rPr>
          <w:rFonts w:hint="eastAsia"/>
        </w:rPr>
      </w:pPr>
      <w:r>
        <w:t xml:space="preserve">This result concerns error shared across repeated judgements of a candidate. Cross-candidate dependence requires another distinction. If every score in one attention read contains the same additive scalar error </w:t>
      </w:r>
      <m:oMath>
        <m:r>
          <w:rPr>
            <w:rFonts w:ascii="Cambria Math" w:hAnsi="Cambria Math"/>
          </w:rPr>
          <m:t>U</m:t>
        </m:r>
      </m:oMath>
      <w:r>
        <w:t xml:space="preserve">, its common multiplier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oMath>
      <w:r>
        <w:t xml:space="preserve"> cancels exactly from all normalised weights. A design-specific persistent error, or unequal loadings on a shared error, generally does not cancel. Repetition alone cannot identify systematic bias, and merely changing a prompt does not establish independence.</w:t>
      </w:r>
    </w:p>
    <w:p w14:paraId="23DF2D98" w14:textId="77777777" w:rsidR="00287EFD" w:rsidRDefault="00000000" w:rsidP="007B33B3">
      <w:pPr>
        <w:pStyle w:val="BodyText"/>
        <w:rPr>
          <w:rFonts w:hint="eastAsia"/>
        </w:rPr>
      </w:pPr>
      <w:r>
        <w:t xml:space="preserve">For </w:t>
      </w:r>
      <m:oMath>
        <m:r>
          <w:rPr>
            <w:rFonts w:ascii="Cambria Math" w:hAnsi="Cambria Math"/>
          </w:rPr>
          <m:t>ρ</m:t>
        </m:r>
        <m:r>
          <m:rPr>
            <m:sty m:val="p"/>
          </m:rPr>
          <w:rPr>
            <w:rFonts w:ascii="Cambria Math" w:hAnsi="Cambria Math"/>
          </w:rPr>
          <m:t>=</m:t>
        </m:r>
        <m:r>
          <w:rPr>
            <w:rFonts w:ascii="Cambria Math" w:hAnsi="Cambria Math"/>
          </w:rPr>
          <m:t>0.3</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xml:space="preserve">, (9) gives 1.498416426, approaching the shared-error factor 1.475231608 as </w:t>
      </w:r>
      <m:oMath>
        <m:r>
          <w:rPr>
            <w:rFonts w:ascii="Cambria Math" w:hAnsi="Cambria Math"/>
          </w:rPr>
          <m:t>k</m:t>
        </m:r>
      </m:oMath>
      <w:r>
        <w:t xml:space="preserve"> grows. These are unnormalised-moment statements, rather than universal claims about selection under arbitrary cross-candidate correlation.</w:t>
      </w:r>
    </w:p>
    <w:p w14:paraId="43E4D5DE" w14:textId="77777777" w:rsidR="00287EFD" w:rsidRDefault="00000000" w:rsidP="007B33B3">
      <w:pPr>
        <w:pStyle w:val="Heading2"/>
        <w:rPr>
          <w:rFonts w:hint="eastAsia"/>
        </w:rPr>
      </w:pPr>
      <w:bookmarkStart w:id="11" w:name="X7accada17fecf3e38549b7f933e92348e3b77af"/>
      <w:bookmarkEnd w:id="10"/>
      <w:r>
        <w:t>4.4 Confidence bounds and non-Gaussian scores</w:t>
      </w:r>
    </w:p>
    <w:p w14:paraId="3CED8196" w14:textId="77777777" w:rsidR="00287EFD" w:rsidRDefault="00000000" w:rsidP="007B33B3">
      <w:pPr>
        <w:pStyle w:val="FirstParagraph"/>
        <w:keepNext/>
        <w:rPr>
          <w:rFonts w:hint="eastAsia"/>
        </w:rPr>
      </w:pPr>
      <w:r>
        <w:t xml:space="preserve">Under independent normal judgements with unknown variance and </w:t>
      </w:r>
      <m:oMath>
        <m:r>
          <w:rPr>
            <w:rFonts w:ascii="Cambria Math" w:hAnsi="Cambria Math"/>
          </w:rPr>
          <m:t>k</m:t>
        </m:r>
        <m:r>
          <m:rPr>
            <m:sty m:val="p"/>
          </m:rPr>
          <w:rPr>
            <w:rFonts w:ascii="Cambria Math" w:hAnsi="Cambria Math"/>
          </w:rPr>
          <m:t>&gt;</m:t>
        </m:r>
        <m:r>
          <w:rPr>
            <w:rFonts w:ascii="Cambria Math" w:hAnsi="Cambria Math"/>
          </w:rPr>
          <m:t>1</m:t>
        </m:r>
      </m:oMath>
      <w:r>
        <w:t>, the one-sided Student bound</w:t>
      </w:r>
    </w:p>
    <w:p w14:paraId="7E912C75"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b>
          </m:sSub>
          <m:rad>
            <m:radPr>
              <m:degHide m:val="1"/>
              <m:ctrlPr>
                <w:rPr>
                  <w:rFonts w:ascii="Cambria Math" w:hAnsi="Cambria Math"/>
                </w:rPr>
              </m:ctrlPr>
            </m:radPr>
            <m:deg/>
            <m:e>
              <m:r>
                <w:rPr>
                  <w:rFonts w:ascii="Cambria Math" w:hAnsi="Cambria Math"/>
                </w:rPr>
                <m:t>V</m:t>
              </m:r>
              <m:r>
                <m:rPr>
                  <m:sty m:val="p"/>
                </m:rPr>
                <w:rPr>
                  <w:rFonts w:ascii="Cambria Math" w:hAnsi="Cambria Math"/>
                </w:rPr>
                <m:t>/</m:t>
              </m:r>
              <m:r>
                <w:rPr>
                  <w:rFonts w:ascii="Cambria Math" w:hAnsi="Cambria Math"/>
                </w:rPr>
                <m:t>k</m:t>
              </m:r>
            </m:e>
          </m:rad>
          <m:r>
            <m:rPr>
              <m:nor/>
            </m:rPr>
            <m:t>    (10)</m:t>
          </m:r>
        </m:oMath>
      </m:oMathPara>
    </w:p>
    <w:p w14:paraId="226383F6" w14:textId="77777777" w:rsidR="00287EFD" w:rsidRDefault="00000000" w:rsidP="007B33B3">
      <w:pPr>
        <w:pStyle w:val="FirstParagraph"/>
        <w:rPr>
          <w:rFonts w:hint="eastAsia"/>
        </w:rPr>
      </w:pPr>
      <w:r>
        <w:t xml:space="preserve">covers the critic mean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α</m:t>
        </m:r>
      </m:oMath>
      <w:r>
        <w:t xml:space="preserve"> for a fixed candidate. It covers the true loss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at that level if </w:t>
      </w:r>
      <m:oMath>
        <m:r>
          <w:rPr>
            <w:rFonts w:ascii="Cambria Math" w:hAnsi="Cambria Math"/>
          </w:rPr>
          <m:t>b</m:t>
        </m:r>
        <m:r>
          <m:rPr>
            <m:sty m:val="p"/>
          </m:rPr>
          <w:rPr>
            <w:rFonts w:ascii="Cambria Math" w:hAnsi="Cambria Math"/>
          </w:rPr>
          <m:t>=</m:t>
        </m:r>
        <m:r>
          <w:rPr>
            <w:rFonts w:ascii="Cambria Math" w:hAnsi="Cambria Math"/>
          </w:rPr>
          <m:t>0</m:t>
        </m:r>
      </m:oMath>
      <w:r>
        <w:t xml:space="preserve">. If only a lower bias bound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is justified, then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supplies the corresponding upper bound on </w:t>
      </w:r>
      <m:oMath>
        <m:sSub>
          <m:sSubPr>
            <m:ctrlPr>
              <w:rPr>
                <w:rFonts w:ascii="Cambria Math" w:hAnsi="Cambria Math"/>
              </w:rPr>
            </m:ctrlPr>
          </m:sSubPr>
          <m:e>
            <m:r>
              <w:rPr>
                <w:rFonts w:ascii="Cambria Math" w:hAnsi="Cambria Math"/>
              </w:rPr>
              <m:t>J</m:t>
            </m:r>
          </m:e>
          <m:sub>
            <m:r>
              <w:rPr>
                <w:rFonts w:ascii="Cambria Math" w:hAnsi="Cambria Math"/>
              </w:rPr>
              <m:t>v</m:t>
            </m:r>
          </m:sub>
        </m:sSub>
      </m:oMath>
      <w:r>
        <w:t>. Repeated scores alone do not justify either bias assumption.</w:t>
      </w:r>
    </w:p>
    <w:p w14:paraId="5ECA26CB" w14:textId="77777777" w:rsidR="00287EFD" w:rsidRDefault="00000000" w:rsidP="007B33B3">
      <w:pPr>
        <w:pStyle w:val="BodyText"/>
        <w:rPr>
          <w:rFonts w:hint="eastAsia"/>
        </w:rPr>
      </w:pPr>
      <w:r>
        <w:lastRenderedPageBreak/>
        <w:t xml:space="preserve">For a fixed batch of </w:t>
      </w:r>
      <m:oMath>
        <m:r>
          <w:rPr>
            <w:rFonts w:ascii="Cambria Math" w:hAnsi="Cambria Math"/>
          </w:rPr>
          <m:t>M</m:t>
        </m:r>
      </m:oMath>
      <w:r>
        <w:t xml:space="preserve"> candidates assessed with fresh valid measurements after selection, using level </w:t>
      </w:r>
      <m:oMath>
        <m:r>
          <w:rPr>
            <w:rFonts w:ascii="Cambria Math" w:hAnsi="Cambria Math"/>
          </w:rPr>
          <m:t>α</m:t>
        </m:r>
        <m:r>
          <m:rPr>
            <m:sty m:val="p"/>
          </m:rPr>
          <w:rPr>
            <w:rFonts w:ascii="Cambria Math" w:hAnsi="Cambria Math"/>
          </w:rPr>
          <m:t>/</m:t>
        </m:r>
        <m:r>
          <w:rPr>
            <w:rFonts w:ascii="Cambria Math" w:hAnsi="Cambria Math"/>
          </w:rPr>
          <m:t>M</m:t>
        </m:r>
      </m:oMath>
      <w:r>
        <w:t xml:space="preserve"> in each bound gives simultaneous coverage at least </w:t>
      </w:r>
      <m:oMath>
        <m:r>
          <w:rPr>
            <w:rFonts w:ascii="Cambria Math" w:hAnsi="Cambria Math"/>
          </w:rPr>
          <m:t>1</m:t>
        </m:r>
        <m:r>
          <m:rPr>
            <m:sty m:val="p"/>
          </m:rPr>
          <w:rPr>
            <w:rFonts w:ascii="Cambria Math" w:hAnsi="Cambria Math"/>
          </w:rPr>
          <m:t>-</m:t>
        </m:r>
        <m:r>
          <w:rPr>
            <w:rFonts w:ascii="Cambria Math" w:hAnsi="Cambria Math"/>
          </w:rPr>
          <m:t>α</m:t>
        </m:r>
      </m:oMath>
      <w:r>
        <w:t xml:space="preserve"> by a union bound. Independence across candidates is unnecessary for that union bound; validity of each individual interval remains necessary. Reusing measurements that selected the candidates, or repeatedly checking until a favourable interval appears, requires a sequential or selection-aware analysis.</w:t>
      </w:r>
    </w:p>
    <w:p w14:paraId="0C3F1CF4" w14:textId="77777777" w:rsidR="00287EFD" w:rsidRDefault="00000000" w:rsidP="007B33B3">
      <w:pPr>
        <w:pStyle w:val="BodyText"/>
        <w:rPr>
          <w:rFonts w:hint="eastAsia"/>
        </w:rPr>
      </w:pPr>
      <w:r>
        <w:t xml:space="preserve">If centred measurement error is merely sub-Gaussian with variance proxy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Jensen’s inequality and its moment bound give </w:t>
      </w:r>
      <m:oMath>
        <m:r>
          <w:rPr>
            <w:rFonts w:ascii="Cambria Math" w:hAnsi="Cambria Math"/>
          </w:rPr>
          <m:t>1</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βε</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Subtracting the upper variance proxy from the log weight then gives an upper bound on its expected raw weight relative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not an exact Gaussian debiasing identity. A conservative weight is still a search weight, not an engineering acceptance certificate.</w:t>
      </w:r>
    </w:p>
    <w:p>
      <w:pPr>
        <w:pStyle w:val="Heading2"/>
      </w:pPr>
      <w:r>
        <w:t xml:space="preserve">4.5 An exact unbiased correction cannot remain positive</w:t>
      </w:r>
    </w:p>
    <w:p>
      <w:pPr>
        <w:pStyle w:val="FirstParagraph"/>
      </w:pPr>
      <w:r>
        <w:t xml:space="preserve">Proposition 3 shows that substituting the sample variance into the known-variance correction leaves a residual factor</w:t>
      </w:r>
      <w:r>
        <w:t xml:space="preserve"> </w:t>
      </w:r>
      <m:oMath>
        <m:sSub>
          <m:e>
            <m:r>
              <m:t>R</m:t>
            </m:r>
          </m:e>
          <m:sub>
            <m:r>
              <m:t>k</m:t>
            </m:r>
          </m:sub>
        </m:sSub>
        <m:r>
          <m:rPr>
            <m:sty m:val="p"/>
          </m:rPr>
          <m:t>≥</m:t>
        </m:r>
        <m:r>
          <m:t>1</m:t>
        </m:r>
      </m:oMath>
      <w:r>
        <w:t xml:space="preserve">. A natural question is whether a better function of the same judgements removes the residual exactly. It does, but only by giving up positivity. Under the independent model of Proposition 3 with</w:t>
      </w:r>
      <w:r>
        <w:t xml:space="preserve"> </w:t>
      </w:r>
      <m:oMath>
        <m:r>
          <m:t>k</m:t>
        </m:r>
        <m:r>
          <m:rPr>
            <m:sty m:val="p"/>
          </m:rPr>
          <m:t>&gt;</m:t>
        </m:r>
        <m:r>
          <m:t>1</m:t>
        </m:r>
      </m:oMath>
      <w:r>
        <w:t xml:space="preserve"> </w:t>
      </w:r>
      <w:r>
        <w:t xml:space="preserve">and</w:t>
      </w:r>
      <w:r>
        <w:t xml:space="preserve"> </w:t>
      </w:r>
      <m:oMath>
        <m:r>
          <m:t>β</m:t>
        </m:r>
        <m:r>
          <m:rPr>
            <m:sty m:val="p"/>
          </m:rPr>
          <m:t>&gt;</m:t>
        </m:r>
        <m:r>
          <m:t>0</m:t>
        </m:r>
      </m:oMath>
      <w:r>
        <w:t xml:space="preserve">, put</w:t>
      </w:r>
      <w:r>
        <w:t xml:space="preserve"> </w:t>
      </w:r>
      <m:oMath>
        <m:r>
          <m:t>T</m:t>
        </m:r>
        <m:r>
          <m:rPr>
            <m:sty m:val="p"/>
          </m:rPr>
          <m:t>=</m:t>
        </m:r>
        <m:d>
          <m:dPr>
            <m:begChr m:val="("/>
            <m:sepChr m:val=""/>
            <m:endChr m:val=")"/>
            <m:grow/>
          </m:dPr>
          <m:e>
            <m:r>
              <m:t>k</m:t>
            </m:r>
            <m:r>
              <m:rPr>
                <m:sty m:val="p"/>
              </m:rPr>
              <m:t>−</m:t>
            </m:r>
            <m:r>
              <m:t>1</m:t>
            </m:r>
          </m:e>
        </m:d>
        <m:r>
          <m:t>V</m:t>
        </m:r>
      </m:oMath>
      <w:r>
        <w:t xml:space="preserve"> </w:t>
      </w:r>
      <w:r>
        <w:t xml:space="preserve">and define</w:t>
      </w:r>
    </w:p>
    <w:p>
      <w:pPr>
        <w:pStyle w:val="BodyText"/>
      </w:pPr>
      <m:oMathPara>
        <m:oMathParaPr>
          <m:jc m:val="center"/>
        </m:oMathParaPr>
        <m:oMath>
          <m:sSub>
            <m:e>
              <m:r>
                <m:t>h</m:t>
              </m:r>
            </m:e>
            <m:sub>
              <m:r>
                <m:t>k</m:t>
              </m:r>
            </m:sub>
          </m:sSub>
          <m:d>
            <m:dPr>
              <m:begChr m:val="("/>
              <m:sepChr m:val=""/>
              <m:endChr m:val=")"/>
              <m:grow/>
            </m:dPr>
            <m:e>
              <m:r>
                <m:t>T</m:t>
              </m:r>
            </m:e>
          </m:d>
          <m:r>
            <m:rPr>
              <m:sty m:val="p"/>
            </m:rPr>
            <m:t>=</m:t>
          </m:r>
          <m:sSub>
            <m:e>
              <m:r>
                <m:t>​</m:t>
              </m:r>
            </m:e>
            <m:sub>
              <m:r>
                <m:t>0</m:t>
              </m:r>
            </m:sub>
          </m:sSub>
          <m:sSub>
            <m:e>
              <m:r>
                <m:t>F</m:t>
              </m:r>
            </m:e>
            <m:sub>
              <m:r>
                <m:t>1</m:t>
              </m:r>
            </m:sub>
          </m:sSub>
          <m:r>
            <m:t>​</m:t>
          </m:r>
          <m:d>
            <m:dPr>
              <m:begChr m:val="("/>
              <m:sepChr m:val=""/>
              <m:endChr m:val=")"/>
              <m:grow/>
            </m:dPr>
            <m:e>
              <m:r>
                <m:rPr>
                  <m:sty m:val="p"/>
                </m:rPr>
                <m:t>;</m:t>
              </m:r>
              <m:f>
                <m:fPr>
                  <m:type m:val="lin"/>
                </m:fPr>
                <m:num>
                  <m:r>
                    <m:t>k</m:t>
                  </m:r>
                  <m:r>
                    <m:rPr>
                      <m:sty m:val="p"/>
                    </m:rPr>
                    <m:t>−</m:t>
                  </m:r>
                  <m:r>
                    <m:t>1</m:t>
                  </m:r>
                </m:num>
                <m:den>
                  <m:r>
                    <m:t>2</m:t>
                  </m:r>
                </m:den>
              </m:f>
              <m:r>
                <m:rPr>
                  <m:sty m:val="p"/>
                </m:rPr>
                <m:t>;</m:t>
              </m:r>
              <m:r>
                <m:t> </m:t>
              </m:r>
              <m:r>
                <m:rPr>
                  <m:sty m:val="p"/>
                </m:rPr>
                <m:t>−</m:t>
              </m:r>
              <m:f>
                <m:fPr>
                  <m:type m:val="lin"/>
                </m:fPr>
                <m:num>
                  <m:sSup>
                    <m:e>
                      <m:r>
                        <m:t>β</m:t>
                      </m:r>
                    </m:e>
                    <m:sup>
                      <m:r>
                        <m:t>2</m:t>
                      </m:r>
                    </m:sup>
                  </m:sSup>
                  <m:r>
                    <m:t>T</m:t>
                  </m:r>
                </m:num>
                <m:den>
                  <m:r>
                    <m:t>4</m:t>
                  </m:r>
                  <m:r>
                    <m:t>k</m:t>
                  </m:r>
                </m:den>
              </m:f>
            </m:e>
          </m:d>
          <m:r>
            <m:rPr>
              <m:sty m:val="p"/>
            </m:rPr>
            <m:t>=</m:t>
          </m:r>
          <m:nary>
            <m:naryPr>
              <m:chr m:val="∑"/>
              <m:limLoc m:val="undOvr"/>
              <m:subHide m:val="off"/>
              <m:supHide m:val="on"/>
            </m:naryPr>
            <m:sub>
              <m:r>
                <m:t>j</m:t>
              </m:r>
              <m:r>
                <m:rPr>
                  <m:sty m:val="p"/>
                </m:rPr>
                <m:t>≥</m:t>
              </m:r>
              <m:r>
                <m:t>0</m:t>
              </m:r>
            </m:sub>
            <m:sup>
              <m:r>
                <m:t>​</m:t>
              </m:r>
            </m:sup>
            <m:e>
              <m:f>
                <m:fPr>
                  <m:type m:val="bar"/>
                </m:fPr>
                <m:num>
                  <m:sSup>
                    <m:e>
                      <m:d>
                        <m:dPr>
                          <m:begChr m:val="("/>
                          <m:sepChr m:val=""/>
                          <m:endChr m:val=")"/>
                          <m:grow/>
                        </m:dPr>
                        <m:e>
                          <m:r>
                            <m:rPr>
                              <m:sty m:val="p"/>
                            </m:rPr>
                            <m:t>−</m:t>
                          </m:r>
                          <m:sSup>
                            <m:e>
                              <m:r>
                                <m:t>β</m:t>
                              </m:r>
                            </m:e>
                            <m:sup>
                              <m:r>
                                <m:t>2</m:t>
                              </m:r>
                            </m:sup>
                          </m:sSup>
                          <m:r>
                            <m:t>T</m:t>
                          </m:r>
                          <m:r>
                            <m:rPr>
                              <m:sty m:val="p"/>
                            </m:rPr>
                            <m:t>/</m:t>
                          </m:r>
                          <m:d>
                            <m:dPr>
                              <m:begChr m:val="("/>
                              <m:sepChr m:val=""/>
                              <m:endChr m:val=")"/>
                              <m:grow/>
                            </m:dPr>
                            <m:e>
                              <m:r>
                                <m:t>4</m:t>
                              </m:r>
                              <m:r>
                                <m:t>k</m:t>
                              </m:r>
                            </m:e>
                          </m:d>
                        </m:e>
                      </m:d>
                    </m:e>
                    <m:sup>
                      <m:r>
                        <m:t>j</m:t>
                      </m:r>
                    </m:sup>
                  </m:sSup>
                </m:num>
                <m:den>
                  <m:r>
                    <m:t>j</m:t>
                  </m:r>
                  <m:r>
                    <m:rPr>
                      <m:sty m:val="p"/>
                    </m:rPr>
                    <m:t>!</m:t>
                  </m:r>
                  <m:r>
                    <m:t> </m:t>
                  </m:r>
                  <m:sSub>
                    <m:e>
                      <m:d>
                        <m:dPr>
                          <m:begChr m:val="("/>
                          <m:sepChr m:val=""/>
                          <m:endChr m:val=")"/>
                          <m:grow/>
                        </m:dPr>
                        <m:e>
                          <m:f>
                            <m:fPr>
                              <m:type m:val="lin"/>
                            </m:fPr>
                            <m:num>
                              <m:r>
                                <m:t>k</m:t>
                              </m:r>
                              <m:r>
                                <m:rPr>
                                  <m:sty m:val="p"/>
                                </m:rPr>
                                <m:t>−</m:t>
                              </m:r>
                              <m:r>
                                <m:t>1</m:t>
                              </m:r>
                            </m:num>
                            <m:den>
                              <m:r>
                                <m:t>2</m:t>
                              </m:r>
                            </m:den>
                          </m:f>
                        </m:e>
                      </m:d>
                    </m:e>
                    <m:sub>
                      <m:r>
                        <m:t>j</m:t>
                      </m:r>
                    </m:sub>
                  </m:sSub>
                </m:den>
              </m:f>
            </m:e>
          </m:nary>
          <m:r>
            <m:rPr>
              <m:sty m:val="p"/>
            </m:rPr>
            <m:t>,</m:t>
          </m:r>
          <m:r>
            <m:t>  </m:t>
          </m:r>
          <m:sSub>
            <m:e>
              <m:r>
                <m:t>W</m:t>
              </m:r>
            </m:e>
            <m:sub>
              <m:r>
                <m:rPr>
                  <m:nor/>
                </m:rPr>
                <m:t>ub</m:t>
              </m:r>
            </m:sub>
          </m:sSub>
          <m:r>
            <m:rPr>
              <m:sty m:val="p"/>
            </m:rPr>
            <m:t>=</m:t>
          </m:r>
          <m:sSup>
            <m:e>
              <m:r>
                <m:t>e</m:t>
              </m:r>
            </m:e>
            <m:sup>
              <m:r>
                <m:rPr>
                  <m:sty m:val="p"/>
                </m:rPr>
                <m:t>−</m:t>
              </m:r>
              <m:r>
                <m:t>β</m:t>
              </m:r>
              <m:sSub>
                <m:e>
                  <m:r>
                    <m:t>S</m:t>
                  </m:r>
                </m:e>
                <m:sub>
                  <m:r>
                    <m:t>k</m:t>
                  </m:r>
                </m:sub>
              </m:sSub>
            </m:sup>
          </m:sSup>
          <m:r>
            <m:t> </m:t>
          </m:r>
          <m:sSub>
            <m:e>
              <m:r>
                <m:t>h</m:t>
              </m:r>
            </m:e>
            <m:sub>
              <m:r>
                <m:t>k</m:t>
              </m:r>
            </m:sub>
          </m:sSub>
          <m:d>
            <m:dPr>
              <m:begChr m:val="("/>
              <m:sepChr m:val=""/>
              <m:endChr m:val=")"/>
              <m:grow/>
            </m:dPr>
            <m:e>
              <m:r>
                <m:t>T</m:t>
              </m:r>
            </m:e>
          </m:d>
          <m:r>
            <m:rPr>
              <m:sty m:val="p"/>
            </m:rPr>
            <m:t>.</m:t>
          </m:r>
          <m:r>
            <m:t>  </m:t>
          </m:r>
          <m:d>
            <m:dPr>
              <m:begChr m:val="("/>
              <m:sepChr m:val=""/>
              <m:endChr m:val=")"/>
              <m:grow/>
            </m:dPr>
            <m:e>
              <m:r>
                <m:t>22</m:t>
              </m:r>
            </m:e>
          </m:d>
        </m:oMath>
      </m:oMathPara>
    </w:p>
    <w:p>
      <w:pPr>
        <w:pStyle w:val="FirstParagraph"/>
      </w:pPr>
      <w:r>
        <w:t xml:space="preserve">Here</w:t>
      </w:r>
      <w:r>
        <w:t xml:space="preserve"> </w:t>
      </w:r>
      <m:oMath>
        <m:sSub>
          <m:e>
            <m:d>
              <m:dPr>
                <m:begChr m:val="("/>
                <m:sepChr m:val=""/>
                <m:endChr m:val=")"/>
                <m:grow/>
              </m:dPr>
              <m:e>
                <m:r>
                  <m:t>c</m:t>
                </m:r>
              </m:e>
            </m:d>
          </m:e>
          <m:sub>
            <m:r>
              <m:t>j</m:t>
            </m:r>
          </m:sub>
        </m:sSub>
      </m:oMath>
      <w:r>
        <w:t xml:space="preserve"> </w:t>
      </w:r>
      <w:r>
        <w:t xml:space="preserve">is the rising factorial. For</w:t>
      </w:r>
      <w:r>
        <w:t xml:space="preserve"> </w:t>
      </w:r>
      <m:oMath>
        <m:r>
          <m:t>k</m:t>
        </m:r>
        <m:r>
          <m:rPr>
            <m:sty m:val="p"/>
          </m:rPr>
          <m:t>=</m:t>
        </m:r>
        <m:r>
          <m:t>2</m:t>
        </m:r>
      </m:oMath>
      <w:r>
        <w:t xml:space="preserve"> </w:t>
      </w:r>
      <w:r>
        <w:t xml:space="preserve">and</w:t>
      </w:r>
      <w:r>
        <w:t xml:space="preserve"> </w:t>
      </w:r>
      <m:oMath>
        <m:r>
          <m:t>k</m:t>
        </m:r>
        <m:r>
          <m:rPr>
            <m:sty m:val="p"/>
          </m:rPr>
          <m:t>=</m:t>
        </m:r>
        <m:r>
          <m:t>4</m:t>
        </m:r>
      </m:oMath>
      <w:r>
        <w:t xml:space="preserve"> </w:t>
      </w:r>
      <w:r>
        <w:t xml:space="preserve">the series has the elementary forms</w:t>
      </w:r>
      <w:r>
        <w:t xml:space="preserve"> </w:t>
      </w:r>
      <m:oMath>
        <m:sSub>
          <m:e>
            <m:r>
              <m:t>h</m:t>
            </m:r>
          </m:e>
          <m:sub>
            <m:r>
              <m:t>2</m:t>
            </m:r>
          </m:sub>
        </m:sSub>
        <m:r>
          <m:rPr>
            <m:sty m:val="p"/>
          </m:rPr>
          <m:t>=</m:t>
        </m:r>
        <m:r>
          <m:rPr>
            <m:sty m:val="p"/>
          </m:rPr>
          <m:t>cos</m:t>
        </m:r>
        <m:d>
          <m:dPr>
            <m:begChr m:val="("/>
            <m:sepChr m:val=""/>
            <m:endChr m:val=")"/>
            <m:grow/>
          </m:dPr>
          <m:e>
            <m:r>
              <m:t>2</m:t>
            </m:r>
            <m:rad>
              <m:radPr>
                <m:degHide m:val="on"/>
              </m:radPr>
              <m:deg/>
              <m:e>
                <m:r>
                  <m:t>x</m:t>
                </m:r>
              </m:e>
            </m:rad>
          </m:e>
        </m:d>
      </m:oMath>
      <w:r>
        <w:t xml:space="preserve"> </w:t>
      </w:r>
      <w:r>
        <w:t xml:space="preserve">and</w:t>
      </w:r>
      <w:r>
        <w:t xml:space="preserve"> </w:t>
      </w:r>
      <m:oMath>
        <m:sSub>
          <m:e>
            <m:r>
              <m:t>h</m:t>
            </m:r>
          </m:e>
          <m:sub>
            <m:r>
              <m:t>4</m:t>
            </m:r>
          </m:sub>
        </m:sSub>
        <m:r>
          <m:rPr>
            <m:sty m:val="p"/>
          </m:rPr>
          <m:t>=</m:t>
        </m:r>
        <m:r>
          <m:rPr>
            <m:sty m:val="p"/>
          </m:rPr>
          <m:t>sin</m:t>
        </m:r>
        <m:d>
          <m:dPr>
            <m:begChr m:val="("/>
            <m:sepChr m:val=""/>
            <m:endChr m:val=")"/>
            <m:grow/>
          </m:dPr>
          <m:e>
            <m:r>
              <m:t>2</m:t>
            </m:r>
            <m:rad>
              <m:radPr>
                <m:degHide m:val="on"/>
              </m:radPr>
              <m:deg/>
              <m:e>
                <m:r>
                  <m:t>x</m:t>
                </m:r>
              </m:e>
            </m:rad>
          </m:e>
        </m:d>
        <m:r>
          <m:rPr>
            <m:sty m:val="p"/>
          </m:rPr>
          <m:t>/</m:t>
        </m:r>
        <m:d>
          <m:dPr>
            <m:begChr m:val="("/>
            <m:sepChr m:val=""/>
            <m:endChr m:val=")"/>
            <m:grow/>
          </m:dPr>
          <m:e>
            <m:r>
              <m:t>2</m:t>
            </m:r>
            <m:rad>
              <m:radPr>
                <m:degHide m:val="on"/>
              </m:radPr>
              <m:deg/>
              <m:e>
                <m:r>
                  <m:t>x</m:t>
                </m:r>
              </m:e>
            </m:rad>
          </m:e>
        </m:d>
      </m:oMath>
      <w:r>
        <w:t xml:space="preserve">, with</w:t>
      </w:r>
      <w:r>
        <w:t xml:space="preserve"> </w:t>
      </w:r>
      <m:oMath>
        <m:r>
          <m:t>x</m:t>
        </m:r>
        <m:r>
          <m:rPr>
            <m:sty m:val="p"/>
          </m:rPr>
          <m:t>=</m:t>
        </m:r>
        <m:sSup>
          <m:e>
            <m:r>
              <m:t>β</m:t>
            </m:r>
          </m:e>
          <m:sup>
            <m:r>
              <m:t>2</m:t>
            </m:r>
          </m:sup>
        </m:sSup>
        <m:r>
          <m:t>T</m:t>
        </m:r>
        <m:r>
          <m:rPr>
            <m:sty m:val="p"/>
          </m:rPr>
          <m:t>/</m:t>
        </m:r>
        <m:d>
          <m:dPr>
            <m:begChr m:val="("/>
            <m:sepChr m:val=""/>
            <m:endChr m:val=")"/>
            <m:grow/>
          </m:dPr>
          <m:e>
            <m:r>
              <m:t>4</m:t>
            </m:r>
            <m:r>
              <m:t>k</m:t>
            </m:r>
          </m:e>
        </m:d>
      </m:oMath>
      <w:r>
        <w:t xml:space="preserve">.</w:t>
      </w:r>
    </w:p>
    <w:p>
      <w:pPr>
        <w:pStyle w:val="BodyText"/>
      </w:pPr>
      <w:r>
        <w:rPr>
          <w:bCs/>
          <w:b/>
        </w:rPr>
        <w:t xml:space="preserve">Proposition 7.</w:t>
      </w:r>
      <w:r>
        <w:t xml:space="preserve"> </w:t>
      </w:r>
      <w:r>
        <w:t xml:space="preserve">Consider the normal judgement family with unknown mean</w:t>
      </w:r>
      <w:r>
        <w:t xml:space="preserve"> </w:t>
      </w:r>
      <m:oMath>
        <m:sSub>
          <m:e>
            <m:r>
              <m:t>J</m:t>
            </m:r>
          </m:e>
          <m:sub>
            <m:r>
              <m:t>v</m:t>
            </m:r>
          </m:sub>
        </m:sSub>
        <m:r>
          <m:rPr>
            <m:sty m:val="p"/>
          </m:rPr>
          <m:t>+</m:t>
        </m:r>
        <m:r>
          <m:t>b</m:t>
        </m:r>
        <m:r>
          <m:rPr>
            <m:sty m:val="p"/>
          </m:rPr>
          <m:t>∈</m:t>
        </m:r>
        <m:r>
          <m:rPr>
            <m:scr m:val="double-struck"/>
            <m:sty m:val="p"/>
          </m:rPr>
          <m:t>R</m:t>
        </m:r>
      </m:oMath>
      <w:r>
        <w:t xml:space="preserve"> </w:t>
      </w:r>
      <w:r>
        <w:t xml:space="preserve">and unknown variance</w:t>
      </w:r>
      <w:r>
        <w:t xml:space="preserve"> </w:t>
      </w:r>
      <m:oMath>
        <m:sSup>
          <m:e>
            <m:r>
              <m:t>σ</m:t>
            </m:r>
          </m:e>
          <m:sup>
            <m:r>
              <m:t>2</m:t>
            </m:r>
          </m:sup>
        </m:sSup>
        <m:r>
          <m:rPr>
            <m:sty m:val="p"/>
          </m:rPr>
          <m:t>&gt;</m:t>
        </m:r>
        <m:r>
          <m:t>0</m:t>
        </m:r>
      </m:oMath>
      <w:r>
        <w:t xml:space="preserve">. (a)</w:t>
      </w:r>
      <w:r>
        <w:t xml:space="preserve"> </w:t>
      </w:r>
      <m:oMath>
        <m:r>
          <m:rPr>
            <m:scr m:val="double-struck"/>
            <m:sty m:val="p"/>
          </m:rPr>
          <m:t>E</m:t>
        </m:r>
        <m:d>
          <m:dPr>
            <m:begChr m:val="["/>
            <m:sepChr m:val=""/>
            <m:endChr m:val="]"/>
            <m:grow/>
          </m:dPr>
          <m:e>
            <m:sSub>
              <m:e>
                <m:r>
                  <m:t>W</m:t>
                </m:r>
              </m:e>
              <m:sub>
                <m:r>
                  <m:rPr>
                    <m:nor/>
                  </m:rPr>
                  <m:t>ub</m:t>
                </m:r>
              </m:sub>
            </m:sSub>
          </m:e>
        </m:d>
        <m:r>
          <m:rPr>
            <m:sty m:val="p"/>
          </m:rPr>
          <m:t>=</m:t>
        </m:r>
        <m:sSup>
          <m:e>
            <m:r>
              <m:t>e</m:t>
            </m:r>
          </m:e>
          <m:sup>
            <m:r>
              <m:rPr>
                <m:sty m:val="p"/>
              </m:rPr>
              <m:t>−</m:t>
            </m:r>
            <m:r>
              <m:t>β</m:t>
            </m:r>
            <m:d>
              <m:dPr>
                <m:begChr m:val="("/>
                <m:sepChr m:val=""/>
                <m:endChr m:val=")"/>
                <m:grow/>
              </m:dPr>
              <m:e>
                <m:sSub>
                  <m:e>
                    <m:r>
                      <m:t>J</m:t>
                    </m:r>
                  </m:e>
                  <m:sub>
                    <m:r>
                      <m:t>v</m:t>
                    </m:r>
                  </m:sub>
                </m:sSub>
                <m:r>
                  <m:rPr>
                    <m:sty m:val="p"/>
                  </m:rPr>
                  <m:t>+</m:t>
                </m:r>
                <m:r>
                  <m:t>b</m:t>
                </m:r>
              </m:e>
            </m:d>
          </m:sup>
        </m:sSup>
      </m:oMath>
      <w:r>
        <w:t xml:space="preserve"> </w:t>
      </w:r>
      <w:r>
        <w:t xml:space="preserve">for every member of the family. (b)</w:t>
      </w:r>
      <w:r>
        <w:t xml:space="preserve"> </w:t>
      </w:r>
      <m:oMath>
        <m:sSub>
          <m:e>
            <m:r>
              <m:t>W</m:t>
            </m:r>
          </m:e>
          <m:sub>
            <m:r>
              <m:rPr>
                <m:nor/>
              </m:rPr>
              <m:t>ub</m:t>
            </m:r>
          </m:sub>
        </m:sSub>
        <m:r>
          <m:rPr>
            <m:sty m:val="p"/>
          </m:rPr>
          <m:t>&lt;</m:t>
        </m:r>
        <m:r>
          <m:t>0</m:t>
        </m:r>
      </m:oMath>
      <w:r>
        <w:t xml:space="preserve"> </w:t>
      </w:r>
      <w:r>
        <w:t xml:space="preserve">with positive probability for every member. (c) No measurable function of the</w:t>
      </w:r>
      <w:r>
        <w:t xml:space="preserve"> </w:t>
      </w:r>
      <m:oMath>
        <m:r>
          <m:t>k</m:t>
        </m:r>
      </m:oMath>
      <w:r>
        <w:t xml:space="preserve"> </w:t>
      </w:r>
      <w:r>
        <w:t xml:space="preserve">judgements is both nonnegative and unbiased for</w:t>
      </w:r>
      <w:r>
        <w:t xml:space="preserve"> </w:t>
      </w:r>
      <m:oMath>
        <m:sSup>
          <m:e>
            <m:r>
              <m:t>e</m:t>
            </m:r>
          </m:e>
          <m:sup>
            <m:r>
              <m:rPr>
                <m:sty m:val="p"/>
              </m:rPr>
              <m:t>−</m:t>
            </m:r>
            <m:r>
              <m:t>β</m:t>
            </m:r>
            <m:d>
              <m:dPr>
                <m:begChr m:val="("/>
                <m:sepChr m:val=""/>
                <m:endChr m:val=")"/>
                <m:grow/>
              </m:dPr>
              <m:e>
                <m:sSub>
                  <m:e>
                    <m:r>
                      <m:t>J</m:t>
                    </m:r>
                  </m:e>
                  <m:sub>
                    <m:r>
                      <m:t>v</m:t>
                    </m:r>
                  </m:sub>
                </m:sSub>
                <m:r>
                  <m:rPr>
                    <m:sty m:val="p"/>
                  </m:rPr>
                  <m:t>+</m:t>
                </m:r>
                <m:r>
                  <m:t>b</m:t>
                </m:r>
              </m:e>
            </m:d>
          </m:sup>
        </m:sSup>
      </m:oMath>
      <w:r>
        <w:t xml:space="preserve"> </w:t>
      </w:r>
      <w:r>
        <w:t xml:space="preserve">over the whole family.</w:t>
      </w:r>
    </w:p>
    <w:p>
      <w:pPr>
        <w:pStyle w:val="BodyText"/>
      </w:pPr>
      <w:r>
        <w:rPr>
          <w:iCs/>
          <w:i/>
        </w:rPr>
        <w:t xml:space="preserve">Proof.</w:t>
      </w:r>
      <w:r>
        <w:t xml:space="preserve"> </w:t>
      </w:r>
      <w:r>
        <w:t xml:space="preserve">(a) The sample mean and</w:t>
      </w:r>
      <w:r>
        <w:t xml:space="preserve"> </w:t>
      </w:r>
      <m:oMath>
        <m:r>
          <m:t>T</m:t>
        </m:r>
      </m:oMath>
      <w:r>
        <w:t xml:space="preserve"> </w:t>
      </w:r>
      <w:r>
        <w:t xml:space="preserve">are independent, and</w:t>
      </w:r>
      <w:r>
        <w:t xml:space="preserve"> </w:t>
      </w:r>
      <m:oMath>
        <m:r>
          <m:t>T</m:t>
        </m:r>
        <m:r>
          <m:rPr>
            <m:sty m:val="p"/>
          </m:rPr>
          <m:t>/</m:t>
        </m:r>
        <m:sSup>
          <m:e>
            <m:r>
              <m:t>σ</m:t>
            </m:r>
          </m:e>
          <m:sup>
            <m:r>
              <m:t>2</m:t>
            </m:r>
          </m:sup>
        </m:sSup>
      </m:oMath>
      <w:r>
        <w:t xml:space="preserve"> </w:t>
      </w:r>
      <w:r>
        <w:t xml:space="preserve">is chi-squared with</w:t>
      </w:r>
      <w:r>
        <w:t xml:space="preserve"> </w:t>
      </w:r>
      <m:oMath>
        <m:r>
          <m:t>k</m:t>
        </m:r>
        <m:r>
          <m:rPr>
            <m:sty m:val="p"/>
          </m:rPr>
          <m:t>−</m:t>
        </m:r>
        <m:r>
          <m:t>1</m:t>
        </m:r>
      </m:oMath>
      <w:r>
        <w:t xml:space="preserve"> </w:t>
      </w:r>
      <w:r>
        <w:t xml:space="preserve">degrees of freedom, so</w:t>
      </w:r>
      <w:r>
        <w:t xml:space="preserve"> </w:t>
      </w:r>
      <m:oMath>
        <m:r>
          <m:rPr>
            <m:scr m:val="double-struck"/>
            <m:sty m:val="p"/>
          </m:rPr>
          <m:t>E</m:t>
        </m:r>
        <m:d>
          <m:dPr>
            <m:begChr m:val="["/>
            <m:sepChr m:val=""/>
            <m:endChr m:val="]"/>
            <m:grow/>
          </m:dPr>
          <m:e>
            <m:sSup>
              <m:e>
                <m:r>
                  <m:t>T</m:t>
                </m:r>
              </m:e>
              <m:sup>
                <m:r>
                  <m:t>j</m:t>
                </m:r>
              </m:sup>
            </m:sSup>
          </m:e>
        </m:d>
        <m:r>
          <m:rPr>
            <m:sty m:val="p"/>
          </m:rPr>
          <m:t>=</m:t>
        </m:r>
        <m:sSup>
          <m:e>
            <m:r>
              <m:t>σ</m:t>
            </m:r>
          </m:e>
          <m:sup>
            <m:r>
              <m:t>2</m:t>
            </m:r>
            <m:r>
              <m:t>j</m:t>
            </m:r>
          </m:sup>
        </m:sSup>
        <m:sSup>
          <m:e>
            <m:r>
              <m:t>2</m:t>
            </m:r>
          </m:e>
          <m:sup>
            <m:r>
              <m:t>j</m:t>
            </m:r>
          </m:sup>
        </m:sSup>
        <m:sSub>
          <m:e>
            <m:d>
              <m:dPr>
                <m:begChr m:val="("/>
                <m:sepChr m:val=""/>
                <m:endChr m:val=")"/>
                <m:grow/>
              </m:dPr>
              <m:e>
                <m:f>
                  <m:fPr>
                    <m:type m:val="lin"/>
                  </m:fPr>
                  <m:num>
                    <m:r>
                      <m:t>k</m:t>
                    </m:r>
                    <m:r>
                      <m:rPr>
                        <m:sty m:val="p"/>
                      </m:rPr>
                      <m:t>−</m:t>
                    </m:r>
                    <m:r>
                      <m:t>1</m:t>
                    </m:r>
                  </m:num>
                  <m:den>
                    <m:r>
                      <m:t>2</m:t>
                    </m:r>
                  </m:den>
                </m:f>
              </m:e>
            </m:d>
          </m:e>
          <m:sub>
            <m:r>
              <m:t>j</m:t>
            </m:r>
          </m:sub>
        </m:sSub>
      </m:oMath>
      <w:r>
        <w:t xml:space="preserve">. The expectations of the absolute terms of (22) sum to</w:t>
      </w:r>
      <w:r>
        <w:t xml:space="preserve"> </w:t>
      </w:r>
      <m:oMath>
        <m:sSup>
          <m:e>
            <m:r>
              <m:t>e</m:t>
            </m:r>
          </m:e>
          <m:sup>
            <m:r>
              <m:t>A</m:t>
            </m:r>
          </m:sup>
        </m:sSup>
      </m:oMath>
      <w:r>
        <w:t xml:space="preserve"> </w:t>
      </w:r>
      <w:r>
        <w:t xml:space="preserve">with</w:t>
      </w:r>
      <w:r>
        <w:t xml:space="preserve"> </w:t>
      </w:r>
      <m:oMath>
        <m:r>
          <m:t>A</m:t>
        </m:r>
        <m:r>
          <m:rPr>
            <m:sty m:val="p"/>
          </m:rPr>
          <m:t>=</m:t>
        </m:r>
        <m:sSup>
          <m:e>
            <m:r>
              <m:t>β</m:t>
            </m:r>
          </m:e>
          <m:sup>
            <m:r>
              <m:t>2</m:t>
            </m:r>
          </m:sup>
        </m:sSup>
        <m:sSup>
          <m:e>
            <m:r>
              <m:t>σ</m:t>
            </m:r>
          </m:e>
          <m:sup>
            <m:r>
              <m:t>2</m:t>
            </m:r>
          </m:sup>
        </m:sSup>
        <m:r>
          <m:rPr>
            <m:sty m:val="p"/>
          </m:rPr>
          <m:t>/</m:t>
        </m:r>
        <m:d>
          <m:dPr>
            <m:begChr m:val="("/>
            <m:sepChr m:val=""/>
            <m:endChr m:val=")"/>
            <m:grow/>
          </m:dPr>
          <m:e>
            <m:r>
              <m:t>2</m:t>
            </m:r>
            <m:r>
              <m:t>k</m:t>
            </m:r>
          </m:e>
        </m:d>
      </m:oMath>
      <w:r>
        <w:t xml:space="preserve">, so termwise integration is justified and gives</w:t>
      </w:r>
      <w:r>
        <w:t xml:space="preserve"> </w:t>
      </w:r>
      <m:oMath>
        <m:r>
          <m:rPr>
            <m:scr m:val="double-struck"/>
            <m:sty m:val="p"/>
          </m:rPr>
          <m:t>E</m:t>
        </m:r>
        <m:d>
          <m:dPr>
            <m:begChr m:val="["/>
            <m:sepChr m:val=""/>
            <m:endChr m:val="]"/>
            <m:grow/>
          </m:dPr>
          <m:e>
            <m:sSub>
              <m:e>
                <m:r>
                  <m:t>h</m:t>
                </m:r>
              </m:e>
              <m:sub>
                <m:r>
                  <m:t>k</m:t>
                </m:r>
              </m:sub>
            </m:sSub>
            <m:d>
              <m:dPr>
                <m:begChr m:val="("/>
                <m:sepChr m:val=""/>
                <m:endChr m:val=")"/>
                <m:grow/>
              </m:dPr>
              <m:e>
                <m:r>
                  <m:t>T</m:t>
                </m:r>
              </m:e>
            </m:d>
          </m:e>
        </m:d>
        <m:r>
          <m:rPr>
            <m:sty m:val="p"/>
          </m:rPr>
          <m:t>=</m:t>
        </m:r>
        <m:sSup>
          <m:e>
            <m:r>
              <m:t>e</m:t>
            </m:r>
          </m:e>
          <m:sup>
            <m:r>
              <m:rPr>
                <m:sty m:val="p"/>
              </m:rPr>
              <m:t>−</m:t>
            </m:r>
            <m:r>
              <m:t>A</m:t>
            </m:r>
          </m:sup>
        </m:sSup>
      </m:oMath>
      <w:r>
        <w:t xml:space="preserve">. Multiplying by</w:t>
      </w:r>
      <w:r>
        <w:t xml:space="preserve"> </w:t>
      </w:r>
      <m:oMath>
        <m:r>
          <m:rPr>
            <m:scr m:val="double-struck"/>
            <m:sty m:val="p"/>
          </m:rPr>
          <m:t>E</m:t>
        </m:r>
        <m:d>
          <m:dPr>
            <m:begChr m:val="["/>
            <m:sepChr m:val=""/>
            <m:endChr m:val="]"/>
            <m:grow/>
          </m:dPr>
          <m:e>
            <m:sSup>
              <m:e>
                <m:r>
                  <m:t>e</m:t>
                </m:r>
              </m:e>
              <m:sup>
                <m:r>
                  <m:rPr>
                    <m:sty m:val="p"/>
                  </m:rPr>
                  <m:t>−</m:t>
                </m:r>
                <m:r>
                  <m:t>β</m:t>
                </m:r>
                <m:sSub>
                  <m:e>
                    <m:r>
                      <m:t>S</m:t>
                    </m:r>
                  </m:e>
                  <m:sub>
                    <m:r>
                      <m:t>k</m:t>
                    </m:r>
                  </m:sub>
                </m:sSub>
              </m:sup>
            </m:sSup>
          </m:e>
        </m:d>
        <m:r>
          <m:rPr>
            <m:sty m:val="p"/>
          </m:rPr>
          <m:t>=</m:t>
        </m:r>
        <m:sSup>
          <m:e>
            <m:r>
              <m:t>e</m:t>
            </m:r>
          </m:e>
          <m:sup>
            <m:r>
              <m:rPr>
                <m:sty m:val="p"/>
              </m:rPr>
              <m:t>−</m:t>
            </m:r>
            <m:r>
              <m:t>β</m:t>
            </m:r>
            <m:d>
              <m:dPr>
                <m:begChr m:val="("/>
                <m:sepChr m:val=""/>
                <m:endChr m:val=")"/>
                <m:grow/>
              </m:dPr>
              <m:e>
                <m:sSub>
                  <m:e>
                    <m:r>
                      <m:t>J</m:t>
                    </m:r>
                  </m:e>
                  <m:sub>
                    <m:r>
                      <m:t>v</m:t>
                    </m:r>
                  </m:sub>
                </m:sSub>
                <m:r>
                  <m:rPr>
                    <m:sty m:val="p"/>
                  </m:rPr>
                  <m:t>+</m:t>
                </m:r>
                <m:r>
                  <m:t>b</m:t>
                </m:r>
              </m:e>
            </m:d>
            <m:r>
              <m:rPr>
                <m:sty m:val="p"/>
              </m:rPr>
              <m:t>+</m:t>
            </m:r>
            <m:r>
              <m:t>A</m:t>
            </m:r>
          </m:sup>
        </m:sSup>
      </m:oMath>
      <w:r>
        <w:t xml:space="preserve"> </w:t>
      </w:r>
      <w:r>
        <w:t xml:space="preserve">gives the claim. (b) With</w:t>
      </w:r>
      <w:r>
        <w:t xml:space="preserve"> </w:t>
      </w:r>
      <m:oMath>
        <m:r>
          <m:t>ν</m:t>
        </m:r>
        <m:r>
          <m:rPr>
            <m:sty m:val="p"/>
          </m:rPr>
          <m:t>=</m:t>
        </m:r>
        <m:d>
          <m:dPr>
            <m:begChr m:val="("/>
            <m:sepChr m:val=""/>
            <m:endChr m:val=")"/>
            <m:grow/>
          </m:dPr>
          <m:e>
            <m:r>
              <m:t>k</m:t>
            </m:r>
            <m:r>
              <m:rPr>
                <m:sty m:val="p"/>
              </m:rPr>
              <m:t>−</m:t>
            </m:r>
            <m:r>
              <m:t>1</m:t>
            </m:r>
          </m:e>
        </m:d>
        <m:r>
          <m:rPr>
            <m:sty m:val="p"/>
          </m:rPr>
          <m:t>/</m:t>
        </m:r>
        <m:r>
          <m:t>2</m:t>
        </m:r>
      </m:oMath>
      <w:r>
        <w:t xml:space="preserve">,</w:t>
      </w:r>
      <w:r>
        <w:t xml:space="preserve"> </w:t>
      </w:r>
      <m:oMath>
        <m:sSub>
          <m:e>
            <m:r>
              <m:t>h</m:t>
            </m:r>
          </m:e>
          <m:sub>
            <m:r>
              <m:t>k</m:t>
            </m:r>
          </m:sub>
        </m:sSub>
        <m:d>
          <m:dPr>
            <m:begChr m:val="("/>
            <m:sepChr m:val=""/>
            <m:endChr m:val=")"/>
            <m:grow/>
          </m:dPr>
          <m:e>
            <m:r>
              <m:t>T</m:t>
            </m:r>
          </m:e>
        </m:d>
        <m:r>
          <m:rPr>
            <m:sty m:val="p"/>
          </m:rPr>
          <m:t>=</m:t>
        </m:r>
        <m:r>
          <m:t>Γ</m:t>
        </m:r>
        <m:d>
          <m:dPr>
            <m:begChr m:val="("/>
            <m:sepChr m:val=""/>
            <m:endChr m:val=")"/>
            <m:grow/>
          </m:dPr>
          <m:e>
            <m:r>
              <m:t>ν</m:t>
            </m:r>
          </m:e>
        </m:d>
        <m:r>
          <m:t> </m:t>
        </m:r>
        <m:sSup>
          <m:e>
            <m:r>
              <m:t>x</m:t>
            </m:r>
          </m:e>
          <m:sup>
            <m:d>
              <m:dPr>
                <m:begChr m:val="("/>
                <m:sepChr m:val=""/>
                <m:endChr m:val=")"/>
                <m:grow/>
              </m:dPr>
              <m:e>
                <m:r>
                  <m:t>1</m:t>
                </m:r>
                <m:r>
                  <m:rPr>
                    <m:sty m:val="p"/>
                  </m:rPr>
                  <m:t>−</m:t>
                </m:r>
                <m:r>
                  <m:t>ν</m:t>
                </m:r>
              </m:e>
            </m:d>
            <m:r>
              <m:rPr>
                <m:sty m:val="p"/>
              </m:rPr>
              <m:t>/</m:t>
            </m:r>
            <m:r>
              <m:t>2</m:t>
            </m:r>
          </m:sup>
        </m:sSup>
        <m:sSub>
          <m:e>
            <m:r>
              <m:t>J</m:t>
            </m:r>
          </m:e>
          <m:sub>
            <m:r>
              <m:t>ν</m:t>
            </m:r>
            <m:r>
              <m:rPr>
                <m:sty m:val="p"/>
              </m:rPr>
              <m:t>−</m:t>
            </m:r>
            <m:r>
              <m:t>1</m:t>
            </m:r>
          </m:sub>
        </m:sSub>
        <m:d>
          <m:dPr>
            <m:begChr m:val="("/>
            <m:sepChr m:val=""/>
            <m:endChr m:val=")"/>
            <m:grow/>
          </m:dPr>
          <m:e>
            <m:r>
              <m:t>2</m:t>
            </m:r>
            <m:rad>
              <m:radPr>
                <m:degHide m:val="on"/>
              </m:radPr>
              <m:deg/>
              <m:e>
                <m:r>
                  <m:t>x</m:t>
                </m:r>
              </m:e>
            </m:rad>
          </m:e>
        </m:d>
      </m:oMath>
      <w:r>
        <w:t xml:space="preserve">, where</w:t>
      </w:r>
      <w:r>
        <w:t xml:space="preserve"> </w:t>
      </w:r>
      <m:oMath>
        <m:sSub>
          <m:e>
            <m:r>
              <m:t>J</m:t>
            </m:r>
          </m:e>
          <m:sub>
            <m:r>
              <m:t>ν</m:t>
            </m:r>
            <m:r>
              <m:rPr>
                <m:sty m:val="p"/>
              </m:rPr>
              <m:t>−</m:t>
            </m:r>
            <m:r>
              <m:t>1</m:t>
            </m:r>
          </m:sub>
        </m:sSub>
      </m:oMath>
      <w:r>
        <w:t xml:space="preserve"> </w:t>
      </w:r>
      <w:r>
        <w:t xml:space="preserve">is the Bessel function of order</w:t>
      </w:r>
      <w:r>
        <w:t xml:space="preserve"> </w:t>
      </w:r>
      <m:oMath>
        <m:r>
          <m:t>ν</m:t>
        </m:r>
        <m:r>
          <m:rPr>
            <m:sty m:val="p"/>
          </m:rPr>
          <m:t>−</m:t>
        </m:r>
        <m:r>
          <m:t>1</m:t>
        </m:r>
        <m:r>
          <m:rPr>
            <m:sty m:val="p"/>
          </m:rPr>
          <m:t>&gt;</m:t>
        </m:r>
        <m:r>
          <m:rPr>
            <m:sty m:val="p"/>
          </m:rPr>
          <m:t>−</m:t>
        </m:r>
        <m:r>
          <m:t>1</m:t>
        </m:r>
      </m:oMath>
      <w:r>
        <w:t xml:space="preserve">. It has infinitely many simple positive zeros and changes sign at each. The variable</w:t>
      </w:r>
      <w:r>
        <w:t xml:space="preserve"> </w:t>
      </w:r>
      <m:oMath>
        <m:r>
          <m:t>T</m:t>
        </m:r>
      </m:oMath>
      <w:r>
        <w:t xml:space="preserve"> </w:t>
      </w:r>
      <w:r>
        <w:t xml:space="preserve">has a positive density on</w:t>
      </w:r>
      <w:r>
        <w:t xml:space="preserve"> </w:t>
      </w:r>
      <m:oMath>
        <m:d>
          <m:dPr>
            <m:begChr m:val="("/>
            <m:sepChr m:val=""/>
            <m:endChr m:val=")"/>
            <m:grow/>
          </m:dPr>
          <m:e>
            <m:r>
              <m:t>0</m:t>
            </m:r>
            <m:r>
              <m:rPr>
                <m:sty m:val="p"/>
              </m:rPr>
              <m:t>,</m:t>
            </m:r>
            <m:r>
              <m:rPr>
                <m:sty m:val="p"/>
              </m:rPr>
              <m:t>∞</m:t>
            </m:r>
          </m:e>
        </m:d>
      </m:oMath>
      <w:r>
        <w:t xml:space="preserve">, and</w:t>
      </w:r>
      <w:r>
        <w:t xml:space="preserve"> </w:t>
      </w:r>
      <m:oMath>
        <m:sSup>
          <m:e>
            <m:r>
              <m:t>e</m:t>
            </m:r>
          </m:e>
          <m:sup>
            <m:r>
              <m:rPr>
                <m:sty m:val="p"/>
              </m:rPr>
              <m:t>−</m:t>
            </m:r>
            <m:r>
              <m:t>β</m:t>
            </m:r>
            <m:sSub>
              <m:e>
                <m:r>
                  <m:t>S</m:t>
                </m:r>
              </m:e>
              <m:sub>
                <m:r>
                  <m:t>k</m:t>
                </m:r>
              </m:sub>
            </m:sSub>
          </m:sup>
        </m:sSup>
        <m:r>
          <m:rPr>
            <m:sty m:val="p"/>
          </m:rPr>
          <m:t>&gt;</m:t>
        </m:r>
        <m:r>
          <m:t>0</m:t>
        </m:r>
      </m:oMath>
      <w:r>
        <w:t xml:space="preserve">. (c) The pair</w:t>
      </w:r>
      <w:r>
        <w:t xml:space="preserve"> </w:t>
      </w:r>
      <m:oMath>
        <m:d>
          <m:dPr>
            <m:begChr m:val="("/>
            <m:sepChr m:val=""/>
            <m:endChr m:val=")"/>
            <m:grow/>
          </m:dPr>
          <m:e>
            <m:sSub>
              <m:e>
                <m:r>
                  <m:t>S</m:t>
                </m:r>
              </m:e>
              <m:sub>
                <m:r>
                  <m:t>k</m:t>
                </m:r>
              </m:sub>
            </m:sSub>
            <m:r>
              <m:rPr>
                <m:sty m:val="p"/>
              </m:rPr>
              <m:t>,</m:t>
            </m:r>
            <m:r>
              <m:t>T</m:t>
            </m:r>
          </m:e>
        </m:d>
      </m:oMath>
      <w:r>
        <w:t xml:space="preserve"> </w:t>
      </w:r>
      <w:r>
        <w:t xml:space="preserve">is a complete sufficient statistic for the two-parameter normal family. If a nonnegative unbiased estimator existed, its conditional expectation given</w:t>
      </w:r>
      <w:r>
        <w:t xml:space="preserve"> </w:t>
      </w:r>
      <m:oMath>
        <m:d>
          <m:dPr>
            <m:begChr m:val="("/>
            <m:sepChr m:val=""/>
            <m:endChr m:val=")"/>
            <m:grow/>
          </m:dPr>
          <m:e>
            <m:sSub>
              <m:e>
                <m:r>
                  <m:t>S</m:t>
                </m:r>
              </m:e>
              <m:sub>
                <m:r>
                  <m:t>k</m:t>
                </m:r>
              </m:sub>
            </m:sSub>
            <m:r>
              <m:rPr>
                <m:sty m:val="p"/>
              </m:rPr>
              <m:t>,</m:t>
            </m:r>
            <m:r>
              <m:t>T</m:t>
            </m:r>
          </m:e>
        </m:d>
      </m:oMath>
      <w:r>
        <w:t xml:space="preserve"> </w:t>
      </w:r>
      <w:r>
        <w:t xml:space="preserve">would be nonnegative, unbiased and a function of</w:t>
      </w:r>
      <w:r>
        <w:t xml:space="preserve"> </w:t>
      </w:r>
      <m:oMath>
        <m:d>
          <m:dPr>
            <m:begChr m:val="("/>
            <m:sepChr m:val=""/>
            <m:endChr m:val=")"/>
            <m:grow/>
          </m:dPr>
          <m:e>
            <m:sSub>
              <m:e>
                <m:r>
                  <m:t>S</m:t>
                </m:r>
              </m:e>
              <m:sub>
                <m:r>
                  <m:t>k</m:t>
                </m:r>
              </m:sub>
            </m:sSub>
            <m:r>
              <m:rPr>
                <m:sty m:val="p"/>
              </m:rPr>
              <m:t>,</m:t>
            </m:r>
            <m:r>
              <m:t>T</m:t>
            </m:r>
          </m:e>
        </m:d>
      </m:oMath>
      <w:r>
        <w:t xml:space="preserve">. Completeness would make it equal to</w:t>
      </w:r>
      <w:r>
        <w:t xml:space="preserve"> </w:t>
      </w:r>
      <m:oMath>
        <m:sSub>
          <m:e>
            <m:r>
              <m:t>W</m:t>
            </m:r>
          </m:e>
          <m:sub>
            <m:r>
              <m:rPr>
                <m:nor/>
              </m:rPr>
              <m:t>ub</m:t>
            </m:r>
          </m:sub>
        </m:sSub>
      </m:oMath>
      <w:r>
        <w:t xml:space="preserve"> </w:t>
      </w:r>
      <w:r>
        <w:t xml:space="preserve">almost surely, contradicting (b).</w:t>
      </w:r>
      <w:r>
        <w:t xml:space="preserve"> </w:t>
      </w:r>
      <m:oMath>
        <m:r>
          <m:rPr>
            <m:sty m:val="p"/>
          </m:rPr>
          <m:t>▫</m:t>
        </m:r>
      </m:oMath>
    </w:p>
    <w:p>
      <w:pPr>
        <w:pStyle w:val="BodyText"/>
      </w:pPr>
      <w:r>
        <w:t xml:space="preserve">The residual of Proposition 3 is therefore a price of positivity rather than a removable defect of the plug-in construction. This is a specific instance of the general limits on nonnegative unbiased estimation [9]. Three consistent options remain. A variance calibrated outside the judgements being weighted restores (7), which is both positive and unbiased because</w:t>
      </w:r>
      <w:r>
        <w:t xml:space="preserve"> </w:t>
      </w:r>
      <m:oMath>
        <m:r>
          <m:t>σ</m:t>
        </m:r>
      </m:oMath>
      <w:r>
        <w:t xml:space="preserve"> </w:t>
      </w:r>
      <w:r>
        <w:t xml:space="preserve">is not estimated from the same scores. A positive plug-in weight can be used with its residual recorded as a bias. A signed unbiased weight can enter unnormalised estimating identities, but it violates the range assumption of Theorem 4, and a softmax read containing negative weights is no longer a probability allocation. Section 11.2 measures how often the sign fails.</w:t>
      </w:r>
    </w:p>
    <w:p w14:paraId="6C4682FF" w14:textId="77777777" w:rsidR="00287EFD" w:rsidRDefault="00000000" w:rsidP="007B33B3">
      <w:pPr>
        <w:pStyle w:val="Heading1"/>
        <w:rPr>
          <w:rFonts w:hint="eastAsia"/>
        </w:rPr>
      </w:pPr>
      <w:bookmarkStart w:id="12" w:name="connecting-the-target-to-de-retrieval"/>
      <w:bookmarkEnd w:id="6"/>
      <w:bookmarkEnd w:id="11"/>
      <w:r>
        <w:t>5 Connecting the target to DE retrieval</w:t>
      </w:r>
    </w:p>
    <w:p w14:paraId="681C5FFA" w14:textId="77777777" w:rsidR="00287EFD" w:rsidRDefault="00000000" w:rsidP="007B33B3">
      <w:pPr>
        <w:pStyle w:val="FirstParagraph"/>
        <w:keepNext/>
        <w:rPr>
          <w:rFonts w:hint="eastAsia"/>
        </w:rPr>
      </w:pPr>
      <w:r>
        <w:t xml:space="preserve">Let </w:t>
      </w:r>
      <m:oMath>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ν</m:t>
        </m:r>
        <m:d>
          <m:dPr>
            <m:ctrlPr>
              <w:rPr>
                <w:rFonts w:ascii="Cambria Math" w:hAnsi="Cambria Math"/>
              </w:rPr>
            </m:ctrlPr>
          </m:dPr>
          <m:e>
            <m:r>
              <w:rPr>
                <w:rFonts w:ascii="Cambria Math" w:hAnsi="Cambria Math"/>
              </w:rPr>
              <m:t>x</m:t>
            </m:r>
          </m:e>
        </m:d>
        <m:r>
          <w:rPr>
            <w:rFonts w:ascii="Cambria Math" w:hAnsi="Cambria Math"/>
          </w:rPr>
          <m:t>ζ</m:t>
        </m:r>
        <m:d>
          <m:dPr>
            <m:ctrlPr>
              <w:rPr>
                <w:rFonts w:ascii="Cambria Math" w:hAnsi="Cambria Math"/>
              </w:rPr>
            </m:ctrlPr>
          </m:dPr>
          <m:e>
            <m:r>
              <w:rPr>
                <w:rFonts w:ascii="Cambria Math" w:hAnsi="Cambria Math"/>
              </w:rPr>
              <m:t>dx</m:t>
            </m:r>
          </m:e>
        </m:d>
      </m:oMath>
      <w:r>
        <w:t xml:space="preserve">, with all proposal densities defined relative to </w:t>
      </w:r>
      <m:oMath>
        <m:r>
          <w:rPr>
            <w:rFonts w:ascii="Cambria Math" w:hAnsi="Cambria Math"/>
          </w:rPr>
          <m:t>ζ</m:t>
        </m:r>
      </m:oMath>
      <w:r>
        <w:t xml:space="preserve">. Fix a query </w:t>
      </w:r>
      <m:oMath>
        <m:r>
          <w:rPr>
            <w:rFonts w:ascii="Cambria Math" w:hAnsi="Cambria Math"/>
          </w:rPr>
          <m:t>z</m:t>
        </m:r>
      </m:oMath>
      <w:r>
        <w:t xml:space="preserve"> and a cumulative signal coefficient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For a Euclidean design representation, take the bounded Gaussian kernel</w:t>
      </w:r>
    </w:p>
    <w:p w14:paraId="239AF707"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e>
          </m:d>
          <m:r>
            <m:rPr>
              <m:sty m:val="p"/>
            </m:rPr>
            <w:rPr>
              <w:rFonts w:ascii="Cambria Math" w:hAnsi="Cambria Math"/>
            </w:rPr>
            <m:t>.</m:t>
          </m:r>
          <m:r>
            <m:rPr>
              <m:nor/>
            </m:rPr>
            <m:t>    (11)</m:t>
          </m:r>
        </m:oMath>
      </m:oMathPara>
    </w:p>
    <w:p w14:paraId="0B038F07" w14:textId="77777777" w:rsidR="00287EFD" w:rsidRDefault="00000000" w:rsidP="007B33B3">
      <w:pPr>
        <w:pStyle w:val="FirstParagraph"/>
        <w:keepNext/>
        <w:rPr>
          <w:rFonts w:hint="eastAsia"/>
        </w:rPr>
      </w:pPr>
      <w:r>
        <w:t xml:space="preserve">The omitted normalising constant cancels in a retrieval at fixed </w:t>
      </w:r>
      <m:oMath>
        <m:r>
          <w:rPr>
            <w:rFonts w:ascii="Cambria Math" w:hAnsi="Cambria Math"/>
          </w:rPr>
          <m:t>z</m:t>
        </m:r>
        <m:r>
          <m:rPr>
            <m:sty m:val="p"/>
          </m:rPr>
          <w:rPr>
            <w:rFonts w:ascii="Cambria Math" w:hAnsi="Cambria Math"/>
          </w:rPr>
          <m:t>,</m:t>
        </m:r>
        <m:r>
          <w:rPr>
            <w:rFonts w:ascii="Cambria Math" w:hAnsi="Cambria Math"/>
          </w:rPr>
          <m:t>a</m:t>
        </m:r>
      </m:oMath>
      <w:r>
        <w:t xml:space="preserve">. The intended conditional mean of an integrable quantity </w:t>
      </w:r>
      <m:oMath>
        <m:r>
          <w:rPr>
            <w:rFonts w:ascii="Cambria Math" w:hAnsi="Cambria Math"/>
          </w:rPr>
          <m:t>φ</m:t>
        </m:r>
        <m:d>
          <m:dPr>
            <m:ctrlPr>
              <w:rPr>
                <w:rFonts w:ascii="Cambria Math" w:hAnsi="Cambria Math"/>
              </w:rPr>
            </m:ctrlPr>
          </m:dPr>
          <m:e>
            <m:r>
              <w:rPr>
                <w:rFonts w:ascii="Cambria Math" w:hAnsi="Cambria Math"/>
              </w:rPr>
              <m:t>y</m:t>
            </m:r>
          </m:e>
        </m:d>
      </m:oMath>
      <w:r>
        <w:t xml:space="preserve"> is</w:t>
      </w:r>
    </w:p>
    <w:p w14:paraId="2292BDF6"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w:rPr>
                  <w:rFonts w:ascii="Cambria Math" w:hAnsi="Cambria Math"/>
                </w:rPr>
                <m:t>ν</m:t>
              </m:r>
              <m:d>
                <m:dPr>
                  <m:ctrlPr>
                    <w:rPr>
                      <w:rFonts w:ascii="Cambria Math" w:hAnsi="Cambria Math"/>
                    </w:rPr>
                  </m:ctrlPr>
                </m:dPr>
                <m:e>
                  <m:r>
                    <w:rPr>
                      <w:rFonts w:ascii="Cambria Math" w:hAnsi="Cambria Math"/>
                    </w:rPr>
                    <m:t>y</m:t>
                  </m:r>
                </m:e>
              </m:d>
              <m:r>
                <m:rPr>
                  <m:nor/>
                </m:rPr>
                <m:t>    </m:t>
              </m:r>
              <m:r>
                <w:rPr>
                  <w:rFonts w:ascii="Cambria Math" w:hAnsi="Cambria Math"/>
                </w:rPr>
                <m:t>ζ</m:t>
              </m:r>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w:rPr>
                  <w:rFonts w:ascii="Cambria Math" w:hAnsi="Cambria Math"/>
                </w:rPr>
                <m:t>ν</m:t>
              </m:r>
              <m:d>
                <m:dPr>
                  <m:ctrlPr>
                    <w:rPr>
                      <w:rFonts w:ascii="Cambria Math" w:hAnsi="Cambria Math"/>
                    </w:rPr>
                  </m:ctrlPr>
                </m:dPr>
                <m:e>
                  <m:r>
                    <w:rPr>
                      <w:rFonts w:ascii="Cambria Math" w:hAnsi="Cambria Math"/>
                    </w:rPr>
                    <m:t>y</m:t>
                  </m:r>
                </m:e>
              </m:d>
              <m:r>
                <m:rPr>
                  <m:nor/>
                </m:rPr>
                <m:t>    </m:t>
              </m:r>
              <m:r>
                <w:rPr>
                  <w:rFonts w:ascii="Cambria Math" w:hAnsi="Cambria Math"/>
                </w:rPr>
                <m:t>ζ</m:t>
              </m:r>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(12)</m:t>
          </m:r>
        </m:oMath>
      </m:oMathPara>
    </w:p>
    <w:p w14:paraId="728E459B" w14:textId="77777777" w:rsidR="00287EFD" w:rsidRDefault="00000000" w:rsidP="007B33B3">
      <w:pPr>
        <w:pStyle w:val="FirstParagraph"/>
        <w:rPr>
          <w:rFonts w:hint="eastAsia"/>
        </w:rPr>
      </w:pPr>
      <w:r>
        <w:t xml:space="preserve">For </w:t>
      </w:r>
      <m:oMath>
        <m:r>
          <w:rPr>
            <w:rFonts w:ascii="Cambria Math" w:hAnsi="Cambria Math"/>
          </w:rPr>
          <m:t>φ</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oMath>
      <w:r>
        <w:t>, this is the clean-value posterior mean under the target and the declared Gaussian observation model. It need not describe an actual historical ancestor of an optimiser state. Expanding the squared norm shows that the finite weighted read is algebraically softmax attention with a loss bias and a squared-key-norm bias. That identity does not identify its empirical prior with the intended continuous prior.</w:t>
      </w:r>
    </w:p>
    <w:p w14:paraId="571130D6" w14:textId="77777777" w:rsidR="00287EFD" w:rsidRDefault="00000000" w:rsidP="007B33B3">
      <w:pPr>
        <w:pStyle w:val="BodyText"/>
        <w:keepNext/>
        <w:rPr>
          <w:rFonts w:hint="eastAsia"/>
        </w:rPr>
      </w:pPr>
      <w:r>
        <w:rPr>
          <w:b/>
          <w:bCs/>
        </w:rPr>
        <w:t>Theorem 3.</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be independent samples from a fixed density </w:t>
      </w:r>
      <m:oMath>
        <m:r>
          <w:rPr>
            <w:rFonts w:ascii="Cambria Math" w:hAnsi="Cambria Math"/>
          </w:rPr>
          <m:t>q</m:t>
        </m:r>
      </m:oMath>
      <w:r>
        <w:t>, positive on the target support. Assume the numerator is absolutely integrable and the denominator is positive and finite. The estimator</w:t>
      </w:r>
    </w:p>
    <w:p w14:paraId="498B6060"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φ</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nor/>
            </m:rPr>
            <m:t>    (13)</m:t>
          </m:r>
        </m:oMath>
      </m:oMathPara>
    </w:p>
    <w:p w14:paraId="02FD2C87" w14:textId="77777777" w:rsidR="00287EFD" w:rsidRDefault="00000000" w:rsidP="007B33B3">
      <w:pPr>
        <w:pStyle w:val="FirstParagraph"/>
        <w:rPr>
          <w:rFonts w:hint="eastAsia"/>
        </w:rPr>
      </w:pPr>
      <w:r>
        <w:t xml:space="preserve">converges almost surely to (12). Under the corresponding integrability conditions, weights </w:t>
      </w:r>
      <m:oMath>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alone give a limit with </w:t>
      </w:r>
      <m:oMath>
        <m:r>
          <w:rPr>
            <w:rFonts w:ascii="Cambria Math" w:hAnsi="Cambria Math"/>
          </w:rPr>
          <m:t>ν</m:t>
        </m:r>
      </m:oMath>
      <w:r>
        <w:t xml:space="preserve"> replaced by </w:t>
      </w:r>
      <m:oMath>
        <m:r>
          <w:rPr>
            <w:rFonts w:ascii="Cambria Math" w:hAnsi="Cambria Math"/>
          </w:rPr>
          <m:t>q</m:t>
        </m:r>
      </m:oMath>
      <w:r>
        <w:t xml:space="preserve"> in both integrals.</w:t>
      </w:r>
    </w:p>
    <w:p w14:paraId="45A1EEDD" w14:textId="77777777" w:rsidR="00287EFD" w:rsidRDefault="00000000" w:rsidP="007B33B3">
      <w:pPr>
        <w:pStyle w:val="BodyText"/>
        <w:rPr>
          <w:rFonts w:hint="eastAsia"/>
        </w:rPr>
      </w:pPr>
      <w:r>
        <w:rPr>
          <w:i/>
          <w:iCs/>
        </w:rPr>
        <w:t>Proof.</w:t>
      </w:r>
      <w:r>
        <w:t xml:space="preserve"> Divide numerator and denominator by the sample size. The strong law gives their expectations, and the factor </w:t>
      </w:r>
      <m:oMath>
        <m:r>
          <w:rPr>
            <w:rFonts w:ascii="Cambria Math" w:hAnsi="Cambria Math"/>
          </w:rPr>
          <m:t>q</m:t>
        </m:r>
      </m:oMath>
      <w:r>
        <w:t xml:space="preserve"> cancels only for the corrected weights. The quotient converges because the limiting denominator is positive. </w:t>
      </w:r>
      <m:oMath>
        <m:r>
          <m:rPr>
            <m:sty m:val="p"/>
          </m:rPr>
          <w:rPr>
            <w:rFonts w:ascii="Cambria Math" w:hAnsi="Cambria Math"/>
          </w:rPr>
          <m:t>▫</m:t>
        </m:r>
      </m:oMath>
    </w:p>
    <w:p w14:paraId="70557A7D" w14:textId="77777777" w:rsidR="00287EFD" w:rsidRDefault="00000000" w:rsidP="007B33B3">
      <w:pPr>
        <w:pStyle w:val="BodyText"/>
        <w:rPr>
          <w:rFonts w:hint="eastAsia"/>
        </w:rPr>
      </w:pPr>
      <w:r>
        <w:t>For a finite archive, positive weights and kernel values always define a finite empirical retrieval if their sum is positive. It is exact for the empirical measure chosen by those weights. That statement needs no proposal-density correction. A claim that the same read estimates a separate declared target does need an appropriate sampling argument. This distinction allows heuristic search to be useful while keeping its probability claims precise.</w:t>
      </w:r>
    </w:p>
    <w:p w14:paraId="1A48F4F7" w14:textId="77777777" w:rsidR="00287EFD" w:rsidRDefault="00000000" w:rsidP="007B33B3">
      <w:pPr>
        <w:pStyle w:val="BodyText"/>
        <w:keepNext/>
        <w:rPr>
          <w:rFonts w:hint="eastAsia"/>
        </w:rPr>
      </w:pPr>
      <w:r>
        <w:lastRenderedPageBreak/>
        <w:t xml:space="preserve">As a check, let </w:t>
      </w:r>
      <m:oMath>
        <m:r>
          <w:rPr>
            <w:rFonts w:ascii="Cambria Math" w:hAnsi="Cambria Math"/>
          </w:rPr>
          <m:t>μ</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2</m:t>
        </m:r>
      </m:oMath>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r>
          <w:rPr>
            <w:rFonts w:ascii="Cambria Math" w:hAnsi="Cambria Math"/>
          </w:rPr>
          <m:t>G</m:t>
        </m:r>
        <m:r>
          <m:rPr>
            <m:sty m:val="p"/>
          </m:rPr>
          <w:rPr>
            <w:rFonts w:ascii="Cambria Math" w:hAnsi="Cambria Math"/>
          </w:rPr>
          <m:t>=</m:t>
        </m:r>
        <m:r>
          <w:rPr>
            <w:rFonts w:ascii="Cambria Math" w:hAnsi="Cambria Math"/>
          </w:rPr>
          <m:t>1</m:t>
        </m:r>
      </m:oMath>
      <w:r>
        <w:t xml:space="preserve">, </w:t>
      </w:r>
      <m:oMath>
        <m:r>
          <w:rPr>
            <w:rFonts w:ascii="Cambria Math" w:hAnsi="Cambria Math"/>
          </w:rPr>
          <m:t>z</m:t>
        </m:r>
        <m:r>
          <m:rPr>
            <m:sty m:val="p"/>
          </m:rPr>
          <w:rPr>
            <w:rFonts w:ascii="Cambria Math" w:hAnsi="Cambria Math"/>
          </w:rPr>
          <m:t>=</m:t>
        </m:r>
        <m:r>
          <w:rPr>
            <w:rFonts w:ascii="Cambria Math" w:hAnsi="Cambria Math"/>
          </w:rPr>
          <m:t>0.4</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A proposal </w:t>
      </w:r>
      <m:oMath>
        <m:r>
          <w:rPr>
            <w:rFonts w:ascii="Cambria Math" w:hAnsi="Cambria Math"/>
          </w:rPr>
          <m:t>q</m:t>
        </m:r>
        <m:r>
          <m:rPr>
            <m:scr m:val="script"/>
            <m:sty m:val="p"/>
          </m:rPr>
          <w:rPr>
            <w:rFonts w:ascii="Cambria Math" w:hAnsi="Cambria Math"/>
          </w:rPr>
          <m:t>=N</m:t>
        </m:r>
        <m:d>
          <m:dPr>
            <m:ctrlPr>
              <w:rPr>
                <w:rFonts w:ascii="Cambria Math" w:hAnsi="Cambria Math"/>
              </w:rPr>
            </m:ctrlPr>
          </m:dPr>
          <m:e>
            <m:r>
              <w:rPr>
                <w:rFonts w:ascii="Cambria Math" w:hAnsi="Cambria Math"/>
              </w:rPr>
              <m:t>0.8</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gives intended retrieval 0.507027620 and uncorrected limit 0.765322564. For a normal reference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oMath>
      <w:r>
        <w:t>, completing the square gives</w:t>
      </w:r>
    </w:p>
    <w:p w14:paraId="7BEA5C67" w14:textId="77777777" w:rsidR="00287EFD" w:rsidRDefault="00000000" w:rsidP="007B33B3">
      <w:pPr>
        <w:pStyle w:val="BodyText"/>
        <w:keepLines/>
        <w:spacing w:before="60" w:after="120"/>
        <w:rPr>
          <w:rFonts w:hint="eastAsia"/>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(14)</m:t>
          </m:r>
        </m:oMath>
      </m:oMathPara>
    </w:p>
    <w:p w14:paraId="68E7CFDB" w14:textId="77777777" w:rsidR="00287EFD" w:rsidRDefault="00000000" w:rsidP="007B33B3">
      <w:pPr>
        <w:pStyle w:val="FirstParagraph"/>
        <w:rPr>
          <w:rFonts w:hint="eastAsia"/>
        </w:rPr>
      </w:pPr>
      <w:r>
        <w:t>Equation (14), quadrature and Monte Carlo are compared in Section 10. A narrow proposal can satisfy support positivity while still producing unstable weights. Support and finite-sample precision are separate requirements. Section 11.5 shows that, for this example, the weight variance becomes infinite once the proposal standard deviation falls below 1/√7.</w:t>
      </w:r>
    </w:p>
    <w:p w14:paraId="201DE8E4" w14:textId="77777777" w:rsidR="00287EFD" w:rsidRDefault="00000000" w:rsidP="007B33B3">
      <w:pPr>
        <w:pStyle w:val="Heading1"/>
        <w:rPr>
          <w:rFonts w:hint="eastAsia"/>
        </w:rPr>
      </w:pPr>
      <w:bookmarkStart w:id="13" w:name="adaptive-proposals-and-realised-designs"/>
      <w:bookmarkEnd w:id="12"/>
      <w:r>
        <w:t>6 Adaptive proposals and realised designs</w:t>
      </w:r>
    </w:p>
    <w:p w14:paraId="367C2E9F" w14:textId="77777777" w:rsidR="00287EFD" w:rsidRDefault="00000000" w:rsidP="007B33B3">
      <w:pPr>
        <w:pStyle w:val="Heading2"/>
        <w:rPr>
          <w:rFonts w:hint="eastAsia"/>
        </w:rPr>
      </w:pPr>
      <w:bookmarkStart w:id="14" w:name="a-conditional-weighting-contract"/>
      <w:r>
        <w:t>6.1 A conditional weighting contract</w:t>
      </w:r>
    </w:p>
    <w:p w14:paraId="551561A7" w14:textId="77777777" w:rsidR="00287EFD" w:rsidRDefault="00000000" w:rsidP="007B33B3">
      <w:pPr>
        <w:pStyle w:val="FirstParagraph"/>
        <w:rPr>
          <w:rFonts w:hint="eastAsia"/>
        </w:rPr>
      </w:pPr>
      <w:r>
        <w:t xml:space="preserve">Let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oMath>
      <w:r>
        <w:t xml:space="preserve"> be the information available before draw </w:t>
      </w:r>
      <m:oMath>
        <m:r>
          <w:rPr>
            <w:rFonts w:ascii="Cambria Math" w:hAnsi="Cambria Math"/>
          </w:rPr>
          <m:t>i</m:t>
        </m:r>
      </m:oMath>
      <w:r>
        <w:t xml:space="preserve">. A proposal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chosen from that information,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The target, kernel, query and estimand are fixed throughout the block. Record the full density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at the time of sampling. For a mixture proposal, this is the sum of component densities weighted by their mixture probabilities, unless an explicitly augmented estimator supplies a different valid construction.</w:t>
      </w:r>
    </w:p>
    <w:p w14:paraId="30501FFB" w14:textId="77777777" w:rsidR="00287EFD" w:rsidRDefault="00000000" w:rsidP="007B33B3">
      <w:pPr>
        <w:pStyle w:val="BodyText"/>
        <w:keepNext/>
        <w:rPr>
          <w:rFonts w:hint="eastAsia"/>
        </w:rPr>
      </w:pPr>
      <w:r>
        <w:t>Choose a defensive mixture [3, 5]</w:t>
      </w:r>
    </w:p>
    <w:p w14:paraId="0CE7B1A2"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ϵν</m:t>
          </m:r>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(15)</m:t>
          </m:r>
        </m:oMath>
      </m:oMathPara>
    </w:p>
    <w:p w14:paraId="2F965856" w14:textId="77777777" w:rsidR="00287EFD" w:rsidRDefault="00000000" w:rsidP="007B33B3">
      <w:pPr>
        <w:pStyle w:val="FirstParagraph"/>
        <w:rPr>
          <w:rFonts w:hint="eastAsia"/>
        </w:rPr>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can adapt arbitrarily to the recorded past. If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L</m:t>
        </m:r>
      </m:oMath>
      <w:r>
        <w:t xml:space="preserve"> on the passing set, then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r>
          <m:rPr>
            <m:sty m:val="p"/>
          </m:rPr>
          <w:rPr>
            <w:rFonts w:ascii="Cambria Math" w:hAnsi="Cambria Math"/>
          </w:rPr>
          <m:t>/</m:t>
        </m:r>
        <m:r>
          <w:rPr>
            <w:rFonts w:ascii="Cambria Math" w:hAnsi="Cambria Math"/>
          </w:rPr>
          <m:t>ϵ</m:t>
        </m:r>
      </m:oMath>
      <w:r>
        <w:t>, because the kernel is at most one. Including the prior in the proposal bounds weights only with such a bound on the remaining target factor. If that factor is unbounded, prior support alone does not provide the stated constant.</w:t>
      </w:r>
    </w:p>
    <w:p w14:paraId="35C7B5D5" w14:textId="77777777" w:rsidR="00287EFD" w:rsidRDefault="00000000" w:rsidP="007B33B3">
      <w:pPr>
        <w:pStyle w:val="BodyText"/>
        <w:rPr>
          <w:rFonts w:hint="eastAsia"/>
        </w:rPr>
      </w:pPr>
      <w:r>
        <w:t xml:space="preserve">Write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m:rPr>
            <m:nor/>
          </m:rPr>
          <m:t>    </m:t>
        </m:r>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m:rPr>
            <m:nor/>
          </m:rPr>
          <m:t>    </m:t>
        </m:r>
        <m:r>
          <w:rPr>
            <w:rFonts w:ascii="Cambria Math" w:hAnsi="Cambria Math"/>
          </w:rPr>
          <m:t>μ</m:t>
        </m:r>
        <m:d>
          <m:dPr>
            <m:ctrlPr>
              <w:rPr>
                <w:rFonts w:ascii="Cambria Math" w:hAnsi="Cambria Math"/>
              </w:rPr>
            </m:ctrlPr>
          </m:dPr>
          <m:e>
            <m:r>
              <w:rPr>
                <w:rFonts w:ascii="Cambria Math" w:hAnsi="Cambria Math"/>
              </w:rPr>
              <m:t>dy</m:t>
            </m:r>
          </m:e>
        </m:d>
      </m:oMath>
      <w:r>
        <w:t xml:space="preserve">. Conditioning before each draw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and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w:r>
        <w:t>. These are martingale estimating identities, consistent with adaptive importance sampling theory [5]. They do not make the ratio of the two sample averages unbiased.</w:t>
      </w:r>
    </w:p>
    <w:p w14:paraId="49977702" w14:textId="77777777" w:rsidR="00287EFD" w:rsidRDefault="00000000" w:rsidP="007B33B3">
      <w:pPr>
        <w:pStyle w:val="Heading2"/>
        <w:rPr>
          <w:rFonts w:hint="eastAsia"/>
        </w:rPr>
      </w:pPr>
      <w:bookmarkStart w:id="15" w:name="a-finite-sample-bound"/>
      <w:bookmarkEnd w:id="14"/>
      <w:r>
        <w:t>6.2 A finite-sample bound</w:t>
      </w:r>
    </w:p>
    <w:p w14:paraId="52BD5E45" w14:textId="77777777" w:rsidR="00287EFD" w:rsidRDefault="00000000" w:rsidP="007B33B3">
      <w:pPr>
        <w:pStyle w:val="FirstParagraph"/>
        <w:keepNext/>
        <w:rPr>
          <w:rFonts w:hint="eastAsia"/>
        </w:rPr>
      </w:pPr>
      <w:r>
        <w:rPr>
          <w:b/>
          <w:bCs/>
        </w:rPr>
        <w:t>Theorem 4.</w:t>
      </w:r>
      <w:r>
        <w:t xml:space="preserve"> Under (15), suppose </w:t>
      </w:r>
      <m:oMath>
        <m:d>
          <m:dPr>
            <m:begChr m:val="|"/>
            <m:endChr m:val="|"/>
            <m:ctrlPr>
              <w:rPr>
                <w:rFonts w:ascii="Cambria Math" w:hAnsi="Cambria Math"/>
              </w:rPr>
            </m:ctrlPr>
          </m:dPr>
          <m:e>
            <m:r>
              <w:rPr>
                <w:rFonts w:ascii="Cambria Math" w:hAnsi="Cambria Math"/>
              </w:rPr>
              <m:t>φ</m:t>
            </m:r>
          </m:e>
        </m:d>
        <m:r>
          <m:rPr>
            <m:sty m:val="p"/>
          </m:rPr>
          <w:rPr>
            <w:rFonts w:ascii="Cambria Math" w:hAnsi="Cambria Math"/>
          </w:rPr>
          <m:t>≤</m:t>
        </m:r>
        <m:r>
          <w:rPr>
            <w:rFonts w:ascii="Cambria Math" w:hAnsi="Cambria Math"/>
          </w:rPr>
          <m:t>B</m:t>
        </m:r>
        <m:r>
          <m:rPr>
            <m:sty m:val="p"/>
          </m:rPr>
          <w:rPr>
            <w:rFonts w:ascii="Cambria Math" w:hAnsi="Cambria Math"/>
          </w:rPr>
          <m:t>&lt;∞</m:t>
        </m:r>
      </m:oMath>
      <w:r>
        <w:t>. Define</w:t>
      </w:r>
    </w:p>
    <w:p w14:paraId="45D64F0A"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C</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δ</m:t>
                      </m:r>
                    </m:e>
                  </m:d>
                </m:num>
                <m:den>
                  <m:r>
                    <w:rPr>
                      <w:rFonts w:ascii="Cambria Math" w:hAnsi="Cambria Math"/>
                    </w:rPr>
                    <m:t>2n</m:t>
                  </m:r>
                </m:den>
              </m:f>
            </m:e>
          </m:rad>
          <m:r>
            <m:rPr>
              <m:sty m:val="p"/>
            </m:rPr>
            <w:rPr>
              <w:rFonts w:ascii="Cambria Math" w:hAnsi="Cambria Math"/>
            </w:rPr>
            <m:t>.</m:t>
          </m:r>
          <m:r>
            <m:rPr>
              <m:nor/>
            </m:rPr>
            <m:t>    (16)</m:t>
          </m:r>
        </m:oMath>
      </m:oMathPara>
    </w:p>
    <w:p w14:paraId="49A30188" w14:textId="77777777" w:rsidR="00287EFD" w:rsidRDefault="00000000" w:rsidP="007B33B3">
      <w:pPr>
        <w:pStyle w:val="FirstParagraph"/>
        <w:keepNext/>
        <w:rPr>
          <w:rFonts w:hint="eastAsia"/>
        </w:rPr>
      </w:pPr>
      <w:r>
        <w:t xml:space="preserve">For a fixed </w:t>
      </w:r>
      <m:oMath>
        <m:r>
          <w:rPr>
            <w:rFonts w:ascii="Cambria Math" w:hAnsi="Cambria Math"/>
          </w:rPr>
          <m:t>n</m:t>
        </m:r>
      </m:oMath>
      <w:r>
        <w:t xml:space="preserve"> and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e>
        </m:d>
        <m:r>
          <m:rPr>
            <m:sty m:val="p"/>
          </m:rPr>
          <w:rPr>
            <w:rFonts w:ascii="Cambria Math" w:hAnsi="Cambria Math"/>
          </w:rPr>
          <m:t>≤</m:t>
        </m:r>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If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n</m:t>
            </m:r>
          </m:sub>
        </m:sSub>
      </m:oMath>
      <w:r>
        <w:t>, the same event implies</w:t>
      </w:r>
    </w:p>
    <w:p w14:paraId="0D7EA284" w14:textId="77777777" w:rsidR="00287EFD" w:rsidRDefault="00000000" w:rsidP="007B33B3">
      <w:pPr>
        <w:pStyle w:val="BodyText"/>
        <w:keepLines/>
        <w:spacing w:before="60" w:after="120"/>
        <w:rPr>
          <w:rFonts w:hint="eastAsia"/>
        </w:rPr>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num>
                <m:den>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z</m:t>
                  </m:r>
                </m:e>
              </m:d>
            </m:e>
          </m:d>
          <m:r>
            <m:rPr>
              <m:sty m:val="p"/>
            </m:rPr>
            <w:rPr>
              <w:rFonts w:ascii="Cambria Math" w:hAnsi="Cambria Math"/>
            </w:rPr>
            <m:t>≤</m:t>
          </m:r>
          <m:f>
            <m:fPr>
              <m:ctrlPr>
                <w:rPr>
                  <w:rFonts w:ascii="Cambria Math" w:hAnsi="Cambria Math"/>
                </w:rPr>
              </m:ctrlPr>
            </m:fPr>
            <m:num>
              <m:r>
                <w:rPr>
                  <w:rFonts w:ascii="Cambria Math" w:hAnsi="Cambria Math"/>
                </w:rPr>
                <m:t>3B</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r>
            <m:rPr>
              <m:nor/>
            </m:rPr>
            <m:t>    (17)</m:t>
          </m:r>
        </m:oMath>
      </m:oMathPara>
    </w:p>
    <w:p w14:paraId="4E2D48D7" w14:textId="77777777" w:rsidR="00287EFD" w:rsidRDefault="00000000" w:rsidP="007B33B3">
      <w:pPr>
        <w:pStyle w:val="FirstParagraph"/>
        <w:rPr>
          <w:rFonts w:hint="eastAsia"/>
        </w:rPr>
      </w:pPr>
      <w:r>
        <w:rPr>
          <w:i/>
          <w:iCs/>
        </w:rPr>
        <w:t>Proof.</w:t>
      </w:r>
      <w:r>
        <w:t xml:space="preserve"> Conditional Hoeffding bounds [7] apply to the centred martingale sums: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has range contained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C</m:t>
            </m:r>
          </m:e>
        </m:d>
      </m:oMath>
      <w:r>
        <w:t xml:space="preserve">, and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BC</m:t>
            </m:r>
          </m:e>
        </m:d>
      </m:oMath>
      <w:r>
        <w:t xml:space="preserve">. Their two-sided tail bounds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w:t>
      </w:r>
      <m:oMath>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are each at most </w:t>
      </w:r>
      <m:oMath>
        <m:r>
          <w:rPr>
            <w:rFonts w:ascii="Cambria Math" w:hAnsi="Cambria Math"/>
          </w:rPr>
          <m:t>δ</m:t>
        </m:r>
        <m:r>
          <m:rPr>
            <m:sty m:val="p"/>
          </m:rPr>
          <w:rPr>
            <w:rFonts w:ascii="Cambria Math" w:hAnsi="Cambria Math"/>
          </w:rPr>
          <m:t>/</m:t>
        </m:r>
        <m:r>
          <w:rPr>
            <w:rFonts w:ascii="Cambria Math" w:hAnsi="Cambria Math"/>
          </w:rPr>
          <m:t>2</m:t>
        </m:r>
      </m:oMath>
      <w:r>
        <w:t xml:space="preserve">. A union bound gives the joint event.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φ</m:t>
                </m:r>
              </m:sub>
            </m:sSub>
          </m:e>
        </m:d>
        <m:r>
          <m:rPr>
            <m:sty m:val="p"/>
          </m:rPr>
          <w:rPr>
            <w:rFonts w:ascii="Cambria Math" w:hAnsi="Cambria Math"/>
          </w:rPr>
          <m:t>≤</m:t>
        </m:r>
        <m:r>
          <w:rPr>
            <w:rFonts w:ascii="Cambria Math" w:hAnsi="Cambria Math"/>
          </w:rPr>
          <m:t>B</m:t>
        </m:r>
      </m:oMath>
      <w:r>
        <w:t xml:space="preserve">, the numerator of the ratio error is at most </w:t>
      </w:r>
      <m:oMath>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the denominator is at least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w:t>
      </w:r>
      <m:oMath>
        <m:r>
          <m:rPr>
            <m:sty m:val="p"/>
          </m:rPr>
          <w:rPr>
            <w:rFonts w:ascii="Cambria Math" w:hAnsi="Cambria Math"/>
          </w:rPr>
          <m:t>▫</m:t>
        </m:r>
      </m:oMath>
    </w:p>
    <w:p w14:paraId="3A50445C" w14:textId="77777777" w:rsidR="00287EFD" w:rsidRDefault="00000000" w:rsidP="007B33B3">
      <w:pPr>
        <w:pStyle w:val="BodyText"/>
        <w:rPr>
          <w:rFonts w:hint="eastAsia"/>
        </w:rPr>
      </w:pPr>
      <w:r>
        <w:lastRenderedPageBreak/>
        <w:t xml:space="preserve">These exponential tail bounds also give almost-sure convergence of both averages, and hence of their ratio, by summing the fixed-error tail probabilities and applying Borel–Cantelli. The unnormalised averages are unbiased at a fixed sample size. The ratio is generally biased at finite </w:t>
      </w:r>
      <m:oMath>
        <m:r>
          <w:rPr>
            <w:rFonts w:ascii="Cambria Math" w:hAnsi="Cambria Math"/>
          </w:rPr>
          <m:t>n</m:t>
        </m:r>
      </m:oMath>
      <w:r>
        <w:t>. A small denominator can make the finite bound uninformative despite correct weighting.</w:t>
      </w:r>
    </w:p>
    <w:p>
      <w:pPr>
        <w:pStyle w:val="FirstParagraph"/>
      </w:pPr>
      <w:r>
        <w:t xml:space="preserve">The constant</w:t>
      </w:r>
      <w:r>
        <w:t xml:space="preserve"> </w:t>
      </w:r>
      <m:oMath>
        <m:r>
          <m:t>C</m:t>
        </m:r>
      </m:oMath>
      <w:r>
        <w:t xml:space="preserve"> </w:t>
      </w:r>
      <w:r>
        <w:t xml:space="preserve">controls both the range and, through it, the variance used by Hoeffding’s inequality. A variance-sensitive version follows from the same martingale structure.</w:t>
      </w:r>
    </w:p>
    <w:p>
      <w:pPr>
        <w:pStyle w:val="BodyText"/>
      </w:pPr>
      <w:r>
        <w:rPr>
          <w:bCs/>
          <w:b/>
        </w:rPr>
        <w:t xml:space="preserve">Corollary 1.</w:t>
      </w:r>
      <w:r>
        <w:t xml:space="preserve"> </w:t>
      </w:r>
      <w:r>
        <w:t xml:space="preserve">Under the assumptions of Theorem 4, let</w:t>
      </w:r>
      <w:r>
        <w:t xml:space="preserve"> </w:t>
      </w:r>
      <m:oMath>
        <m:r>
          <m:rPr>
            <m:sty m:val="p"/>
          </m:rPr>
          <m:t>ℓ</m:t>
        </m:r>
        <m:r>
          <m:rPr>
            <m:sty m:val="p"/>
          </m:rPr>
          <m:t>=</m:t>
        </m:r>
        <m:r>
          <m:rPr>
            <m:sty m:val="p"/>
          </m:rPr>
          <m:t>log</m:t>
        </m:r>
        <m:d>
          <m:dPr>
            <m:begChr m:val="("/>
            <m:sepChr m:val=""/>
            <m:endChr m:val=")"/>
            <m:grow/>
          </m:dPr>
          <m:e>
            <m:r>
              <m:t>4</m:t>
            </m:r>
            <m:r>
              <m:rPr>
                <m:sty m:val="p"/>
              </m:rPr>
              <m:t>/</m:t>
            </m:r>
            <m:r>
              <m:t>δ</m:t>
            </m:r>
          </m:e>
        </m:d>
      </m:oMath>
      <w:r>
        <w:t xml:space="preserve">,</w:t>
      </w:r>
      <w:r>
        <w:t xml:space="preserve"> </w:t>
      </w:r>
      <m:oMath>
        <m:r>
          <m:t>v</m:t>
        </m:r>
        <m:r>
          <m:rPr>
            <m:sty m:val="p"/>
          </m:rPr>
          <m:t>=</m:t>
        </m:r>
        <m:r>
          <m:t>C</m:t>
        </m:r>
        <m:sSub>
          <m:e>
            <m:r>
              <m:t>D</m:t>
            </m:r>
          </m:e>
          <m:sub>
            <m:r>
              <m:t>z</m:t>
            </m:r>
          </m:sub>
        </m:sSub>
      </m:oMath>
      <w:r>
        <w:t xml:space="preserve"> </w:t>
      </w:r>
      <w:r>
        <w:t xml:space="preserve">and</w:t>
      </w:r>
    </w:p>
    <w:p>
      <w:pPr>
        <w:pStyle w:val="BodyText"/>
      </w:pPr>
      <m:oMathPara>
        <m:oMathParaPr>
          <m:jc m:val="center"/>
        </m:oMathParaPr>
        <m:oMath>
          <m:r>
            <m:t>s</m:t>
          </m:r>
          <m:d>
            <m:dPr>
              <m:begChr m:val="("/>
              <m:sepChr m:val=""/>
              <m:endChr m:val=")"/>
              <m:grow/>
            </m:dPr>
            <m:e>
              <m:r>
                <m:t>c</m:t>
              </m:r>
              <m:r>
                <m:rPr>
                  <m:sty m:val="p"/>
                </m:rPr>
                <m:t>,</m:t>
              </m:r>
              <m:r>
                <m:t>w</m:t>
              </m:r>
            </m:e>
          </m:d>
          <m:r>
            <m:rPr>
              <m:sty m:val="p"/>
            </m:rPr>
            <m:t>=</m:t>
          </m:r>
          <m:f>
            <m:fPr>
              <m:type m:val="bar"/>
            </m:fPr>
            <m:num>
              <m:r>
                <m:t>c</m:t>
              </m:r>
              <m:r>
                <m:rPr>
                  <m:sty m:val="p"/>
                </m:rPr>
                <m:t>ℓ</m:t>
              </m:r>
            </m:num>
            <m:den>
              <m:r>
                <m:t>3</m:t>
              </m:r>
              <m:r>
                <m:t>n</m:t>
              </m:r>
            </m:den>
          </m:f>
          <m:r>
            <m:rPr>
              <m:sty m:val="p"/>
            </m:rPr>
            <m:t>+</m:t>
          </m:r>
          <m:rad>
            <m:radPr>
              <m:degHide m:val="on"/>
            </m:radPr>
            <m:deg/>
            <m:e>
              <m:sSup>
                <m:e>
                  <m:d>
                    <m:dPr>
                      <m:begChr m:val="("/>
                      <m:sepChr m:val=""/>
                      <m:endChr m:val=")"/>
                      <m:grow/>
                    </m:dPr>
                    <m:e>
                      <m:f>
                        <m:fPr>
                          <m:type m:val="bar"/>
                        </m:fPr>
                        <m:num>
                          <m:r>
                            <m:t>c</m:t>
                          </m:r>
                          <m:r>
                            <m:rPr>
                              <m:sty m:val="p"/>
                            </m:rPr>
                            <m:t>ℓ</m:t>
                          </m:r>
                        </m:num>
                        <m:den>
                          <m:r>
                            <m:t>3</m:t>
                          </m:r>
                          <m:r>
                            <m:t>n</m:t>
                          </m:r>
                        </m:den>
                      </m:f>
                    </m:e>
                  </m:d>
                </m:e>
                <m:sup>
                  <m:r>
                    <m:t>2</m:t>
                  </m:r>
                </m:sup>
              </m:sSup>
              <m:r>
                <m:rPr>
                  <m:sty m:val="p"/>
                </m:rPr>
                <m:t>+</m:t>
              </m:r>
              <m:f>
                <m:fPr>
                  <m:type m:val="bar"/>
                </m:fPr>
                <m:num>
                  <m:r>
                    <m:t>2</m:t>
                  </m:r>
                  <m:r>
                    <m:t>w</m:t>
                  </m:r>
                  <m:r>
                    <m:rPr>
                      <m:sty m:val="p"/>
                    </m:rPr>
                    <m:t>ℓ</m:t>
                  </m:r>
                </m:num>
                <m:den>
                  <m:r>
                    <m:t>n</m:t>
                  </m:r>
                </m:den>
              </m:f>
            </m:e>
          </m:rad>
          <m:r>
            <m:rPr>
              <m:sty m:val="p"/>
            </m:rPr>
            <m:t>.</m:t>
          </m:r>
        </m:oMath>
      </m:oMathPara>
    </w:p>
    <w:p>
      <w:pPr>
        <w:pStyle w:val="FirstParagraph"/>
      </w:pPr>
      <w:r>
        <w:t xml:space="preserve">With probability at least</w:t>
      </w:r>
      <w:r>
        <w:t xml:space="preserve"> </w:t>
      </w:r>
      <m:oMath>
        <m:r>
          <m:t>1</m:t>
        </m:r>
        <m:r>
          <m:rPr>
            <m:sty m:val="p"/>
          </m:rPr>
          <m:t>−</m:t>
        </m:r>
        <m:r>
          <m:t>δ</m:t>
        </m:r>
      </m:oMath>
      <w:r>
        <w:t xml:space="preserve">,</w:t>
      </w:r>
      <w:r>
        <w:t xml:space="preserve"> </w:t>
      </w:r>
      <m:oMath>
        <m:d>
          <m:dPr>
            <m:begChr m:val="|"/>
            <m:sepChr m:val=""/>
            <m:endChr m:val="|"/>
            <m:grow/>
          </m:dPr>
          <m:e>
            <m:sSub>
              <m:e>
                <m:acc>
                  <m:accPr>
                    <m:chr m:val="̂"/>
                  </m:accPr>
                  <m:e>
                    <m:r>
                      <m:t>D</m:t>
                    </m:r>
                  </m:e>
                </m:acc>
              </m:e>
              <m:sub>
                <m:r>
                  <m:t>n</m:t>
                </m:r>
              </m:sub>
            </m:sSub>
            <m:r>
              <m:rPr>
                <m:sty m:val="p"/>
              </m:rPr>
              <m:t>−</m:t>
            </m:r>
            <m:sSub>
              <m:e>
                <m:r>
                  <m:t>D</m:t>
                </m:r>
              </m:e>
              <m:sub>
                <m:r>
                  <m:t>z</m:t>
                </m:r>
              </m:sub>
            </m:sSub>
          </m:e>
        </m:d>
        <m:r>
          <m:rPr>
            <m:sty m:val="p"/>
          </m:rPr>
          <m:t>≤</m:t>
        </m:r>
        <m:sSub>
          <m:e>
            <m:r>
              <m:t>s</m:t>
            </m:r>
          </m:e>
          <m:sub>
            <m:r>
              <m:t>D</m:t>
            </m:r>
          </m:sub>
        </m:sSub>
        <m:r>
          <m:rPr>
            <m:sty m:val="p"/>
          </m:rPr>
          <m:t>=</m:t>
        </m:r>
        <m:r>
          <m:t>s</m:t>
        </m:r>
        <m:d>
          <m:dPr>
            <m:begChr m:val="("/>
            <m:sepChr m:val=""/>
            <m:endChr m:val=")"/>
            <m:grow/>
          </m:dPr>
          <m:e>
            <m:r>
              <m:t>C</m:t>
            </m:r>
            <m:r>
              <m:rPr>
                <m:sty m:val="p"/>
              </m:rPr>
              <m:t>,</m:t>
            </m:r>
            <m:r>
              <m:t>v</m:t>
            </m:r>
          </m:e>
        </m:d>
      </m:oMath>
      <w:r>
        <w:t xml:space="preserve"> </w:t>
      </w:r>
      <w:r>
        <w:t xml:space="preserve">and</w:t>
      </w:r>
      <w:r>
        <w:t xml:space="preserve"> </w:t>
      </w:r>
      <m:oMath>
        <m:d>
          <m:dPr>
            <m:begChr m:val="|"/>
            <m:sepChr m:val=""/>
            <m:endChr m:val="|"/>
            <m:grow/>
          </m:dPr>
          <m:e>
            <m:sSub>
              <m:e>
                <m:acc>
                  <m:accPr>
                    <m:chr m:val="̂"/>
                  </m:accPr>
                  <m:e>
                    <m:r>
                      <m:t>N</m:t>
                    </m:r>
                  </m:e>
                </m:acc>
              </m:e>
              <m:sub>
                <m:r>
                  <m:t>n</m:t>
                </m:r>
              </m:sub>
            </m:sSub>
            <m:r>
              <m:rPr>
                <m:sty m:val="p"/>
              </m:rPr>
              <m:t>−</m:t>
            </m:r>
            <m:sSub>
              <m:e>
                <m:r>
                  <m:t>N</m:t>
                </m:r>
              </m:e>
              <m:sub>
                <m:r>
                  <m:t>z</m:t>
                </m:r>
              </m:sub>
            </m:sSub>
          </m:e>
        </m:d>
        <m:r>
          <m:rPr>
            <m:sty m:val="p"/>
          </m:rPr>
          <m:t>≤</m:t>
        </m:r>
        <m:sSub>
          <m:e>
            <m:r>
              <m:t>s</m:t>
            </m:r>
          </m:e>
          <m:sub>
            <m:r>
              <m:t>N</m:t>
            </m:r>
          </m:sub>
        </m:sSub>
        <m:r>
          <m:rPr>
            <m:sty m:val="p"/>
          </m:rPr>
          <m:t>=</m:t>
        </m:r>
        <m:r>
          <m:t>s</m:t>
        </m:r>
        <m:d>
          <m:dPr>
            <m:begChr m:val="("/>
            <m:sepChr m:val=""/>
            <m:endChr m:val=")"/>
            <m:grow/>
          </m:dPr>
          <m:e>
            <m:r>
              <m:t>2</m:t>
            </m:r>
            <m:r>
              <m:t>B</m:t>
            </m:r>
            <m:r>
              <m:t>C</m:t>
            </m:r>
            <m:r>
              <m:rPr>
                <m:sty m:val="p"/>
              </m:rPr>
              <m:t>,</m:t>
            </m:r>
            <m:sSup>
              <m:e>
                <m:r>
                  <m:t>B</m:t>
                </m:r>
              </m:e>
              <m:sup>
                <m:r>
                  <m:t>2</m:t>
                </m:r>
              </m:sup>
            </m:sSup>
            <m:r>
              <m:t>v</m:t>
            </m:r>
          </m:e>
        </m:d>
      </m:oMath>
      <w:r>
        <w:t xml:space="preserve">. If</w:t>
      </w:r>
      <w:r>
        <w:t xml:space="preserve"> </w:t>
      </w:r>
      <m:oMath>
        <m:sSub>
          <m:e>
            <m:r>
              <m:t>D</m:t>
            </m:r>
          </m:e>
          <m:sub>
            <m:r>
              <m:t>z</m:t>
            </m:r>
          </m:sub>
        </m:sSub>
        <m:r>
          <m:rPr>
            <m:sty m:val="p"/>
          </m:rPr>
          <m:t>&gt;</m:t>
        </m:r>
        <m:sSub>
          <m:e>
            <m:r>
              <m:t>s</m:t>
            </m:r>
          </m:e>
          <m:sub>
            <m:r>
              <m:t>D</m:t>
            </m:r>
          </m:sub>
        </m:sSub>
      </m:oMath>
      <w:r>
        <w:t xml:space="preserve">, the same event implies</w:t>
      </w:r>
    </w:p>
    <w:p>
      <w:pPr>
        <w:pStyle w:val="BodyText"/>
      </w:pPr>
      <m:oMathPara>
        <m:oMathParaPr>
          <m:jc m:val="center"/>
        </m:oMathParaPr>
        <m:oMath>
          <m:d>
            <m:dPr>
              <m:begChr m:val="|"/>
              <m:sepChr m:val=""/>
              <m:endChr m:val="|"/>
              <m:grow/>
            </m:dPr>
            <m:e>
              <m:f>
                <m:fPr>
                  <m:type m:val="bar"/>
                </m:fPr>
                <m:num>
                  <m:sSub>
                    <m:e>
                      <m:acc>
                        <m:accPr>
                          <m:chr m:val="̂"/>
                        </m:accPr>
                        <m:e>
                          <m:r>
                            <m:t>N</m:t>
                          </m:r>
                        </m:e>
                      </m:acc>
                    </m:e>
                    <m:sub>
                      <m:r>
                        <m:t>n</m:t>
                      </m:r>
                    </m:sub>
                  </m:sSub>
                </m:num>
                <m:den>
                  <m:sSub>
                    <m:e>
                      <m:acc>
                        <m:accPr>
                          <m:chr m:val="̂"/>
                        </m:accPr>
                        <m:e>
                          <m:r>
                            <m:t>D</m:t>
                          </m:r>
                        </m:e>
                      </m:acc>
                    </m:e>
                    <m:sub>
                      <m:r>
                        <m:t>n</m:t>
                      </m:r>
                    </m:sub>
                  </m:sSub>
                </m:den>
              </m:f>
              <m:r>
                <m:rPr>
                  <m:sty m:val="p"/>
                </m:rPr>
                <m:t>−</m:t>
              </m:r>
              <m:sSub>
                <m:e>
                  <m:r>
                    <m:t>m</m:t>
                  </m:r>
                </m:e>
                <m:sub>
                  <m:r>
                    <m:t>φ</m:t>
                  </m:r>
                </m:sub>
              </m:sSub>
              <m:d>
                <m:dPr>
                  <m:begChr m:val="("/>
                  <m:sepChr m:val=""/>
                  <m:endChr m:val=")"/>
                  <m:grow/>
                </m:dPr>
                <m:e>
                  <m:r>
                    <m:t>z</m:t>
                  </m:r>
                </m:e>
              </m:d>
            </m:e>
          </m:d>
          <m:r>
            <m:rPr>
              <m:sty m:val="p"/>
            </m:rPr>
            <m:t>≤</m:t>
          </m:r>
          <m:f>
            <m:fPr>
              <m:type m:val="bar"/>
            </m:fPr>
            <m:num>
              <m:sSub>
                <m:e>
                  <m:r>
                    <m:t>s</m:t>
                  </m:r>
                </m:e>
                <m:sub>
                  <m:r>
                    <m:t>N</m:t>
                  </m:r>
                </m:sub>
              </m:sSub>
              <m:r>
                <m:rPr>
                  <m:sty m:val="p"/>
                </m:rPr>
                <m:t>+</m:t>
              </m:r>
              <m:r>
                <m:t>B</m:t>
              </m:r>
              <m:sSub>
                <m:e>
                  <m:r>
                    <m:t>s</m:t>
                  </m:r>
                </m:e>
                <m:sub>
                  <m:r>
                    <m:t>D</m:t>
                  </m:r>
                </m:sub>
              </m:sSub>
            </m:num>
            <m:den>
              <m:sSub>
                <m:e>
                  <m:r>
                    <m:t>D</m:t>
                  </m:r>
                </m:e>
                <m:sub>
                  <m:r>
                    <m:t>z</m:t>
                  </m:r>
                </m:sub>
              </m:sSub>
              <m:r>
                <m:rPr>
                  <m:sty m:val="p"/>
                </m:rPr>
                <m:t>−</m:t>
              </m:r>
              <m:sSub>
                <m:e>
                  <m:r>
                    <m:t>s</m:t>
                  </m:r>
                </m:e>
                <m:sub>
                  <m:r>
                    <m:t>D</m:t>
                  </m:r>
                </m:sub>
              </m:sSub>
            </m:den>
          </m:f>
          <m:r>
            <m:rPr>
              <m:sty m:val="p"/>
            </m:rPr>
            <m:t>.</m:t>
          </m:r>
          <m:r>
            <m:t>  </m:t>
          </m:r>
          <m:d>
            <m:dPr>
              <m:begChr m:val="("/>
              <m:sepChr m:val=""/>
              <m:endChr m:val=")"/>
              <m:grow/>
            </m:dPr>
            <m:e>
              <m:r>
                <m:t>23</m:t>
              </m:r>
            </m:e>
          </m:d>
        </m:oMath>
      </m:oMathPara>
    </w:p>
    <w:p>
      <w:pPr>
        <w:pStyle w:val="FirstParagraph"/>
      </w:pPr>
      <w:r>
        <w:rPr>
          <w:iCs/>
          <w:i/>
        </w:rPr>
        <w:t xml:space="preserve">Proof.</w:t>
      </w:r>
      <w:r>
        <w:t xml:space="preserve"> </w:t>
      </w:r>
      <w:r>
        <w:t xml:space="preserve">Since</w:t>
      </w:r>
      <w:r>
        <w:t xml:space="preserve"> </w:t>
      </w:r>
      <m:oMath>
        <m:r>
          <m:t>0</m:t>
        </m:r>
        <m:r>
          <m:rPr>
            <m:sty m:val="p"/>
          </m:rPr>
          <m:t>≤</m:t>
        </m:r>
        <m:sSub>
          <m:e>
            <m:r>
              <m:t>K</m:t>
            </m:r>
          </m:e>
          <m:sub>
            <m:r>
              <m:t>a</m:t>
            </m:r>
          </m:sub>
        </m:sSub>
        <m:sSub>
          <m:e>
            <m:r>
              <m:t>f</m:t>
            </m:r>
          </m:e>
          <m:sub>
            <m:r>
              <m:t>v</m:t>
            </m:r>
          </m:sub>
        </m:sSub>
        <m:r>
          <m:rPr>
            <m:sty m:val="p"/>
          </m:rPr>
          <m:t>≤</m:t>
        </m:r>
        <m:sSup>
          <m:e>
            <m:r>
              <m:t>e</m:t>
            </m:r>
          </m:e>
          <m:sup>
            <m:r>
              <m:rPr>
                <m:sty m:val="p"/>
              </m:rPr>
              <m:t>−</m:t>
            </m:r>
            <m:r>
              <m:t>β</m:t>
            </m:r>
            <m:r>
              <m:t>L</m:t>
            </m:r>
          </m:sup>
        </m:sSup>
      </m:oMath>
      <w:r>
        <w:t xml:space="preserve"> </w:t>
      </w:r>
      <w:r>
        <w:t xml:space="preserve">and</w:t>
      </w:r>
      <w:r>
        <w:t xml:space="preserve"> </w:t>
      </w:r>
      <m:oMath>
        <m:sSub>
          <m:e>
            <m:r>
              <m:t>q</m:t>
            </m:r>
          </m:e>
          <m:sub>
            <m:r>
              <m:t>i</m:t>
            </m:r>
          </m:sub>
        </m:sSub>
        <m:r>
          <m:rPr>
            <m:sty m:val="p"/>
          </m:rPr>
          <m:t>≥</m:t>
        </m:r>
        <m:r>
          <m:t>ϵ</m:t>
        </m:r>
        <m:r>
          <m:t>ν</m:t>
        </m:r>
      </m:oMath>
      <w:r>
        <w:t xml:space="preserve">, the conditional second moment satisfies</w:t>
      </w:r>
      <w:r>
        <w:t xml:space="preserve"> </w:t>
      </w:r>
      <m:oMath>
        <m:r>
          <m:rPr>
            <m:scr m:val="double-struck"/>
            <m:sty m:val="p"/>
          </m:rPr>
          <m:t>E</m:t>
        </m:r>
        <m:d>
          <m:dPr>
            <m:begChr m:val="["/>
            <m:sepChr m:val=""/>
            <m:endChr m:val="]"/>
            <m:grow/>
          </m:dPr>
          <m:e>
            <m:sSubSup>
              <m:e>
                <m:r>
                  <m:t>U</m:t>
                </m:r>
              </m:e>
              <m:sub>
                <m:r>
                  <m:t>i</m:t>
                </m:r>
              </m:sub>
              <m:sup>
                <m:r>
                  <m:t>2</m:t>
                </m:r>
              </m:sup>
            </m:sSubSup>
            <m:r>
              <m:rPr>
                <m:sty m:val="p"/>
              </m:rPr>
              <m:t>∣</m:t>
            </m:r>
            <m:sSub>
              <m:e>
                <m:r>
                  <m:rPr>
                    <m:scr m:val="script"/>
                    <m:sty m:val="p"/>
                  </m:rPr>
                  <m:t>H</m:t>
                </m:r>
              </m:e>
              <m:sub>
                <m:r>
                  <m:t>i</m:t>
                </m:r>
                <m:r>
                  <m:rPr>
                    <m:sty m:val="p"/>
                  </m:rPr>
                  <m:t>−</m:t>
                </m:r>
                <m:r>
                  <m:t>1</m:t>
                </m:r>
              </m:sub>
            </m:sSub>
          </m:e>
        </m:d>
        <m:r>
          <m:rPr>
            <m:sty m:val="p"/>
          </m:rPr>
          <m:t>=</m:t>
        </m:r>
        <m:r>
          <m:rPr>
            <m:sty m:val="p"/>
          </m:rPr>
          <m:t>∫</m:t>
        </m:r>
        <m:sSubSup>
          <m:e>
            <m:r>
              <m:t>K</m:t>
            </m:r>
          </m:e>
          <m:sub>
            <m:r>
              <m:t>a</m:t>
            </m:r>
          </m:sub>
          <m:sup>
            <m:r>
              <m:t>2</m:t>
            </m:r>
          </m:sup>
        </m:sSubSup>
        <m:sSubSup>
          <m:e>
            <m:r>
              <m:t>f</m:t>
            </m:r>
          </m:e>
          <m:sub>
            <m:r>
              <m:t>v</m:t>
            </m:r>
          </m:sub>
          <m:sup>
            <m:r>
              <m:t>2</m:t>
            </m:r>
          </m:sup>
        </m:sSubSup>
        <m:sSup>
          <m:e>
            <m:r>
              <m:t>ν</m:t>
            </m:r>
          </m:e>
          <m:sup>
            <m:r>
              <m:t>2</m:t>
            </m:r>
          </m:sup>
        </m:sSup>
        <m:r>
          <m:rPr>
            <m:sty m:val="p"/>
          </m:rPr>
          <m:t>/</m:t>
        </m:r>
        <m:sSub>
          <m:e>
            <m:r>
              <m:t>q</m:t>
            </m:r>
          </m:e>
          <m:sub>
            <m:r>
              <m:t>i</m:t>
            </m:r>
          </m:sub>
        </m:sSub>
        <m:r>
          <m:t> </m:t>
        </m:r>
        <m:r>
          <m:t>d</m:t>
        </m:r>
        <m:r>
          <m:t>ζ</m:t>
        </m:r>
        <m:r>
          <m:rPr>
            <m:sty m:val="p"/>
          </m:rPr>
          <m:t>≤</m:t>
        </m:r>
        <m:sSup>
          <m:e>
            <m:r>
              <m:t>ϵ</m:t>
            </m:r>
          </m:e>
          <m:sup>
            <m:r>
              <m:rPr>
                <m:sty m:val="p"/>
              </m:rPr>
              <m:t>−</m:t>
            </m:r>
            <m:r>
              <m:t>1</m:t>
            </m:r>
          </m:sup>
        </m:sSup>
        <m:r>
          <m:rPr>
            <m:sty m:val="p"/>
          </m:rPr>
          <m:t>∫</m:t>
        </m:r>
        <m:sSubSup>
          <m:e>
            <m:r>
              <m:t>K</m:t>
            </m:r>
          </m:e>
          <m:sub>
            <m:r>
              <m:t>a</m:t>
            </m:r>
          </m:sub>
          <m:sup>
            <m:r>
              <m:t>2</m:t>
            </m:r>
          </m:sup>
        </m:sSubSup>
        <m:sSubSup>
          <m:e>
            <m:r>
              <m:t>f</m:t>
            </m:r>
          </m:e>
          <m:sub>
            <m:r>
              <m:t>v</m:t>
            </m:r>
          </m:sub>
          <m:sup>
            <m:r>
              <m:t>2</m:t>
            </m:r>
          </m:sup>
        </m:sSubSup>
        <m:r>
          <m:t> </m:t>
        </m:r>
        <m:r>
          <m:t>d</m:t>
        </m:r>
        <m:r>
          <m:t>μ</m:t>
        </m:r>
        <m:r>
          <m:rPr>
            <m:sty m:val="p"/>
          </m:rPr>
          <m:t>≤</m:t>
        </m:r>
        <m:r>
          <m:t>C</m:t>
        </m:r>
        <m:sSub>
          <m:e>
            <m:r>
              <m:t>D</m:t>
            </m:r>
          </m:e>
          <m:sub>
            <m:r>
              <m:t>z</m:t>
            </m:r>
          </m:sub>
        </m:sSub>
      </m:oMath>
      <w:r>
        <w:t xml:space="preserve">. Likewise</w:t>
      </w:r>
      <w:r>
        <w:t xml:space="preserve"> </w:t>
      </w:r>
      <m:oMath>
        <m:r>
          <m:rPr>
            <m:scr m:val="double-struck"/>
            <m:sty m:val="p"/>
          </m:rPr>
          <m:t>E</m:t>
        </m:r>
        <m:d>
          <m:dPr>
            <m:begChr m:val="["/>
            <m:sepChr m:val=""/>
            <m:endChr m:val="]"/>
            <m:grow/>
          </m:dPr>
          <m:e>
            <m:r>
              <m:t>φ</m:t>
            </m:r>
            <m:sSup>
              <m:e>
                <m:d>
                  <m:dPr>
                    <m:begChr m:val="("/>
                    <m:sepChr m:val=""/>
                    <m:endChr m:val=")"/>
                    <m:grow/>
                  </m:dPr>
                  <m:e>
                    <m:sSub>
                      <m:e>
                        <m:r>
                          <m:t>Y</m:t>
                        </m:r>
                      </m:e>
                      <m:sub>
                        <m:r>
                          <m:t>i</m:t>
                        </m:r>
                      </m:sub>
                    </m:sSub>
                  </m:e>
                </m:d>
              </m:e>
              <m:sup>
                <m:r>
                  <m:t>2</m:t>
                </m:r>
              </m:sup>
            </m:sSup>
            <m:sSubSup>
              <m:e>
                <m:r>
                  <m:t>U</m:t>
                </m:r>
              </m:e>
              <m:sub>
                <m:r>
                  <m:t>i</m:t>
                </m:r>
              </m:sub>
              <m:sup>
                <m:r>
                  <m:t>2</m:t>
                </m:r>
              </m:sup>
            </m:sSubSup>
            <m:r>
              <m:rPr>
                <m:sty m:val="p"/>
              </m:rPr>
              <m:t>∣</m:t>
            </m:r>
            <m:sSub>
              <m:e>
                <m:r>
                  <m:rPr>
                    <m:scr m:val="script"/>
                    <m:sty m:val="p"/>
                  </m:rPr>
                  <m:t>H</m:t>
                </m:r>
              </m:e>
              <m:sub>
                <m:r>
                  <m:t>i</m:t>
                </m:r>
                <m:r>
                  <m:rPr>
                    <m:sty m:val="p"/>
                  </m:rPr>
                  <m:t>−</m:t>
                </m:r>
                <m:r>
                  <m:t>1</m:t>
                </m:r>
              </m:sub>
            </m:sSub>
          </m:e>
        </m:d>
        <m:r>
          <m:rPr>
            <m:sty m:val="p"/>
          </m:rPr>
          <m:t>≤</m:t>
        </m:r>
        <m:sSup>
          <m:e>
            <m:r>
              <m:t>B</m:t>
            </m:r>
          </m:e>
          <m:sup>
            <m:r>
              <m:t>2</m:t>
            </m:r>
          </m:sup>
        </m:sSup>
        <m:r>
          <m:t>C</m:t>
        </m:r>
        <m:sSub>
          <m:e>
            <m:r>
              <m:t>D</m:t>
            </m:r>
          </m:e>
          <m:sub>
            <m:r>
              <m:t>z</m:t>
            </m:r>
          </m:sub>
        </m:sSub>
      </m:oMath>
      <w:r>
        <w:t xml:space="preserve">. The centred increments are bounded in magnitude by</w:t>
      </w:r>
      <w:r>
        <w:t xml:space="preserve"> </w:t>
      </w:r>
      <m:oMath>
        <m:r>
          <m:t>C</m:t>
        </m:r>
      </m:oMath>
      <w:r>
        <w:t xml:space="preserve"> </w:t>
      </w:r>
      <w:r>
        <w:t xml:space="preserve">and</w:t>
      </w:r>
      <w:r>
        <w:t xml:space="preserve"> </w:t>
      </w:r>
      <m:oMath>
        <m:r>
          <m:t>2</m:t>
        </m:r>
        <m:r>
          <m:t>B</m:t>
        </m:r>
        <m:r>
          <m:t>C</m:t>
        </m:r>
      </m:oMath>
      <w:r>
        <w:t xml:space="preserve">. Freedman’s inequality [10], in its Bernstein form, bounds each two-sided tail by</w:t>
      </w:r>
      <w:r>
        <w:t xml:space="preserve"> </w:t>
      </w:r>
      <m:oMath>
        <m:r>
          <m:t>2</m:t>
        </m:r>
        <m:r>
          <m:rPr>
            <m:sty m:val="p"/>
          </m:rPr>
          <m:t>exp</m:t>
        </m:r>
        <m:d>
          <m:dPr>
            <m:begChr m:val="["/>
            <m:sepChr m:val=""/>
            <m:endChr m:val="]"/>
            <m:grow/>
          </m:dPr>
          <m:e>
            <m:r>
              <m:rPr>
                <m:sty m:val="p"/>
              </m:rPr>
              <m:t>−</m:t>
            </m:r>
            <m:r>
              <m:t>n</m:t>
            </m:r>
            <m:sSup>
              <m:e>
                <m:r>
                  <m:t>s</m:t>
                </m:r>
              </m:e>
              <m:sup>
                <m:r>
                  <m:t>2</m:t>
                </m:r>
              </m:sup>
            </m:sSup>
            <m:r>
              <m:rPr>
                <m:sty m:val="p"/>
              </m:rPr>
              <m:t>/</m:t>
            </m:r>
            <m:r>
              <m:rPr>
                <m:sty m:val="p"/>
              </m:rPr>
              <m:t>{</m:t>
            </m:r>
            <m:r>
              <m:t>2</m:t>
            </m:r>
            <m:d>
              <m:dPr>
                <m:begChr m:val="("/>
                <m:sepChr m:val=""/>
                <m:endChr m:val=")"/>
                <m:grow/>
              </m:dPr>
              <m:e>
                <m:r>
                  <m:t>w</m:t>
                </m:r>
                <m:r>
                  <m:rPr>
                    <m:sty m:val="p"/>
                  </m:rPr>
                  <m:t>+</m:t>
                </m:r>
                <m:r>
                  <m:t>c</m:t>
                </m:r>
                <m:r>
                  <m:t>s</m:t>
                </m:r>
                <m:r>
                  <m:rPr>
                    <m:sty m:val="p"/>
                  </m:rPr>
                  <m:t>/</m:t>
                </m:r>
                <m:r>
                  <m:t>3</m:t>
                </m:r>
              </m:e>
            </m:d>
            <m:r>
              <m:rPr>
                <m:sty m:val="p"/>
              </m:rPr>
              <m:t>}</m:t>
            </m:r>
          </m:e>
        </m:d>
      </m:oMath>
      <w:r>
        <w:t xml:space="preserve">. Setting this equal to</w:t>
      </w:r>
      <w:r>
        <w:t xml:space="preserve"> </w:t>
      </w:r>
      <m:oMath>
        <m:r>
          <m:t>δ</m:t>
        </m:r>
        <m:r>
          <m:rPr>
            <m:sty m:val="p"/>
          </m:rPr>
          <m:t>/</m:t>
        </m:r>
        <m:r>
          <m:t>2</m:t>
        </m:r>
      </m:oMath>
      <w:r>
        <w:t xml:space="preserve"> </w:t>
      </w:r>
      <w:r>
        <w:t xml:space="preserve">and solving the quadratic gives</w:t>
      </w:r>
      <w:r>
        <w:t xml:space="preserve"> </w:t>
      </w:r>
      <m:oMath>
        <m:r>
          <m:t>s</m:t>
        </m:r>
        <m:d>
          <m:dPr>
            <m:begChr m:val="("/>
            <m:sepChr m:val=""/>
            <m:endChr m:val=")"/>
            <m:grow/>
          </m:dPr>
          <m:e>
            <m:r>
              <m:t>c</m:t>
            </m:r>
            <m:r>
              <m:rPr>
                <m:sty m:val="p"/>
              </m:rPr>
              <m:t>,</m:t>
            </m:r>
            <m:r>
              <m:t>w</m:t>
            </m:r>
          </m:e>
        </m:d>
      </m:oMath>
      <w:r>
        <w:t xml:space="preserve">. A union bound gives the joint event. Finally,</w:t>
      </w:r>
      <w:r>
        <w:t xml:space="preserve"> </w:t>
      </w:r>
      <m:oMath>
        <m:sSub>
          <m:e>
            <m:acc>
              <m:accPr>
                <m:chr m:val="̂"/>
              </m:accPr>
              <m:e>
                <m:r>
                  <m:t>N</m:t>
                </m:r>
              </m:e>
            </m:acc>
          </m:e>
          <m:sub>
            <m:r>
              <m:t>n</m:t>
            </m:r>
          </m:sub>
        </m:sSub>
        <m:r>
          <m:rPr>
            <m:sty m:val="p"/>
          </m:rPr>
          <m:t>/</m:t>
        </m:r>
        <m:sSub>
          <m:e>
            <m:acc>
              <m:accPr>
                <m:chr m:val="̂"/>
              </m:accPr>
              <m:e>
                <m:r>
                  <m:t>D</m:t>
                </m:r>
              </m:e>
            </m:acc>
          </m:e>
          <m:sub>
            <m:r>
              <m:t>n</m:t>
            </m:r>
          </m:sub>
        </m:sSub>
        <m:r>
          <m:rPr>
            <m:sty m:val="p"/>
          </m:rPr>
          <m:t>−</m:t>
        </m:r>
        <m:sSub>
          <m:e>
            <m:r>
              <m:t>m</m:t>
            </m:r>
          </m:e>
          <m:sub>
            <m:r>
              <m:t>φ</m:t>
            </m:r>
          </m:sub>
        </m:sSub>
        <m:r>
          <m:rPr>
            <m:sty m:val="p"/>
          </m:rPr>
          <m:t>=</m:t>
        </m:r>
        <m:d>
          <m:dPr>
            <m:begChr m:val="["/>
            <m:sepChr m:val=""/>
            <m:endChr m:val="]"/>
            <m:grow/>
          </m:dPr>
          <m:e>
            <m:d>
              <m:dPr>
                <m:begChr m:val="("/>
                <m:sepChr m:val=""/>
                <m:endChr m:val=")"/>
                <m:grow/>
              </m:dPr>
              <m:e>
                <m:sSub>
                  <m:e>
                    <m:acc>
                      <m:accPr>
                        <m:chr m:val="̂"/>
                      </m:accPr>
                      <m:e>
                        <m:r>
                          <m:t>N</m:t>
                        </m:r>
                      </m:e>
                    </m:acc>
                  </m:e>
                  <m:sub>
                    <m:r>
                      <m:t>n</m:t>
                    </m:r>
                  </m:sub>
                </m:sSub>
                <m:r>
                  <m:rPr>
                    <m:sty m:val="p"/>
                  </m:rPr>
                  <m:t>−</m:t>
                </m:r>
                <m:sSub>
                  <m:e>
                    <m:r>
                      <m:t>N</m:t>
                    </m:r>
                  </m:e>
                  <m:sub>
                    <m:r>
                      <m:t>z</m:t>
                    </m:r>
                  </m:sub>
                </m:sSub>
              </m:e>
            </m:d>
            <m:r>
              <m:rPr>
                <m:sty m:val="p"/>
              </m:rPr>
              <m:t>−</m:t>
            </m:r>
            <m:sSub>
              <m:e>
                <m:r>
                  <m:t>m</m:t>
                </m:r>
              </m:e>
              <m:sub>
                <m:r>
                  <m:t>φ</m:t>
                </m:r>
              </m:sub>
            </m:sSub>
            <m:d>
              <m:dPr>
                <m:begChr m:val="("/>
                <m:sepChr m:val=""/>
                <m:endChr m:val=")"/>
                <m:grow/>
              </m:dPr>
              <m:e>
                <m:sSub>
                  <m:e>
                    <m:acc>
                      <m:accPr>
                        <m:chr m:val="̂"/>
                      </m:accPr>
                      <m:e>
                        <m:r>
                          <m:t>D</m:t>
                        </m:r>
                      </m:e>
                    </m:acc>
                  </m:e>
                  <m:sub>
                    <m:r>
                      <m:t>n</m:t>
                    </m:r>
                  </m:sub>
                </m:sSub>
                <m:r>
                  <m:rPr>
                    <m:sty m:val="p"/>
                  </m:rPr>
                  <m:t>−</m:t>
                </m:r>
                <m:sSub>
                  <m:e>
                    <m:r>
                      <m:t>D</m:t>
                    </m:r>
                  </m:e>
                  <m:sub>
                    <m:r>
                      <m:t>z</m:t>
                    </m:r>
                  </m:sub>
                </m:sSub>
              </m:e>
            </m:d>
          </m:e>
        </m:d>
        <m:r>
          <m:rPr>
            <m:sty m:val="p"/>
          </m:rPr>
          <m:t>/</m:t>
        </m:r>
        <m:sSub>
          <m:e>
            <m:acc>
              <m:accPr>
                <m:chr m:val="̂"/>
              </m:accPr>
              <m:e>
                <m:r>
                  <m:t>D</m:t>
                </m:r>
              </m:e>
            </m:acc>
          </m:e>
          <m:sub>
            <m:r>
              <m:t>n</m:t>
            </m:r>
          </m:sub>
        </m:sSub>
      </m:oMath>
      <w:r>
        <w:t xml:space="preserve"> </w:t>
      </w:r>
      <w:r>
        <w:t xml:space="preserve">and</w:t>
      </w:r>
      <w:r>
        <w:t xml:space="preserve"> </w:t>
      </w:r>
      <m:oMath>
        <m:d>
          <m:dPr>
            <m:begChr m:val="|"/>
            <m:sepChr m:val=""/>
            <m:endChr m:val="|"/>
            <m:grow/>
          </m:dPr>
          <m:e>
            <m:sSub>
              <m:e>
                <m:r>
                  <m:t>m</m:t>
                </m:r>
              </m:e>
              <m:sub>
                <m:r>
                  <m:t>φ</m:t>
                </m:r>
              </m:sub>
            </m:sSub>
          </m:e>
        </m:d>
        <m:r>
          <m:rPr>
            <m:sty m:val="p"/>
          </m:rPr>
          <m:t>≤</m:t>
        </m:r>
        <m:r>
          <m:t>B</m:t>
        </m:r>
      </m:oMath>
      <w:r>
        <w:t xml:space="preserve">.</w:t>
      </w:r>
      <w:r>
        <w:t xml:space="preserve"> </w:t>
      </w:r>
      <m:oMath>
        <m:r>
          <m:rPr>
            <m:sty m:val="p"/>
          </m:rPr>
          <m:t>▫</m:t>
        </m:r>
      </m:oMath>
    </w:p>
    <w:p>
      <w:pPr>
        <w:pStyle w:val="BodyText"/>
      </w:pPr>
      <w:r>
        <w:t xml:space="preserve">The leading term of</w:t>
      </w:r>
      <w:r>
        <w:t xml:space="preserve"> </w:t>
      </w:r>
      <m:oMath>
        <m:sSub>
          <m:e>
            <m:r>
              <m:t>s</m:t>
            </m:r>
          </m:e>
          <m:sub>
            <m:r>
              <m:t>D</m:t>
            </m:r>
          </m:sub>
        </m:sSub>
      </m:oMath>
      <w:r>
        <w:t xml:space="preserve"> </w:t>
      </w:r>
      <w:r>
        <w:t xml:space="preserve">is</w:t>
      </w:r>
      <w:r>
        <w:t xml:space="preserve"> </w:t>
      </w:r>
      <m:oMath>
        <m:rad>
          <m:radPr>
            <m:degHide m:val="on"/>
          </m:radPr>
          <m:deg/>
          <m:e>
            <m:r>
              <m:t>2</m:t>
            </m:r>
            <m:r>
              <m:t>C</m:t>
            </m:r>
            <m:sSub>
              <m:e>
                <m:r>
                  <m:t>D</m:t>
                </m:r>
              </m:e>
              <m:sub>
                <m:r>
                  <m:t>z</m:t>
                </m:r>
              </m:sub>
            </m:sSub>
            <m:r>
              <m:rPr>
                <m:sty m:val="p"/>
              </m:rPr>
              <m:t>ℓ</m:t>
            </m:r>
            <m:r>
              <m:rPr>
                <m:sty m:val="p"/>
              </m:rPr>
              <m:t>/</m:t>
            </m:r>
            <m:r>
              <m:t>n</m:t>
            </m:r>
          </m:e>
        </m:rad>
      </m:oMath>
      <w:r>
        <w:t xml:space="preserve">, so the relative accuracy is governed by</w:t>
      </w:r>
      <w:r>
        <w:t xml:space="preserve"> </w:t>
      </w:r>
      <m:oMath>
        <m:r>
          <m:t>C</m:t>
        </m:r>
        <m:r>
          <m:rPr>
            <m:sty m:val="p"/>
          </m:rPr>
          <m:t>/</m:t>
        </m:r>
        <m:sSub>
          <m:e>
            <m:r>
              <m:t>D</m:t>
            </m:r>
          </m:e>
          <m:sub>
            <m:r>
              <m:t>z</m:t>
            </m:r>
          </m:sub>
        </m:sSub>
      </m:oMath>
      <w:r>
        <w:t xml:space="preserve"> </w:t>
      </w:r>
      <w:r>
        <w:t xml:space="preserve">rather than by</w:t>
      </w:r>
      <w:r>
        <w:t xml:space="preserve"> </w:t>
      </w:r>
      <m:oMath>
        <m:sSup>
          <m:e>
            <m:r>
              <m:t>C</m:t>
            </m:r>
          </m:e>
          <m:sup>
            <m:r>
              <m:t>2</m:t>
            </m:r>
          </m:sup>
        </m:sSup>
        <m:r>
          <m:rPr>
            <m:sty m:val="p"/>
          </m:rPr>
          <m:t>/</m:t>
        </m:r>
        <m:sSubSup>
          <m:e>
            <m:r>
              <m:t>D</m:t>
            </m:r>
          </m:e>
          <m:sub>
            <m:r>
              <m:t>z</m:t>
            </m:r>
          </m:sub>
          <m:sup>
            <m:r>
              <m:t>2</m:t>
            </m:r>
          </m:sup>
        </m:sSubSup>
      </m:oMath>
      <w:r>
        <w:t xml:space="preserve">. When a sharper bound on the conditional second moment is available, it can replace</w:t>
      </w:r>
      <w:r>
        <w:t xml:space="preserve"> </w:t>
      </w:r>
      <m:oMath>
        <m:r>
          <m:t>C</m:t>
        </m:r>
        <m:sSub>
          <m:e>
            <m:r>
              <m:t>D</m:t>
            </m:r>
          </m:e>
          <m:sub>
            <m:r>
              <m:t>z</m:t>
            </m:r>
          </m:sub>
        </m:sSub>
      </m:oMath>
      <w:r>
        <w:t xml:space="preserve"> </w:t>
      </w:r>
      <w:r>
        <w:t xml:space="preserve">directly. Section 11.3 compares both versions with observed errors.</w:t>
      </w:r>
    </w:p>
    <w:p w14:paraId="345B589C" w14:textId="77777777" w:rsidR="00287EFD" w:rsidRDefault="00000000" w:rsidP="007B33B3">
      <w:pPr>
        <w:pStyle w:val="BodyText"/>
        <w:rPr>
          <w:rFonts w:hint="eastAsia"/>
        </w:rPr>
      </w:pPr>
      <w:r>
        <w:t>The query in this theorem is fixed before the block, or fixed conditionally on information preceding it. A query chosen using the same complete archive after sampling is not covered by this pointwise argument. A predeclared finite query family permits a union bound. A general adaptive query family requires uniform analysis or fresh estimation samples. Changing the target or temperature in the middle of the block likewise changes the estimating equations.</w:t>
      </w:r>
    </w:p>
    <w:p w14:paraId="2F6334AF" w14:textId="77777777" w:rsidR="00287EFD" w:rsidRDefault="00000000" w:rsidP="007B33B3">
      <w:pPr>
        <w:pStyle w:val="BodyText"/>
        <w:rPr>
          <w:rFonts w:hint="eastAsia"/>
        </w:rPr>
      </w:pPr>
      <w:r>
        <w:t>A known-variance critic correction can be substituted into an estimating identity when its conditional raw expectation is the required exact target factor. However, Gaussian exponential weights are unbounded. The bounded-weight concentration theorem does not automatically survive that substitution. Second-moment or tail assumptions must be established for the resulting random weights, and unknown critic bias remains a change of target.</w:t>
      </w:r>
    </w:p>
    <w:p w14:paraId="0BE8F984" w14:textId="77777777" w:rsidR="00287EFD" w:rsidRDefault="00000000" w:rsidP="007B33B3">
      <w:pPr>
        <w:pStyle w:val="Heading2"/>
        <w:rPr>
          <w:rFonts w:hint="eastAsia"/>
        </w:rPr>
      </w:pPr>
      <w:bookmarkStart w:id="16" w:name="X5d5f3ec4c5b60dabae762becf7d0cce882ea022"/>
      <w:bookmarkEnd w:id="15"/>
      <w:r>
        <w:t>6.3 Decoding and repair change the proposal law</w:t>
      </w:r>
    </w:p>
    <w:p w14:paraId="03B8EB90" w14:textId="77777777" w:rsidR="00287EFD" w:rsidRDefault="00000000" w:rsidP="007B33B3">
      <w:pPr>
        <w:pStyle w:val="FirstParagraph"/>
        <w:keepNext/>
        <w:rPr>
          <w:rFonts w:hint="eastAsia"/>
        </w:rPr>
      </w:pPr>
      <w:r>
        <w:t xml:space="preserve">Suppose a latent proposal </w:t>
      </w:r>
      <m:oMath>
        <m:r>
          <w:rPr>
            <w:rFonts w:ascii="Cambria Math" w:hAnsi="Cambria Math"/>
          </w:rPr>
          <m:t>Y</m:t>
        </m:r>
      </m:oMath>
      <w:r>
        <w:t xml:space="preserve"> is converted into a realised design </w:t>
      </w:r>
      <m:oMath>
        <m:r>
          <w:rPr>
            <w:rFonts w:ascii="Cambria Math" w:hAnsi="Cambria Math"/>
          </w:rPr>
          <m:t>X</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Y</m:t>
            </m:r>
          </m:e>
        </m:d>
      </m:oMath>
      <w:r>
        <w:t xml:space="preserve">. The design-space proposal is the pushforward measure </w:t>
      </w:r>
      <m:oMath>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Q</m:t>
        </m:r>
      </m:oMath>
      <w:r>
        <w:t>. For a finite decoder,</w:t>
      </w:r>
    </w:p>
    <w:p w14:paraId="6831A609"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Y</m:t>
                  </m:r>
                </m:sub>
              </m:sSub>
            </m:e>
          </m:nary>
          <m:d>
            <m:dPr>
              <m:ctrlPr>
                <w:rPr>
                  <w:rFonts w:ascii="Cambria Math" w:hAnsi="Cambria Math"/>
                </w:rPr>
              </m:ctrlPr>
            </m:dPr>
            <m:e>
              <m:r>
                <w:rPr>
                  <w:rFonts w:ascii="Cambria Math" w:hAnsi="Cambria Math"/>
                </w:rPr>
                <m:t>y</m:t>
              </m:r>
            </m:e>
          </m:d>
          <m:r>
            <m:rPr>
              <m:sty m:val="p"/>
            </m:rPr>
            <w:rPr>
              <w:rFonts w:ascii="Cambria Math" w:hAnsi="Cambria Math"/>
            </w:rPr>
            <m:t>.</m:t>
          </m:r>
          <m:r>
            <m:rPr>
              <m:nor/>
            </m:rPr>
            <m:t>    (18)</m:t>
          </m:r>
        </m:oMath>
      </m:oMathPara>
    </w:p>
    <w:p w14:paraId="53BBA659" w14:textId="77777777" w:rsidR="00287EFD" w:rsidRDefault="00000000" w:rsidP="007B33B3">
      <w:pPr>
        <w:pStyle w:val="FirstParagraph"/>
        <w:rPr>
          <w:rFonts w:hint="eastAsia"/>
        </w:rPr>
      </w:pPr>
      <w:r>
        <w:t xml:space="preserve">The physical target-to-proposal ratio uses </w:t>
      </w:r>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x</m:t>
            </m:r>
          </m:e>
        </m:d>
      </m:oMath>
      <w:r>
        <w:t xml:space="preserve"> when estimating a design-space target. An alternative valid construction can operate on an augmented latent space, but it must specify a lifted target and account for the decoder. Evaluating an arbitrary latent density at a decoded section identifier does neither.</w:t>
      </w:r>
    </w:p>
    <w:p w14:paraId="60E98091" w14:textId="77777777" w:rsidR="00287EFD" w:rsidRDefault="00000000" w:rsidP="007B33B3">
      <w:pPr>
        <w:pStyle w:val="BodyText"/>
        <w:rPr>
          <w:rFonts w:hint="eastAsia"/>
        </w:rPr>
      </w:pPr>
      <w:r>
        <w:t xml:space="preserve">For an exact counterexample, let latent probabilities be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e>
        </m:d>
      </m:oMath>
      <w:r>
        <w:t xml:space="preserve">, with the first two latent states decoding to A and the third to B. The realised probabilities are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 target uniform on A and B therefore needs constant physical importance weights. If the physical target mass 0.5 is instead divided by each sampled latent probability, the expected unnormalised masses become 1 for A and 0.5 for B. Normalisation converges to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rather than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w:t>
      </w:r>
    </w:p>
    <w:p w14:paraId="78F62B84" w14:textId="77777777" w:rsidR="00287EFD" w:rsidRDefault="00000000" w:rsidP="007B33B3">
      <w:pPr>
        <w:pStyle w:val="BodyText"/>
        <w:rPr>
          <w:rFonts w:hint="eastAsia"/>
        </w:rPr>
      </w:pPr>
      <w:r>
        <w:t xml:space="preserve">Rounding to a catalogue, many-to-one repair, rejected solver inputs and deterministic compilation can all change the realised law. When that law is unavailable, an archive-based search can still be run as a heuristic. Its empirical retrieval remains defined, while the corresponding exact physical-target claim is withheld. A post hoc kernel estimate of archive occupancy does not recover every past conditional proposal. A kernel density estimate can legitimately define a </w:t>
      </w:r>
      <w:r>
        <w:rPr>
          <w:i/>
          <w:iCs/>
        </w:rPr>
        <w:t>future</w:t>
      </w:r>
      <w:r>
        <w:t xml:space="preserve"> proposal if it is constructed before sampling, normalised, sampled as stated, and evaluated at the draw [5].</w:t>
      </w:r>
    </w:p>
    <w:p w14:paraId="16F055ED" w14:textId="77777777" w:rsidR="00287EFD" w:rsidRDefault="00000000" w:rsidP="007B33B3">
      <w:pPr>
        <w:pStyle w:val="Heading1"/>
        <w:rPr>
          <w:rFonts w:hint="eastAsia"/>
        </w:rPr>
      </w:pPr>
      <w:bookmarkStart w:id="17" w:name="X9f79f2851cfda8f8d4dd7930baad0bae9c188e2"/>
      <w:bookmarkEnd w:id="13"/>
      <w:bookmarkEnd w:id="16"/>
      <w:r>
        <w:t>7 Multiple objectives require a family of preferences</w:t>
      </w:r>
    </w:p>
    <w:p w14:paraId="1D1D1907" w14:textId="77777777" w:rsidR="00287EFD" w:rsidRDefault="00000000" w:rsidP="007B33B3">
      <w:pPr>
        <w:pStyle w:val="FirstParagraph"/>
        <w:keepNext/>
        <w:rPr>
          <w:rFonts w:hint="eastAsia"/>
        </w:rPr>
      </w:pPr>
      <w:r>
        <w:t xml:space="preserve">Construction design often involves several losses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oMath>
      <w:r>
        <w:t xml:space="preserve">, such as normalised mass, cost, embodied carbon and review effort. Their scales are fixed before comparison. Let </w:t>
      </w:r>
      <m:oMath>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oMath>
      <w:r>
        <w:t xml:space="preserve"> be strictly below every eligible normalised objective value, and let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sum to one. One preference scalarisation is</w:t>
      </w:r>
    </w:p>
    <w:p w14:paraId="0055D04D"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dx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(19)</m:t>
          </m:r>
        </m:oMath>
      </m:oMathPara>
    </w:p>
    <w:p w14:paraId="7724DAA2" w14:textId="77777777" w:rsidR="00287EFD" w:rsidRDefault="00000000" w:rsidP="007B33B3">
      <w:pPr>
        <w:pStyle w:val="FirstParagraph"/>
        <w:rPr>
          <w:rFonts w:hint="eastAsia"/>
        </w:rPr>
      </w:pPr>
      <w:r>
        <w:rPr>
          <w:b/>
          <w:bCs/>
        </w:rPr>
        <w:lastRenderedPageBreak/>
        <w:t>Proposition 5.</w:t>
      </w:r>
      <w:r>
        <w:t xml:space="preserve"> In a finite eligible catalogue, each Pareto-efficient objective vector minimises </w:t>
      </w:r>
      <m:oMath>
        <m:sSub>
          <m:sSubPr>
            <m:ctrlPr>
              <w:rPr>
                <w:rFonts w:ascii="Cambria Math" w:hAnsi="Cambria Math"/>
              </w:rPr>
            </m:ctrlPr>
          </m:sSubPr>
          <m:e>
            <m:r>
              <w:rPr>
                <w:rFonts w:ascii="Cambria Math" w:hAnsi="Cambria Math"/>
              </w:rPr>
              <m:t>g</m:t>
            </m:r>
          </m:e>
          <m:sub>
            <m:r>
              <w:rPr>
                <w:rFonts w:ascii="Cambria Math" w:hAnsi="Cambria Math"/>
              </w:rPr>
              <m:t>λ</m:t>
            </m:r>
          </m:sub>
        </m:sSub>
      </m:oMath>
      <w:r>
        <w:t xml:space="preserve"> for some strictly positive preference </w:t>
      </w:r>
      <m:oMath>
        <m:r>
          <w:rPr>
            <w:rFonts w:ascii="Cambria Math" w:hAnsi="Cambria Math"/>
          </w:rPr>
          <m:t>λ</m:t>
        </m:r>
      </m:oMath>
      <w:r>
        <w:t>; for that preference, all minimisers share that vector.</w:t>
      </w:r>
    </w:p>
    <w:p w14:paraId="5BE46FB0" w14:textId="77777777" w:rsidR="00287EFD" w:rsidRDefault="00000000" w:rsidP="007B33B3">
      <w:pPr>
        <w:pStyle w:val="BodyText"/>
        <w:rPr>
          <w:rFonts w:hint="eastAsia"/>
        </w:rPr>
      </w:pPr>
      <w:r>
        <w:rPr>
          <w:i/>
          <w:iCs/>
        </w:rPr>
        <w:t>Proof.</w:t>
      </w:r>
      <w:r>
        <w:t xml:space="preserve"> For an efficient design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put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and choose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where </w:t>
      </w:r>
      <m:oMath>
        <m:r>
          <w:rPr>
            <w:rFonts w:ascii="Cambria Math" w:hAnsi="Cambria Math"/>
          </w:rPr>
          <m:t>c</m:t>
        </m:r>
      </m:oMath>
      <w:r>
        <w:t xml:space="preserve"> makes the preferences sum to one. Then </w:t>
      </w: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c</m:t>
        </m:r>
      </m:oMath>
      <w:r>
        <w:t xml:space="preserve">. If another design has scalar value at most </w:t>
      </w:r>
      <m:oMath>
        <m:r>
          <w:rPr>
            <w:rFonts w:ascii="Cambria Math" w:hAnsi="Cambria Math"/>
          </w:rPr>
          <m:t>c</m:t>
        </m:r>
      </m:oMath>
      <w:r>
        <w:t xml:space="preserve">, its objective coordinates are all no greater than those of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Efficiency excludes a strict improvement in any coordinate, so its objective vector must be the same. </w:t>
      </w:r>
      <m:oMath>
        <m:r>
          <m:rPr>
            <m:sty m:val="p"/>
          </m:rPr>
          <w:rPr>
            <w:rFonts w:ascii="Cambria Math" w:hAnsi="Cambria Math"/>
          </w:rPr>
          <m:t>▫</m:t>
        </m:r>
      </m:oMath>
    </w:p>
    <w:p w14:paraId="659D9E4F" w14:textId="77777777" w:rsidR="00287EFD" w:rsidRDefault="00000000" w:rsidP="007B33B3">
      <w:pPr>
        <w:pStyle w:val="BodyText"/>
        <w:rPr>
          <w:rFonts w:hint="eastAsia"/>
        </w:rPr>
      </w:pPr>
      <w:r>
        <w:t>A finite preference grid need not contain the particular preferences required by this construction. Moreover, some preferences can admit dominated minimisers, so the reporting archive still applies full vector dominance tests. At finite temperature, dominated but eligible candidates can receive positive mass. The density organises proposals; it does not by itself return the Pareto frontier.</w:t>
      </w:r>
    </w:p>
    <w:p w14:paraId="6ACF21B3" w14:textId="77777777" w:rsidR="00287EFD" w:rsidRDefault="00000000" w:rsidP="007B33B3">
      <w:pPr>
        <w:pStyle w:val="BodyText"/>
        <w:keepNext/>
        <w:rPr>
          <w:rFonts w:hint="eastAsia"/>
        </w:rPr>
      </w:pPr>
      <w:r>
        <w:t xml:space="preserve">For a finite preference family and declared mixture masses </w:t>
      </w:r>
      <m:oMath>
        <m:sSub>
          <m:sSubPr>
            <m:ctrlPr>
              <w:rPr>
                <w:rFonts w:ascii="Cambria Math" w:hAnsi="Cambria Math"/>
              </w:rPr>
            </m:ctrlPr>
          </m:sSubPr>
          <m:e>
            <m:r>
              <w:rPr>
                <w:rFonts w:ascii="Cambria Math" w:hAnsi="Cambria Math"/>
              </w:rPr>
              <m:t>γ</m:t>
            </m:r>
          </m:e>
          <m:sub>
            <m:r>
              <w:rPr>
                <w:rFonts w:ascii="Cambria Math" w:hAnsi="Cambria Math"/>
              </w:rPr>
              <m:t>λ</m:t>
            </m:r>
          </m:sub>
        </m:sSub>
      </m:oMath>
      <w:r>
        <w:t xml:space="preserve">, combine the </w:t>
      </w:r>
      <w:r>
        <w:rPr>
          <w:i/>
          <w:iCs/>
        </w:rPr>
        <w:t>normalised</w:t>
      </w:r>
      <w:r>
        <w:t xml:space="preserve"> components:</w:t>
      </w:r>
    </w:p>
    <w:p w14:paraId="274CCA89"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π</m:t>
              </m:r>
            </m:e>
            <m:sub>
              <m:r>
                <m:rPr>
                  <m:nor/>
                </m: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λ</m:t>
                  </m:r>
                </m:sub>
              </m:sSub>
            </m:e>
          </m:nary>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λ</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(20)</m:t>
          </m:r>
        </m:oMath>
      </m:oMathPara>
    </w:p>
    <w:p w14:paraId="4802C302" w14:textId="77777777" w:rsidR="00287EFD" w:rsidRDefault="00000000" w:rsidP="007B33B3">
      <w:pPr>
        <w:pStyle w:val="FirstParagraph"/>
        <w:rPr>
          <w:rFonts w:hint="eastAsia"/>
        </w:rPr>
      </w:pPr>
      <w:r>
        <w:t xml:space="preserve">Mixing raw exponentials instead gives component masses proportional to </w:t>
      </w:r>
      <m:oMath>
        <m:sSub>
          <m:sSubPr>
            <m:ctrlPr>
              <w:rPr>
                <w:rFonts w:ascii="Cambria Math" w:hAnsi="Cambria Math"/>
              </w:rPr>
            </m:ctrlPr>
          </m:sSubPr>
          <m:e>
            <m:r>
              <w:rPr>
                <w:rFonts w:ascii="Cambria Math" w:hAnsi="Cambria Math"/>
              </w:rPr>
              <m:t>γ</m:t>
            </m:r>
          </m:e>
          <m:sub>
            <m:r>
              <w:rPr>
                <w:rFonts w:ascii="Cambria Math" w:hAnsi="Cambria Math"/>
              </w:rPr>
              <m:t>λ</m:t>
            </m:r>
          </m:sub>
        </m:sSub>
        <m:sSub>
          <m:sSubPr>
            <m:ctrlPr>
              <w:rPr>
                <w:rFonts w:ascii="Cambria Math" w:hAnsi="Cambria Math"/>
              </w:rPr>
            </m:ctrlPr>
          </m:sSubPr>
          <m:e>
            <m:r>
              <w:rPr>
                <w:rFonts w:ascii="Cambria Math" w:hAnsi="Cambria Math"/>
              </w:rPr>
              <m:t>Z</m:t>
            </m:r>
          </m:e>
          <m:sub>
            <m:r>
              <w:rPr>
                <w:rFonts w:ascii="Cambria Math" w:hAnsi="Cambria Math"/>
              </w:rPr>
              <m:t>λ</m:t>
            </m:r>
          </m:sub>
        </m:sSub>
      </m:oMath>
      <w:r>
        <w:t>. This unintentionally changes the preference distribution. Multiplying preference densities creates another scalar compromise; it does not preserve the family of alternative trade-offs.</w:t>
      </w:r>
    </w:p>
    <w:p w14:paraId="2D000A61" w14:textId="77777777" w:rsidR="00287EFD" w:rsidRDefault="00000000" w:rsidP="007B33B3">
      <w:pPr>
        <w:pStyle w:val="BodyText"/>
        <w:rPr>
          <w:rFonts w:hint="eastAsia"/>
        </w:rPr>
      </w:pPr>
      <w:r>
        <w:t xml:space="preserve">A finite example uses objective vectors A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m:t>
            </m:r>
          </m:e>
        </m:d>
      </m:oMath>
      <w:r>
        <w:t xml:space="preserve">, B </w:t>
      </w:r>
      <m:oMath>
        <m:d>
          <m:dPr>
            <m:ctrlPr>
              <w:rPr>
                <w:rFonts w:ascii="Cambria Math" w:hAnsi="Cambria Math"/>
              </w:rPr>
            </m:ctrlPr>
          </m:dPr>
          <m:e>
            <m:r>
              <w:rPr>
                <w:rFonts w:ascii="Cambria Math" w:hAnsi="Cambria Math"/>
              </w:rPr>
              <m:t>0.55</m:t>
            </m:r>
            <m:r>
              <m:rPr>
                <m:sty m:val="p"/>
              </m:rPr>
              <w:rPr>
                <w:rFonts w:ascii="Cambria Math" w:hAnsi="Cambria Math"/>
              </w:rPr>
              <m:t>,</m:t>
            </m:r>
            <m:r>
              <w:rPr>
                <w:rFonts w:ascii="Cambria Math" w:hAnsi="Cambria Math"/>
              </w:rPr>
              <m:t>0.55</m:t>
            </m:r>
          </m:e>
        </m:d>
      </m:oMath>
      <w:r>
        <w:t xml:space="preserve">, C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m:t>
            </m:r>
          </m:e>
        </m:d>
      </m:oMath>
      <w:r>
        <w:t xml:space="preserve"> and D </w:t>
      </w:r>
      <m:oMath>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oMath>
      <w:r>
        <w:t xml:space="preserve">, with equal reference masses. An extra design E with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is ineligible and receives zero mass. No weighted sum of the first two losses selects B, because one of the extreme designs scores at most 0.45 while B always scores 0.55. The balanced maximum-deviation preference does select B. With reference </w:t>
      </w:r>
      <m:oMath>
        <m:d>
          <m:dPr>
            <m:ctrlPr>
              <w:rPr>
                <w:rFonts w:ascii="Cambria Math" w:hAnsi="Cambria Math"/>
              </w:rPr>
            </m:ctrlPr>
          </m:dPr>
          <m:e>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e>
        </m:d>
      </m:oMath>
      <w:r>
        <w:t xml:space="preserve">, </w:t>
      </w:r>
      <m:oMath>
        <m:r>
          <w:rPr>
            <w:rFonts w:ascii="Cambria Math" w:hAnsi="Cambria Math"/>
          </w:rPr>
          <m:t>β</m:t>
        </m:r>
        <m:r>
          <m:rPr>
            <m:sty m:val="p"/>
          </m:rPr>
          <w:rPr>
            <w:rFonts w:ascii="Cambria Math" w:hAnsi="Cambria Math"/>
          </w:rPr>
          <m:t>=</m:t>
        </m:r>
        <m:r>
          <w:rPr>
            <w:rFonts w:ascii="Cambria Math" w:hAnsi="Cambria Math"/>
          </w:rPr>
          <m:t>30</m:t>
        </m:r>
      </m:oMath>
      <w:r>
        <w:t xml:space="preserve">, preferences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0.1</m:t>
            </m:r>
          </m:e>
        </m:d>
      </m:oMath>
      <w:r>
        <w:t xml:space="preserv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e>
        </m:d>
      </m:oMath>
      <w:r>
        <w:t>, and equal mixture masses, the proper mixture gives B probability 0.322369. Mixing unnormalised components gives only 0.000586. The difference is a normalisation effect, not a new evaluation of B.</w:t>
      </w:r>
    </w:p>
    <w:p w14:paraId="759AFF3B" w14:textId="77777777" w:rsidR="00287EFD" w:rsidRDefault="00000000" w:rsidP="007B33B3">
      <w:pPr>
        <w:pStyle w:val="Heading1"/>
        <w:rPr>
          <w:rFonts w:hint="eastAsia"/>
        </w:rPr>
      </w:pPr>
      <w:bookmarkStart w:id="18" w:name="X010ab21324731e56bc7134c63fd277fa58c23a0"/>
      <w:bookmarkEnd w:id="17"/>
      <w:r>
        <w:t>8 Behavioural disagreement and executable requirements</w:t>
      </w:r>
    </w:p>
    <w:p w14:paraId="563E6C06" w14:textId="77777777" w:rsidR="00287EFD" w:rsidRDefault="00000000" w:rsidP="007B33B3">
      <w:pPr>
        <w:pStyle w:val="FirstParagraph"/>
        <w:keepNext/>
        <w:rPr>
          <w:rFonts w:hint="eastAsia"/>
        </w:rPr>
      </w:pPr>
      <w:r>
        <w:t xml:space="preserve">For deterministic programs executed under a declared runtime, let </w:t>
      </w:r>
      <m:oMath>
        <m:r>
          <m:rPr>
            <m:scr m:val="script"/>
            <m:sty m:val="p"/>
          </m:rPr>
          <w:rPr>
            <w:rFonts w:ascii="Cambria Math" w:hAnsi="Cambria Math"/>
          </w:rPr>
          <m:t>B</m:t>
        </m:r>
      </m:oMath>
      <w:r>
        <w:t xml:space="preserve"> be a finite probe set and let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B</m:t>
            </m:r>
          </m:sub>
        </m:sSub>
        <m:d>
          <m:dPr>
            <m:ctrlPr>
              <w:rPr>
                <w:rFonts w:ascii="Cambria Math" w:hAnsi="Cambria Math"/>
              </w:rPr>
            </m:ctrlPr>
          </m:dPr>
          <m:e>
            <m:r>
              <w:rPr>
                <w:rFonts w:ascii="Cambria Math" w:hAnsi="Cambria Math"/>
              </w:rPr>
              <m:t>p</m:t>
            </m:r>
          </m:e>
        </m:d>
      </m:oMath>
      <w:r>
        <w:t xml:space="preserve"> be the vector of observed outputs and execution outcomes. Program identity includes its relevant dependencies. Timeouts, exceptions and nondeterministic results need declared representations rather than being silently omitted. For the observed gate-passing programs, define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as the fraction in signature class </w:t>
      </w:r>
      <m:oMath>
        <m:r>
          <w:rPr>
            <w:rFonts w:ascii="Cambria Math" w:hAnsi="Cambria Math"/>
          </w:rPr>
          <m:t>c</m:t>
        </m:r>
      </m:oMath>
      <w:r>
        <w:t xml:space="preserve"> and set</w:t>
      </w:r>
    </w:p>
    <w:p w14:paraId="33C30A1B" w14:textId="77777777" w:rsidR="00287EFD" w:rsidRDefault="00000000" w:rsidP="007B33B3">
      <w:pPr>
        <w:pStyle w:val="BodyText"/>
        <w:keepLines/>
        <w:spacing w:before="60" w:after="120"/>
        <w:rPr>
          <w:rFonts w:hint="eastAsia"/>
        </w:rPr>
      </w:pPr>
      <m:oMathPara>
        <m:oMathParaPr>
          <m:jc m:val="center"/>
        </m:oMathParaPr>
        <m:oMath>
          <m:sSub>
            <m:sSubPr>
              <m:ctrlPr>
                <w:rPr>
                  <w:rFonts w:ascii="Cambria Math" w:hAnsi="Cambria Math"/>
                </w:rPr>
              </m:ctrlPr>
            </m:sSubPr>
            <m:e>
              <m:r>
                <w:rPr>
                  <w:rFonts w:ascii="Cambria Math" w:hAnsi="Cambria Math"/>
                </w:rPr>
                <m:t>H</m:t>
              </m:r>
            </m:e>
            <m:sub>
              <m:r>
                <m:rPr>
                  <m:scr m:val="script"/>
                  <m:sty m:val="p"/>
                </m:rP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m:rPr>
              <m:nor/>
            </m:rPr>
            <m:t>    </m:t>
          </m:r>
          <m:r>
            <w:rPr>
              <w:rFonts w:ascii="Cambria Math" w:hAnsi="Cambria Math"/>
            </w:rPr>
            <m:t>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m:rPr>
              <m:nor/>
            </m:rPr>
            <m:t>    (21)</m:t>
          </m:r>
        </m:oMath>
      </m:oMathPara>
    </w:p>
    <w:p w14:paraId="5C67852C" w14:textId="77777777" w:rsidR="00287EFD" w:rsidRDefault="00000000" w:rsidP="007B33B3">
      <w:pPr>
        <w:pStyle w:val="FirstParagraph"/>
        <w:rPr>
          <w:rFonts w:hint="eastAsia"/>
        </w:rPr>
      </w:pPr>
      <w:r>
        <w:rPr>
          <w:b/>
          <w:bCs/>
        </w:rPr>
        <w:t>Proposition 6.</w:t>
      </w:r>
      <w:r>
        <w:t xml:space="preserve"> Positive </w:t>
      </w:r>
      <m:oMath>
        <m:sSub>
          <m:sSubPr>
            <m:ctrlPr>
              <w:rPr>
                <w:rFonts w:ascii="Cambria Math" w:hAnsi="Cambria Math"/>
              </w:rPr>
            </m:ctrlPr>
          </m:sSubPr>
          <m:e>
            <m:r>
              <w:rPr>
                <w:rFonts w:ascii="Cambria Math" w:hAnsi="Cambria Math"/>
              </w:rPr>
              <m:t>H</m:t>
            </m:r>
          </m:e>
          <m:sub>
            <m:r>
              <m:rPr>
                <m:scr m:val="script"/>
                <m:sty m:val="p"/>
              </m:rPr>
              <w:rPr>
                <w:rFonts w:ascii="Cambria Math" w:hAnsi="Cambria Math"/>
              </w:rPr>
              <m:t>B</m:t>
            </m:r>
          </m:sub>
        </m:sSub>
      </m:oMath>
      <w:r>
        <w:t xml:space="preserve"> implies that two observed gate-passing programs disagree on at least one probe outcome. Zero entropy establishes agreement only among the observed programs on those probes.</w:t>
      </w:r>
    </w:p>
    <w:p w14:paraId="0A6CE13F" w14:textId="77777777" w:rsidR="00287EFD" w:rsidRDefault="00000000" w:rsidP="007B33B3">
      <w:pPr>
        <w:pStyle w:val="BodyText"/>
        <w:rPr>
          <w:rFonts w:hint="eastAsia"/>
        </w:rPr>
      </w:pPr>
      <w:r>
        <w:rPr>
          <w:i/>
          <w:iCs/>
        </w:rPr>
        <w:t>Proof.</w:t>
      </w:r>
      <w:r>
        <w:t xml:space="preserve"> Positive entropy of a finite probability distribution requires at least two classes with positive mass. Distinct signature classes differ on a probe by definition. A single observed signature constrains no unobserved program or unprobed input. </w:t>
      </w:r>
      <m:oMath>
        <m:r>
          <m:rPr>
            <m:sty m:val="p"/>
          </m:rPr>
          <w:rPr>
            <w:rFonts w:ascii="Cambria Math" w:hAnsi="Cambria Math"/>
          </w:rPr>
          <m:t>▫</m:t>
        </m:r>
      </m:oMath>
    </w:p>
    <w:p w14:paraId="0E09F5D2" w14:textId="77777777" w:rsidR="00287EFD" w:rsidRDefault="00000000" w:rsidP="007B33B3">
      <w:pPr>
        <w:pStyle w:val="BodyText"/>
        <w:rPr>
          <w:rFonts w:hint="eastAsia"/>
        </w:rPr>
      </w:pPr>
      <w:r>
        <w:t xml:space="preserve">This is a witness of behavioural underdetermination by the gate on the chosen probes. It establishes test-suite incompleteness relative to an intended requirement only when that requirement resolves the witnessed disagreement. Some specifications deliberately allow multiple valid implementations </w:t>
        <w:lastRenderedPageBreak/>
        <w:t>or behaviours. Additional tests should then preserve the allowed freedom rather than inventing a unique answer.</w:t>
      </w:r>
    </w:p>
    <w:p w14:paraId="2F283B27" w14:textId="77777777" w:rsidR="00287EFD" w:rsidRDefault="00000000" w:rsidP="007B33B3">
      <w:pPr>
        <w:pStyle w:val="BodyText"/>
        <w:rPr>
          <w:rFonts w:hint="eastAsia"/>
        </w:rPr>
      </w:pPr>
      <w:r>
        <w:t xml:space="preserve">For example, visible tests at inputs 0, 1 and 2 admit both the identity and absolute-value functions. Nine identity implementations and three absolute-value implementations give zero signature entropy on those inputs. Adding probe </w:t>
      </w:r>
      <m:oMath>
        <m:r>
          <m:rPr>
            <m:sty m:val="p"/>
          </m:rPr>
          <w:rPr>
            <w:rFonts w:ascii="Cambria Math" w:hAnsi="Cambria Math"/>
          </w:rPr>
          <m:t>-</m:t>
        </m:r>
        <m:r>
          <w:rPr>
            <w:rFonts w:ascii="Cambria Math" w:hAnsi="Cambria Math"/>
          </w:rPr>
          <m:t>1</m:t>
        </m:r>
      </m:oMath>
      <w:r>
        <w:t xml:space="preserve"> gives entropy 0.811278 bits. If the requirement is to return the input unchanged for every integer, the absolute-value programs violate it and the visible tests are insufficient. If the contract concerns nonnegative inputs alone, the disagreement at </w:t>
      </w:r>
      <m:oMath>
        <m:r>
          <m:rPr>
            <m:sty m:val="p"/>
          </m:rPr>
          <w:rPr>
            <w:rFonts w:ascii="Cambria Math" w:hAnsi="Cambria Math"/>
          </w:rPr>
          <m:t>-</m:t>
        </m:r>
        <m:r>
          <w:rPr>
            <w:rFonts w:ascii="Cambria Math" w:hAnsi="Cambria Math"/>
          </w:rPr>
          <m:t>1</m:t>
        </m:r>
      </m:oMath>
      <w:r>
        <w:t xml:space="preserve"> does not demonstrate an unmet requirement. The majority class has no authority to decide which contract was intended.</w:t>
      </w:r>
    </w:p>
    <w:p w14:paraId="3572140C" w14:textId="77777777" w:rsidR="00287EFD" w:rsidRDefault="00000000" w:rsidP="007B33B3">
      <w:pPr>
        <w:pStyle w:val="BodyText"/>
        <w:rPr>
          <w:rFonts w:hint="eastAsia"/>
        </w:rPr>
      </w:pPr>
      <w:r>
        <w:t>More discriminating probes refine signature classes and cannot decrease the empirical entropy for a fixed program sample. An increased entropy identifies more observed distinctions; it is not automatically a sign of worse program quality. The useful output is the disagreement witness and its relationship to the intended requirement, rather than a universal entropy threshold.</w:t>
      </w:r>
    </w:p>
    <w:p w14:paraId="7477D1C5" w14:textId="77777777" w:rsidR="00287EFD" w:rsidRDefault="00000000" w:rsidP="007B33B3">
      <w:pPr>
        <w:pStyle w:val="Heading1"/>
        <w:rPr>
          <w:rFonts w:hint="eastAsia"/>
        </w:rPr>
      </w:pPr>
      <w:bookmarkStart w:id="19" w:name="a-construction-workflow-and-its-records"/>
      <w:bookmarkEnd w:id="18"/>
      <w:r>
        <w:t>9 A construction workflow and its records</w:t>
      </w:r>
    </w:p>
    <w:p w14:paraId="33B7625C" w14:textId="77777777" w:rsidR="00287EFD" w:rsidRDefault="00000000" w:rsidP="007B33B3">
      <w:pPr>
        <w:pStyle w:val="FirstParagraph"/>
        <w:rPr>
          <w:rFonts w:hint="eastAsia"/>
        </w:rPr>
      </w:pPr>
      <w:r>
        <w:t>Consider an engineering agent selecting a member from a section catalogue. The design object includes the section identifier, material grade, loading and geometry bundle, and analysis settings. The reference measure covers the permitted design family. Objectives include mass and project-specific commercial or environmental measures. The gate binds availability, numerical checks, data completeness and required review to that exact object and specification version.</w:t>
      </w:r>
    </w:p>
    <w:p w14:paraId="1D453D90" w14:textId="77777777" w:rsidR="00287EFD" w:rsidRDefault="00000000" w:rsidP="007B33B3">
      <w:pPr>
        <w:pStyle w:val="BodyText"/>
        <w:rPr>
          <w:rFonts w:hint="eastAsia"/>
        </w:rPr>
      </w:pPr>
      <w:r>
        <w:t>The agent can retrieve approved procedures, propose typed inputs and use ADE to organise alternative designs. A deterministic numerical adapter computes responses. A language-model critic may score explanatory clarity or maintainability, but its scale is a separate measured objective. It does not replace the resistance calculation. A source revision invalidates dependent measurements and creates a new target version before another release decision.</w:t>
      </w:r>
    </w:p>
    <w:p w14:paraId="04578480" w14:textId="77777777" w:rsidR="00287EFD" w:rsidRDefault="00000000" w:rsidP="007B33B3">
      <w:pPr>
        <w:pStyle w:val="Caption"/>
        <w:keepNext/>
        <w:jc w:val="both"/>
        <w:rPr>
          <w:rFonts w:hint="eastAsia"/>
        </w:rPr>
      </w:pPr>
      <w:r>
        <w:t>Table 3. Minimum records needed to reconstruct the search and acceptance decisions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680"/>
        <w:gridCol w:w="3384"/>
      </w:tblGrid>
      <w:tr w:rsidR="00287EFD" w14:paraId="1795EBA9" w14:textId="77777777">
        <w:trPr>
          <w:cantSplit/>
          <w:tblHeader/>
          <w:jc w:val="center"/>
        </w:trPr>
        <w:tc>
          <w:tcPr>
            <w:tcW w:w="1872" w:type="dxa"/>
            <w:shd w:val="clear" w:color="auto" w:fill="EAEAEA"/>
            <w:tcMar>
              <w:top w:w="80" w:type="dxa"/>
              <w:left w:w="85" w:type="dxa"/>
              <w:bottom w:w="80" w:type="dxa"/>
              <w:right w:w="85" w:type="dxa"/>
            </w:tcMar>
            <w:vAlign w:val="center"/>
          </w:tcPr>
          <w:p w14:paraId="2C82C50B" w14:textId="77777777" w:rsidR="00287EFD" w:rsidRDefault="00000000" w:rsidP="007B33B3">
            <w:pPr>
              <w:keepNext/>
              <w:keepLines/>
              <w:spacing w:after="0" w:line="247" w:lineRule="auto"/>
              <w:rPr>
                <w:rFonts w:hint="eastAsia"/>
              </w:rPr>
            </w:pPr>
            <w:r>
              <w:rPr>
                <w:b/>
                <w:sz w:val="21"/>
              </w:rPr>
              <w:t>Record</w:t>
            </w:r>
          </w:p>
        </w:tc>
        <w:tc>
          <w:tcPr>
            <w:tcW w:w="4680" w:type="dxa"/>
            <w:shd w:val="clear" w:color="auto" w:fill="EAEAEA"/>
            <w:tcMar>
              <w:top w:w="80" w:type="dxa"/>
              <w:left w:w="85" w:type="dxa"/>
              <w:bottom w:w="80" w:type="dxa"/>
              <w:right w:w="85" w:type="dxa"/>
            </w:tcMar>
            <w:vAlign w:val="center"/>
          </w:tcPr>
          <w:p w14:paraId="2FCE06B9" w14:textId="77777777" w:rsidR="00287EFD" w:rsidRDefault="00000000" w:rsidP="007B33B3">
            <w:pPr>
              <w:keepNext/>
              <w:keepLines/>
              <w:spacing w:after="0" w:line="247" w:lineRule="auto"/>
              <w:rPr>
                <w:rFonts w:hint="eastAsia"/>
              </w:rPr>
            </w:pPr>
            <w:r>
              <w:rPr>
                <w:b/>
                <w:sz w:val="21"/>
              </w:rPr>
              <w:t>Essential fields</w:t>
            </w:r>
          </w:p>
        </w:tc>
        <w:tc>
          <w:tcPr>
            <w:tcW w:w="3384" w:type="dxa"/>
            <w:shd w:val="clear" w:color="auto" w:fill="EAEAEA"/>
            <w:tcMar>
              <w:top w:w="80" w:type="dxa"/>
              <w:left w:w="85" w:type="dxa"/>
              <w:bottom w:w="80" w:type="dxa"/>
              <w:right w:w="85" w:type="dxa"/>
            </w:tcMar>
            <w:vAlign w:val="center"/>
          </w:tcPr>
          <w:p w14:paraId="0DE4A4E0" w14:textId="77777777" w:rsidR="00287EFD" w:rsidRDefault="00000000" w:rsidP="007B33B3">
            <w:pPr>
              <w:keepNext/>
              <w:keepLines/>
              <w:spacing w:after="0" w:line="247" w:lineRule="auto"/>
              <w:rPr>
                <w:rFonts w:hint="eastAsia"/>
              </w:rPr>
            </w:pPr>
            <w:r>
              <w:rPr>
                <w:b/>
                <w:sz w:val="21"/>
              </w:rPr>
              <w:t>Supported operation</w:t>
            </w:r>
          </w:p>
        </w:tc>
      </w:tr>
      <w:tr w:rsidR="00287EFD" w14:paraId="23DD384B" w14:textId="77777777">
        <w:trPr>
          <w:cantSplit/>
          <w:jc w:val="center"/>
        </w:trPr>
        <w:tc>
          <w:tcPr>
            <w:tcW w:w="1872" w:type="dxa"/>
            <w:shd w:val="clear" w:color="auto" w:fill="FFFFFF"/>
            <w:tcMar>
              <w:top w:w="80" w:type="dxa"/>
              <w:left w:w="85" w:type="dxa"/>
              <w:bottom w:w="80" w:type="dxa"/>
              <w:right w:w="85" w:type="dxa"/>
            </w:tcMar>
            <w:vAlign w:val="center"/>
          </w:tcPr>
          <w:p w14:paraId="6D7E7467" w14:textId="77777777" w:rsidR="00287EFD" w:rsidRDefault="00000000" w:rsidP="007B33B3">
            <w:pPr>
              <w:keepLines/>
              <w:spacing w:after="0" w:line="247" w:lineRule="auto"/>
              <w:rPr>
                <w:rFonts w:hint="eastAsia"/>
              </w:rPr>
            </w:pPr>
            <w:r>
              <w:rPr>
                <w:sz w:val="21"/>
              </w:rPr>
              <w:t>Target version</w:t>
            </w:r>
          </w:p>
        </w:tc>
        <w:tc>
          <w:tcPr>
            <w:tcW w:w="4680" w:type="dxa"/>
            <w:shd w:val="clear" w:color="auto" w:fill="FFFFFF"/>
            <w:tcMar>
              <w:top w:w="80" w:type="dxa"/>
              <w:left w:w="85" w:type="dxa"/>
              <w:bottom w:w="80" w:type="dxa"/>
              <w:right w:w="85" w:type="dxa"/>
            </w:tcMar>
            <w:vAlign w:val="center"/>
          </w:tcPr>
          <w:p w14:paraId="27449499" w14:textId="77777777" w:rsidR="00287EFD" w:rsidRDefault="00000000" w:rsidP="007B33B3">
            <w:pPr>
              <w:keepLines/>
              <w:spacing w:after="0" w:line="247" w:lineRule="auto"/>
              <w:rPr>
                <w:rFonts w:hint="eastAsia"/>
              </w:rPr>
            </w:pPr>
            <w:r>
              <w:rPr>
                <w:sz w:val="21"/>
              </w:rPr>
              <w:t>Domain, prior, gate, loss definitions, scales, temperature</w:t>
            </w:r>
          </w:p>
        </w:tc>
        <w:tc>
          <w:tcPr>
            <w:tcW w:w="3384" w:type="dxa"/>
            <w:shd w:val="clear" w:color="auto" w:fill="FFFFFF"/>
            <w:tcMar>
              <w:top w:w="80" w:type="dxa"/>
              <w:left w:w="85" w:type="dxa"/>
              <w:bottom w:w="80" w:type="dxa"/>
              <w:right w:w="85" w:type="dxa"/>
            </w:tcMar>
            <w:vAlign w:val="center"/>
          </w:tcPr>
          <w:p w14:paraId="0D056AC1" w14:textId="77777777" w:rsidR="00287EFD" w:rsidRDefault="00000000" w:rsidP="007B33B3">
            <w:pPr>
              <w:keepLines/>
              <w:spacing w:after="0" w:line="247" w:lineRule="auto"/>
              <w:rPr>
                <w:rFonts w:hint="eastAsia"/>
              </w:rPr>
            </w:pPr>
            <w:r>
              <w:rPr>
                <w:sz w:val="21"/>
              </w:rPr>
              <w:t>Reconstruct the declared probability target</w:t>
            </w:r>
          </w:p>
        </w:tc>
      </w:tr>
      <w:tr w:rsidR="00287EFD" w14:paraId="5F1F64C7" w14:textId="77777777">
        <w:trPr>
          <w:cantSplit/>
          <w:jc w:val="center"/>
        </w:trPr>
        <w:tc>
          <w:tcPr>
            <w:tcW w:w="1872" w:type="dxa"/>
            <w:shd w:val="clear" w:color="auto" w:fill="FFFFFF"/>
            <w:tcMar>
              <w:top w:w="80" w:type="dxa"/>
              <w:left w:w="85" w:type="dxa"/>
              <w:bottom w:w="80" w:type="dxa"/>
              <w:right w:w="85" w:type="dxa"/>
            </w:tcMar>
            <w:vAlign w:val="center"/>
          </w:tcPr>
          <w:p w14:paraId="78C56857" w14:textId="77777777" w:rsidR="00287EFD" w:rsidRDefault="00000000" w:rsidP="007B33B3">
            <w:pPr>
              <w:keepLines/>
              <w:spacing w:after="0" w:line="247" w:lineRule="auto"/>
              <w:rPr>
                <w:rFonts w:hint="eastAsia"/>
              </w:rPr>
            </w:pPr>
            <w:r>
              <w:rPr>
                <w:sz w:val="21"/>
              </w:rPr>
              <w:t>Realised design</w:t>
            </w:r>
          </w:p>
        </w:tc>
        <w:tc>
          <w:tcPr>
            <w:tcW w:w="4680" w:type="dxa"/>
            <w:shd w:val="clear" w:color="auto" w:fill="FFFFFF"/>
            <w:tcMar>
              <w:top w:w="80" w:type="dxa"/>
              <w:left w:w="85" w:type="dxa"/>
              <w:bottom w:w="80" w:type="dxa"/>
              <w:right w:w="85" w:type="dxa"/>
            </w:tcMar>
            <w:vAlign w:val="center"/>
          </w:tcPr>
          <w:p w14:paraId="4840BC4E" w14:textId="77777777" w:rsidR="00287EFD" w:rsidRDefault="00000000" w:rsidP="007B33B3">
            <w:pPr>
              <w:keepLines/>
              <w:spacing w:after="0" w:line="247" w:lineRule="auto"/>
              <w:rPr>
                <w:rFonts w:hint="eastAsia"/>
              </w:rPr>
            </w:pPr>
            <w:r>
              <w:rPr>
                <w:sz w:val="21"/>
              </w:rPr>
              <w:t>Artifact digest, decoded identifiers, units, inputs, dependencies</w:t>
            </w:r>
          </w:p>
        </w:tc>
        <w:tc>
          <w:tcPr>
            <w:tcW w:w="3384" w:type="dxa"/>
            <w:shd w:val="clear" w:color="auto" w:fill="FFFFFF"/>
            <w:tcMar>
              <w:top w:w="80" w:type="dxa"/>
              <w:left w:w="85" w:type="dxa"/>
              <w:bottom w:w="80" w:type="dxa"/>
              <w:right w:w="85" w:type="dxa"/>
            </w:tcMar>
            <w:vAlign w:val="center"/>
          </w:tcPr>
          <w:p w14:paraId="7684C8FC" w14:textId="77777777" w:rsidR="00287EFD" w:rsidRDefault="00000000" w:rsidP="007B33B3">
            <w:pPr>
              <w:keepLines/>
              <w:spacing w:after="0" w:line="247" w:lineRule="auto"/>
              <w:rPr>
                <w:rFonts w:hint="eastAsia"/>
              </w:rPr>
            </w:pPr>
            <w:r>
              <w:rPr>
                <w:sz w:val="21"/>
              </w:rPr>
              <w:t>Identify the object actually evaluated</w:t>
            </w:r>
          </w:p>
        </w:tc>
      </w:tr>
      <w:tr w:rsidR="00287EFD" w14:paraId="637FE989" w14:textId="77777777">
        <w:trPr>
          <w:cantSplit/>
          <w:jc w:val="center"/>
        </w:trPr>
        <w:tc>
          <w:tcPr>
            <w:tcW w:w="1872" w:type="dxa"/>
            <w:shd w:val="clear" w:color="auto" w:fill="FFFFFF"/>
            <w:tcMar>
              <w:top w:w="80" w:type="dxa"/>
              <w:left w:w="85" w:type="dxa"/>
              <w:bottom w:w="80" w:type="dxa"/>
              <w:right w:w="85" w:type="dxa"/>
            </w:tcMar>
            <w:vAlign w:val="center"/>
          </w:tcPr>
          <w:p w14:paraId="526A2299" w14:textId="77777777" w:rsidR="00287EFD" w:rsidRDefault="00000000" w:rsidP="007B33B3">
            <w:pPr>
              <w:keepLines/>
              <w:spacing w:after="0" w:line="247" w:lineRule="auto"/>
              <w:rPr>
                <w:rFonts w:hint="eastAsia"/>
              </w:rPr>
            </w:pPr>
            <w:r>
              <w:rPr>
                <w:sz w:val="21"/>
              </w:rPr>
              <w:t>Numerical evidence</w:t>
            </w:r>
          </w:p>
        </w:tc>
        <w:tc>
          <w:tcPr>
            <w:tcW w:w="4680" w:type="dxa"/>
            <w:shd w:val="clear" w:color="auto" w:fill="FFFFFF"/>
            <w:tcMar>
              <w:top w:w="80" w:type="dxa"/>
              <w:left w:w="85" w:type="dxa"/>
              <w:bottom w:w="80" w:type="dxa"/>
              <w:right w:w="85" w:type="dxa"/>
            </w:tcMar>
            <w:vAlign w:val="center"/>
          </w:tcPr>
          <w:p w14:paraId="4CBE2E88" w14:textId="77777777" w:rsidR="00287EFD" w:rsidRDefault="00000000" w:rsidP="007B33B3">
            <w:pPr>
              <w:keepLines/>
              <w:spacing w:after="0" w:line="247" w:lineRule="auto"/>
              <w:rPr>
                <w:rFonts w:hint="eastAsia"/>
              </w:rPr>
            </w:pPr>
            <w:r>
              <w:rPr>
                <w:sz w:val="21"/>
              </w:rPr>
              <w:t>Solver version, input manifest, outputs, check versions, outcomes</w:t>
            </w:r>
          </w:p>
        </w:tc>
        <w:tc>
          <w:tcPr>
            <w:tcW w:w="3384" w:type="dxa"/>
            <w:shd w:val="clear" w:color="auto" w:fill="FFFFFF"/>
            <w:tcMar>
              <w:top w:w="80" w:type="dxa"/>
              <w:left w:w="85" w:type="dxa"/>
              <w:bottom w:w="80" w:type="dxa"/>
              <w:right w:w="85" w:type="dxa"/>
            </w:tcMar>
            <w:vAlign w:val="center"/>
          </w:tcPr>
          <w:p w14:paraId="370C0746" w14:textId="77777777" w:rsidR="00287EFD" w:rsidRDefault="00000000" w:rsidP="007B33B3">
            <w:pPr>
              <w:keepLines/>
              <w:spacing w:after="0" w:line="247" w:lineRule="auto"/>
              <w:rPr>
                <w:rFonts w:hint="eastAsia"/>
              </w:rPr>
            </w:pPr>
            <w:r>
              <w:rPr>
                <w:sz w:val="21"/>
              </w:rPr>
              <w:t>Recompute the encoded acceptance predicate</w:t>
            </w:r>
          </w:p>
        </w:tc>
      </w:tr>
      <w:tr w:rsidR="00287EFD" w14:paraId="35D766D3" w14:textId="77777777">
        <w:trPr>
          <w:cantSplit/>
          <w:jc w:val="center"/>
        </w:trPr>
        <w:tc>
          <w:tcPr>
            <w:tcW w:w="1872" w:type="dxa"/>
            <w:shd w:val="clear" w:color="auto" w:fill="FFFFFF"/>
            <w:tcMar>
              <w:top w:w="80" w:type="dxa"/>
              <w:left w:w="85" w:type="dxa"/>
              <w:bottom w:w="80" w:type="dxa"/>
              <w:right w:w="85" w:type="dxa"/>
            </w:tcMar>
            <w:vAlign w:val="center"/>
          </w:tcPr>
          <w:p w14:paraId="3D2F1632" w14:textId="77777777" w:rsidR="00287EFD" w:rsidRDefault="00000000" w:rsidP="007B33B3">
            <w:pPr>
              <w:keepLines/>
              <w:spacing w:after="0" w:line="247" w:lineRule="auto"/>
              <w:rPr>
                <w:rFonts w:hint="eastAsia"/>
              </w:rPr>
            </w:pPr>
            <w:r>
              <w:rPr>
                <w:sz w:val="21"/>
              </w:rPr>
              <w:t>Critic measurement</w:t>
            </w:r>
          </w:p>
        </w:tc>
        <w:tc>
          <w:tcPr>
            <w:tcW w:w="4680" w:type="dxa"/>
            <w:shd w:val="clear" w:color="auto" w:fill="FFFFFF"/>
            <w:tcMar>
              <w:top w:w="80" w:type="dxa"/>
              <w:left w:w="85" w:type="dxa"/>
              <w:bottom w:w="80" w:type="dxa"/>
              <w:right w:w="85" w:type="dxa"/>
            </w:tcMar>
            <w:vAlign w:val="center"/>
          </w:tcPr>
          <w:p w14:paraId="52734571" w14:textId="77777777" w:rsidR="00287EFD" w:rsidRDefault="00000000" w:rsidP="007B33B3">
            <w:pPr>
              <w:keepLines/>
              <w:spacing w:after="0" w:line="247" w:lineRule="auto"/>
              <w:rPr>
                <w:rFonts w:hint="eastAsia"/>
              </w:rPr>
            </w:pPr>
            <w:r>
              <w:rPr>
                <w:sz w:val="21"/>
              </w:rPr>
              <w:t>Model and prompt versions, raw scores, sampling settings, bias assumptions</w:t>
            </w:r>
          </w:p>
        </w:tc>
        <w:tc>
          <w:tcPr>
            <w:tcW w:w="3384" w:type="dxa"/>
            <w:shd w:val="clear" w:color="auto" w:fill="FFFFFF"/>
            <w:tcMar>
              <w:top w:w="80" w:type="dxa"/>
              <w:left w:w="85" w:type="dxa"/>
              <w:bottom w:w="80" w:type="dxa"/>
              <w:right w:w="85" w:type="dxa"/>
            </w:tcMar>
            <w:vAlign w:val="center"/>
          </w:tcPr>
          <w:p w14:paraId="2B3BF29E" w14:textId="77777777" w:rsidR="00287EFD" w:rsidRDefault="00000000" w:rsidP="007B33B3">
            <w:pPr>
              <w:keepLines/>
              <w:spacing w:after="0" w:line="247" w:lineRule="auto"/>
              <w:rPr>
                <w:rFonts w:hint="eastAsia"/>
              </w:rPr>
            </w:pPr>
            <w:r>
              <w:rPr>
                <w:sz w:val="21"/>
              </w:rPr>
              <w:t>Audit the measurement model and correction</w:t>
            </w:r>
          </w:p>
        </w:tc>
      </w:tr>
      <w:tr w:rsidR="00287EFD" w14:paraId="28925C49" w14:textId="77777777">
        <w:trPr>
          <w:cantSplit/>
          <w:jc w:val="center"/>
        </w:trPr>
        <w:tc>
          <w:tcPr>
            <w:tcW w:w="1872" w:type="dxa"/>
            <w:shd w:val="clear" w:color="auto" w:fill="FFFFFF"/>
            <w:tcMar>
              <w:top w:w="80" w:type="dxa"/>
              <w:left w:w="85" w:type="dxa"/>
              <w:bottom w:w="80" w:type="dxa"/>
              <w:right w:w="85" w:type="dxa"/>
            </w:tcMar>
            <w:vAlign w:val="center"/>
          </w:tcPr>
          <w:p w14:paraId="239074CF" w14:textId="77777777" w:rsidR="00287EFD" w:rsidRDefault="00000000" w:rsidP="007B33B3">
            <w:pPr>
              <w:keepLines/>
              <w:spacing w:after="0" w:line="247" w:lineRule="auto"/>
              <w:rPr>
                <w:rFonts w:hint="eastAsia"/>
              </w:rPr>
            </w:pPr>
            <w:r>
              <w:rPr>
                <w:sz w:val="21"/>
              </w:rPr>
              <w:t>Proposal event</w:t>
            </w:r>
          </w:p>
        </w:tc>
        <w:tc>
          <w:tcPr>
            <w:tcW w:w="4680" w:type="dxa"/>
            <w:shd w:val="clear" w:color="auto" w:fill="FFFFFF"/>
            <w:tcMar>
              <w:top w:w="80" w:type="dxa"/>
              <w:left w:w="85" w:type="dxa"/>
              <w:bottom w:w="80" w:type="dxa"/>
              <w:right w:w="85" w:type="dxa"/>
            </w:tcMar>
            <w:vAlign w:val="center"/>
          </w:tcPr>
          <w:p w14:paraId="77DDFFF7" w14:textId="77777777" w:rsidR="00287EFD" w:rsidRDefault="00000000" w:rsidP="007B33B3">
            <w:pPr>
              <w:keepLines/>
              <w:spacing w:after="0" w:line="247" w:lineRule="auto"/>
              <w:rPr>
                <w:rFonts w:hint="eastAsia"/>
              </w:rPr>
            </w:pPr>
            <w:r>
              <w:rPr>
                <w:sz w:val="21"/>
              </w:rPr>
              <w:t>History reference, full conditional law, density or mass, decoder</w:t>
            </w:r>
          </w:p>
        </w:tc>
        <w:tc>
          <w:tcPr>
            <w:tcW w:w="3384" w:type="dxa"/>
            <w:shd w:val="clear" w:color="auto" w:fill="FFFFFF"/>
            <w:tcMar>
              <w:top w:w="80" w:type="dxa"/>
              <w:left w:w="85" w:type="dxa"/>
              <w:bottom w:w="80" w:type="dxa"/>
              <w:right w:w="85" w:type="dxa"/>
            </w:tcMar>
            <w:vAlign w:val="center"/>
          </w:tcPr>
          <w:p w14:paraId="1AB18D9C" w14:textId="77777777" w:rsidR="00287EFD" w:rsidRDefault="00000000" w:rsidP="007B33B3">
            <w:pPr>
              <w:keepLines/>
              <w:spacing w:after="0" w:line="247" w:lineRule="auto"/>
              <w:rPr>
                <w:rFonts w:hint="eastAsia"/>
              </w:rPr>
            </w:pPr>
            <w:r>
              <w:rPr>
                <w:sz w:val="21"/>
              </w:rPr>
              <w:t>Validate target-to-proposal weighting</w:t>
            </w:r>
          </w:p>
        </w:tc>
      </w:tr>
      <w:tr w:rsidR="00287EFD" w14:paraId="1F798543" w14:textId="77777777">
        <w:trPr>
          <w:cantSplit/>
          <w:jc w:val="center"/>
        </w:trPr>
        <w:tc>
          <w:tcPr>
            <w:tcW w:w="1872" w:type="dxa"/>
            <w:shd w:val="clear" w:color="auto" w:fill="FFFFFF"/>
            <w:tcMar>
              <w:top w:w="80" w:type="dxa"/>
              <w:left w:w="85" w:type="dxa"/>
              <w:bottom w:w="80" w:type="dxa"/>
              <w:right w:w="85" w:type="dxa"/>
            </w:tcMar>
            <w:vAlign w:val="center"/>
          </w:tcPr>
          <w:p w14:paraId="11EB225B" w14:textId="77777777" w:rsidR="00287EFD" w:rsidRDefault="00000000" w:rsidP="007B33B3">
            <w:pPr>
              <w:keepLines/>
              <w:spacing w:after="0" w:line="247" w:lineRule="auto"/>
              <w:rPr>
                <w:rFonts w:hint="eastAsia"/>
              </w:rPr>
            </w:pPr>
            <w:r>
              <w:rPr>
                <w:sz w:val="21"/>
              </w:rPr>
              <w:t>Release event</w:t>
            </w:r>
          </w:p>
        </w:tc>
        <w:tc>
          <w:tcPr>
            <w:tcW w:w="4680" w:type="dxa"/>
            <w:shd w:val="clear" w:color="auto" w:fill="FFFFFF"/>
            <w:tcMar>
              <w:top w:w="80" w:type="dxa"/>
              <w:left w:w="85" w:type="dxa"/>
              <w:bottom w:w="80" w:type="dxa"/>
              <w:right w:w="85" w:type="dxa"/>
            </w:tcMar>
            <w:vAlign w:val="center"/>
          </w:tcPr>
          <w:p w14:paraId="0491BBA1" w14:textId="77777777" w:rsidR="00287EFD" w:rsidRDefault="00000000" w:rsidP="007B33B3">
            <w:pPr>
              <w:keepLines/>
              <w:spacing w:after="0" w:line="247" w:lineRule="auto"/>
              <w:rPr>
                <w:rFonts w:hint="eastAsia"/>
              </w:rPr>
            </w:pPr>
            <w:r>
              <w:rPr>
                <w:sz w:val="21"/>
              </w:rPr>
              <w:t>Current artifact and source digests, trusted check records, authorisation</w:t>
            </w:r>
          </w:p>
        </w:tc>
        <w:tc>
          <w:tcPr>
            <w:tcW w:w="3384" w:type="dxa"/>
            <w:shd w:val="clear" w:color="auto" w:fill="FFFFFF"/>
            <w:tcMar>
              <w:top w:w="80" w:type="dxa"/>
              <w:left w:w="85" w:type="dxa"/>
              <w:bottom w:w="80" w:type="dxa"/>
              <w:right w:w="85" w:type="dxa"/>
            </w:tcMar>
            <w:vAlign w:val="center"/>
          </w:tcPr>
          <w:p w14:paraId="65D7B64D" w14:textId="77777777" w:rsidR="00287EFD" w:rsidRDefault="00000000" w:rsidP="007B33B3">
            <w:pPr>
              <w:keepLines/>
              <w:spacing w:after="0" w:line="247" w:lineRule="auto"/>
              <w:rPr>
                <w:rFonts w:hint="eastAsia"/>
              </w:rPr>
            </w:pPr>
            <w:r>
              <w:rPr>
                <w:sz w:val="21"/>
              </w:rPr>
              <w:t>Bind approval to the published result</w:t>
            </w:r>
          </w:p>
        </w:tc>
      </w:tr>
    </w:tbl>
    <w:p w14:paraId="13FA144A" w14:textId="77777777" w:rsidR="00287EFD" w:rsidRDefault="00000000" w:rsidP="007B33B3">
      <w:pPr>
        <w:pStyle w:val="BodyText"/>
        <w:spacing w:before="140"/>
        <w:rPr>
          <w:rFonts w:hint="eastAsia"/>
        </w:rPr>
      </w:pPr>
      <w:r>
        <w:t xml:space="preserve">An evaluation log is the authoritative history. A proposal archive can be a bounded computational view of that log. The reporting archive retains current verified alternatives and their objective </w:t>
        <w:lastRenderedPageBreak/>
        <w:t>vectors. Updating the evaluated memory after each completed action is the autoregressive state change; it does not require changing the weights of a fixed base model.</w:t>
      </w:r>
    </w:p>
    <w:p w14:paraId="7BE91027" w14:textId="77777777" w:rsidR="00287EFD" w:rsidRDefault="00000000" w:rsidP="007B33B3">
      <w:pPr>
        <w:pStyle w:val="BodyText"/>
        <w:rPr>
          <w:rFonts w:hint="eastAsia"/>
        </w:rPr>
      </w:pPr>
      <w:r>
        <w:t>A proposal log that records only the selected parent and mutation scale may not determine the actual mixture density. Conversely, not every useful heuristic proposal needs to expose an exact law. The implementation should state which estimation claims it can support. An executable result can be accepted through its checks even when a heuristic search has no sampling guarantee; the search law and the acceptance evidence answer different questions.</w:t>
      </w:r>
    </w:p>
    <w:p w14:paraId="371DADFE" w14:textId="77777777" w:rsidR="00287EFD" w:rsidRDefault="00000000" w:rsidP="007B33B3">
      <w:pPr>
        <w:pStyle w:val="Heading1"/>
        <w:rPr>
          <w:rFonts w:hint="eastAsia"/>
        </w:rPr>
      </w:pPr>
      <w:bookmarkStart w:id="20" w:name="numerical-verification"/>
      <w:bookmarkEnd w:id="19"/>
      <w:r>
        <w:t>10 Numerical verification</w:t>
      </w:r>
    </w:p>
    <w:p w14:paraId="08A8ACA3" w14:textId="77777777" w:rsidR="00287EFD" w:rsidRDefault="00000000" w:rsidP="007B33B3">
      <w:pPr>
        <w:pStyle w:val="FirstParagraph"/>
        <w:rPr>
          <w:rFonts w:hint="eastAsia"/>
        </w:rPr>
      </w:pPr>
      <w:r>
        <w:t xml:space="preserve">All results in this section were executed for this revision in float64 with NumPy and SciPy. Gaussian-moment and two-design integrals were checked by adaptive quadrature over standard-normal coordinates from </w:t>
      </w:r>
      <m:oMath>
        <m:r>
          <m:rPr>
            <m:sty m:val="p"/>
          </m:rPr>
          <w:rPr>
            <w:rFonts w:ascii="Cambria Math" w:hAnsi="Cambria Math"/>
          </w:rPr>
          <m:t>-</m:t>
        </m:r>
        <m:r>
          <w:rPr>
            <w:rFonts w:ascii="Cambria Math" w:hAnsi="Cambria Math"/>
          </w:rPr>
          <m:t>12</m:t>
        </m:r>
      </m:oMath>
      <w:r>
        <w:t xml:space="preserve"> to 12, with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The tails for the reported inputs are negligible at the displayed precision. Monte Carlo standard errors below describe variability across the simulated independent draws; they do not establish that an actual language-model critic follows the assumed model.</w:t>
      </w:r>
    </w:p>
    <w:p w14:paraId="49F3A801" w14:textId="77777777" w:rsidR="00287EFD" w:rsidRDefault="00000000" w:rsidP="007B33B3">
      <w:pPr>
        <w:pStyle w:val="Caption"/>
        <w:keepNext/>
        <w:jc w:val="both"/>
        <w:rPr>
          <w:rFonts w:hint="eastAsia"/>
        </w:rPr>
      </w:pPr>
      <w:r>
        <w:t>Table 4. Closed forms and fresh Monte Carlo checks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872"/>
        <w:gridCol w:w="1872"/>
        <w:gridCol w:w="1872"/>
      </w:tblGrid>
      <w:tr w:rsidR="00287EFD" w14:paraId="609577E3" w14:textId="77777777">
        <w:trPr>
          <w:cantSplit/>
          <w:tblHeader/>
          <w:jc w:val="center"/>
        </w:trPr>
        <w:tc>
          <w:tcPr>
            <w:tcW w:w="4320" w:type="dxa"/>
            <w:shd w:val="clear" w:color="auto" w:fill="EAEAEA"/>
            <w:tcMar>
              <w:top w:w="80" w:type="dxa"/>
              <w:left w:w="85" w:type="dxa"/>
              <w:bottom w:w="80" w:type="dxa"/>
              <w:right w:w="85" w:type="dxa"/>
            </w:tcMar>
            <w:vAlign w:val="center"/>
          </w:tcPr>
          <w:p w14:paraId="23811072" w14:textId="77777777" w:rsidR="00287EFD" w:rsidRDefault="00000000" w:rsidP="007B33B3">
            <w:pPr>
              <w:keepNext/>
              <w:keepLines/>
              <w:spacing w:after="0" w:line="247" w:lineRule="auto"/>
              <w:rPr>
                <w:rFonts w:hint="eastAsia"/>
              </w:rPr>
            </w:pPr>
            <w:r>
              <w:rPr>
                <w:b/>
                <w:sz w:val="21"/>
              </w:rPr>
              <w:t>Quantity</w:t>
            </w:r>
          </w:p>
        </w:tc>
        <w:tc>
          <w:tcPr>
            <w:tcW w:w="1872" w:type="dxa"/>
            <w:shd w:val="clear" w:color="auto" w:fill="EAEAEA"/>
            <w:tcMar>
              <w:top w:w="80" w:type="dxa"/>
              <w:left w:w="85" w:type="dxa"/>
              <w:bottom w:w="80" w:type="dxa"/>
              <w:right w:w="85" w:type="dxa"/>
            </w:tcMar>
            <w:vAlign w:val="center"/>
          </w:tcPr>
          <w:p w14:paraId="2960B657" w14:textId="77777777" w:rsidR="00287EFD" w:rsidRDefault="00000000" w:rsidP="007B33B3">
            <w:pPr>
              <w:keepNext/>
              <w:keepLines/>
              <w:spacing w:after="0" w:line="247" w:lineRule="auto"/>
              <w:rPr>
                <w:rFonts w:hint="eastAsia"/>
              </w:rPr>
            </w:pPr>
            <w:r>
              <w:rPr>
                <w:b/>
                <w:sz w:val="21"/>
              </w:rPr>
              <w:t>Closed form</w:t>
            </w:r>
          </w:p>
        </w:tc>
        <w:tc>
          <w:tcPr>
            <w:tcW w:w="1872" w:type="dxa"/>
            <w:shd w:val="clear" w:color="auto" w:fill="EAEAEA"/>
            <w:tcMar>
              <w:top w:w="80" w:type="dxa"/>
              <w:left w:w="85" w:type="dxa"/>
              <w:bottom w:w="80" w:type="dxa"/>
              <w:right w:w="85" w:type="dxa"/>
            </w:tcMar>
            <w:vAlign w:val="center"/>
          </w:tcPr>
          <w:p w14:paraId="7E3FE1AC" w14:textId="77777777" w:rsidR="00287EFD" w:rsidRDefault="00000000" w:rsidP="007B33B3">
            <w:pPr>
              <w:keepNext/>
              <w:keepLines/>
              <w:spacing w:after="0" w:line="247" w:lineRule="auto"/>
              <w:rPr>
                <w:rFonts w:hint="eastAsia"/>
              </w:rPr>
            </w:pPr>
            <w:r>
              <w:rPr>
                <w:b/>
                <w:sz w:val="21"/>
              </w:rPr>
              <w:t>Monte Carlo mean</w:t>
            </w:r>
          </w:p>
        </w:tc>
        <w:tc>
          <w:tcPr>
            <w:tcW w:w="1872" w:type="dxa"/>
            <w:shd w:val="clear" w:color="auto" w:fill="EAEAEA"/>
            <w:tcMar>
              <w:top w:w="80" w:type="dxa"/>
              <w:left w:w="85" w:type="dxa"/>
              <w:bottom w:w="80" w:type="dxa"/>
              <w:right w:w="85" w:type="dxa"/>
            </w:tcMar>
            <w:vAlign w:val="center"/>
          </w:tcPr>
          <w:p w14:paraId="73C17AEB" w14:textId="77777777" w:rsidR="00287EFD" w:rsidRDefault="00000000" w:rsidP="007B33B3">
            <w:pPr>
              <w:keepNext/>
              <w:keepLines/>
              <w:spacing w:after="0" w:line="247" w:lineRule="auto"/>
              <w:rPr>
                <w:rFonts w:hint="eastAsia"/>
              </w:rPr>
            </w:pPr>
            <w:r>
              <w:rPr>
                <w:b/>
                <w:sz w:val="21"/>
              </w:rPr>
              <w:t>Monte Carlo standard error</w:t>
            </w:r>
          </w:p>
        </w:tc>
      </w:tr>
      <w:tr w:rsidR="00287EFD" w14:paraId="361C4F6A" w14:textId="77777777">
        <w:trPr>
          <w:cantSplit/>
          <w:jc w:val="center"/>
        </w:trPr>
        <w:tc>
          <w:tcPr>
            <w:tcW w:w="4320" w:type="dxa"/>
            <w:shd w:val="clear" w:color="auto" w:fill="FFFFFF"/>
            <w:tcMar>
              <w:top w:w="80" w:type="dxa"/>
              <w:left w:w="85" w:type="dxa"/>
              <w:bottom w:w="80" w:type="dxa"/>
              <w:right w:w="85" w:type="dxa"/>
            </w:tcMar>
            <w:vAlign w:val="center"/>
          </w:tcPr>
          <w:p w14:paraId="61253CAB" w14:textId="77777777" w:rsidR="00287EFD" w:rsidRDefault="00000000" w:rsidP="007B33B3">
            <w:pPr>
              <w:keepNext/>
              <w:keepLines/>
              <w:spacing w:after="0" w:line="247" w:lineRule="auto"/>
              <w:rPr>
                <w:rFonts w:hint="eastAsia"/>
              </w:rPr>
            </w:pPr>
            <w:r>
              <w:rPr>
                <w:sz w:val="21"/>
              </w:rPr>
              <w:t>Raw Gaussian weight</w:t>
            </w:r>
          </w:p>
        </w:tc>
        <w:tc>
          <w:tcPr>
            <w:tcW w:w="1872" w:type="dxa"/>
            <w:shd w:val="clear" w:color="auto" w:fill="FFFFFF"/>
            <w:tcMar>
              <w:top w:w="80" w:type="dxa"/>
              <w:left w:w="85" w:type="dxa"/>
              <w:bottom w:w="80" w:type="dxa"/>
              <w:right w:w="85" w:type="dxa"/>
            </w:tcMar>
            <w:vAlign w:val="center"/>
          </w:tcPr>
          <w:p w14:paraId="6C9559F7" w14:textId="77777777" w:rsidR="00287EFD" w:rsidRDefault="00000000" w:rsidP="007B33B3">
            <w:pPr>
              <w:keepNext/>
              <w:keepLines/>
              <w:spacing w:after="0" w:line="247" w:lineRule="auto"/>
              <w:rPr>
                <w:rFonts w:hint="eastAsia"/>
              </w:rPr>
            </w:pPr>
            <w:r>
              <w:rPr>
                <w:sz w:val="21"/>
              </w:rPr>
              <w:t>0.2195912314</w:t>
            </w:r>
          </w:p>
        </w:tc>
        <w:tc>
          <w:tcPr>
            <w:tcW w:w="1872" w:type="dxa"/>
            <w:shd w:val="clear" w:color="auto" w:fill="FFFFFF"/>
            <w:tcMar>
              <w:top w:w="80" w:type="dxa"/>
              <w:left w:w="85" w:type="dxa"/>
              <w:bottom w:w="80" w:type="dxa"/>
              <w:right w:w="85" w:type="dxa"/>
            </w:tcMar>
            <w:vAlign w:val="center"/>
          </w:tcPr>
          <w:p w14:paraId="38A93D83" w14:textId="77777777" w:rsidR="00287EFD" w:rsidRDefault="00000000" w:rsidP="007B33B3">
            <w:pPr>
              <w:keepNext/>
              <w:keepLines/>
              <w:spacing w:after="0" w:line="247" w:lineRule="auto"/>
              <w:rPr>
                <w:rFonts w:hint="eastAsia"/>
              </w:rPr>
            </w:pPr>
            <w:r>
              <w:rPr>
                <w:sz w:val="21"/>
              </w:rPr>
              <w:t>0.219260047</w:t>
            </w:r>
          </w:p>
        </w:tc>
        <w:tc>
          <w:tcPr>
            <w:tcW w:w="1872" w:type="dxa"/>
            <w:shd w:val="clear" w:color="auto" w:fill="FFFFFF"/>
            <w:tcMar>
              <w:top w:w="80" w:type="dxa"/>
              <w:left w:w="85" w:type="dxa"/>
              <w:bottom w:w="80" w:type="dxa"/>
              <w:right w:w="85" w:type="dxa"/>
            </w:tcMar>
            <w:vAlign w:val="center"/>
          </w:tcPr>
          <w:p w14:paraId="4FA989E7" w14:textId="77777777" w:rsidR="00287EFD" w:rsidRDefault="00000000" w:rsidP="007B33B3">
            <w:pPr>
              <w:keepNext/>
              <w:keepLines/>
              <w:spacing w:after="0" w:line="247" w:lineRule="auto"/>
              <w:rPr>
                <w:rFonts w:hint="eastAsia"/>
              </w:rPr>
            </w:pPr>
            <w:r>
              <w:rPr>
                <w:sz w:val="21"/>
              </w:rPr>
              <w:t>0.000233485</w:t>
            </w:r>
          </w:p>
        </w:tc>
      </w:tr>
      <w:tr w:rsidR="00287EFD" w14:paraId="07FE9418" w14:textId="77777777">
        <w:trPr>
          <w:cantSplit/>
          <w:jc w:val="center"/>
        </w:trPr>
        <w:tc>
          <w:tcPr>
            <w:tcW w:w="4320" w:type="dxa"/>
            <w:shd w:val="clear" w:color="auto" w:fill="FFFFFF"/>
            <w:tcMar>
              <w:top w:w="80" w:type="dxa"/>
              <w:left w:w="85" w:type="dxa"/>
              <w:bottom w:w="80" w:type="dxa"/>
              <w:right w:w="85" w:type="dxa"/>
            </w:tcMar>
            <w:vAlign w:val="center"/>
          </w:tcPr>
          <w:p w14:paraId="771F6FF1" w14:textId="77777777" w:rsidR="00287EFD" w:rsidRDefault="00000000" w:rsidP="007B33B3">
            <w:pPr>
              <w:keepNext/>
              <w:keepLines/>
              <w:spacing w:after="0" w:line="247" w:lineRule="auto"/>
              <w:rPr>
                <w:rFonts w:hint="eastAsia"/>
              </w:rPr>
            </w:pPr>
            <w:r>
              <w:rPr>
                <w:sz w:val="21"/>
              </w:rPr>
              <w:t>Plug-in residual with independent scores</w:t>
            </w:r>
          </w:p>
        </w:tc>
        <w:tc>
          <w:tcPr>
            <w:tcW w:w="1872" w:type="dxa"/>
            <w:shd w:val="clear" w:color="auto" w:fill="FFFFFF"/>
            <w:tcMar>
              <w:top w:w="80" w:type="dxa"/>
              <w:left w:w="85" w:type="dxa"/>
              <w:bottom w:w="80" w:type="dxa"/>
              <w:right w:w="85" w:type="dxa"/>
            </w:tcMar>
            <w:vAlign w:val="center"/>
          </w:tcPr>
          <w:p w14:paraId="0C1679F9" w14:textId="77777777" w:rsidR="00287EFD" w:rsidRDefault="00000000" w:rsidP="007B33B3">
            <w:pPr>
              <w:keepNext/>
              <w:keepLines/>
              <w:spacing w:after="0" w:line="247" w:lineRule="auto"/>
              <w:rPr>
                <w:rFonts w:hint="eastAsia"/>
              </w:rPr>
            </w:pPr>
            <w:r>
              <w:rPr>
                <w:sz w:val="21"/>
              </w:rPr>
              <w:t>1.031126656</w:t>
            </w:r>
          </w:p>
        </w:tc>
        <w:tc>
          <w:tcPr>
            <w:tcW w:w="1872" w:type="dxa"/>
            <w:shd w:val="clear" w:color="auto" w:fill="FFFFFF"/>
            <w:tcMar>
              <w:top w:w="80" w:type="dxa"/>
              <w:left w:w="85" w:type="dxa"/>
              <w:bottom w:w="80" w:type="dxa"/>
              <w:right w:w="85" w:type="dxa"/>
            </w:tcMar>
            <w:vAlign w:val="center"/>
          </w:tcPr>
          <w:p w14:paraId="5551FE07" w14:textId="77777777" w:rsidR="00287EFD" w:rsidRDefault="00000000" w:rsidP="007B33B3">
            <w:pPr>
              <w:keepNext/>
              <w:keepLines/>
              <w:spacing w:after="0" w:line="247" w:lineRule="auto"/>
              <w:rPr>
                <w:rFonts w:hint="eastAsia"/>
              </w:rPr>
            </w:pPr>
            <w:r>
              <w:rPr>
                <w:sz w:val="21"/>
              </w:rPr>
              <w:t>1.030062004</w:t>
            </w:r>
          </w:p>
        </w:tc>
        <w:tc>
          <w:tcPr>
            <w:tcW w:w="1872" w:type="dxa"/>
            <w:shd w:val="clear" w:color="auto" w:fill="FFFFFF"/>
            <w:tcMar>
              <w:top w:w="80" w:type="dxa"/>
              <w:left w:w="85" w:type="dxa"/>
              <w:bottom w:w="80" w:type="dxa"/>
              <w:right w:w="85" w:type="dxa"/>
            </w:tcMar>
            <w:vAlign w:val="center"/>
          </w:tcPr>
          <w:p w14:paraId="458B31B4" w14:textId="77777777" w:rsidR="00287EFD" w:rsidRDefault="00000000" w:rsidP="007B33B3">
            <w:pPr>
              <w:keepNext/>
              <w:keepLines/>
              <w:spacing w:after="0" w:line="247" w:lineRule="auto"/>
              <w:rPr>
                <w:rFonts w:hint="eastAsia"/>
              </w:rPr>
            </w:pPr>
            <w:r>
              <w:rPr>
                <w:sz w:val="21"/>
              </w:rPr>
              <w:t>0.001154586</w:t>
            </w:r>
          </w:p>
        </w:tc>
      </w:tr>
      <w:tr w:rsidR="00287EFD" w14:paraId="542548C8" w14:textId="77777777">
        <w:trPr>
          <w:cantSplit/>
          <w:jc w:val="center"/>
        </w:trPr>
        <w:tc>
          <w:tcPr>
            <w:tcW w:w="4320" w:type="dxa"/>
            <w:shd w:val="clear" w:color="auto" w:fill="FFFFFF"/>
            <w:tcMar>
              <w:top w:w="80" w:type="dxa"/>
              <w:left w:w="85" w:type="dxa"/>
              <w:bottom w:w="80" w:type="dxa"/>
              <w:right w:w="85" w:type="dxa"/>
            </w:tcMar>
            <w:vAlign w:val="center"/>
          </w:tcPr>
          <w:p w14:paraId="4C841E0E" w14:textId="77777777" w:rsidR="00287EFD" w:rsidRDefault="00000000" w:rsidP="007B33B3">
            <w:pPr>
              <w:keepLines/>
              <w:spacing w:after="0" w:line="247" w:lineRule="auto"/>
              <w:rPr>
                <w:rFonts w:hint="eastAsia"/>
              </w:rPr>
            </w:pPr>
            <w:r>
              <w:rPr>
                <w:sz w:val="21"/>
              </w:rPr>
              <w:t>Plug-in residual with correlation 0.3</w:t>
            </w:r>
          </w:p>
        </w:tc>
        <w:tc>
          <w:tcPr>
            <w:tcW w:w="1872" w:type="dxa"/>
            <w:shd w:val="clear" w:color="auto" w:fill="FFFFFF"/>
            <w:tcMar>
              <w:top w:w="80" w:type="dxa"/>
              <w:left w:w="85" w:type="dxa"/>
              <w:bottom w:w="80" w:type="dxa"/>
              <w:right w:w="85" w:type="dxa"/>
            </w:tcMar>
            <w:vAlign w:val="center"/>
          </w:tcPr>
          <w:p w14:paraId="0381E7EA" w14:textId="77777777" w:rsidR="00287EFD" w:rsidRDefault="00000000" w:rsidP="007B33B3">
            <w:pPr>
              <w:keepLines/>
              <w:spacing w:after="0" w:line="247" w:lineRule="auto"/>
              <w:rPr>
                <w:rFonts w:hint="eastAsia"/>
              </w:rPr>
            </w:pPr>
            <w:r>
              <w:rPr>
                <w:sz w:val="21"/>
              </w:rPr>
              <w:t>1.498416426</w:t>
            </w:r>
          </w:p>
        </w:tc>
        <w:tc>
          <w:tcPr>
            <w:tcW w:w="1872" w:type="dxa"/>
            <w:shd w:val="clear" w:color="auto" w:fill="FFFFFF"/>
            <w:tcMar>
              <w:top w:w="80" w:type="dxa"/>
              <w:left w:w="85" w:type="dxa"/>
              <w:bottom w:w="80" w:type="dxa"/>
              <w:right w:w="85" w:type="dxa"/>
            </w:tcMar>
            <w:vAlign w:val="center"/>
          </w:tcPr>
          <w:p w14:paraId="29AAB3E8" w14:textId="77777777" w:rsidR="00287EFD" w:rsidRDefault="00000000" w:rsidP="007B33B3">
            <w:pPr>
              <w:keepLines/>
              <w:spacing w:after="0" w:line="247" w:lineRule="auto"/>
              <w:rPr>
                <w:rFonts w:hint="eastAsia"/>
              </w:rPr>
            </w:pPr>
            <w:r>
              <w:rPr>
                <w:sz w:val="21"/>
              </w:rPr>
              <w:t>1.497700755</w:t>
            </w:r>
          </w:p>
        </w:tc>
        <w:tc>
          <w:tcPr>
            <w:tcW w:w="1872" w:type="dxa"/>
            <w:shd w:val="clear" w:color="auto" w:fill="FFFFFF"/>
            <w:tcMar>
              <w:top w:w="80" w:type="dxa"/>
              <w:left w:w="85" w:type="dxa"/>
              <w:bottom w:w="80" w:type="dxa"/>
              <w:right w:w="85" w:type="dxa"/>
            </w:tcMar>
            <w:vAlign w:val="center"/>
          </w:tcPr>
          <w:p w14:paraId="14C49217" w14:textId="77777777" w:rsidR="00287EFD" w:rsidRDefault="00000000" w:rsidP="007B33B3">
            <w:pPr>
              <w:keepLines/>
              <w:spacing w:after="0" w:line="247" w:lineRule="auto"/>
              <w:rPr>
                <w:rFonts w:hint="eastAsia"/>
              </w:rPr>
            </w:pPr>
            <w:r>
              <w:rPr>
                <w:sz w:val="21"/>
              </w:rPr>
              <w:t>0.002659581</w:t>
            </w:r>
          </w:p>
        </w:tc>
      </w:tr>
    </w:tbl>
    <w:p w14:paraId="356604FC" w14:textId="77777777" w:rsidR="00287EFD" w:rsidRDefault="00000000" w:rsidP="007B33B3">
      <w:pPr>
        <w:pStyle w:val="BodyText"/>
        <w:spacing w:before="140"/>
        <w:rPr>
          <w:rFonts w:hint="eastAsia"/>
        </w:rPr>
      </w:pPr>
      <w:r>
        <w:t xml:space="preserve">The first row uses </w:t>
      </w:r>
      <m:oMath>
        <m:r>
          <w:rPr>
            <w:rFonts w:ascii="Cambria Math" w:hAnsi="Cambria Math"/>
          </w:rPr>
          <m:t>J</m:t>
        </m:r>
        <m:r>
          <m:rPr>
            <m:sty m:val="p"/>
          </m:rPr>
          <w:rPr>
            <w:rFonts w:ascii="Cambria Math" w:hAnsi="Cambria Math"/>
          </w:rPr>
          <m:t>=</m:t>
        </m:r>
        <m:r>
          <w:rPr>
            <w:rFonts w:ascii="Cambria Math" w:hAnsi="Cambria Math"/>
          </w:rPr>
          <m:t>0.8</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the remaining rows use the same parameters. Each row is computed from 800000 simulated repetitions, with the correlated row using the common-error construction in Proposition 4. The raw-weight quadrature result agrees with its closed form to the ten decimal places printed. The known-variance correction and normalised two-design probabilities were also evaluated through direct one-dimensional normal integration for Table 2.</w:t>
      </w:r>
    </w:p>
    <w:p w14:paraId="25DA19B4" w14:textId="77777777" w:rsidR="00287EFD" w:rsidRDefault="00000000" w:rsidP="007B33B3">
      <w:pPr>
        <w:pStyle w:val="BodyText"/>
        <w:rPr>
          <w:rFonts w:hint="eastAsia"/>
        </w:rPr>
      </w:pPr>
      <w:r>
        <w:t xml:space="preserve">For the retrieval example in Section 5, quadrature gives 0.507027620 for the target and 0.765322564 for the uncorrected limit. One million draws from the narrow proposal give corrected estimate 0.505272814 and uncorrected estimate 0.765066860. Their approximate ratio standard errors are 0.000845361 and 0.000348155, respectively, computed from the weighted residuals under the independent proposal draws. Their difference reflects the proposal correction. The weight-concentration diagnostic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xml:space="preserve"> is approximately 663398 for this corrected retrieval. This diagnostic is not an independent-sample count or a general error certificate.</w:t>
      </w:r>
    </w:p>
    <w:p w14:paraId="3B18E648" w14:textId="77777777" w:rsidR="00287EFD" w:rsidRDefault="00000000" w:rsidP="007B33B3">
      <w:pPr>
        <w:pStyle w:val="Heading3"/>
        <w:rPr>
          <w:rFonts w:hint="eastAsia"/>
        </w:rPr>
      </w:pPr>
      <w:bookmarkStart w:id="21" w:name="an-adaptive-finite-catalogue-check"/>
      <w:r>
        <w:t>An adaptive finite-catalogue check</w:t>
      </w:r>
    </w:p>
    <w:p w14:paraId="45473478" w14:textId="77777777" w:rsidR="00287EFD" w:rsidRDefault="00000000" w:rsidP="007B33B3">
      <w:pPr>
        <w:pStyle w:val="FirstParagraph"/>
        <w:rPr>
          <w:rFonts w:hint="eastAsia"/>
        </w:rPr>
      </w:pPr>
      <w:r>
        <w:t xml:space="preserve">We reuse the catalogue of Table 1 with </w:t>
      </w:r>
      <m:oMath>
        <m:r>
          <w:rPr>
            <w:rFonts w:ascii="Cambria Math" w:hAnsi="Cambria Math"/>
          </w:rPr>
          <m:t>ϵ</m:t>
        </m:r>
        <m:r>
          <m:rPr>
            <m:sty m:val="p"/>
          </m:rPr>
          <w:rPr>
            <w:rFonts w:ascii="Cambria Math" w:hAnsi="Cambria Math"/>
          </w:rPr>
          <m:t>=</m:t>
        </m:r>
        <m:r>
          <w:rPr>
            <w:rFonts w:ascii="Cambria Math" w:hAnsi="Cambria Math"/>
          </w:rPr>
          <m:t>0.2</m:t>
        </m:r>
      </m:oMath>
      <w:r>
        <w:t xml:space="preserve">. Each of 2000 independent trajectories makes 300 draws. Let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oMath>
      <w:r>
        <w:t xml:space="preserve"> be one plus the number of previous draws of design </w:t>
      </w:r>
      <m:oMath>
        <m:r>
          <w:rPr>
            <w:rFonts w:ascii="Cambria Math" w:hAnsi="Cambria Math"/>
          </w:rPr>
          <m:t>x</m:t>
        </m:r>
      </m:oMath>
      <w:r>
        <w:t xml:space="preserve">. The adaptive component has mass proportional to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2J</m:t>
            </m:r>
            <m:d>
              <m:dPr>
                <m:ctrlPr>
                  <w:rPr>
                    <w:rFonts w:ascii="Cambria Math" w:hAnsi="Cambria Math"/>
                  </w:rPr>
                </m:ctrlPr>
              </m:dPr>
              <m:e>
                <m:r>
                  <w:rPr>
                    <w:rFonts w:ascii="Cambria Math" w:hAnsi="Cambria Math"/>
                  </w:rPr>
                  <m:t>x</m:t>
                </m:r>
              </m:e>
            </m:d>
          </m:sup>
        </m:sSup>
      </m:oMath>
      <w:r>
        <w:t>, and the full proposal adds the defensive prior share. Every draw records and uses its own actual full proposal mass. Thus the policy depends on the realised past while the target remains fixed.</w:t>
      </w:r>
    </w:p>
    <w:p w14:paraId="57B4B10A" w14:textId="77777777" w:rsidR="00287EFD" w:rsidRDefault="00000000" w:rsidP="007B33B3">
      <w:pPr>
        <w:pStyle w:val="BodyText"/>
        <w:rPr>
          <w:rFonts w:hint="eastAsia"/>
        </w:rPr>
      </w:pPr>
      <w:r>
        <w:lastRenderedPageBreak/>
        <w:t>The exact normaliser is 0.2785563861. The mean of its importance estimates across trajectories is 0.278345151 with standard error 0.000255763. The exact target probability of C is 0.481281406; the average self-normalised estimate is 0.483395338, with root mean squared error 0.035362806 across trajectories. These results are consistent with the unbiased unnormalised identity and a finite-sample ratio that can have bias. They do not measure ADE optimisation speed.</w:t>
      </w:r>
    </w:p>
    <w:p w14:paraId="49F8B77B" w14:textId="77777777" w:rsidR="00287EFD" w:rsidRDefault="00000000" w:rsidP="007B33B3">
      <w:pPr>
        <w:pStyle w:val="BodyText"/>
        <w:rPr>
          <w:rFonts w:hint="eastAsia"/>
        </w:rPr>
      </w:pPr>
      <w:r>
        <w:t xml:space="preserve">The general bound in Theorem 4 is conservative here. Taking </w:t>
      </w:r>
      <m:oMath>
        <m:r>
          <w:rPr>
            <w:rFonts w:ascii="Cambria Math" w:hAnsi="Cambria Math"/>
          </w:rPr>
          <m:t>L</m:t>
        </m:r>
        <m:r>
          <m:rPr>
            <m:sty m:val="p"/>
          </m:rPr>
          <w:rPr>
            <w:rFonts w:ascii="Cambria Math" w:hAnsi="Cambria Math"/>
          </w:rPr>
          <m:t>=</m:t>
        </m:r>
        <m:r>
          <w:rPr>
            <w:rFonts w:ascii="Cambria Math" w:hAnsi="Cambria Math"/>
          </w:rPr>
          <m:t>0</m:t>
        </m:r>
      </m:oMath>
      <w:r>
        <w:t xml:space="preserve"> gives </w:t>
      </w:r>
      <m:oMath>
        <m:r>
          <w:rPr>
            <w:rFonts w:ascii="Cambria Math" w:hAnsi="Cambria Math"/>
          </w:rPr>
          <m:t>C</m:t>
        </m:r>
        <m:r>
          <m:rPr>
            <m:sty m:val="p"/>
          </m:rPr>
          <w:rPr>
            <w:rFonts w:ascii="Cambria Math" w:hAnsi="Cambria Math"/>
          </w:rPr>
          <m:t>=</m:t>
        </m:r>
        <m:r>
          <w:rPr>
            <w:rFonts w:ascii="Cambria Math" w:hAnsi="Cambria Math"/>
          </w:rPr>
          <m:t>5</m:t>
        </m:r>
      </m:oMath>
      <w:r>
        <w:t xml:space="preserve">. At 300 draws and </w:t>
      </w:r>
      <m:oMath>
        <m:r>
          <w:rPr>
            <w:rFonts w:ascii="Cambria Math" w:hAnsi="Cambria Math"/>
          </w:rPr>
          <m:t>δ</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0.427299</m:t>
        </m:r>
      </m:oMath>
      <w:r>
        <w:t>, larger than the true denominator, so (17) supplies no ratio accuracy guarantee. At 100000 draws it gives a bound of 0.275178 for an estimand bounded in magnitude by one. The fact that observed errors are much smaller does not invalidate the bound; it shows the cost of a worst-case guarantee with a large defensive-weight constant. Section 11.3 replaces L = 0 by the actual lower bound 0.2 on the passing set and evaluates the variance-sensitive Corollary 1.</w:t>
      </w:r>
    </w:p>
    <w:p w14:paraId="65A3C445" w14:textId="77777777" w:rsidR="00287EFD" w:rsidRDefault="00000000" w:rsidP="007B33B3">
      <w:pPr>
        <w:pStyle w:val="BodyText"/>
        <w:rPr>
          <w:rFonts w:hint="eastAsia"/>
        </w:rPr>
      </w:pPr>
      <w:r>
        <w:t xml:space="preserve">A separate check evaluates (3) for 200 Dirichlet-drawn distributions on the three passing catalogue designs. The largest absolute discrepancy is </w:t>
      </w:r>
      <m:oMath>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The decoder example in Section 6 is verified by finite summation, and the preference mixture in Section 7 by exact normalisation. These checks verify implementations of the formulas. They are distinct from proving the formulas or validating a construction deployment.</w:t>
      </w:r>
    </w:p>
    <w:p w14:paraId="56AD7C0F" w14:textId="77777777" w:rsidR="00287EFD" w:rsidRDefault="00000000" w:rsidP="007B33B3">
      <w:pPr>
        <w:pStyle w:val="BodyText"/>
        <w:keepNext/>
        <w:rPr>
          <w:rFonts w:hint="eastAsia"/>
        </w:rPr>
      </w:pPr>
      <w:r>
        <w:rPr>
          <w:noProof/>
        </w:rPr>
        <w:drawing>
          <wp:inline distT="0" distB="0" distL="0" distR="0" wp14:anchorId="09310687" wp14:editId="38D430AD">
            <wp:extent cx="6217920" cy="2387936"/>
            <wp:effectExtent l="0" t="0" r="0" b="0"/>
            <wp:docPr id="41" name="Picture" descr="Numerical checks of critic normalisation and preference mixing"/>
            <wp:cNvGraphicFramePr/>
            <a:graphic xmlns:a="http://schemas.openxmlformats.org/drawingml/2006/main">
              <a:graphicData uri="http://schemas.openxmlformats.org/drawingml/2006/picture">
                <pic:pic xmlns:pic="http://schemas.openxmlformats.org/drawingml/2006/picture">
                  <pic:nvPicPr>
                    <pic:cNvPr id="42" name="Picture" descr="figures/density_checks.png"/>
                    <pic:cNvPicPr>
                      <a:picLocks noChangeAspect="1" noChangeArrowheads="1"/>
                    </pic:cNvPicPr>
                  </pic:nvPicPr>
                  <pic:blipFill>
                    <a:blip r:embed="rId7"/>
                    <a:stretch>
                      <a:fillRect/>
                    </a:stretch>
                  </pic:blipFill>
                  <pic:spPr bwMode="auto">
                    <a:xfrm>
                      <a:off x="0" y="0"/>
                      <a:ext cx="6217920" cy="2387936"/>
                    </a:xfrm>
                    <a:prstGeom prst="rect">
                      <a:avLst/>
                    </a:prstGeom>
                    <a:noFill/>
                    <a:ln w="9525">
                      <a:noFill/>
                      <a:headEnd/>
                      <a:tailEnd/>
                    </a:ln>
                  </pic:spPr>
                </pic:pic>
              </a:graphicData>
            </a:graphic>
          </wp:inline>
        </w:drawing>
      </w:r>
    </w:p>
    <w:p w14:paraId="587D21FD" w14:textId="77777777" w:rsidR="00287EFD" w:rsidRDefault="00000000" w:rsidP="007B33B3">
      <w:pPr>
        <w:pStyle w:val="Caption"/>
        <w:keepLines/>
        <w:jc w:val="both"/>
        <w:rPr>
          <w:rFonts w:hint="eastAsia"/>
        </w:rPr>
      </w:pPr>
      <w:r>
        <w:t>Figure 1. Two normalisation effects computed in this revision. Left, the ratio of expected raw weights and the expectation of finite normalised weights differ substantially in the two-design critic example. Right, normalising each preference component before mixing preserves the balanced eligible design B. Raw component mixing changes the preference allocation through the component normalisers.</w:t>
      </w:r>
    </w:p>
    <w:p>
      <w:pPr>
        <w:pStyle w:val="Heading1"/>
      </w:pPr>
      <w:r>
        <w:t xml:space="preserve">11 Numerical exploration</w:t>
      </w:r>
    </w:p>
    <w:p>
      <w:pPr>
        <w:pStyle w:val="FirstParagraph"/>
      </w:pPr>
      <w:r>
        <w:t xml:space="preserve">Section 10 checks the values displayed in the text. This section varies the parameters that those values fix. Its purpose is to locate the conditions under which each contract becomes fragile, and to replace single numbers by trends. All computations use float64 NumPy and SciPy. Quadrature settings follow Section 10, and seeds are listed in Appendix B. As before, simulated critics follow the stated Gaussian model; no language-model critic is evaluated.</w:t>
      </w:r>
    </w:p>
    <w:p>
      <w:pPr>
        <w:pStyle w:val="Heading2"/>
      </w:pPr>
      <w:r>
        <w:t xml:space="preserve">11.1 Normalised reads across noise levels</w:t>
      </w:r>
    </w:p>
    <w:p>
      <w:pPr>
        <w:pStyle w:val="FirstParagraph"/>
      </w:pPr>
      <w:r>
        <w:t xml:space="preserve">The two-design example of Section 4.1 is recomputed over</w:t>
      </w:r>
      <w:r>
        <w:t xml:space="preserve"> </w:t>
      </w:r>
      <m:oMath>
        <m:sSub>
          <m:e>
            <m:r>
              <m:t>σ</m:t>
            </m:r>
          </m:e>
          <m:sub>
            <m:r>
              <m:t>2</m:t>
            </m:r>
          </m:sub>
        </m:sSub>
        <m:r>
          <m:rPr>
            <m:sty m:val="p"/>
          </m:rPr>
          <m:t>∈</m:t>
        </m:r>
        <m:d>
          <m:dPr>
            <m:begChr m:val="["/>
            <m:sepChr m:val=""/>
            <m:endChr m:val="]"/>
            <m:grow/>
          </m:dPr>
          <m:e>
            <m:r>
              <m:t>0</m:t>
            </m:r>
            <m:r>
              <m:rPr>
                <m:sty m:val="p"/>
              </m:rPr>
              <m:t>,</m:t>
            </m:r>
            <m:r>
              <m:t>0.6</m:t>
            </m:r>
          </m:e>
        </m:d>
      </m:oMath>
      <w:r>
        <w:t xml:space="preserve"> </w:t>
      </w:r>
      <w:r>
        <w:t xml:space="preserve">in steps of 0.025, with</w:t>
      </w:r>
      <w:r>
        <w:t xml:space="preserve"> </w:t>
      </w:r>
      <m:oMath>
        <m:r>
          <m:t>k</m:t>
        </m:r>
        <m:r>
          <m:rPr>
            <m:sty m:val="p"/>
          </m:rPr>
          <m:t>∈</m:t>
        </m:r>
        <m:r>
          <m:rPr>
            <m:sty m:val="p"/>
          </m:rPr>
          <m:t>{</m:t>
        </m:r>
        <m:r>
          <m:t>1</m:t>
        </m:r>
        <m:r>
          <m:rPr>
            <m:sty m:val="p"/>
          </m:rPr>
          <m:t>,</m:t>
        </m:r>
        <m:r>
          <m:t>4</m:t>
        </m:r>
        <m:r>
          <m:rPr>
            <m:sty m:val="p"/>
          </m:rPr>
          <m:t>,</m:t>
        </m:r>
        <m:r>
          <m:t>16</m:t>
        </m:r>
        <m:r>
          <m:rPr>
            <m:sty m:val="p"/>
          </m:rPr>
          <m:t>}</m:t>
        </m:r>
      </m:oMath>
      <w:r>
        <w:t xml:space="preserve"> </w:t>
      </w:r>
      <w:r>
        <w:t xml:space="preserve">and all other settings unchanged. Figure 2a and Table 5 show the three averages and the probability that a single comparison of mean scores prefers the worse design,</w:t>
      </w:r>
      <w:r>
        <w:t xml:space="preserve"> </w:t>
      </w:r>
      <m:oMath>
        <m:r>
          <m:t>Φ</m:t>
        </m:r>
        <m:r>
          <m:rPr>
            <m:sty m:val="p"/>
          </m:rPr>
          <m:t>{</m:t>
        </m:r>
        <m:r>
          <m:rPr>
            <m:sty m:val="p"/>
          </m:rPr>
          <m:t>−</m:t>
        </m:r>
        <m:d>
          <m:dPr>
            <m:begChr m:val="("/>
            <m:sepChr m:val=""/>
            <m:endChr m:val=")"/>
            <m:grow/>
          </m:dPr>
          <m:e>
            <m:sSub>
              <m:e>
                <m:r>
                  <m:t>J</m:t>
                </m:r>
              </m:e>
              <m:sub>
                <m:r>
                  <m:t>2</m:t>
                </m:r>
              </m:sub>
            </m:sSub>
            <m:r>
              <m:rPr>
                <m:sty m:val="p"/>
              </m:rPr>
              <m:t>−</m:t>
            </m:r>
            <m:sSub>
              <m:e>
                <m:r>
                  <m:t>J</m:t>
                </m:r>
              </m:e>
              <m:sub>
                <m:r>
                  <m:t>1</m:t>
                </m:r>
              </m:sub>
            </m:sSub>
          </m:e>
        </m:d>
        <m:r>
          <m:rPr>
            <m:sty m:val="p"/>
          </m:rPr>
          <m:t>/</m:t>
        </m:r>
        <m:r>
          <m:rPr>
            <m:sty m:val="p"/>
          </m:rPr>
          <m:t>s</m:t>
        </m:r>
        <m:r>
          <m:rPr>
            <m:sty m:val="p"/>
          </m:rPr>
          <m:t>d</m:t>
        </m:r>
        <m:d>
          <m:dPr>
            <m:begChr m:val="("/>
            <m:sepChr m:val=""/>
            <m:endChr m:val=")"/>
            <m:grow/>
          </m:dPr>
          <m:e>
            <m:sSub>
              <m:e>
                <m:r>
                  <m:t>S</m:t>
                </m:r>
              </m:e>
              <m:sub>
                <m:r>
                  <m:t>k</m:t>
                </m:r>
                <m:r>
                  <m:rPr>
                    <m:sty m:val="p"/>
                  </m:rPr>
                  <m:t>,</m:t>
                </m:r>
                <m:r>
                  <m:t>2</m:t>
                </m:r>
              </m:sub>
            </m:sSub>
            <m:r>
              <m:rPr>
                <m:sty m:val="p"/>
              </m:rPr>
              <m:t>−</m:t>
            </m:r>
            <m:sSub>
              <m:e>
                <m:r>
                  <m:t>S</m:t>
                </m:r>
              </m:e>
              <m:sub>
                <m:r>
                  <m:t>k</m:t>
                </m:r>
                <m:r>
                  <m:rPr>
                    <m:sty m:val="p"/>
                  </m:rPr>
                  <m:t>,</m:t>
                </m:r>
                <m:r>
                  <m:t>1</m:t>
                </m:r>
              </m:sub>
            </m:sSub>
          </m:e>
        </m:d>
        <m:r>
          <m:rPr>
            <m:sty m:val="p"/>
          </m:rPr>
          <m:t>}</m:t>
        </m:r>
      </m:oMath>
      <w:r>
        <w:t xml:space="preserve">.</w:t>
      </w:r>
    </w:p>
    <w:p>
      <w:pPr>
        <w:pStyle w:val="Caption"/>
        <w:keepNext/>
        <w:jc w:val="both"/>
        <w:rPr>
          <w:rFonts w:hint="eastAsia"/>
        </w:rPr>
      </w:pPr>
      <w:r>
        <w:t xml:space="preserve">Table 5. Two-design averages across critic noise, with β = 10, σ1 = 0.02 and noise-free value 0.182426</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7"/>
        <w:gridCol w:w="877"/>
        <w:gridCol w:w="2046"/>
        <w:gridCol w:w="2046"/>
        <w:gridCol w:w="2046"/>
        <w:gridCol w:w="2044"/>
      </w:tblGrid>
      <w:tr>
        <w:trPr>
          <w:cantSplit/>
          <w:tblHeader/>
          <w:jc w:val="center"/>
        </w:trPr>
        <w:tc>
          <w:tcPr>
            <w:tcW w:w="8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k</w:t>
            </w:r>
          </w:p>
        </w:tc>
        <w:tc>
          <w:tcPr>
            <w:tcW w:w="8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σ2</w:t>
            </w:r>
          </w:p>
        </w:tc>
        <w:tc>
          <w:tcPr>
            <w:tcW w:w="204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Ratio of expected raw weights</w:t>
            </w:r>
          </w:p>
        </w:tc>
        <w:tc>
          <w:tcPr>
            <w:tcW w:w="204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Expected normalised weight</w:t>
            </w:r>
          </w:p>
        </w:tc>
        <w:tc>
          <w:tcPr>
            <w:tcW w:w="204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Known-variance corrected</w:t>
            </w:r>
          </w:p>
        </w:tc>
        <w:tc>
          <w:tcPr>
            <w:tcW w:w="204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P(worse design preferred)</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0.265027</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0.222746</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0.159074</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0.070663</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0.951662</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0.333289</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0.044146</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0.308928</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0.999983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0.388847</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0.004396</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0.382180</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0.201009</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0.194118</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0.176693</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0.001632</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0.406127</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0.254525</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0.126945</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0.159192</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0.834795</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0.311338</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0.066559</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0.274413</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0.186943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0.185465</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0.181018</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2.01×10⁻⁹</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0.227936</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0.206353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0.167283</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0.022990</w:t>
            </w:r>
          </w:p>
        </w:tc>
      </w:tr>
      <w:tr>
        <w:trPr>
          <w:cantSplit/>
          <w:jc w:val="center"/>
        </w:trPr>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8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0.327393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0.237923</w:t>
            </w:r>
          </w:p>
        </w:tc>
        <w:tc>
          <w:tcPr>
            <w:tcW w:w="2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0.141780</w:t>
            </w:r>
          </w:p>
        </w:tc>
        <w:tc>
          <w:tcPr>
            <w:tcW w:w="204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0.115256</w:t>
            </w:r>
          </w:p>
        </w:tc>
      </w:tr>
    </w:tbl>
    <w:p>
      <w:pPr>
        <w:pStyle w:val="BodyText"/>
        <w:spacing w:after="60"/>
        <w:rPr>
          <w:rFonts w:hint="eastAsia"/>
        </w:rPr>
      </w:pPr>
    </w:p>
    <w:p>
      <w:pPr>
        <w:pStyle w:val="BodyText"/>
      </w:pPr>
      <w:r>
        <w:t xml:space="preserve">Across the grid the expected normalised weight never exceeds 0.405, as Proposition 2 requires, while the ratio of raw expectations reaches 1.000 by</w:t>
      </w:r>
      <w:r>
        <w:t xml:space="preserve"> </w:t>
      </w:r>
      <m:oMath>
        <m:sSub>
          <m:e>
            <m:r>
              <m:t>σ</m:t>
            </m:r>
          </m:e>
          <m:sub>
            <m:r>
              <m:t>2</m:t>
            </m:r>
          </m:sub>
        </m:sSub>
        <m:r>
          <m:rPr>
            <m:sty m:val="p"/>
          </m:rPr>
          <m:t>=</m:t>
        </m:r>
        <m:r>
          <m:t>0.4</m:t>
        </m:r>
      </m:oMath>
      <w:r>
        <w:t xml:space="preserve"> </w:t>
      </w:r>
      <w:r>
        <w:t xml:space="preserve">at</w:t>
      </w:r>
      <w:r>
        <w:t xml:space="preserve"> </w:t>
      </w:r>
      <m:oMath>
        <m:r>
          <m:t>k</m:t>
        </m:r>
        <m:r>
          <m:rPr>
            <m:sty m:val="p"/>
          </m:rPr>
          <m:t>=</m:t>
        </m:r>
        <m:r>
          <m:t>1</m:t>
        </m:r>
      </m:oMath>
      <w:r>
        <w:t xml:space="preserve">. The known-variance correction does not move the normalised read towards the noise-free value 0.182426. It overshoots below it: 0.044 at</w:t>
      </w:r>
      <w:r>
        <w:t xml:space="preserve"> </w:t>
      </w:r>
      <m:oMath>
        <m:r>
          <m:t>k</m:t>
        </m:r>
        <m:r>
          <m:rPr>
            <m:sty m:val="p"/>
          </m:rPr>
          <m:t>=</m:t>
        </m:r>
        <m:r>
          <m:t>1</m:t>
        </m:r>
      </m:oMath>
      <w:r>
        <w:t xml:space="preserve"> </w:t>
      </w:r>
      <w:r>
        <w:t xml:space="preserve">and</w:t>
      </w:r>
      <w:r>
        <w:t xml:space="preserve"> </w:t>
      </w:r>
      <m:oMath>
        <m:sSub>
          <m:e>
            <m:r>
              <m:t>σ</m:t>
            </m:r>
          </m:e>
          <m:sub>
            <m:r>
              <m:t>2</m:t>
            </m:r>
          </m:sub>
        </m:sSub>
        <m:r>
          <m:rPr>
            <m:sty m:val="p"/>
          </m:rPr>
          <m:t>=</m:t>
        </m:r>
        <m:r>
          <m:t>0.3</m:t>
        </m:r>
      </m:oMath>
      <w:r>
        <w:t xml:space="preserve">. Inside a finite normalisation the correction acts as a penalty on noisy designs, not merely as removal of inflation. Both averages approach the noise-free value only as</w:t>
      </w:r>
      <w:r>
        <w:t xml:space="preserve"> </w:t>
      </w:r>
      <m:oMath>
        <m:r>
          <m:t>k</m:t>
        </m:r>
      </m:oMath>
      <w:r>
        <w:t xml:space="preserve"> </w:t>
      </w:r>
      <w:r>
        <w:t xml:space="preserve">grows.</w:t>
      </w:r>
    </w:p>
    <w:p>
      <w:pPr>
        <w:pStyle w:val="BodyText"/>
      </w:pPr>
      <w:r>
        <w:t xml:space="preserve">A shared error with unequal loadings was also integrated directly. Each mean score receives an extra term</w:t>
      </w:r>
      <w:r>
        <w:t xml:space="preserve"> </w:t>
      </w:r>
      <m:oMath>
        <m:sSub>
          <m:e>
            <m:r>
              <m:t>l</m:t>
            </m:r>
          </m:e>
          <m:sub>
            <m:r>
              <m:t>i</m:t>
            </m:r>
          </m:sub>
        </m:sSub>
        <m:r>
          <m:t>τ</m:t>
        </m:r>
        <m:r>
          <m:t>U</m:t>
        </m:r>
      </m:oMath>
      <w:r>
        <w:t xml:space="preserve"> </w:t>
      </w:r>
      <w:r>
        <w:t xml:space="preserve">with</w:t>
      </w:r>
      <w:r>
        <w:t xml:space="preserve"> </w:t>
      </w:r>
      <m:oMath>
        <m:r>
          <m:t>τ</m:t>
        </m:r>
        <m:r>
          <m:rPr>
            <m:sty m:val="p"/>
          </m:rPr>
          <m:t>=</m:t>
        </m:r>
        <m:r>
          <m:t>0.2</m:t>
        </m:r>
      </m:oMath>
      <w:r>
        <w:t xml:space="preserve"> </w:t>
      </w:r>
      <w:r>
        <w:t xml:space="preserve">and a common standard normal</w:t>
      </w:r>
      <w:r>
        <w:t xml:space="preserve"> </w:t>
      </w:r>
      <m:oMath>
        <m:r>
          <m:t>U</m:t>
        </m:r>
      </m:oMath>
      <w:r>
        <w:t xml:space="preserve">, at</w:t>
      </w:r>
      <w:r>
        <w:t xml:space="preserve"> </w:t>
      </w:r>
      <m:oMath>
        <m:r>
          <m:t>k</m:t>
        </m:r>
        <m:r>
          <m:rPr>
            <m:sty m:val="p"/>
          </m:rPr>
          <m:t>=</m:t>
        </m:r>
        <m:r>
          <m:t>4</m:t>
        </m:r>
      </m:oMath>
      <w:r>
        <w:t xml:space="preserve"> </w:t>
      </w:r>
      <w:r>
        <w:t xml:space="preserve">and</w:t>
      </w:r>
      <w:r>
        <w:t xml:space="preserve"> </w:t>
      </w:r>
      <m:oMath>
        <m:sSub>
          <m:e>
            <m:r>
              <m:t>σ</m:t>
            </m:r>
          </m:e>
          <m:sub>
            <m:r>
              <m:t>2</m:t>
            </m:r>
          </m:sub>
        </m:sSub>
        <m:r>
          <m:rPr>
            <m:sty m:val="p"/>
          </m:rPr>
          <m:t>=</m:t>
        </m:r>
        <m:r>
          <m:t>0.3</m:t>
        </m:r>
      </m:oMath>
      <w:r>
        <w:t xml:space="preserve">. Equal loadings</w:t>
      </w:r>
      <w:r>
        <w:t xml:space="preserve"> </w:t>
      </w:r>
      <m:oMath>
        <m:d>
          <m:dPr>
            <m:begChr m:val="("/>
            <m:sepChr m:val=""/>
            <m:endChr m:val=")"/>
            <m:grow/>
          </m:dPr>
          <m:e>
            <m:r>
              <m:t>1</m:t>
            </m:r>
            <m:r>
              <m:rPr>
                <m:sty m:val="p"/>
              </m:rPr>
              <m:t>,</m:t>
            </m:r>
            <m:r>
              <m:t>1</m:t>
            </m:r>
          </m:e>
        </m:d>
      </m:oMath>
      <w:r>
        <w:t xml:space="preserve"> </w:t>
      </w:r>
      <w:r>
        <w:t xml:space="preserve">give 0.254525, identical to the independent value, because the common factor cancels. Loadings</w:t>
      </w:r>
      <w:r>
        <w:t xml:space="preserve"> </w:t>
      </w:r>
      <m:oMath>
        <m:d>
          <m:dPr>
            <m:begChr m:val="("/>
            <m:sepChr m:val=""/>
            <m:endChr m:val=")"/>
            <m:grow/>
          </m:dPr>
          <m:e>
            <m:r>
              <m:t>0.5</m:t>
            </m:r>
            <m:r>
              <m:rPr>
                <m:sty m:val="p"/>
              </m:rPr>
              <m:t>,</m:t>
            </m:r>
            <m:r>
              <m:t>1.5</m:t>
            </m:r>
          </m:e>
        </m:d>
      </m:oMath>
      <w:r>
        <w:t xml:space="preserve"> </w:t>
      </w:r>
      <w:r>
        <w:t xml:space="preserve">and</w:t>
      </w:r>
      <w:r>
        <w:t xml:space="preserve"> </w:t>
      </w:r>
      <m:oMath>
        <m:d>
          <m:dPr>
            <m:begChr m:val="("/>
            <m:sepChr m:val=""/>
            <m:endChr m:val=")"/>
            <m:grow/>
          </m:dPr>
          <m:e>
            <m:r>
              <m:t>1.5</m:t>
            </m:r>
            <m:r>
              <m:rPr>
                <m:sty m:val="p"/>
              </m:rPr>
              <m:t>,</m:t>
            </m:r>
            <m:r>
              <m:t>0.5</m:t>
            </m:r>
          </m:e>
        </m:d>
      </m:oMath>
      <w:r>
        <w:t xml:space="preserve"> </w:t>
      </w:r>
      <w:r>
        <w:t xml:space="preserve">both give 0.311338. This equals the independent value at</w:t>
      </w:r>
      <w:r>
        <w:t xml:space="preserve"> </w:t>
      </w:r>
      <m:oMath>
        <m:sSub>
          <m:e>
            <m:r>
              <m:t>σ</m:t>
            </m:r>
          </m:e>
          <m:sub>
            <m:r>
              <m:t>2</m:t>
            </m:r>
          </m:sub>
        </m:sSub>
        <m:r>
          <m:rPr>
            <m:sty m:val="p"/>
          </m:rPr>
          <m:t>=</m:t>
        </m:r>
        <m:r>
          <m:t>0.5</m:t>
        </m:r>
      </m:oMath>
      <w:r>
        <w:t xml:space="preserve">, because the differential term adds</w:t>
      </w:r>
      <w:r>
        <w:t xml:space="preserve"> </w:t>
      </w:r>
      <m:oMath>
        <m:r>
          <m:t>0.04</m:t>
        </m:r>
      </m:oMath>
      <w:r>
        <w:t xml:space="preserve"> </w:t>
      </w:r>
      <w:r>
        <w:t xml:space="preserve">to the variance of the score difference, exactly the increase from raising</w:t>
      </w:r>
      <w:r>
        <w:t xml:space="preserve"> </w:t>
      </w:r>
      <m:oMath>
        <m:sSub>
          <m:e>
            <m:r>
              <m:t>σ</m:t>
            </m:r>
          </m:e>
          <m:sub>
            <m:r>
              <m:t>2</m:t>
            </m:r>
          </m:sub>
        </m:sSub>
      </m:oMath>
      <w:r>
        <w:t xml:space="preserve"> </w:t>
      </w:r>
      <w:r>
        <w:t xml:space="preserve">from 0.3 to 0.5 at</w:t>
      </w:r>
      <w:r>
        <w:t xml:space="preserve"> </w:t>
      </w:r>
      <m:oMath>
        <m:r>
          <m:t>k</m:t>
        </m:r>
        <m:r>
          <m:rPr>
            <m:sty m:val="p"/>
          </m:rPr>
          <m:t>=</m:t>
        </m:r>
        <m:r>
          <m:t>4</m:t>
        </m:r>
      </m:oMath>
      <w:r>
        <w:t xml:space="preserve">. Only the differential loading matters, and its sign does not.</w:t>
      </w:r>
    </w:p>
    <w:p>
      <w:pPr>
        <w:pStyle w:val="Heading2"/>
      </w:pPr>
      <w:r>
        <w:t xml:space="preserve">11.2 Unbiased, plug-in and known-variance weights</w:t>
      </w:r>
    </w:p>
    <w:p>
      <w:pPr>
        <w:pStyle w:val="FirstParagraph"/>
      </w:pPr>
      <w:r>
        <w:t xml:space="preserve">Table 6 compares four weights at the parameters of Section 4.2,</w:t>
      </w:r>
      <w:r>
        <w:t xml:space="preserve"> </w:t>
      </w:r>
      <m:oMath>
        <m:r>
          <m:t>J</m:t>
        </m:r>
        <m:r>
          <m:rPr>
            <m:sty m:val="p"/>
          </m:rPr>
          <m:t>=</m:t>
        </m:r>
        <m:r>
          <m:t>0.8</m:t>
        </m:r>
      </m:oMath>
      <w:r>
        <w:t xml:space="preserve">,</w:t>
      </w:r>
      <w:r>
        <w:t xml:space="preserve"> </w:t>
      </w:r>
      <m:oMath>
        <m:r>
          <m:t>σ</m:t>
        </m:r>
        <m:r>
          <m:rPr>
            <m:sty m:val="p"/>
          </m:rPr>
          <m:t>=</m:t>
        </m:r>
        <m:r>
          <m:t>0.7</m:t>
        </m:r>
      </m:oMath>
      <w:r>
        <w:t xml:space="preserve"> </w:t>
      </w:r>
      <w:r>
        <w:t xml:space="preserve">and</w:t>
      </w:r>
      <w:r>
        <w:t xml:space="preserve"> </w:t>
      </w:r>
      <m:oMath>
        <m:r>
          <m:t>β</m:t>
        </m:r>
        <m:r>
          <m:rPr>
            <m:sty m:val="p"/>
          </m:rPr>
          <m:t>=</m:t>
        </m:r>
        <m:r>
          <m:t>2.3</m:t>
        </m:r>
      </m:oMath>
      <w:r>
        <w:t xml:space="preserve">, using 800000 repetitions for each</w:t>
      </w:r>
      <w:r>
        <w:t xml:space="preserve"> </w:t>
      </w:r>
      <m:oMath>
        <m:r>
          <m:t>k</m:t>
        </m:r>
      </m:oMath>
      <w:r>
        <w:t xml:space="preserve">. Means are reported relative to the target</w:t>
      </w:r>
      <w:r>
        <w:t xml:space="preserve"> </w:t>
      </w:r>
      <m:oMath>
        <m:sSup>
          <m:e>
            <m:r>
              <m:t>e</m:t>
            </m:r>
          </m:e>
          <m:sup>
            <m:r>
              <m:rPr>
                <m:sty m:val="p"/>
              </m:rPr>
              <m:t>−</m:t>
            </m:r>
            <m:r>
              <m:t>β</m:t>
            </m:r>
            <m:r>
              <m:t>J</m:t>
            </m:r>
          </m:sup>
        </m:sSup>
        <m:r>
          <m:rPr>
            <m:sty m:val="p"/>
          </m:rPr>
          <m:t>=</m:t>
        </m:r>
        <m:r>
          <m:t>0.158817</m:t>
        </m:r>
      </m:oMath>
      <w:r>
        <w:t xml:space="preserve">. Exact negativity probabilities are sums of chi-squared tail differences between consecutive Bessel zeros. Relative root mean squared errors are exact one-dimensional integrals over the chi-squared variable.</w:t>
      </w:r>
    </w:p>
    <w:p>
      <w:pPr>
        <w:pStyle w:val="Caption"/>
        <w:keepNext/>
        <w:jc w:val="both"/>
        <w:rPr>
          <w:rFonts w:hint="eastAsia"/>
        </w:rPr>
      </w:pPr>
      <w:r>
        <w:t xml:space="preserve">Table 6. Mean weight relative to the target, negativity and relative RMSE at J = 0.8, σ = 0.7, β = 2.3</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3"/>
        <w:gridCol w:w="1046"/>
        <w:gridCol w:w="1046"/>
        <w:gridCol w:w="1177"/>
        <w:gridCol w:w="1700"/>
        <w:gridCol w:w="1307"/>
        <w:gridCol w:w="1046"/>
        <w:gridCol w:w="1046"/>
        <w:gridCol w:w="1045"/>
      </w:tblGrid>
      <w:tr>
        <w:trPr>
          <w:cantSplit/>
          <w:tblHeader/>
          <w:jc w:val="center"/>
        </w:trPr>
        <w:tc>
          <w:tcPr>
            <w:tcW w:w="52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k</w:t>
            </w:r>
          </w:p>
        </w:tc>
        <w:tc>
          <w:tcPr>
            <w:tcW w:w="104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Raw mean</w:t>
            </w:r>
          </w:p>
        </w:tc>
        <w:tc>
          <w:tcPr>
            <w:tcW w:w="104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Plug-in mean</w:t>
            </w:r>
          </w:p>
        </w:tc>
        <w:tc>
          <w:tcPr>
            <w:tcW w:w="11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Plug-in closed form (8)</w:t>
            </w:r>
          </w:p>
        </w:tc>
        <w:tc>
          <w:tcPr>
            <w:tcW w:w="1700"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Unbiased mean ± s.e.</w:t>
            </w:r>
          </w:p>
        </w:tc>
        <w:tc>
          <w:tcPr>
            <w:tcW w:w="130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Exact P(unbiased &lt; 0)</w:t>
            </w:r>
          </w:p>
        </w:tc>
        <w:tc>
          <w:tcPr>
            <w:tcW w:w="104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Rel. RMSE known variance</w:t>
            </w:r>
          </w:p>
        </w:tc>
        <w:tc>
          <w:tcPr>
            <w:tcW w:w="104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Rel. RMSE plug-in</w:t>
            </w:r>
          </w:p>
        </w:tc>
        <w:tc>
          <w:tcPr>
            <w:tcW w:w="104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Rel. RMSE unbiased</w:t>
            </w:r>
          </w:p>
        </w:tc>
      </w:tr>
      <w:tr>
        <w:trPr>
          <w:cantSplit/>
          <w:jc w:val="center"/>
        </w:trPr>
        <w:tc>
          <w:tcPr>
            <w:tcW w:w="5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1.915218</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1.263594</w:t>
            </w:r>
          </w:p>
        </w:tc>
        <w:tc>
          <w:tcPr>
            <w:tcW w:w="11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1.261662</w:t>
            </w:r>
          </w:p>
        </w:tc>
        <w:tc>
          <w:tcPr>
            <w:tcW w:w="170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1.000996 ± 0.002818</w:t>
            </w:r>
          </w:p>
        </w:tc>
        <w:tc>
          <w:tcPr>
            <w:tcW w:w="130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0.167620</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1.6294</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2.3504</w:t>
            </w:r>
          </w:p>
        </w:tc>
        <w:tc>
          <w:tcPr>
            <w:tcW w:w="104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2.4857</w:t>
            </w:r>
          </w:p>
        </w:tc>
      </w:tr>
      <w:tr>
        <w:trPr>
          <w:cantSplit/>
          <w:jc w:val="center"/>
        </w:trPr>
        <w:tc>
          <w:tcPr>
            <w:tcW w:w="5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1.540117</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1.076480</w:t>
            </w:r>
          </w:p>
        </w:tc>
        <w:tc>
          <w:tcPr>
            <w:tcW w:w="11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1.075658</w:t>
            </w:r>
          </w:p>
        </w:tc>
        <w:tc>
          <w:tcPr>
            <w:tcW w:w="170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1.001218 ± 0.001513</w:t>
            </w:r>
          </w:p>
        </w:tc>
        <w:tc>
          <w:tcPr>
            <w:tcW w:w="130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0.035203</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1.1716</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1.3671</w:t>
            </w:r>
          </w:p>
        </w:tc>
        <w:tc>
          <w:tcPr>
            <w:tcW w:w="104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1.3552</w:t>
            </w:r>
          </w:p>
        </w:tc>
      </w:tr>
      <w:tr>
        <w:trPr>
          <w:cantSplit/>
          <w:jc w:val="center"/>
        </w:trPr>
        <w:tc>
          <w:tcPr>
            <w:tcW w:w="5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1.381468</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1.029807</w:t>
            </w:r>
          </w:p>
        </w:tc>
        <w:tc>
          <w:tcPr>
            <w:tcW w:w="11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1.031127</w:t>
            </w:r>
          </w:p>
        </w:tc>
        <w:tc>
          <w:tcPr>
            <w:tcW w:w="170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0.998665 ± 0.001147</w:t>
            </w:r>
          </w:p>
        </w:tc>
        <w:tc>
          <w:tcPr>
            <w:tcW w:w="130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0.001630</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0.9549</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1.0347</w:t>
            </w:r>
          </w:p>
        </w:tc>
        <w:tc>
          <w:tcPr>
            <w:tcW w:w="104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1.0239</w:t>
            </w:r>
          </w:p>
        </w:tc>
      </w:tr>
      <w:tr>
        <w:trPr>
          <w:cantSplit/>
          <w:jc w:val="center"/>
        </w:trPr>
        <w:tc>
          <w:tcPr>
            <w:tcW w:w="5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1.175156</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1.003048</w:t>
            </w:r>
          </w:p>
        </w:tc>
        <w:tc>
          <w:tcPr>
            <w:tcW w:w="11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1.003644</w:t>
            </w:r>
          </w:p>
        </w:tc>
        <w:tc>
          <w:tcPr>
            <w:tcW w:w="170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0.999406 ± 0.000699</w:t>
            </w:r>
          </w:p>
        </w:tc>
        <w:tc>
          <w:tcPr>
            <w:tcW w:w="130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3.25×10⁻¹⁹</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0.6186</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0.6285</w:t>
            </w:r>
          </w:p>
        </w:tc>
        <w:tc>
          <w:tcPr>
            <w:tcW w:w="104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0.6269</w:t>
            </w:r>
          </w:p>
        </w:tc>
      </w:tr>
      <w:tr>
        <w:trPr>
          <w:cantSplit/>
          <w:jc w:val="center"/>
        </w:trPr>
        <w:tc>
          <w:tcPr>
            <w:tcW w:w="5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1.084358</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1.000455</w:t>
            </w:r>
          </w:p>
        </w:tc>
        <w:tc>
          <w:tcPr>
            <w:tcW w:w="11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1.000434</w:t>
            </w:r>
          </w:p>
        </w:tc>
        <w:tc>
          <w:tcPr>
            <w:tcW w:w="170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1.000021 ± 0.000471</w:t>
            </w:r>
          </w:p>
        </w:tc>
        <w:tc>
          <w:tcPr>
            <w:tcW w:w="130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1.16×10⁻¹³⁵</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0.4194</w:t>
            </w:r>
          </w:p>
        </w:tc>
        <w:tc>
          <w:tcPr>
            <w:tcW w:w="104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0.4207</w:t>
            </w:r>
          </w:p>
        </w:tc>
        <w:tc>
          <w:tcPr>
            <w:tcW w:w="104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0.4206</w:t>
            </w:r>
          </w:p>
        </w:tc>
      </w:tr>
    </w:tbl>
    <w:p>
      <w:pPr>
        <w:pStyle w:val="BodyText"/>
        <w:spacing w:after="60"/>
        <w:rPr>
          <w:rFonts w:hint="eastAsia"/>
        </w:rPr>
      </w:pPr>
    </w:p>
    <w:p>
      <w:pPr>
        <w:pStyle w:val="BodyText"/>
      </w:pPr>
      <w:r>
        <w:t xml:space="preserve">The unbiased weight (22) reproduces the target within about 1.2 Monte Carlo standard errors at every</w:t>
      </w:r>
      <w:r>
        <w:t xml:space="preserve"> </w:t>
      </w:r>
      <m:oMath>
        <m:r>
          <m:t>k</m:t>
        </m:r>
      </m:oMath>
      <w:r>
        <w:t xml:space="preserve">. Simulated negativity frequencies agree with the exact values: 0.167478, 0.035099 and 0.001680 for</w:t>
      </w:r>
      <w:r>
        <w:t xml:space="preserve"> </w:t>
      </w:r>
      <m:oMath>
        <m:r>
          <m:t>k</m:t>
        </m:r>
        <m:r>
          <m:rPr>
            <m:sty m:val="p"/>
          </m:rPr>
          <m:t>=</m:t>
        </m:r>
        <m:r>
          <m:t>2</m:t>
        </m:r>
        <m:r>
          <m:rPr>
            <m:sty m:val="p"/>
          </m:rPr>
          <m:t>,</m:t>
        </m:r>
        <m:r>
          <m:t>3</m:t>
        </m:r>
        <m:r>
          <m:rPr>
            <m:sty m:val="p"/>
          </m:rPr>
          <m:t>,</m:t>
        </m:r>
        <m:r>
          <m:t>4</m:t>
        </m:r>
      </m:oMath>
      <w:r>
        <w:t xml:space="preserve">. The probability then falls to</w:t>
      </w:r>
      <w:r>
        <w:t xml:space="preserve"> </w:t>
      </w:r>
      <m:oMath>
        <m:r>
          <m:t>3.3</m:t>
        </m:r>
        <m:r>
          <m:rPr>
            <m:sty m:val="p"/>
          </m:rPr>
          <m:t>×</m:t>
        </m:r>
        <m:sSup>
          <m:e>
            <m:r>
              <m:t>10</m:t>
            </m:r>
          </m:e>
          <m:sup>
            <m:r>
              <m:rPr>
                <m:sty m:val="p"/>
              </m:rPr>
              <m:t>−</m:t>
            </m:r>
            <m:r>
              <m:t>19</m:t>
            </m:r>
          </m:sup>
        </m:sSup>
      </m:oMath>
      <w:r>
        <w:t xml:space="preserve"> </w:t>
      </w:r>
      <w:r>
        <w:t xml:space="preserve">at</w:t>
      </w:r>
      <w:r>
        <w:t xml:space="preserve"> </w:t>
      </w:r>
      <m:oMath>
        <m:r>
          <m:t>k</m:t>
        </m:r>
        <m:r>
          <m:rPr>
            <m:sty m:val="p"/>
          </m:rPr>
          <m:t>=</m:t>
        </m:r>
        <m:r>
          <m:t>8</m:t>
        </m:r>
      </m:oMath>
      <w:r>
        <w:t xml:space="preserve">, and to about</w:t>
      </w:r>
      <w:r>
        <w:t xml:space="preserve"> </w:t>
      </w:r>
      <m:oMath>
        <m:sSup>
          <m:e>
            <m:r>
              <m:t>10</m:t>
            </m:r>
          </m:e>
          <m:sup>
            <m:r>
              <m:rPr>
                <m:sty m:val="p"/>
              </m:rPr>
              <m:t>−</m:t>
            </m:r>
            <m:r>
              <m:t>135</m:t>
            </m:r>
          </m:sup>
        </m:sSup>
      </m:oMath>
      <w:r>
        <w:t xml:space="preserve"> </w:t>
      </w:r>
      <w:r>
        <w:t xml:space="preserve">at</w:t>
      </w:r>
      <w:r>
        <w:t xml:space="preserve"> </w:t>
      </w:r>
      <m:oMath>
        <m:r>
          <m:t>k</m:t>
        </m:r>
        <m:r>
          <m:rPr>
            <m:sty m:val="p"/>
          </m:rPr>
          <m:t>=</m:t>
        </m:r>
        <m:r>
          <m:t>16</m:t>
        </m:r>
      </m:oMath>
      <w:r>
        <w:t xml:space="preserve">. In the two-design example it is far larger: with</w:t>
      </w:r>
      <w:r>
        <w:t xml:space="preserve"> </w:t>
      </w:r>
      <m:oMath>
        <m:r>
          <m:t>β</m:t>
        </m:r>
        <m:r>
          <m:rPr>
            <m:sty m:val="p"/>
          </m:rPr>
          <m:t>=</m:t>
        </m:r>
        <m:r>
          <m:t>10</m:t>
        </m:r>
      </m:oMath>
      <w:r>
        <w:t xml:space="preserve"> </w:t>
      </w:r>
      <w:r>
        <w:t xml:space="preserve">and</w:t>
      </w:r>
      <w:r>
        <w:t xml:space="preserve"> </w:t>
      </w:r>
      <m:oMath>
        <m:r>
          <m:t>σ</m:t>
        </m:r>
        <m:r>
          <m:rPr>
            <m:sty m:val="p"/>
          </m:rPr>
          <m:t>=</m:t>
        </m:r>
        <m:r>
          <m:t>0.3</m:t>
        </m:r>
      </m:oMath>
      <w:r>
        <w:t xml:space="preserve"> </w:t>
      </w:r>
      <w:r>
        <w:t xml:space="preserve">it is 0.433 at</w:t>
      </w:r>
      <w:r>
        <w:t xml:space="preserve"> </w:t>
      </w:r>
      <m:oMath>
        <m:r>
          <m:t>k</m:t>
        </m:r>
        <m:r>
          <m:rPr>
            <m:sty m:val="p"/>
          </m:rPr>
          <m:t>=</m:t>
        </m:r>
        <m:r>
          <m:t>2</m:t>
        </m:r>
      </m:oMath>
      <w:r>
        <w:t xml:space="preserve"> </w:t>
      </w:r>
      <w:r>
        <w:t xml:space="preserve">and 0.222 at</w:t>
      </w:r>
      <w:r>
        <w:t xml:space="preserve"> </w:t>
      </w:r>
      <m:oMath>
        <m:r>
          <m:t>k</m:t>
        </m:r>
        <m:r>
          <m:rPr>
            <m:sty m:val="p"/>
          </m:rPr>
          <m:t>=</m:t>
        </m:r>
        <m:r>
          <m:t>4</m:t>
        </m:r>
      </m:oMath>
      <w:r>
        <w:t xml:space="preserve">. Signed weights would occur in about a fifth of reads there.</w:t>
      </w:r>
    </w:p>
    <w:p>
      <w:pPr>
        <w:pStyle w:val="BodyText"/>
      </w:pPr>
      <w:r>
        <w:t xml:space="preserve">Unbiasedness does not imply lower error. At</w:t>
      </w:r>
      <w:r>
        <w:t xml:space="preserve"> </w:t>
      </w:r>
      <m:oMath>
        <m:r>
          <m:t>k</m:t>
        </m:r>
        <m:r>
          <m:rPr>
            <m:sty m:val="p"/>
          </m:rPr>
          <m:t>=</m:t>
        </m:r>
        <m:r>
          <m:t>2</m:t>
        </m:r>
      </m:oMath>
      <w:r>
        <w:t xml:space="preserve"> </w:t>
      </w:r>
      <w:r>
        <w:t xml:space="preserve">the plug-in weight has smaller relative error than the unbiased one, 2.350 against 2.486. For</w:t>
      </w:r>
      <w:r>
        <w:t xml:space="preserve"> </w:t>
      </w:r>
      <m:oMath>
        <m:r>
          <m:t>k</m:t>
        </m:r>
        <m:r>
          <m:rPr>
            <m:sty m:val="p"/>
          </m:rPr>
          <m:t>≥</m:t>
        </m:r>
        <m:r>
          <m:t>3</m:t>
        </m:r>
      </m:oMath>
      <w:r>
        <w:t xml:space="preserve"> </w:t>
      </w:r>
      <w:r>
        <w:t xml:space="preserve">the unbiased weight is marginally better. The known-variance weight is best at every</w:t>
      </w:r>
      <w:r>
        <w:t xml:space="preserve"> </w:t>
      </w:r>
      <m:oMath>
        <m:r>
          <m:t>k</m:t>
        </m:r>
      </m:oMath>
      <w:r>
        <w:t xml:space="preserve">, which quantifies the value of calibrating the critic variance outside the judgements being weighted.</w:t>
      </w:r>
    </w:p>
    <w:p>
      <w:pPr>
        <w:pStyle w:val="BodyText"/>
        <w:keepNext/>
        <w:rPr>
          <w:rFonts w:hint="eastAsia"/>
        </w:rPr>
      </w:pPr>
      <w:r>
        <w:rPr>
          <w:noProof/>
        </w:rPr>
        <w:drawing>
          <wp:inline distT="0" distB="0" distL="0" distR="0">
            <wp:extent cx="6217920" cy="1934464"/>
            <wp:effectExtent l="0" t="0" r="0" b="0"/>
            <wp:docPr id="901" name="Picture 901" descr="Parameter sweeps for critic averages, unbiased weights and retrieval width"/>
            <wp:cNvGraphicFramePr/>
            <a:graphic xmlns:a="http://schemas.openxmlformats.org/drawingml/2006/main">
              <a:graphicData uri="http://schemas.openxmlformats.org/drawingml/2006/picture">
                <pic:pic xmlns:pic="http://schemas.openxmlformats.org/drawingml/2006/picture">
                  <pic:nvPicPr>
                    <pic:cNvPr id="901" name="Picture 901" descr="Parameter sweeps for critic averages, unbiased weights and retrieval width"/>
                    <pic:cNvPicPr>
                      <a:picLocks noChangeAspect="1" noChangeArrowheads="1"/>
                    </pic:cNvPicPr>
                  </pic:nvPicPr>
                  <pic:blipFill>
                    <a:blip r:embed="rId11"/>
                    <a:stretch>
                      <a:fillRect/>
                    </a:stretch>
                  </pic:blipFill>
                  <pic:spPr bwMode="auto">
                    <a:xfrm>
                      <a:off x="0" y="0"/>
                      <a:ext cx="6217920" cy="1934464"/>
                    </a:xfrm>
                    <a:prstGeom prst="rect">
                      <a:avLst/>
                    </a:prstGeom>
                    <a:noFill/>
                  </pic:spPr>
                </pic:pic>
              </a:graphicData>
            </a:graphic>
          </wp:inline>
        </w:drawing>
      </w:r>
    </w:p>
    <w:p>
      <w:pPr>
        <w:pStyle w:val="Caption"/>
        <w:keepLines/>
        <w:jc w:val="both"/>
        <w:rPr>
          <w:rFonts w:hint="eastAsia"/>
        </w:rPr>
      </w:pPr>
      <w:r>
        <w:t xml:space="preserve">Figure 2. Parameter sweeps. (a) The three averages of Section 4.1 across critic noise for one and four judgements. The expected normalised weight stays below one half while the raw-moment ratio approaches one, and the known-variance correction falls below the noise-free value. (b) Plug-in residual factors against k on the left axis, and the exact probability that the unbiased weight (22) is negative on the logarithmic right axis. (c) Asymptotic and simulated √n error of the corrected retrieval against proposal width, with the infinite-variance threshold 1/√7 and the simulated Kish ratio.</w:t>
      </w:r>
    </w:p>
    <w:p>
      <w:pPr>
        <w:pStyle w:val="Heading2"/>
      </w:pPr>
      <w:r>
        <w:t xml:space="preserve">11.3 Tightness of the adaptive bounds</w:t>
      </w:r>
    </w:p>
    <w:p>
      <w:pPr>
        <w:pStyle w:val="FirstParagraph"/>
      </w:pPr>
      <w:r>
        <w:t xml:space="preserve">Section 10 applied Theorem 4 with</w:t>
      </w:r>
      <w:r>
        <w:t xml:space="preserve"> </w:t>
      </w:r>
      <m:oMath>
        <m:r>
          <m:t>L</m:t>
        </m:r>
        <m:r>
          <m:rPr>
            <m:sty m:val="p"/>
          </m:rPr>
          <m:t>=</m:t>
        </m:r>
        <m:r>
          <m:t>0</m:t>
        </m:r>
      </m:oMath>
      <w:r>
        <w:t xml:space="preserve">. On the passing set the smallest loss is 0.2, so the theorem permits</w:t>
      </w:r>
      <w:r>
        <w:t xml:space="preserve"> </w:t>
      </w:r>
      <m:oMath>
        <m:r>
          <m:t>C</m:t>
        </m:r>
        <m:r>
          <m:rPr>
            <m:sty m:val="p"/>
          </m:rPr>
          <m:t>=</m:t>
        </m:r>
        <m:sSup>
          <m:e>
            <m:r>
              <m:t>e</m:t>
            </m:r>
          </m:e>
          <m:sup>
            <m:r>
              <m:rPr>
                <m:sty m:val="p"/>
              </m:rPr>
              <m:t>−</m:t>
            </m:r>
            <m:r>
              <m:t>0.4</m:t>
            </m:r>
          </m:sup>
        </m:sSup>
        <m:r>
          <m:rPr>
            <m:sty m:val="p"/>
          </m:rPr>
          <m:t>/</m:t>
        </m:r>
        <m:r>
          <m:t>0.2</m:t>
        </m:r>
        <m:r>
          <m:rPr>
            <m:sty m:val="p"/>
          </m:rPr>
          <m:t>=</m:t>
        </m:r>
        <m:r>
          <m:t>3.351600</m:t>
        </m:r>
      </m:oMath>
      <w:r>
        <w:t xml:space="preserve">. Corollary 1 is evaluated twice: with the generic proxy</w:t>
      </w:r>
      <w:r>
        <w:t xml:space="preserve"> </w:t>
      </w:r>
      <m:oMath>
        <m:r>
          <m:t>v</m:t>
        </m:r>
        <m:r>
          <m:rPr>
            <m:sty m:val="p"/>
          </m:rPr>
          <m:t>=</m:t>
        </m:r>
        <m:r>
          <m:t>C</m:t>
        </m:r>
        <m:sSub>
          <m:e>
            <m:r>
              <m:t>D</m:t>
            </m:r>
          </m:e>
          <m:sub>
            <m:r>
              <m:t>z</m:t>
            </m:r>
          </m:sub>
        </m:sSub>
        <m:r>
          <m:rPr>
            <m:sty m:val="p"/>
          </m:rPr>
          <m:t>=</m:t>
        </m:r>
        <m:r>
          <m:t>0.933648</m:t>
        </m:r>
      </m:oMath>
      <w:r>
        <w:t xml:space="preserve">, and with the catalogue’s actual worst-case conditional second moments,</w:t>
      </w:r>
      <w:r>
        <w:t xml:space="preserve"> </w:t>
      </w:r>
      <m:oMath>
        <m:nary>
          <m:naryPr>
            <m:chr m:val="∑"/>
            <m:limLoc m:val="undOvr"/>
            <m:subHide m:val="off"/>
            <m:supHide m:val="on"/>
          </m:naryPr>
          <m:sub>
            <m:r>
              <m:t>x</m:t>
            </m:r>
          </m:sub>
          <m:sup>
            <m:r>
              <m:t>​</m:t>
            </m:r>
          </m:sup>
          <m:e>
            <m:r>
              <m:t>G</m:t>
            </m:r>
          </m:e>
        </m:nary>
        <m:sSup>
          <m:e>
            <m:r>
              <m:t>e</m:t>
            </m:r>
          </m:e>
          <m:sup>
            <m:r>
              <m:rPr>
                <m:sty m:val="p"/>
              </m:rPr>
              <m:t>−</m:t>
            </m:r>
            <m:r>
              <m:t>4</m:t>
            </m:r>
            <m:r>
              <m:t>J</m:t>
            </m:r>
          </m:sup>
        </m:sSup>
        <m:r>
          <m:t>μ</m:t>
        </m:r>
        <m:d>
          <m:dPr>
            <m:begChr m:val="("/>
            <m:sepChr m:val=""/>
            <m:endChr m:val=")"/>
            <m:grow/>
          </m:dPr>
          <m:e>
            <m:r>
              <m:t>x</m:t>
            </m:r>
          </m:e>
        </m:d>
        <m:r>
          <m:rPr>
            <m:sty m:val="p"/>
          </m:rPr>
          <m:t>/</m:t>
        </m:r>
        <m:r>
          <m:t>ϵ</m:t>
        </m:r>
        <m:r>
          <m:rPr>
            <m:sty m:val="p"/>
          </m:rPr>
          <m:t>=</m:t>
        </m:r>
        <m:r>
          <m:t>0.622037</m:t>
        </m:r>
      </m:oMath>
      <w:r>
        <w:t xml:space="preserve"> </w:t>
      </w:r>
      <w:r>
        <w:t xml:space="preserve">for the denominator and</w:t>
      </w:r>
      <w:r>
        <w:t xml:space="preserve"> </w:t>
      </w:r>
      <m:oMath>
        <m:sSup>
          <m:e>
            <m:r>
              <m:t>e</m:t>
            </m:r>
          </m:e>
          <m:sup>
            <m:r>
              <m:rPr>
                <m:sty m:val="p"/>
              </m:rPr>
              <m:t>−</m:t>
            </m:r>
            <m:r>
              <m:t>0.8</m:t>
            </m:r>
          </m:sup>
        </m:sSup>
        <m:r>
          <m:rPr>
            <m:sty m:val="p"/>
          </m:rPr>
          <m:t>=</m:t>
        </m:r>
        <m:r>
          <m:t>0.449329</m:t>
        </m:r>
      </m:oMath>
      <w:r>
        <w:t xml:space="preserve"> </w:t>
      </w:r>
      <w:r>
        <w:t xml:space="preserve">for the indicator of design C. For that indicator the numerator increments lie in</w:t>
      </w:r>
      <w:r>
        <w:t xml:space="preserve"> </w:t>
      </w:r>
      <m:oMath>
        <m:d>
          <m:dPr>
            <m:begChr m:val="["/>
            <m:sepChr m:val=""/>
            <m:endChr m:val="]"/>
            <m:grow/>
          </m:dPr>
          <m:e>
            <m:r>
              <m:t>0</m:t>
            </m:r>
            <m:r>
              <m:rPr>
                <m:sty m:val="p"/>
              </m:rPr>
              <m:t>,</m:t>
            </m:r>
            <m:r>
              <m:t>C</m:t>
            </m:r>
          </m:e>
        </m:d>
      </m:oMath>
      <w:r>
        <w:t xml:space="preserve">, so</w:t>
      </w:r>
      <w:r>
        <w:t xml:space="preserve"> </w:t>
      </w:r>
      <m:oMath>
        <m:r>
          <m:t>c</m:t>
        </m:r>
        <m:r>
          <m:rPr>
            <m:sty m:val="p"/>
          </m:rPr>
          <m:t>=</m:t>
        </m:r>
        <m:r>
          <m:t>C</m:t>
        </m:r>
      </m:oMath>
      <w:r>
        <w:t xml:space="preserve"> </w:t>
      </w:r>
      <w:r>
        <w:t xml:space="preserve">there. The adaptive check of Section 10 was rerun with 2000 trajectories at each</w:t>
      </w:r>
      <w:r>
        <w:t xml:space="preserve"> </w:t>
      </w:r>
      <m:oMath>
        <m:r>
          <m:t>n</m:t>
        </m:r>
      </m:oMath>
      <w:r>
        <w:t xml:space="preserve">.</w:t>
      </w:r>
    </w:p>
    <w:p>
      <w:pPr>
        <w:pStyle w:val="Caption"/>
        <w:keepNext/>
        <w:jc w:val="both"/>
        <w:rPr>
          <w:rFonts w:hint="eastAsia"/>
        </w:rPr>
      </w:pPr>
      <w:r>
        <w:t xml:space="preserve">Table 7. Ratio-error bounds for the probability of design C at δ = 0.05 and observed errors over 2000 trajectories, ε = 0.2</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74"/>
        <w:gridCol w:w="1477"/>
        <w:gridCol w:w="1477"/>
        <w:gridCol w:w="1477"/>
        <w:gridCol w:w="1611"/>
        <w:gridCol w:w="1477"/>
        <w:gridCol w:w="1343"/>
      </w:tblGrid>
      <w:tr>
        <w:trPr>
          <w:cantSplit/>
          <w:tblHeader/>
          <w:jc w:val="center"/>
        </w:trPr>
        <w:tc>
          <w:tcPr>
            <w:tcW w:w="107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Draws n</w:t>
            </w:r>
          </w:p>
        </w:tc>
        <w:tc>
          <w:tcPr>
            <w:tcW w:w="14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Theorem 4, L = 0</w:t>
            </w:r>
          </w:p>
        </w:tc>
        <w:tc>
          <w:tcPr>
            <w:tcW w:w="14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Theorem 4, L = 0.2</w:t>
            </w:r>
          </w:p>
        </w:tc>
        <w:tc>
          <w:tcPr>
            <w:tcW w:w="14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Corollary 1, v = C D</w:t>
            </w:r>
          </w:p>
        </w:tc>
        <w:tc>
          <w:tcPr>
            <w:tcW w:w="1611"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Corollary 1, catalogue moments</w:t>
            </w:r>
          </w:p>
        </w:tc>
        <w:tc>
          <w:tcPr>
            <w:tcW w:w="14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Observed 95th percentile</w:t>
            </w:r>
          </w:p>
        </w:tc>
        <w:tc>
          <w:tcPr>
            <w:tcW w:w="134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Observed RMSE</w:t>
            </w:r>
          </w:p>
        </w:tc>
      </w:tr>
      <w:tr>
        <w:trPr>
          <w:cantSplit/>
          <w:jc w:val="center"/>
        </w:trPr>
        <w:tc>
          <w:tcPr>
            <w:tcW w:w="107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300</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none</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none</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3.980385</w:t>
            </w:r>
          </w:p>
        </w:tc>
        <w:tc>
          <w:tcPr>
            <w:tcW w:w="161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2.247140</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0.068533</w:t>
            </w:r>
          </w:p>
        </w:tc>
        <w:tc>
          <w:tcPr>
            <w:tcW w:w="134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0.035090</w:t>
            </w:r>
          </w:p>
        </w:tc>
      </w:tr>
      <w:tr>
        <w:trPr>
          <w:cantSplit/>
          <w:jc w:val="center"/>
        </w:trPr>
        <w:tc>
          <w:tcPr>
            <w:tcW w:w="107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15.772721</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3.868111</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1.072025</w:t>
            </w:r>
          </w:p>
        </w:tc>
        <w:tc>
          <w:tcPr>
            <w:tcW w:w="161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0.734894</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0.037911</w:t>
            </w:r>
          </w:p>
        </w:tc>
        <w:tc>
          <w:tcPr>
            <w:tcW w:w="134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0.019236</w:t>
            </w:r>
          </w:p>
        </w:tc>
      </w:tr>
      <w:tr>
        <w:trPr>
          <w:cantSplit/>
          <w:jc w:val="center"/>
        </w:trPr>
        <w:tc>
          <w:tcPr>
            <w:tcW w:w="107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3000</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2.826216</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1.445517</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0.487247</w:t>
            </w:r>
          </w:p>
        </w:tc>
        <w:tc>
          <w:tcPr>
            <w:tcW w:w="161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0.350845</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0.022305</w:t>
            </w:r>
          </w:p>
        </w:tc>
        <w:tc>
          <w:tcPr>
            <w:tcW w:w="134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0.011326</w:t>
            </w:r>
          </w:p>
        </w:tc>
      </w:tr>
      <w:tr>
        <w:trPr>
          <w:cantSplit/>
          <w:jc w:val="center"/>
        </w:trPr>
        <w:tc>
          <w:tcPr>
            <w:tcW w:w="107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1.085482</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0.650075</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0.235305</w:t>
            </w:r>
          </w:p>
        </w:tc>
        <w:tc>
          <w:tcPr>
            <w:tcW w:w="161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0.173462</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0.012011</w:t>
            </w:r>
          </w:p>
        </w:tc>
        <w:tc>
          <w:tcPr>
            <w:tcW w:w="134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0.006282</w:t>
            </w:r>
          </w:p>
        </w:tc>
      </w:tr>
      <w:tr>
        <w:trPr>
          <w:cantSplit/>
          <w:jc w:val="center"/>
        </w:trPr>
        <w:tc>
          <w:tcPr>
            <w:tcW w:w="107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100000</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0.275178</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0.179043</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0.067685</w:t>
            </w:r>
          </w:p>
        </w:tc>
        <w:tc>
          <w:tcPr>
            <w:tcW w:w="161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0.050741</w:t>
            </w:r>
          </w:p>
        </w:tc>
        <w:tc>
          <w:tcPr>
            <w:tcW w:w="14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not run</w:t>
            </w:r>
          </w:p>
        </w:tc>
        <w:tc>
          <w:tcPr>
            <w:tcW w:w="134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not run</w:t>
            </w:r>
          </w:p>
        </w:tc>
      </w:tr>
    </w:tbl>
    <w:p>
      <w:pPr>
        <w:pStyle w:val="BodyText"/>
        <w:spacing w:after="60"/>
        <w:rPr>
          <w:rFonts w:hint="eastAsia"/>
        </w:rPr>
      </w:pPr>
    </w:p>
    <w:p>
      <w:pPr>
        <w:pStyle w:val="BodyText"/>
      </w:pPr>
      <w:r>
        <w:t xml:space="preserve">The number of draws needed for a ratio bound of 0.1 at</w:t>
      </w:r>
      <w:r>
        <w:t xml:space="preserve"> </w:t>
      </w:r>
      <m:oMath>
        <m:r>
          <m:t>δ</m:t>
        </m:r>
        <m:r>
          <m:rPr>
            <m:sty m:val="p"/>
          </m:rPr>
          <m:t>=</m:t>
        </m:r>
        <m:r>
          <m:t>0.05</m:t>
        </m:r>
      </m:oMath>
      <w:r>
        <w:t xml:space="preserve"> </w:t>
      </w:r>
      <w:r>
        <w:t xml:space="preserve">falls from 678395 (Theorem 4,</w:t>
      </w:r>
      <w:r>
        <w:t xml:space="preserve"> </w:t>
      </w:r>
      <m:oMath>
        <m:r>
          <m:t>L</m:t>
        </m:r>
        <m:r>
          <m:rPr>
            <m:sty m:val="p"/>
          </m:rPr>
          <m:t>=</m:t>
        </m:r>
        <m:r>
          <m:t>0</m:t>
        </m:r>
      </m:oMath>
      <w:r>
        <w:t xml:space="preserve">) to 304823 (</w:t>
      </w:r>
      <m:oMath>
        <m:r>
          <m:t>L</m:t>
        </m:r>
        <m:r>
          <m:rPr>
            <m:sty m:val="p"/>
          </m:rPr>
          <m:t>=</m:t>
        </m:r>
        <m:r>
          <m:t>0.2</m:t>
        </m:r>
      </m:oMath>
      <w:r>
        <w:t xml:space="preserve">), 47600 (Corollary 1, generic) and 27460 (Corollary 1, catalogue moments). Even the sharpest bound remains 14.4 times the observed 95th percentile error at</w:t>
      </w:r>
      <w:r>
        <w:t xml:space="preserve"> </w:t>
      </w:r>
      <m:oMath>
        <m:r>
          <m:t>n</m:t>
        </m:r>
        <m:r>
          <m:rPr>
            <m:sty m:val="p"/>
          </m:rPr>
          <m:t>=</m:t>
        </m:r>
        <m:r>
          <m:t>10000</m:t>
        </m:r>
      </m:oMath>
      <w:r>
        <w:t xml:space="preserve">. Observed errors follow the</w:t>
      </w:r>
      <w:r>
        <w:t xml:space="preserve"> </w:t>
      </w:r>
      <m:oMath>
        <m:sSup>
          <m:e>
            <m:r>
              <m:t>n</m:t>
            </m:r>
          </m:e>
          <m:sup>
            <m:r>
              <m:rPr>
                <m:sty m:val="p"/>
              </m:rPr>
              <m:t>−</m:t>
            </m:r>
            <m:r>
              <m:t>1</m:t>
            </m:r>
            <m:r>
              <m:rPr>
                <m:sty m:val="p"/>
              </m:rPr>
              <m:t>/</m:t>
            </m:r>
            <m:r>
              <m:t>2</m:t>
            </m:r>
          </m:sup>
        </m:sSup>
      </m:oMath>
      <w:r>
        <w:t xml:space="preserve"> </w:t>
      </w:r>
      <w:r>
        <w:t xml:space="preserve">rate closely:</w:t>
      </w:r>
      <w:r>
        <w:t xml:space="preserve"> </w:t>
      </w:r>
      <m:oMath>
        <m:rad>
          <m:radPr>
            <m:degHide m:val="on"/>
          </m:radPr>
          <m:deg/>
          <m:e>
            <m:r>
              <m:t>n</m:t>
            </m:r>
          </m:e>
        </m:rad>
      </m:oMath>
      <w:r>
        <w:t xml:space="preserve"> </w:t>
      </w:r>
      <w:r>
        <w:t xml:space="preserve">times the RMSE is 0.608, 0.608, 0.620 and 0.628 across the four sample sizes. Every trajectory satisfied the Hoeffding denominator event at every</w:t>
      </w:r>
      <w:r>
        <w:t xml:space="preserve"> </w:t>
      </w:r>
      <m:oMath>
        <m:r>
          <m:t>n</m:t>
        </m:r>
      </m:oMath>
      <w:r>
        <w:t xml:space="preserve">, and the largest observed weight was 1.84 against</w:t>
      </w:r>
      <w:r>
        <w:t xml:space="preserve"> </w:t>
      </w:r>
      <m:oMath>
        <m:r>
          <m:t>C</m:t>
        </m:r>
        <m:r>
          <m:rPr>
            <m:sty m:val="p"/>
          </m:rPr>
          <m:t>=</m:t>
        </m:r>
        <m:r>
          <m:t>3.35</m:t>
        </m:r>
      </m:oMath>
      <w:r>
        <w:t xml:space="preserve">. The mean ratio error is 0.00208 at</w:t>
      </w:r>
      <w:r>
        <w:t xml:space="preserve"> </w:t>
      </w:r>
      <m:oMath>
        <m:r>
          <m:t>n</m:t>
        </m:r>
        <m:r>
          <m:rPr>
            <m:sty m:val="p"/>
          </m:rPr>
          <m:t>=</m:t>
        </m:r>
        <m:r>
          <m:t>300</m:t>
        </m:r>
      </m:oMath>
      <w:r>
        <w:t xml:space="preserve">, about 2.7 standard errors from zero, and</w:t>
      </w:r>
      <w:r>
        <w:t xml:space="preserve"> </w:t>
      </w:r>
      <m:oMath>
        <m:r>
          <m:t>5.9</m:t>
        </m:r>
        <m:r>
          <m:rPr>
            <m:sty m:val="p"/>
          </m:rPr>
          <m:t>×</m:t>
        </m:r>
        <m:sSup>
          <m:e>
            <m:r>
              <m:t>10</m:t>
            </m:r>
          </m:e>
          <m:sup>
            <m:r>
              <m:rPr>
                <m:sty m:val="p"/>
              </m:rPr>
              <m:t>−</m:t>
            </m:r>
            <m:r>
              <m:t>5</m:t>
            </m:r>
          </m:sup>
        </m:sSup>
      </m:oMath>
      <w:r>
        <w:t xml:space="preserve"> </w:t>
      </w:r>
      <w:r>
        <w:t xml:space="preserve">at</w:t>
      </w:r>
      <w:r>
        <w:t xml:space="preserve"> </w:t>
      </w:r>
      <m:oMath>
        <m:r>
          <m:t>n</m:t>
        </m:r>
        <m:r>
          <m:rPr>
            <m:sty m:val="p"/>
          </m:rPr>
          <m:t>=</m:t>
        </m:r>
        <m:r>
          <m:t>10000</m:t>
        </m:r>
      </m:oMath>
      <w:r>
        <w:t xml:space="preserve">, consistent with an</w:t>
      </w:r>
      <w:r>
        <w:t xml:space="preserve"> </w:t>
      </w:r>
      <m:oMath>
        <m:r>
          <m:t>O</m:t>
        </m:r>
        <m:d>
          <m:dPr>
            <m:begChr m:val="("/>
            <m:sepChr m:val=""/>
            <m:endChr m:val=")"/>
            <m:grow/>
          </m:dPr>
          <m:e>
            <m:r>
              <m:t>1</m:t>
            </m:r>
            <m:r>
              <m:rPr>
                <m:sty m:val="p"/>
              </m:rPr>
              <m:t>/</m:t>
            </m:r>
            <m:r>
              <m:t>n</m:t>
            </m:r>
          </m:e>
        </m:d>
      </m:oMath>
      <w:r>
        <w:t xml:space="preserve"> </w:t>
      </w:r>
      <w:r>
        <w:t xml:space="preserve">bias of the self-normalised ratio.</w:t>
      </w:r>
    </w:p>
    <w:p>
      <w:pPr>
        <w:pStyle w:val="Heading2"/>
      </w:pPr>
      <w:r>
        <w:t xml:space="preserve">11.4 The defensive share</w:t>
      </w:r>
    </w:p>
    <w:p>
      <w:pPr>
        <w:pStyle w:val="FirstParagraph"/>
      </w:pPr>
      <w:r>
        <w:t xml:space="preserve">The adaptive component of Section 10 is a reinforcing urn: a design drawn early gains count and is proposed more often. Figure 3b varies the defensive share</w:t>
      </w:r>
      <w:r>
        <w:t xml:space="preserve"> </w:t>
      </w:r>
      <m:oMath>
        <m:r>
          <m:t>ϵ</m:t>
        </m:r>
      </m:oMath>
      <w:r>
        <w:t xml:space="preserve"> </w:t>
      </w:r>
      <w:r>
        <w:t xml:space="preserve">at 300 draws. The RMSE of the estimate of</w:t>
      </w:r>
      <w:r>
        <w:t xml:space="preserve"> </w:t>
      </w:r>
      <m:oMath>
        <m:r>
          <m:t>π</m:t>
        </m:r>
        <m:d>
          <m:dPr>
            <m:begChr m:val="("/>
            <m:sepChr m:val=""/>
            <m:endChr m:val=")"/>
            <m:grow/>
          </m:dPr>
          <m:e>
            <m:r>
              <m:rPr>
                <m:sty m:val="p"/>
              </m:rPr>
              <m:t>C</m:t>
            </m:r>
          </m:e>
        </m:d>
      </m:oMath>
      <w:r>
        <w:t xml:space="preserve"> </w:t>
      </w:r>
      <w:r>
        <w:t xml:space="preserve">is 0.0820, 0.0560, 0.0439, 0.0339, 0.0299 and 0.0376 for</w:t>
      </w:r>
      <w:r>
        <w:t xml:space="preserve"> </w:t>
      </w:r>
      <m:oMath>
        <m:r>
          <m:t>ϵ</m:t>
        </m:r>
        <m:r>
          <m:rPr>
            <m:sty m:val="p"/>
          </m:rPr>
          <m:t>=</m:t>
        </m:r>
        <m:r>
          <m:t>0.02</m:t>
        </m:r>
        <m:r>
          <m:rPr>
            <m:sty m:val="p"/>
          </m:rPr>
          <m:t>,</m:t>
        </m:r>
        <m:r>
          <m:t>0.05</m:t>
        </m:r>
        <m:r>
          <m:rPr>
            <m:sty m:val="p"/>
          </m:rPr>
          <m:t>,</m:t>
        </m:r>
        <m:r>
          <m:t>0.1</m:t>
        </m:r>
        <m:r>
          <m:rPr>
            <m:sty m:val="p"/>
          </m:rPr>
          <m:t>,</m:t>
        </m:r>
        <m:r>
          <m:t>0.2</m:t>
        </m:r>
        <m:r>
          <m:rPr>
            <m:sty m:val="p"/>
          </m:rPr>
          <m:t>,</m:t>
        </m:r>
        <m:r>
          <m:t>0.5</m:t>
        </m:r>
      </m:oMath>
      <w:r>
        <w:t xml:space="preserve"> </w:t>
      </w:r>
      <w:r>
        <w:t xml:space="preserve">and 1. Independent sampling from the exact target would give 0.0288. Small shares allow lock-in and large weights, reaching 12.0 at</w:t>
      </w:r>
      <w:r>
        <w:t xml:space="preserve"> </w:t>
      </w:r>
      <m:oMath>
        <m:r>
          <m:t>ϵ</m:t>
        </m:r>
        <m:r>
          <m:rPr>
            <m:sty m:val="p"/>
          </m:rPr>
          <m:t>=</m:t>
        </m:r>
        <m:r>
          <m:t>0.02</m:t>
        </m:r>
      </m:oMath>
      <w:r>
        <w:t xml:space="preserve"> </w:t>
      </w:r>
      <w:r>
        <w:t xml:space="preserve">under a bound of 33.5. The prior alone,</w:t>
      </w:r>
      <w:r>
        <w:t xml:space="preserve"> </w:t>
      </w:r>
      <m:oMath>
        <m:r>
          <m:t>ϵ</m:t>
        </m:r>
        <m:r>
          <m:rPr>
            <m:sty m:val="p"/>
          </m:rPr>
          <m:t>=</m:t>
        </m:r>
        <m:r>
          <m:t>1</m:t>
        </m:r>
      </m:oMath>
      <w:r>
        <w:t xml:space="preserve">, is also worse than the interior value because it gives design C only 0.2 of its proposals against a target probability of 0.481. The interior optimum near 0.5 is a property of this catalogue, not a general recommendation. The</w:t>
      </w:r>
      <w:r>
        <w:t xml:space="preserve"> </w:t>
      </w:r>
      <m:oMath>
        <m:r>
          <m:t>ϵ</m:t>
        </m:r>
        <m:r>
          <m:rPr>
            <m:sty m:val="p"/>
          </m:rPr>
          <m:t>=</m:t>
        </m:r>
        <m:r>
          <m:t>0.2</m:t>
        </m:r>
      </m:oMath>
      <w:r>
        <w:t xml:space="preserve"> </w:t>
      </w:r>
      <w:r>
        <w:t xml:space="preserve">value lies within run-to-run variation of Section 10, 0.0339 to 0.0354 across three seeds.</w:t>
      </w:r>
    </w:p>
    <w:p>
      <w:pPr>
        <w:pStyle w:val="BodyText"/>
        <w:keepNext/>
        <w:rPr>
          <w:rFonts w:hint="eastAsia"/>
        </w:rPr>
      </w:pPr>
      <w:r>
        <w:rPr>
          <w:noProof/>
        </w:rPr>
        <w:drawing>
          <wp:inline distT="0" distB="0" distL="0" distR="0">
            <wp:extent cx="6217920" cy="2261061"/>
            <wp:effectExtent l="0" t="0" r="0" b="0"/>
            <wp:docPr id="902" name="Picture 902" descr="Adaptive bound tightness and defensive share"/>
            <wp:cNvGraphicFramePr/>
            <a:graphic xmlns:a="http://schemas.openxmlformats.org/drawingml/2006/main">
              <a:graphicData uri="http://schemas.openxmlformats.org/drawingml/2006/picture">
                <pic:pic xmlns:pic="http://schemas.openxmlformats.org/drawingml/2006/picture">
                  <pic:nvPicPr>
                    <pic:cNvPr id="902" name="Picture 902" descr="Adaptive bound tightness and defensive share"/>
                    <pic:cNvPicPr>
                      <a:picLocks noChangeAspect="1" noChangeArrowheads="1"/>
                    </pic:cNvPicPr>
                  </pic:nvPicPr>
                  <pic:blipFill>
                    <a:blip r:embed="rId12"/>
                    <a:stretch>
                      <a:fillRect/>
                    </a:stretch>
                  </pic:blipFill>
                  <pic:spPr bwMode="auto">
                    <a:xfrm>
                      <a:off x="0" y="0"/>
                      <a:ext cx="6217920" cy="2261061"/>
                    </a:xfrm>
                    <a:prstGeom prst="rect">
                      <a:avLst/>
                    </a:prstGeom>
                    <a:noFill/>
                  </pic:spPr>
                </pic:pic>
              </a:graphicData>
            </a:graphic>
          </wp:inline>
        </w:drawing>
      </w:r>
    </w:p>
    <w:p>
      <w:pPr>
        <w:pStyle w:val="Caption"/>
        <w:keepLines/>
        <w:jc w:val="both"/>
        <w:rPr>
          <w:rFonts w:hint="eastAsia"/>
        </w:rPr>
      </w:pPr>
      <w:r>
        <w:t xml:space="preserve">Figure 3. Adaptive estimation in the finite catalogue. (a) Ratio bounds of Theorem 4 and Corollary 1 against the observed 95th-percentile error and RMSE, δ = 0.05; bounds above one are vacuous for this estimand. (b) RMSE of the estimate of π(C) after 300 draws as the defensive share varies, with the largest observed weight and the bound C on the right axis.</w:t>
      </w:r>
    </w:p>
    <w:p>
      <w:pPr>
        <w:pStyle w:val="Heading2"/>
      </w:pPr>
      <w:r>
        <w:t xml:space="preserve">11.5 Proposal width in the retrieval example</w:t>
      </w:r>
    </w:p>
    <w:p>
      <w:pPr>
        <w:pStyle w:val="FirstParagraph"/>
      </w:pPr>
      <w:r>
        <w:t xml:space="preserve">In the example of Section 5, the target-times-kernel factor</w:t>
      </w:r>
      <w:r>
        <w:t xml:space="preserve"> </w:t>
      </w:r>
      <m:oMath>
        <m:sSub>
          <m:e>
            <m:r>
              <m:t>K</m:t>
            </m:r>
          </m:e>
          <m:sub>
            <m:r>
              <m:t>a</m:t>
            </m:r>
          </m:sub>
        </m:sSub>
        <m:sSub>
          <m:e>
            <m:r>
              <m:t>f</m:t>
            </m:r>
          </m:e>
          <m:sub>
            <m:r>
              <m:t>v</m:t>
            </m:r>
          </m:sub>
        </m:sSub>
        <m:r>
          <m:t>ν</m:t>
        </m:r>
      </m:oMath>
      <w:r>
        <w:t xml:space="preserve"> </w:t>
      </w:r>
      <w:r>
        <w:t xml:space="preserve">is Gaussian with precision</w:t>
      </w:r>
      <w:r>
        <w:t xml:space="preserve"> </w:t>
      </w:r>
      <m:oMath>
        <m:r>
          <m:t>P</m:t>
        </m:r>
        <m:r>
          <m:rPr>
            <m:sty m:val="p"/>
          </m:rPr>
          <m:t>=</m:t>
        </m:r>
        <m:r>
          <m:t>1</m:t>
        </m:r>
        <m:r>
          <m:rPr>
            <m:sty m:val="p"/>
          </m:rPr>
          <m:t>/</m:t>
        </m:r>
        <m:sSub>
          <m:e>
            <m:r>
              <m:t>v</m:t>
            </m:r>
          </m:e>
          <m:sub>
            <m:r>
              <m:t>0</m:t>
            </m:r>
          </m:sub>
        </m:sSub>
        <m:r>
          <m:rPr>
            <m:sty m:val="p"/>
          </m:rPr>
          <m:t>+</m:t>
        </m:r>
        <m:r>
          <m:t>β</m:t>
        </m:r>
        <m:r>
          <m:rPr>
            <m:sty m:val="p"/>
          </m:rPr>
          <m:t>+</m:t>
        </m:r>
        <m:r>
          <m:t>a</m:t>
        </m:r>
        <m:r>
          <m:rPr>
            <m:sty m:val="p"/>
          </m:rPr>
          <m:t>/</m:t>
        </m:r>
        <m:d>
          <m:dPr>
            <m:begChr m:val="("/>
            <m:sepChr m:val=""/>
            <m:endChr m:val=")"/>
            <m:grow/>
          </m:dPr>
          <m:e>
            <m:r>
              <m:t>1</m:t>
            </m:r>
            <m:r>
              <m:rPr>
                <m:sty m:val="p"/>
              </m:rPr>
              <m:t>−</m:t>
            </m:r>
            <m:r>
              <m:t>a</m:t>
            </m:r>
          </m:e>
        </m:d>
        <m:r>
          <m:rPr>
            <m:sty m:val="p"/>
          </m:rPr>
          <m:t>=</m:t>
        </m:r>
        <m:r>
          <m:t>3.5</m:t>
        </m:r>
      </m:oMath>
      <w:r>
        <w:t xml:space="preserve">, the denominator of (14). For a normal proposal of standard deviation</w:t>
      </w:r>
      <w:r>
        <w:t xml:space="preserve"> </w:t>
      </w:r>
      <m:oMath>
        <m:r>
          <m:t>s</m:t>
        </m:r>
      </m:oMath>
      <w:r>
        <w:t xml:space="preserve">, the second moment of the corrected weight is finite exactly when</w:t>
      </w:r>
      <w:r>
        <w:t xml:space="preserve"> </w:t>
      </w:r>
      <m:oMath>
        <m:sSup>
          <m:e>
            <m:r>
              <m:t>s</m:t>
            </m:r>
          </m:e>
          <m:sup>
            <m:r>
              <m:t>2</m:t>
            </m:r>
          </m:sup>
        </m:sSup>
        <m:r>
          <m:rPr>
            <m:sty m:val="p"/>
          </m:rPr>
          <m:t>&gt;</m:t>
        </m:r>
        <m:r>
          <m:t>1</m:t>
        </m:r>
        <m:r>
          <m:rPr>
            <m:sty m:val="p"/>
          </m:rPr>
          <m:t>/</m:t>
        </m:r>
        <m:d>
          <m:dPr>
            <m:begChr m:val="("/>
            <m:sepChr m:val=""/>
            <m:endChr m:val=")"/>
            <m:grow/>
          </m:dPr>
          <m:e>
            <m:r>
              <m:t>2</m:t>
            </m:r>
            <m:r>
              <m:t>P</m:t>
            </m:r>
          </m:e>
        </m:d>
      </m:oMath>
      <w:r>
        <w:t xml:space="preserve">, that is,</w:t>
      </w:r>
      <w:r>
        <w:t xml:space="preserve"> </w:t>
      </w:r>
      <m:oMath>
        <m:r>
          <m:t>s</m:t>
        </m:r>
        <m:r>
          <m:rPr>
            <m:sty m:val="p"/>
          </m:rPr>
          <m:t>&gt;</m:t>
        </m:r>
        <m:r>
          <m:t>1</m:t>
        </m:r>
        <m:r>
          <m:rPr>
            <m:sty m:val="p"/>
          </m:rPr>
          <m:t>/</m:t>
        </m:r>
        <m:rad>
          <m:radPr>
            <m:degHide m:val="on"/>
          </m:radPr>
          <m:deg/>
          <m:e>
            <m:r>
              <m:t>7</m:t>
            </m:r>
          </m:e>
        </m:rad>
        <m:r>
          <m:rPr>
            <m:sty m:val="p"/>
          </m:rPr>
          <m:t>=</m:t>
        </m:r>
        <m:r>
          <m:t>0.377964</m:t>
        </m:r>
      </m:oMath>
      <w:r>
        <w:t xml:space="preserve">. Below this width the ratio estimator still converges almost surely by Theorem 3, but without a finite-variance central limit rate. Table 8 lists the asymptotic standard deviation of the self-normalised estimator, computed by quadrature, together with 400 replications of 2000 draws at each width.</w:t>
      </w:r>
    </w:p>
    <w:p>
      <w:pPr>
        <w:pStyle w:val="Caption"/>
        <w:keepNext/>
        <w:jc w:val="both"/>
        <w:rPr>
          <w:rFonts w:hint="eastAsia"/>
        </w:rPr>
      </w:pPr>
      <w:r>
        <w:t xml:space="preserve">Table 8. Corrected retrieval at z = 0.4, a = 0.6 under proposals N(0.8, s²); simulations use 400 replications of 2000 draws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1"/>
        <w:gridCol w:w="1753"/>
        <w:gridCol w:w="1753"/>
        <w:gridCol w:w="1753"/>
        <w:gridCol w:w="1753"/>
        <w:gridCol w:w="1463"/>
      </w:tblGrid>
      <w:tr>
        <w:trPr>
          <w:cantSplit/>
          <w:tblHeader/>
          <w:jc w:val="center"/>
        </w:trPr>
        <w:tc>
          <w:tcPr>
            <w:tcW w:w="1461"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Proposal s.d. s</w:t>
            </w:r>
          </w:p>
        </w:tc>
        <w:tc>
          <w:tcPr>
            <w:tcW w:w="175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Asymptotic √n s.d.</w:t>
            </w:r>
          </w:p>
        </w:tc>
        <w:tc>
          <w:tcPr>
            <w:tcW w:w="175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Simulated √n RMSE</w:t>
            </w:r>
          </w:p>
        </w:tc>
        <w:tc>
          <w:tcPr>
            <w:tcW w:w="175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Asymptotic Kish ratio</w:t>
            </w:r>
          </w:p>
        </w:tc>
        <w:tc>
          <w:tcPr>
            <w:tcW w:w="175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Simulated Kish ratio</w:t>
            </w:r>
          </w:p>
        </w:tc>
        <w:tc>
          <w:tcPr>
            <w:tcW w:w="146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Simulated bias</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infinite</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5.7006</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0.1419</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+0.03144</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0.35</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infinite</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3.2899</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0.2189</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+0.01781</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12.0060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2.3282</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0.0506</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0.3234</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+0.00116</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0.45</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1.4838</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1.5936</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0.4440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0.5003</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+0.00040</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0.8561</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0.8250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0.6631</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0.6652</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-0.00028</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0.5841</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0.5764</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0.8030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0.8033</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-0.00002</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0.75</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0.5063</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0.5054</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0.7859</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0.7859</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+0.00119</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0.5039</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0.5131</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0.6657</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0.6659</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+0.00076</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0.5657</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0.5945</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0.4779</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0.4782</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+0.00092</w:t>
            </w:r>
          </w:p>
        </w:tc>
      </w:tr>
      <w:tr>
        <w:trPr>
          <w:cantSplit/>
          <w:jc w:val="center"/>
        </w:trPr>
        <w:tc>
          <w:tcPr>
            <w:tcW w:w="146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0.6356</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0.6311</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0.3670</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0.3673</w:t>
            </w:r>
          </w:p>
        </w:tc>
        <w:tc>
          <w:tcPr>
            <w:tcW w:w="146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+0.00122</w:t>
            </w:r>
          </w:p>
        </w:tc>
      </w:tr>
    </w:tbl>
    <w:p>
      <w:pPr>
        <w:pStyle w:val="BodyText"/>
        <w:spacing w:after="60"/>
        <w:rPr>
          <w:rFonts w:hint="eastAsia"/>
        </w:rPr>
      </w:pPr>
    </w:p>
    <w:p>
      <w:pPr>
        <w:pStyle w:val="BodyText"/>
      </w:pPr>
      <w:r>
        <w:t xml:space="preserve">The asymptotic variance is minimised near</w:t>
      </w:r>
      <w:r>
        <w:t xml:space="preserve"> </w:t>
      </w:r>
      <m:oMath>
        <m:r>
          <m:t>s</m:t>
        </m:r>
        <m:r>
          <m:rPr>
            <m:sty m:val="p"/>
          </m:rPr>
          <m:t>=</m:t>
        </m:r>
        <m:r>
          <m:t>0.865</m:t>
        </m:r>
      </m:oMath>
      <w:r>
        <w:t xml:space="preserve">, where</w:t>
      </w:r>
      <w:r>
        <w:t xml:space="preserve"> </w:t>
      </w:r>
      <m:oMath>
        <m:r>
          <m:t>n</m:t>
        </m:r>
      </m:oMath>
      <w:r>
        <w:t xml:space="preserve"> </w:t>
      </w:r>
      <w:r>
        <w:t xml:space="preserve">times the variance is 0.2477. The proposal used in Sections 5 and 10,</w:t>
      </w:r>
      <w:r>
        <w:t xml:space="preserve"> </w:t>
      </w:r>
      <m:oMath>
        <m:r>
          <m:t>s</m:t>
        </m:r>
        <m:r>
          <m:rPr>
            <m:sty m:val="p"/>
          </m:rPr>
          <m:t>=</m:t>
        </m:r>
        <m:r>
          <m:t>0.5</m:t>
        </m:r>
      </m:oMath>
      <w:r>
        <w:t xml:space="preserve">, needs 2.96 times as many draws for the same precision. Its predicted standard error at one million draws is 0.000856, matching the 0.000845 reported in Section 10, and its asymptotic Kish ratio 0.6631 matches the reported 663398 effective draws. The Kish diagnostic is not a variance certificate. At</w:t>
      </w:r>
      <w:r>
        <w:t xml:space="preserve"> </w:t>
      </w:r>
      <m:oMath>
        <m:r>
          <m:t>s</m:t>
        </m:r>
        <m:r>
          <m:rPr>
            <m:sty m:val="p"/>
          </m:rPr>
          <m:t>=</m:t>
        </m:r>
        <m:r>
          <m:t>0.30</m:t>
        </m:r>
      </m:oMath>
      <w:r>
        <w:t xml:space="preserve"> </w:t>
      </w:r>
      <w:r>
        <w:t xml:space="preserve">and 0.35 the variance is infinite, yet the simulated ratios are 0.14 and 0.22. At</w:t>
      </w:r>
      <w:r>
        <w:t xml:space="preserve"> </w:t>
      </w:r>
      <m:oMath>
        <m:r>
          <m:t>s</m:t>
        </m:r>
        <m:r>
          <m:rPr>
            <m:sty m:val="p"/>
          </m:rPr>
          <m:t>=</m:t>
        </m:r>
        <m:r>
          <m:t>0.40</m:t>
        </m:r>
      </m:oMath>
      <w:r>
        <w:t xml:space="preserve"> </w:t>
      </w:r>
      <w:r>
        <w:t xml:space="preserve">the asymptotic ratio is 0.051, while 2000-draw runs report 0.32. A closed-form or tail-based check, here</w:t>
      </w:r>
      <w:r>
        <w:t xml:space="preserve"> </w:t>
      </w:r>
      <m:oMath>
        <m:r>
          <m:t>2</m:t>
        </m:r>
        <m:r>
          <m:t>P</m:t>
        </m:r>
        <m:sSup>
          <m:e>
            <m:r>
              <m:t>s</m:t>
            </m:r>
          </m:e>
          <m:sup>
            <m:r>
              <m:t>2</m:t>
            </m:r>
          </m:sup>
        </m:sSup>
        <m:r>
          <m:rPr>
            <m:sty m:val="p"/>
          </m:rPr>
          <m:t>&gt;</m:t>
        </m:r>
        <m:r>
          <m:t>1</m:t>
        </m:r>
      </m:oMath>
      <w:r>
        <w:t xml:space="preserve">, is needed before treating a weighted retrieval as precise.</w:t>
      </w:r>
    </w:p>
    <w:p>
      <w:pPr>
        <w:pStyle w:val="Heading2"/>
      </w:pPr>
      <w:r>
        <w:t xml:space="preserve">11.6 Preference temperature</w:t>
      </w:r>
    </w:p>
    <w:p>
      <w:pPr>
        <w:pStyle w:val="FirstParagraph"/>
      </w:pPr>
      <w:r>
        <w:t xml:space="preserve">The preference example of Section 7 is recomputed over</w:t>
      </w:r>
      <w:r>
        <w:t xml:space="preserve"> </w:t>
      </w:r>
      <m:oMath>
        <m:r>
          <m:t>β</m:t>
        </m:r>
      </m:oMath>
      <w:r>
        <w:t xml:space="preserve">. Table 9 gives the mixture probabilities of the balanced design B and the dominated design D for normalised and raw component mixing.</w:t>
      </w:r>
    </w:p>
    <w:p>
      <w:pPr>
        <w:pStyle w:val="Caption"/>
        <w:keepNext/>
        <w:jc w:val="both"/>
        <w:rPr>
          <w:rFonts w:hint="eastAsia"/>
        </w:rPr>
      </w:pPr>
      <w:r>
        <w:t xml:space="preserve">Table 9. Mixture probabilities of the balanced design B and the dominated design D across inverse temperature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04"/>
        <w:gridCol w:w="2208"/>
        <w:gridCol w:w="2208"/>
        <w:gridCol w:w="2208"/>
        <w:gridCol w:w="2208"/>
      </w:tblGrid>
      <w:tr>
        <w:trPr>
          <w:cantSplit/>
          <w:tblHeader/>
          <w:jc w:val="center"/>
        </w:trPr>
        <w:tc>
          <w:tcPr>
            <w:tcW w:w="110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β</w:t>
            </w:r>
          </w:p>
        </w:tc>
        <w:tc>
          <w:tcPr>
            <w:tcW w:w="220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B, normalised components</w:t>
            </w:r>
          </w:p>
        </w:tc>
        <w:tc>
          <w:tcPr>
            <w:tcW w:w="220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D, normalised components</w:t>
            </w:r>
          </w:p>
        </w:tc>
        <w:tc>
          <w:tcPr>
            <w:tcW w:w="220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B, raw components</w:t>
            </w:r>
          </w:p>
        </w:tc>
        <w:tc>
          <w:tcPr>
            <w:tcW w:w="220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D, raw components</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0.250000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0.250000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0.250000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0.250000</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0.254142</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0.210797</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0.255104</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0.212132</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0.223962</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0.134718</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0.224492</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0.135164</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0.209164</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0.058990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0.055272</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0.014541</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0.322369</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0.007581</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0.000586</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1.38×10⁻⁵</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0.333332</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1.24×10⁻⁶</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8.46×10⁻¹¹</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3.15×10⁻¹⁶</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300</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0.333333</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1.73×10⁻¹⁷</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2.42×10⁻³⁰</w:t>
            </w:r>
          </w:p>
        </w:tc>
        <w:tc>
          <w:tcPr>
            <w:tcW w:w="22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1.25×10⁻⁴⁶</w:t>
            </w:r>
          </w:p>
        </w:tc>
      </w:tr>
    </w:tbl>
    <w:p>
      <w:pPr>
        <w:pStyle w:val="BodyText"/>
        <w:spacing w:after="60"/>
        <w:rPr>
          <w:rFonts w:hint="eastAsia"/>
        </w:rPr>
      </w:pPr>
    </w:p>
    <w:p>
      <w:pPr>
        <w:pStyle w:val="BodyText"/>
      </w:pPr>
      <w:r>
        <w:t xml:space="preserve">The two constructions nearly coincide at high temperature: at</w:t>
      </w:r>
      <w:r>
        <w:t xml:space="preserve"> </w:t>
      </w:r>
      <m:oMath>
        <m:r>
          <m:t>β</m:t>
        </m:r>
        <m:r>
          <m:rPr>
            <m:sty m:val="p"/>
          </m:rPr>
          <m:t>=</m:t>
        </m:r>
        <m:r>
          <m:t>3</m:t>
        </m:r>
      </m:oMath>
      <w:r>
        <w:t xml:space="preserve"> </w:t>
      </w:r>
      <w:r>
        <w:t xml:space="preserve">the balanced and extreme normalisers differ by only 1.3 percent. As</w:t>
      </w:r>
      <w:r>
        <w:t xml:space="preserve"> </w:t>
      </w:r>
      <m:oMath>
        <m:r>
          <m:t>β</m:t>
        </m:r>
      </m:oMath>
      <w:r>
        <w:t xml:space="preserve"> </w:t>
      </w:r>
      <w:r>
        <w:t xml:space="preserve">increases, the raw-mixed mass of B decays approximately as</w:t>
      </w:r>
      <w:r>
        <w:t xml:space="preserve"> </w:t>
      </w:r>
      <m:oMath>
        <m:sSup>
          <m:e>
            <m:r>
              <m:t>e</m:t>
            </m:r>
          </m:e>
          <m:sup>
            <m:r>
              <m:rPr>
                <m:sty m:val="p"/>
              </m:rPr>
              <m:t>−</m:t>
            </m:r>
            <m:r>
              <m:t>0.225</m:t>
            </m:r>
            <m:r>
              <m:t>β</m:t>
            </m:r>
          </m:sup>
        </m:sSup>
      </m:oMath>
      <w:r>
        <w:t xml:space="preserve">. That exponent is the gap between the smallest balanced energy, 0.325, and the smallest extreme energy, 0.1. The normalised mixture is not monotone in B: its mass dips to 0.209 at</w:t>
      </w:r>
      <w:r>
        <w:t xml:space="preserve"> </w:t>
      </w:r>
      <m:oMath>
        <m:r>
          <m:t>β</m:t>
        </m:r>
        <m:r>
          <m:rPr>
            <m:sty m:val="p"/>
          </m:rPr>
          <m:t>=</m:t>
        </m:r>
        <m:r>
          <m:t>10</m:t>
        </m:r>
      </m:oMath>
      <w:r>
        <w:t xml:space="preserve"> </w:t>
      </w:r>
      <w:r>
        <w:t xml:space="preserve">before approaching one third. The dominated design falls to</w:t>
      </w:r>
      <w:r>
        <w:t xml:space="preserve"> </w:t>
      </w:r>
      <m:oMath>
        <m:r>
          <m:t>1.7</m:t>
        </m:r>
        <m:r>
          <m:rPr>
            <m:sty m:val="p"/>
          </m:rPr>
          <m:t>×</m:t>
        </m:r>
        <m:sSup>
          <m:e>
            <m:r>
              <m:t>10</m:t>
            </m:r>
          </m:e>
          <m:sup>
            <m:r>
              <m:rPr>
                <m:sty m:val="p"/>
              </m:rPr>
              <m:t>−</m:t>
            </m:r>
            <m:r>
              <m:t>17</m:t>
            </m:r>
          </m:sup>
        </m:sSup>
      </m:oMath>
      <w:r>
        <w:t xml:space="preserve"> </w:t>
      </w:r>
      <w:r>
        <w:t xml:space="preserve">at</w:t>
      </w:r>
      <w:r>
        <w:t xml:space="preserve"> </w:t>
      </w:r>
      <m:oMath>
        <m:r>
          <m:t>β</m:t>
        </m:r>
        <m:r>
          <m:rPr>
            <m:sty m:val="p"/>
          </m:rPr>
          <m:t>=</m:t>
        </m:r>
        <m:r>
          <m:t>300</m:t>
        </m:r>
      </m:oMath>
      <w:r>
        <w:t xml:space="preserve">. The normalisation error is invisible in a warm exploratory run and decisive at the temperatures used for selection.</w:t>
      </w:r>
    </w:p>
    <w:p>
      <w:pPr>
        <w:pStyle w:val="Heading2"/>
      </w:pPr>
      <w:r>
        <w:t xml:space="preserve">11.7 What the exploration changes</w:t>
      </w:r>
    </w:p>
    <w:p>
      <w:pPr>
        <w:pStyle w:val="FirstParagraph"/>
      </w:pPr>
      <w:r>
        <w:t xml:space="preserve">Five practical conclusions follow. First, when variance is estimated from the judgements being weighted, a positive weight cannot be unbiased; calibrated external variance is the clean remedy, and otherwise the residual bias should be recorded. Second, the known-variance correction penalises noisy designs inside a finite normalisation and should not be read as a debiasing of selection probabilities. Third, the constant in Theorem 4 should use the actual loss bound on the passing set, and a Freedman-type refinement reduces the required sample size by an order of magnitude, while still remaining conservative. Fourth, reinforcing adaptive proposals need a defensive share for estimation quality as well as for the bound. Fifth, weight variance must be checked analytically or through tails; an effective-sample-size ratio cannot certify it.</w:t>
      </w:r>
    </w:p>
    <w:p w14:paraId="538DDF3E" w14:textId="77777777" w:rsidR="00287EFD" w:rsidRDefault="00000000" w:rsidP="007B33B3">
      <w:pPr>
        <w:pStyle w:val="Heading1"/>
        <w:rPr>
          <w:rFonts w:hint="eastAsia"/>
        </w:rPr>
      </w:pPr>
      <w:bookmarkStart w:id="22" w:name="limits-and-conclusions"/>
      <w:bookmarkEnd w:id="20"/>
      <w:bookmarkEnd w:id="21"/>
      <w:r>
        <w:t>12 Limits and conclusions</w:t>
      </w:r>
    </w:p>
    <w:p w14:paraId="04BA42CA" w14:textId="77777777" w:rsidR="00287EFD" w:rsidRDefault="00000000" w:rsidP="007B33B3">
      <w:pPr>
        <w:pStyle w:val="FirstParagraph"/>
        <w:rPr>
          <w:rFonts w:hint="eastAsia"/>
        </w:rPr>
      </w:pPr>
      <w:r>
        <w:t>The target construction assumes declared measurable objects and a positive finite normaliser. It cannot assign mass to a feasible set that the chosen reference does not cover. Its gate guarantee concerns the stated acceptance conditions, while its numerical preferences depend on chosen scales and temperature. These choices require engineering judgement even when their subsequent calculations are exact.</w:t>
      </w:r>
    </w:p>
    <w:p w14:paraId="78A0FD1F" w14:textId="77777777" w:rsidR="00287EFD" w:rsidRDefault="00000000" w:rsidP="007B33B3">
      <w:pPr>
        <w:pStyle w:val="BodyText"/>
        <w:rPr>
          <w:rFonts w:hint="eastAsia"/>
        </w:rPr>
      </w:pPr>
      <w:r>
        <w:t>The critic formulas hold under their stated Gaussian or sub-Gaussian assumptions. Systematic bias and cross-candidate dependence require calibration beyond repeated calls. The importance-sampling results assume known actual proposal laws and a frozen target. A pointwise estimate does not automatically remain valid after arbitrary adaptive query selection, decoder changes or target revisions. Program entropy is relative to observed implementations and probes. No numerical result here establishes a search-performance improvement or a completed construction-agent deployment. The exploration of Section 11 adds two structural limits: when variance is estimated from the judgements being weighted, a positive weight cannot be unbiased, and worst-case adaptive bounds remain conservative by more than an order of magnitude even after the Freedman refinement.</w:t>
      </w:r>
    </w:p>
    <w:p w14:paraId="531B81E0" w14:textId="77777777" w:rsidR="00287EFD" w:rsidRDefault="00000000" w:rsidP="007B33B3">
      <w:pPr>
        <w:pStyle w:val="BodyText"/>
        <w:rPr>
          <w:rFonts w:hint="eastAsia"/>
        </w:rPr>
      </w:pPr>
      <w:r>
        <w:lastRenderedPageBreak/>
        <w:t>The resulting prescription is precise. Define the target before interpreting its density. Keep measured critic scores separate from the intended loss, and calibrate their variance outside the judgements being weighted. Correct actual proposal laws when making target-estimation claims, and evaluate the realised artifacts after decoding. Preserve multiple preferences by mixing their normalised targets. Release a construction result through its current evidence, with the search density serving as an allocation of effort rather than a substitute for verification.</w:t>
      </w:r>
    </w:p>
    <w:p w14:paraId="615252B4" w14:textId="77777777" w:rsidR="00287EFD" w:rsidRDefault="00000000" w:rsidP="007B33B3">
      <w:pPr>
        <w:pStyle w:val="Heading1"/>
        <w:rPr>
          <w:rFonts w:hint="eastAsia"/>
        </w:rPr>
      </w:pPr>
      <w:bookmarkStart w:id="23" w:name="Xea611ca98d13d2e53458166a19c4fa27f65a2e9"/>
      <w:bookmarkEnd w:id="22"/>
      <w:r>
        <w:t>Appendix A Executable reference components</w:t>
      </w:r>
    </w:p>
    <w:p w14:paraId="2E3BA58C" w14:textId="77777777" w:rsidR="00287EFD" w:rsidRDefault="00000000" w:rsidP="007B33B3">
      <w:pPr>
        <w:pStyle w:val="FirstParagraph"/>
        <w:rPr>
          <w:rFonts w:hint="eastAsia"/>
        </w:rPr>
      </w:pPr>
      <w:r>
        <w:t>The following Python functions implement finite target normalisation, Gaussian log moments, sample-variance residuals, and realised-sample importance weights. They deliberately name the logarithm of the expected weight separately from the expected log weight. The listing was extracted and executed against the finite catalogue, the critic examples and the preference-mixture example.</w:t>
      </w:r>
    </w:p>
    <w:p w14:paraId="414AC3C0" w14:textId="77777777" w:rsidR="00287EFD" w:rsidRDefault="00000000" w:rsidP="00FD3B73">
      <w:pPr>
        <w:pStyle w:val="SourceCode"/>
        <w:keepLines/>
        <w:spacing w:before="80" w:after="80"/>
        <w:rPr>
          <w:rFonts w:hint="eastAsia"/>
        </w:rPr>
      </w:pPr>
      <w:r>
        <w:t>import numpy as np</w:t>
        <w:br/>
        <w:t>from scipy.special import logsumexp</w:t>
      </w:r>
    </w:p>
    <w:p w14:paraId="6C44790F" w14:textId="77777777" w:rsidR="00287EFD" w:rsidRDefault="00000000" w:rsidP="00FD3B73">
      <w:pPr>
        <w:pStyle w:val="SourceCode"/>
        <w:keepLines/>
        <w:spacing w:before="80" w:after="80"/>
        <w:rPr>
          <w:rFonts w:hint="eastAsia"/>
        </w:rPr>
      </w:pPr>
      <w:r>
        <w:t>def normalise(log_weights):</w:t>
        <w:br/>
        <w:t xml:space="preserve">    values = np.asarray(log_weights, dtype=float)</w:t>
        <w:br/>
        <w:t xml:space="preserve">    if np.isnan(values).any() or np.isposinf(values).any():</w:t>
        <w:br/>
        <w:t xml:space="preserve">        raise ValueError("invalid log weights")</w:t>
        <w:br/>
        <w:t xml:space="preserve">    if not np.isfinite(values).any():</w:t>
        <w:br/>
        <w:t xml:space="preserve">        raise ValueError("zero normaliser")</w:t>
        <w:br/>
        <w:t xml:space="preserve">    return np.exp(values-logsumexp(values))</w:t>
      </w:r>
    </w:p>
    <w:p w14:paraId="19E52C43" w14:textId="77777777" w:rsidR="00287EFD" w:rsidRDefault="00000000" w:rsidP="00FD3B73">
      <w:pPr>
        <w:pStyle w:val="SourceCode"/>
        <w:keepLines/>
        <w:spacing w:before="80" w:after="80"/>
        <w:rPr>
          <w:rFonts w:hint="eastAsia"/>
        </w:rPr>
      </w:pPr>
      <w:r>
        <w:t>def gated_target(prior, loss, gate, beta):</w:t>
        <w:br/>
        <w:t xml:space="preserve">    prior = np.asarray(prior, dtype=float)</w:t>
        <w:br/>
        <w:t xml:space="preserve">    loss = np.asarray(loss, dtype=float)</w:t>
        <w:br/>
        <w:t xml:space="preserve">    gate = np.asarray(gate, dtype=bool)</w:t>
        <w:br/>
        <w:t xml:space="preserve">    if beta &lt; 0 or not np.isfinite(beta):</w:t>
        <w:br/>
        <w:t xml:space="preserve">        raise ValueError("beta must be finite and nonnegative")</w:t>
        <w:br/>
        <w:t xml:space="preserve">    if (prior &lt; 0).any() or not np.isfinite(prior).all():</w:t>
        <w:br/>
        <w:t xml:space="preserve">        raise ValueError("invalid prior masses")</w:t>
        <w:br/>
        <w:t xml:space="preserve">    if not np.isclose(prior.sum(), 1.0):</w:t>
        <w:br/>
        <w:t xml:space="preserve">        raise ValueError("prior masses must sum to one")</w:t>
        <w:br/>
        <w:t xml:space="preserve">    if not np.isfinite(loss).all():</w:t>
        <w:br/>
        <w:t xml:space="preserve">        raise ValueError("losses must be finite")</w:t>
        <w:br/>
        <w:t xml:space="preserve">    logw = np.full(prior.shape, -np.inf)</w:t>
        <w:br/>
        <w:t xml:space="preserve">    active = gate &amp; (prior &gt; 0)</w:t>
        <w:br/>
        <w:t xml:space="preserve">    logw[active] = np.log(prior[active])-beta*loss[active]</w:t>
        <w:br/>
        <w:t xml:space="preserve">    return normalise(logw)</w:t>
      </w:r>
    </w:p>
    <w:p w14:paraId="07DFCAE7" w14:textId="77777777" w:rsidR="00287EFD" w:rsidRDefault="00000000" w:rsidP="00FD3B73">
      <w:pPr>
        <w:pStyle w:val="SourceCode"/>
        <w:keepLines/>
        <w:spacing w:before="80" w:after="80"/>
        <w:rPr>
          <w:rFonts w:hint="eastAsia"/>
        </w:rPr>
      </w:pPr>
      <w:r>
        <w:t>def gaussian_log_moments(loss, bias, sigma, k, beta, rho=0.0):</w:t>
        <w:br/>
        <w:t xml:space="preserve">    if k &lt; 1 or sigma &lt; 0 or beta &lt; 0 or not (0 &lt;= rho &lt; 1):</w:t>
        <w:br/>
        <w:t xml:space="preserve">        raise ValueError("invalid Gaussian measurement parameters")</w:t>
        <w:br/>
        <w:t xml:space="preserve">    variance_mean = sigma*sigma*(rho+(1-rho)/k)</w:t>
        <w:br/>
        <w:t xml:space="preserve">    expected_log_weight = -beta*(loss+bias)</w:t>
        <w:br/>
        <w:t xml:space="preserve">    log_expected_weight = expected_log_weight+beta*beta*variance_mean/2</w:t>
        <w:br/>
        <w:t xml:space="preserve">    return log_expected_weight, expected_log_weight</w:t>
      </w:r>
    </w:p>
    <w:p w14:paraId="2F77BB1D" w14:textId="77777777" w:rsidR="00287EFD" w:rsidRDefault="00000000" w:rsidP="00FD3B73">
      <w:pPr>
        <w:pStyle w:val="SourceCode"/>
        <w:keepLines/>
        <w:spacing w:before="80" w:after="80"/>
        <w:rPr>
          <w:rFonts w:hint="eastAsia"/>
        </w:rPr>
      </w:pPr>
      <w:r>
        <w:t>def plugin_log_residual(sigma, k, beta, rho=0.0):</w:t>
        <w:br/>
        <w:t xml:space="preserve">    if k &lt; 2 or sigma &lt; 0 or beta &lt; 0 or not (0 &lt;= rho &lt; 1):</w:t>
        <w:br/>
        <w:t xml:space="preserve">        raise ValueError("invalid plug-in parameters")</w:t>
        <w:br/>
        <w:t xml:space="preserve">    A = beta*beta*sigma*sigma*(1-rho)/(2*k)</w:t>
        <w:br/>
        <w:t xml:space="preserve">    shared = beta*beta*sigma*sigma*rho/2</w:t>
        <w:br/>
        <w:t xml:space="preserve">    return shared+A-(k-1)*np.log1p(2*A/(k-1))/2</w:t>
      </w:r>
    </w:p>
    <w:p w14:paraId="1F520E0C" w14:textId="77777777" w:rsidR="00287EFD" w:rsidRDefault="00000000" w:rsidP="00FD3B73">
      <w:pPr>
        <w:pStyle w:val="SourceCode"/>
        <w:keepLines/>
        <w:spacing w:before="80" w:after="80"/>
        <w:rPr>
          <w:rFonts w:hint="eastAsia"/>
        </w:rPr>
      </w:pPr>
      <w:r>
        <w:lastRenderedPageBreak/>
        <w:t>def sample_log_weight(log_prior, log_proposal, loss, gate, beta):</w:t>
        <w:br/>
        <w:t xml:space="preserve">    if not gate:</w:t>
        <w:br/>
        <w:t xml:space="preserve">        return -np.inf</w:t>
        <w:br/>
        <w:t xml:space="preserve">    if not np.isfinite([log_prior, log_proposal, loss, beta]).all():</w:t>
        <w:br/>
        <w:t xml:space="preserve">        raise ValueError("finite target and actual proposal are required")</w:t>
        <w:br/>
        <w:t xml:space="preserve">    if beta &lt; 0:</w:t>
        <w:br/>
        <w:t xml:space="preserve">        raise ValueError("beta must be nonnegative")</w:t>
        <w:br/>
        <w:t xml:space="preserve">    return log_prior-log_proposal-beta*loss</w:t>
      </w:r>
    </w:p>
    <w:p w14:paraId="29F192EA" w14:textId="77777777" w:rsidR="00287EFD" w:rsidRDefault="00000000" w:rsidP="00FD3B73">
      <w:pPr>
        <w:pStyle w:val="SourceCode"/>
        <w:keepLines/>
        <w:spacing w:before="80" w:after="80"/>
        <w:rPr>
          <w:rFonts w:hint="eastAsia"/>
        </w:rPr>
      </w:pPr>
      <w:r>
        <w:t>def preference_mixture(prior, objectives, gate, preferences,</w:t>
        <w:br/>
        <w:t xml:space="preserve">                       reference, beta, mixture_masses):</w:t>
        <w:br/>
        <w:t xml:space="preserve">    prior = np.asarray(prior, dtype=float)</w:t>
        <w:br/>
        <w:t xml:space="preserve">    J = np.asarray(objectives, dtype=float)</w:t>
        <w:br/>
        <w:t xml:space="preserve">    reference = np.asarray(reference, dtype=float)</w:t>
        <w:br/>
        <w:t xml:space="preserve">    gamma = np.asarray(mixture_masses, dtype=float)</w:t>
        <w:br/>
        <w:t xml:space="preserve">    if (gamma &lt; 0).any() or not np.isclose(gamma.sum(), 1.0):</w:t>
        <w:br/>
        <w:t xml:space="preserve">        raise ValueError("invalid preference mixture masses")</w:t>
        <w:br/>
        <w:t xml:space="preserve">    heads = []</w:t>
        <w:br/>
        <w:t xml:space="preserve">    for preference in np.asarray(preferences):</w:t>
        <w:br/>
        <w:t xml:space="preserve">        if (preference &lt;= 0).any() or not np.isclose(preference.sum(), 1):</w:t>
        <w:br/>
        <w:t xml:space="preserve">            raise ValueError("preferences must be positive and normalised")</w:t>
        <w:br/>
        <w:t xml:space="preserve">        energy = np.max(preference*(J-reference), axis=1)</w:t>
        <w:br/>
        <w:t xml:space="preserve">        heads.append(gated_target(prior, energy, gate, beta))</w:t>
        <w:br/>
        <w:t xml:space="preserve">    return gamma @ np.asarray(heads)</w:t>
      </w:r>
    </w:p>
    <w:p>
      <w:pPr>
        <w:pStyle w:val="SourceCode"/>
        <w:keepLines/>
        <w:spacing w:before="80" w:after="80"/>
        <w:rPr>
          <w:rFonts w:hint="eastAsia"/>
        </w:rPr>
      </w:pPr>
      <w:r>
        <w:t xml:space="preserve">from scipy.special import hyp0f1</w:t>
        <w:br/>
        <w:t xml:space="preserve">def unbiased_variance_factor(sample_variance, k, beta):</w:t>
        <w:br/>
        <w:t xml:space="preserve">    # Proposition 7: unique unbiased factor; may be negative</w:t>
        <w:br/>
        <w:t xml:space="preserve">    if k &lt; 2 or beta &lt; 0 or sample_variance &lt; 0:</w:t>
        <w:br/>
        <w:t xml:space="preserve">        raise ValueError("invalid unbiased-correction parameters")</w:t>
        <w:br/>
        <w:t xml:space="preserve">    x = beta*beta*(k-1)*sample_variance/(4*k)</w:t>
        <w:br/>
        <w:t xml:space="preserve">    return hyp0f1((k-1)/2, -x)</w:t>
      </w:r>
    </w:p>
    <w:p w14:paraId="339DE975" w14:textId="77777777" w:rsidR="00287EFD" w:rsidRDefault="00000000" w:rsidP="007B33B3">
      <w:pPr>
        <w:pStyle w:val="FirstParagraph"/>
        <w:rPr>
          <w:rFonts w:hint="eastAsia"/>
        </w:rPr>
      </w:pPr>
      <w:r>
        <w:t>The application supplies shape validation, objective and measurement version checks, and the realised decoder law. A finite prior mass of zero can be represented by a log mass of negative infinity and contributes no target weight; the simple sample-weight function is intended for draws with positive target and proposal mass. Equal positive masses must not be assumed merely because candidates occupy one archive row each. The function unbiased_variance_factor multiplies exp(−βS) to give the weight (22); its sign must be checked before any normalised read.</w:t>
      </w:r>
    </w:p>
    <w:p w14:paraId="4C120E29" w14:textId="77777777" w:rsidR="00287EFD" w:rsidRDefault="00000000" w:rsidP="007B33B3">
      <w:pPr>
        <w:pStyle w:val="Heading1"/>
        <w:rPr>
          <w:rFonts w:hint="eastAsia"/>
        </w:rPr>
      </w:pPr>
      <w:bookmarkStart w:id="24" w:name="appendix-b-reproduction-settings"/>
      <w:bookmarkEnd w:id="23"/>
      <w:r>
        <w:t>Appendix B Reproduction settings</w:t>
      </w:r>
    </w:p>
    <w:p w14:paraId="6BB620DF" w14:textId="77777777" w:rsidR="00287EFD" w:rsidRDefault="00000000" w:rsidP="007B33B3">
      <w:pPr>
        <w:pStyle w:val="FirstParagraph"/>
        <w:rPr>
          <w:rFonts w:hint="eastAsia"/>
        </w:rPr>
      </w:pPr>
      <w:r>
        <w:t xml:space="preserve">The finite-catalogue variational check uses NumPy default_rng with seed 20261016 and 200 draws from a three-dimensional Dirichlet distribution with all parameters one. Gaussian Monte Carlo checks use seed 20261017, 800000 repetitions and four independent normal scores per repetition, followed by a correlated-score block at </w:t>
      </w:r>
      <m:oMath>
        <m:r>
          <w:rPr>
            <w:rFonts w:ascii="Cambria Math" w:hAnsi="Cambria Math"/>
          </w:rPr>
          <m:t>ρ</m:t>
        </m:r>
        <m:r>
          <m:rPr>
            <m:sty m:val="p"/>
          </m:rPr>
          <w:rPr>
            <w:rFonts w:ascii="Cambria Math" w:hAnsi="Cambria Math"/>
          </w:rPr>
          <m:t>=</m:t>
        </m:r>
        <m:r>
          <w:rPr>
            <w:rFonts w:ascii="Cambria Math" w:hAnsi="Cambria Math"/>
          </w:rPr>
          <m:t>0.3</m:t>
        </m:r>
      </m:oMath>
      <w:r>
        <w:t xml:space="preserve">. Sample variances use denominator </w:t>
      </w:r>
      <m:oMath>
        <m:r>
          <w:rPr>
            <w:rFonts w:ascii="Cambria Math" w:hAnsi="Cambria Math"/>
          </w:rPr>
          <m:t>k</m:t>
        </m:r>
        <m:r>
          <m:rPr>
            <m:sty m:val="p"/>
          </m:rPr>
          <w:rPr>
            <w:rFonts w:ascii="Cambria Math" w:hAnsi="Cambria Math"/>
          </w:rPr>
          <m:t>-</m:t>
        </m:r>
        <m:r>
          <w:rPr>
            <w:rFonts w:ascii="Cambria Math" w:hAnsi="Cambria Math"/>
          </w:rPr>
          <m:t>1</m:t>
        </m:r>
      </m:oMath>
      <w:r>
        <w:t>.</w:t>
      </w:r>
    </w:p>
    <w:p w14:paraId="4517ED05" w14:textId="77777777" w:rsidR="00287EFD" w:rsidRDefault="00000000" w:rsidP="007B33B3">
      <w:pPr>
        <w:pStyle w:val="BodyText"/>
        <w:rPr>
          <w:rFonts w:hint="eastAsia"/>
        </w:rPr>
      </w:pPr>
      <w:r>
        <w:t xml:space="preserve">The Gaussian retrieval check uses seed 20261018 and one million draws from </w:t>
      </w:r>
      <m:oMath>
        <m:r>
          <m:rPr>
            <m:scr m:val="script"/>
            <m:sty m:val="p"/>
          </m:rPr>
          <w:rPr>
            <w:rFonts w:ascii="Cambria Math" w:hAnsi="Cambria Math"/>
          </w:rPr>
          <m:t>N</m:t>
        </m:r>
        <m:d>
          <m:dPr>
            <m:ctrlPr>
              <w:rPr>
                <w:rFonts w:ascii="Cambria Math" w:hAnsi="Cambria Math"/>
              </w:rPr>
            </m:ctrlPr>
          </m:dPr>
          <m:e>
            <m:r>
              <w:rPr>
                <w:rFonts w:ascii="Cambria Math" w:hAnsi="Cambria Math"/>
              </w:rPr>
              <m:t>0.8</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Its corrected log weights are </w:t>
      </w:r>
      <m:oMath>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0.6</m:t>
            </m:r>
          </m:sub>
        </m:sSub>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y</m:t>
            </m:r>
          </m:e>
        </m:d>
        <m:r>
          <m:rPr>
            <m:sty m:val="p"/>
          </m:rPr>
          <w:rPr>
            <w:rFonts w:ascii="Cambria Math" w:hAnsi="Cambria Math"/>
          </w:rPr>
          <m:t>+log</m:t>
        </m:r>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-log</m:t>
        </m:r>
        <m:r>
          <w:rPr>
            <w:rFonts w:ascii="Cambria Math" w:hAnsi="Cambria Math"/>
          </w:rPr>
          <m:t>q</m:t>
        </m:r>
        <m:d>
          <m:dPr>
            <m:ctrlPr>
              <w:rPr>
                <w:rFonts w:ascii="Cambria Math" w:hAnsi="Cambria Math"/>
              </w:rPr>
            </m:ctrlPr>
          </m:dPr>
          <m:e>
            <m:r>
              <w:rPr>
                <w:rFonts w:ascii="Cambria Math" w:hAnsi="Cambria Math"/>
              </w:rPr>
              <m:t>y</m:t>
            </m:r>
          </m:e>
        </m:d>
      </m:oMath>
      <w:r>
        <w:t xml:space="preserve">. Retrieval quadrature integrates the design coordinate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e>
        </m:d>
      </m:oMath>
      <w:r>
        <w:t>. All finite normalisations subtract the largest log weight before exponentiating. The kernel normalising constant is omitted consistently because it cancels.</w:t>
      </w:r>
    </w:p>
    <w:p w14:paraId="41ECA2C5" w14:textId="77777777" w:rsidR="00287EFD" w:rsidRDefault="00000000" w:rsidP="007B33B3">
      <w:pPr>
        <w:pStyle w:val="BodyText"/>
        <w:rPr>
          <w:rFonts w:hint="eastAsia"/>
        </w:rPr>
      </w:pPr>
      <w:r>
        <w:t>The adaptive catalogue check uses seed 20261019 and a vectorised set of 2000 independent trajectories. All start with catalogue counts one, use 300 draws, mix a 0.2 prior share into the adaptive component stated in Section 10, and update counts after each draw. Normaliser estimates divide summed weights by 300. Ratio root mean squared error is computed against the exact target probability of C. The preference example uses no random numbers and the objectives, reference point, preferences and temperature given in Section 7.</w:t>
      </w:r>
    </w:p>
    <w:p>
      <w:pPr>
        <w:pStyle w:val="BodyText"/>
        <w:rPr>
          <w:rFonts w:hint="eastAsia"/>
        </w:rPr>
      </w:pPr>
      <w:r>
        <w:t xml:space="preserve">The exploration of Section 11 uses the following settings. The unbiased-weight comparison uses seed 20261026 and 800000 repetitions for each k in {2, 3, 4, 8, 16}; exact negativity probabilities use the first 60 positive zeros of the relevant Bessel function and chi-squared survival functions, and relative errors use quadrature over the chi-squared variable on [0, 400]. The bound comparison uses seed 20261027 + n with 2000 trajectories and ε = 0.2 for each n, and the defensive-share sweep uses seed 20261028 with 300 draws and 2000 trajectories. The retrieval-width study uses seed 20261029 and 400 replications of 2000 draws for each s, with asymptotic variances integrated in log space over [−12, 12]. The two-design noise sweep, the shared-loading check, which uses two-dimensional quadrature over [−10, 10]², and the preference-temperature table use no random numbers.</w:t>
      </w:r>
    </w:p>
    <w:p w14:paraId="2E2D441F" w14:textId="77777777" w:rsidR="00287EFD" w:rsidRDefault="00000000" w:rsidP="007B33B3">
      <w:pPr>
        <w:pStyle w:val="BodyText"/>
        <w:rPr>
          <w:rFonts w:hint="eastAsia"/>
        </w:rPr>
      </w:pPr>
      <w:r>
        <w:t>These settings support independent numerical reproduction of the displayed formulas and Monte Carlo precision. No LLM, commercial solver or external engineering project is executed in these tests.</w:t>
      </w:r>
    </w:p>
    <w:p w14:paraId="199B29F6" w14:textId="77777777" w:rsidR="00287EFD" w:rsidRDefault="00000000" w:rsidP="007B33B3">
      <w:pPr>
        <w:pStyle w:val="Heading1"/>
        <w:rPr>
          <w:rFonts w:hint="eastAsia"/>
        </w:rPr>
      </w:pPr>
      <w:bookmarkStart w:id="25" w:name="references"/>
      <w:bookmarkEnd w:id="24"/>
      <w:r>
        <w:lastRenderedPageBreak/>
        <w:t>References</w:t>
      </w:r>
    </w:p>
    <w:p w14:paraId="70A58DE4" w14:textId="77777777" w:rsidR="00287EFD" w:rsidRDefault="00000000" w:rsidP="007B33B3">
      <w:pPr>
        <w:pStyle w:val="FirstParagraph"/>
        <w:keepLines/>
        <w:spacing w:after="140"/>
        <w:ind w:left="360" w:hanging="360"/>
        <w:rPr>
          <w:rFonts w:hint="eastAsia"/>
        </w:rPr>
      </w:pPr>
      <w:r>
        <w:rPr>
          <w:sz w:val="21"/>
        </w:rPr>
        <w:t>[1] Zhang Y, Hartl B, Hazan H, Levin M. Diffusion models are evolutionary algorithms. ICLR 2025. Revised preprint arXiv:2410.02543v3, 9 May 2026. https://arxiv.org/abs/2410.02543v3</w:t>
      </w:r>
    </w:p>
    <w:p w14:paraId="1A4167A1" w14:textId="77777777" w:rsidR="00287EFD" w:rsidRDefault="00000000" w:rsidP="007B33B3">
      <w:pPr>
        <w:pStyle w:val="BodyText"/>
        <w:keepLines/>
        <w:spacing w:after="140"/>
        <w:ind w:left="360" w:hanging="360"/>
        <w:rPr>
          <w:rFonts w:hint="eastAsia"/>
        </w:rPr>
      </w:pPr>
      <w:r>
        <w:rPr>
          <w:sz w:val="21"/>
        </w:rPr>
        <w:t>[2] Bissiri PG, Holmes CC, Walker SG. A general framework for updating belief distributions. Journal of the Royal Statistical Society Series B. 2016;78(5):1103–1130. doi:10.1111/rssb.12158. https://arxiv.org/abs/1306.6430</w:t>
      </w:r>
    </w:p>
    <w:p w14:paraId="5A315272" w14:textId="77777777" w:rsidR="00287EFD" w:rsidRDefault="00000000" w:rsidP="007B33B3">
      <w:pPr>
        <w:pStyle w:val="BodyText"/>
        <w:keepLines/>
        <w:spacing w:after="140"/>
        <w:ind w:left="360" w:hanging="360"/>
        <w:rPr>
          <w:rFonts w:hint="eastAsia"/>
        </w:rPr>
      </w:pPr>
      <w:r>
        <w:rPr>
          <w:sz w:val="21"/>
        </w:rPr>
        <w:t>[3] Hesterberg T. Weighted average importance sampling and defensive mixture distributions. Technometrics. 1995;37(2):185–194. doi:10.1080/00401706.1995.10484303.</w:t>
      </w:r>
    </w:p>
    <w:p w14:paraId="3134B9C7" w14:textId="77777777" w:rsidR="00287EFD" w:rsidRDefault="00000000" w:rsidP="007B33B3">
      <w:pPr>
        <w:pStyle w:val="BodyText"/>
        <w:keepLines/>
        <w:spacing w:after="140"/>
        <w:ind w:left="360" w:hanging="360"/>
        <w:rPr>
          <w:rFonts w:hint="eastAsia"/>
        </w:rPr>
      </w:pPr>
      <w:r>
        <w:rPr>
          <w:sz w:val="21"/>
        </w:rPr>
        <w:t>[4] Owen AB. Monte Carlo theory methods and examples. 2013. Chapter 9 on importance sampling. https://artowen.su.domains/mc/</w:t>
      </w:r>
    </w:p>
    <w:p w14:paraId="4EC7E361" w14:textId="77777777" w:rsidR="00287EFD" w:rsidRDefault="00000000" w:rsidP="007B33B3">
      <w:pPr>
        <w:pStyle w:val="BodyText"/>
        <w:keepLines/>
        <w:spacing w:after="140"/>
        <w:ind w:left="360" w:hanging="360"/>
        <w:rPr>
          <w:rFonts w:hint="eastAsia"/>
        </w:rPr>
      </w:pPr>
      <w:r>
        <w:rPr>
          <w:sz w:val="21"/>
        </w:rPr>
        <w:t>[5] Delyon B, Portier F. Safe adaptive importance sampling a mixture approach. arXiv:1903.08507v4. 2020. https://arxiv.org/abs/1903.08507</w:t>
      </w:r>
    </w:p>
    <w:p w14:paraId="656AE324" w14:textId="77777777" w:rsidR="00287EFD" w:rsidRDefault="00000000" w:rsidP="007B33B3">
      <w:pPr>
        <w:pStyle w:val="BodyText"/>
        <w:keepLines/>
        <w:spacing w:after="140"/>
        <w:ind w:left="360" w:hanging="360"/>
        <w:rPr>
          <w:rFonts w:hint="eastAsia"/>
        </w:rPr>
      </w:pPr>
      <w:r>
        <w:rPr>
          <w:sz w:val="21"/>
        </w:rPr>
        <w:t>[6] Song J, Meng C, Ermon S. Denoising diffusion implicit models. ICLR 2021. arXiv:2010.02502. https://arxiv.org/abs/2010.02502</w:t>
      </w:r>
    </w:p>
    <w:p w14:paraId="5098D34A" w14:textId="77777777" w:rsidR="00287EFD" w:rsidRDefault="00000000" w:rsidP="007B33B3">
      <w:pPr>
        <w:pStyle w:val="BodyText"/>
        <w:keepLines/>
        <w:spacing w:after="140"/>
        <w:ind w:left="360" w:hanging="360"/>
        <w:rPr>
          <w:rFonts w:hint="eastAsia"/>
        </w:rPr>
      </w:pPr>
      <w:r>
        <w:rPr>
          <w:sz w:val="21"/>
        </w:rPr>
        <w:t>[7] Hoeffding W. Probability inequalities for sums of bounded random variables. Journal of the American Statistical Association. 1963;58(301):13–30. doi:10.1080/01621459.1963.10500830.</w:t>
      </w:r>
    </w:p>
    <w:p w14:paraId="11EE975A" w14:textId="77777777" w:rsidR="00287EFD" w:rsidRDefault="00000000" w:rsidP="007B33B3">
      <w:pPr>
        <w:pStyle w:val="BodyText"/>
        <w:keepLines/>
        <w:spacing w:after="140"/>
        <w:ind w:left="360" w:hanging="360"/>
        <w:rPr>
          <w:rFonts w:hint="eastAsia"/>
        </w:rPr>
      </w:pPr>
      <w:r>
        <w:rPr>
          <w:sz w:val="21"/>
        </w:rPr>
        <w:t>[8] Ghosh DP. Autoregressive Diffusion Evolution. ResearchOverFlow source collection. October 2026. https://github.com/debiprasadghosh/ResearchOverFlow/tree/main/October2026/AutoregressiveDiffusionEvolution</w:t>
      </w:r>
      <w:bookmarkEnd w:id="25"/>
    </w:p>
    <w:p>
      <w:pPr>
        <w:pStyle w:val="BodyText"/>
        <w:keepLines/>
        <w:spacing w:after="140"/>
        <w:ind w:left="360" w:hanging="360"/>
        <w:rPr>
          <w:rFonts w:hint="eastAsia"/>
        </w:rPr>
      </w:pPr>
      <w:r>
        <w:rPr>
          <w:sz w:val="21"/>
        </w:rPr>
        <w:t xml:space="preserve">[9] Jacob PE, Thiery AH. On nonnegative unbiased estimators. Annals of Statistics. 2015;43(2):769–784. doi:10.1214/15-AOS1311. https://arxiv.org/abs/1309.6473</w:t>
      </w:r>
    </w:p>
    <w:p>
      <w:pPr>
        <w:pStyle w:val="BodyText"/>
        <w:keepLines/>
        <w:spacing w:after="140"/>
        <w:ind w:left="360" w:hanging="360"/>
        <w:rPr>
          <w:rFonts w:hint="eastAsia"/>
        </w:rPr>
      </w:pPr>
      <w:r>
        <w:rPr>
          <w:sz w:val="21"/>
        </w:rPr>
        <w:t xml:space="preserve">[10] Freedman DA. On tail probabilities for martingales. Annals of Probability. 1975;3(1):100–118. doi:10.1214/aop/1176996452.</w:t>
      </w:r>
    </w:p>
    <w:sectPr w:rsidR="00287EFD"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D78E" w14:textId="77777777" w:rsidR="008D68D6" w:rsidRDefault="008D68D6">
      <w:pPr>
        <w:spacing w:after="0" w:line="240" w:lineRule="auto"/>
        <w:rPr>
          <w:rFonts w:hint="eastAsia"/>
        </w:rPr>
      </w:pPr>
      <w:r>
        <w:separator/>
      </w:r>
    </w:p>
  </w:endnote>
  <w:endnote w:type="continuationSeparator" w:id="0">
    <w:p w14:paraId="35CA3DE0" w14:textId="77777777" w:rsidR="008D68D6" w:rsidRDefault="008D68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6372" w14:textId="77777777" w:rsidR="00287EFD"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9A7C1" w14:textId="77777777" w:rsidR="008D68D6" w:rsidRDefault="008D68D6">
      <w:pPr>
        <w:rPr>
          <w:rFonts w:hint="eastAsia"/>
        </w:rPr>
      </w:pPr>
      <w:r>
        <w:separator/>
      </w:r>
    </w:p>
  </w:footnote>
  <w:footnote w:type="continuationSeparator" w:id="0">
    <w:p w14:paraId="3B700AF5" w14:textId="77777777" w:rsidR="008D68D6" w:rsidRDefault="008D68D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2A008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75645475">
    <w:abstractNumId w:val="8"/>
  </w:num>
  <w:num w:numId="2" w16cid:durableId="1596133292">
    <w:abstractNumId w:val="6"/>
  </w:num>
  <w:num w:numId="3" w16cid:durableId="2104301107">
    <w:abstractNumId w:val="5"/>
  </w:num>
  <w:num w:numId="4" w16cid:durableId="594631876">
    <w:abstractNumId w:val="4"/>
  </w:num>
  <w:num w:numId="5" w16cid:durableId="495650121">
    <w:abstractNumId w:val="7"/>
  </w:num>
  <w:num w:numId="6" w16cid:durableId="449013616">
    <w:abstractNumId w:val="3"/>
  </w:num>
  <w:num w:numId="7" w16cid:durableId="218706352">
    <w:abstractNumId w:val="2"/>
  </w:num>
  <w:num w:numId="8" w16cid:durableId="2038657316">
    <w:abstractNumId w:val="1"/>
  </w:num>
  <w:num w:numId="9" w16cid:durableId="550189397">
    <w:abstractNumId w:val="0"/>
  </w:num>
  <w:num w:numId="10" w16cid:durableId="1276248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7EFD"/>
    <w:rsid w:val="00124935"/>
    <w:rsid w:val="00287EFD"/>
    <w:rsid w:val="007B33B3"/>
    <w:rsid w:val="008D68D6"/>
    <w:rsid w:val="00FD3B73"/>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4FAC"/>
  <w15:docId w15:val="{D9A1296B-D018-48BD-A256-10D23A11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6958</Words>
  <Characters>39666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as Density</dc:title>
  <dc:subject>Gated targets critic measurements and adaptive proposal laws for engineering search</dc:subject>
  <dc:creator>Debi Prasad Ghosh</dc:creator>
  <cp:keywords>Specification as Density; Gibbs target; critic measurement; adaptive importance sampling; ADE; multi-objective optimization</cp:keywords>
  <dc:description/>
  <cp:lastModifiedBy>Debiprasad Ghosh</cp:lastModifiedBy>
  <cp:revision>3</cp:revision>
  <dcterms:created xsi:type="dcterms:W3CDTF">2026-10-16T12:48:00Z</dcterms:created>
  <dcterms:modified xsi:type="dcterms:W3CDTF">2026-10-16T13:00:00Z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edition 16 October 2026</vt:lpwstr>
  </property>
  <property fmtid="{D5CDD505-2E9C-101B-9397-08002B2CF9AE}" pid="3" name="subtitle">
    <vt:lpwstr>Gated targets and critic measurements in adaptive engineering search</vt:lpwstr>
  </property>
</Properties>
</file>