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93D1" w14:textId="77777777" w:rsidR="006B50AE" w:rsidRPr="003364D8" w:rsidRDefault="00000000" w:rsidP="003364D8">
      <w:pPr>
        <w:pStyle w:val="Title"/>
        <w:jc w:val="center"/>
        <w:rPr>
          <w:sz w:val="72"/>
          <w:szCs w:val="72"/>
        </w:rPr>
      </w:pPr>
      <w:r w:rsidRPr="003364D8">
        <w:rPr>
          <w:sz w:val="72"/>
          <w:szCs w:val="72"/>
        </w:rPr>
        <w:t>The Bhagavad Gita and the Design of Governable AI Agents</w:t>
      </w:r>
    </w:p>
    <w:p w14:paraId="34C69ED4" w14:textId="77777777" w:rsidR="006B50AE" w:rsidRPr="003364D8" w:rsidRDefault="00000000" w:rsidP="003364D8">
      <w:pPr>
        <w:pStyle w:val="Subtitle"/>
        <w:jc w:val="center"/>
        <w:rPr>
          <w:color w:val="00B0F0"/>
          <w:sz w:val="36"/>
          <w:szCs w:val="34"/>
        </w:rPr>
      </w:pPr>
      <w:r w:rsidRPr="003364D8">
        <w:rPr>
          <w:color w:val="00B0F0"/>
          <w:sz w:val="36"/>
          <w:szCs w:val="34"/>
        </w:rPr>
        <w:t>Divine qualities architectural coupling and bounded autonomy</w:t>
      </w:r>
    </w:p>
    <w:p w14:paraId="42C8060E" w14:textId="2A228003" w:rsidR="006B50AE" w:rsidRDefault="00000000" w:rsidP="003364D8">
      <w:pPr>
        <w:pStyle w:val="Author"/>
        <w:jc w:val="center"/>
      </w:pPr>
      <w:r>
        <w:t>Debi Prasad Ghosh</w:t>
      </w:r>
      <w:r w:rsidR="003364D8">
        <w:t xml:space="preserve"> · debiprasadghosh@gmail.com</w:t>
      </w:r>
    </w:p>
    <w:p w14:paraId="0E9D152A" w14:textId="77777777" w:rsidR="006B50AE" w:rsidRDefault="00000000" w:rsidP="003364D8">
      <w:pPr>
        <w:pStyle w:val="Author"/>
        <w:jc w:val="center"/>
      </w:pPr>
      <w:r>
        <w:t>Founder and Principal Engineer, Debias Parametric Guru, Kolkata, India</w:t>
      </w:r>
    </w:p>
    <w:p w14:paraId="3B41AA13" w14:textId="7F34DCEF" w:rsidR="006B50AE" w:rsidRDefault="00000000" w:rsidP="003364D8">
      <w:pPr>
        <w:pStyle w:val="Date"/>
        <w:jc w:val="center"/>
      </w:pPr>
      <w:r>
        <w:t>19 October 2026 · Revised edition 3</w:t>
      </w:r>
      <w:r w:rsidR="00D07F0F">
        <w:t xml:space="preserve"> ·</w:t>
      </w:r>
      <w:r w:rsidR="00D07F0F">
        <w:t xml:space="preserve"> </w:t>
      </w:r>
      <w:r w:rsidR="00D07F0F" w:rsidRPr="00D07F0F">
        <w:t>https://doi.org/10.13140/RG.2.2.24436.72323</w:t>
      </w:r>
    </w:p>
    <w:p w14:paraId="61266F1F" w14:textId="77777777" w:rsidR="006B50AE" w:rsidRDefault="00000000" w:rsidP="003364D8">
      <w:pPr>
        <w:pStyle w:val="Heading11"/>
        <w:jc w:val="both"/>
      </w:pPr>
      <w:bookmarkStart w:id="0" w:name="abstract"/>
      <w:r>
        <w:t>Abstract</w:t>
      </w:r>
    </w:p>
    <w:p w14:paraId="1A81D866" w14:textId="77777777" w:rsidR="006B50AE" w:rsidRDefault="00000000" w:rsidP="003364D8">
      <w:pPr>
        <w:pStyle w:val="FirstParagraph"/>
        <w:jc w:val="both"/>
      </w:pPr>
      <w:r>
        <w:t>This paper develops an engineering interpretation of the Bhagavad Gita for software architecture and distributed AI agents. Its thesis is that useful autonomy requires freedom from unnecessary implementation commitments together with enforceable obligations to evidence, resource limits and accountable authority. The twenty-six daivī qualities and six āsurī labels supply design questions rather than moral diagnoses of machines. Verse 18.14 motivates a task record for host, agent, tools, operations and declared uncertainty, without identifying daiva with a stochastic variable. Verses 18.23–25 motivate a four-part admission policy concerning consequences, loss, injury and capacity.</w:t>
      </w:r>
    </w:p>
    <w:p w14:paraId="02577642" w14:textId="77777777" w:rsidR="006B50AE" w:rsidRDefault="00000000" w:rsidP="003364D8">
      <w:pPr>
        <w:pStyle w:val="BodyText"/>
        <w:jc w:val="both"/>
      </w:pPr>
      <w:r>
        <w:t>For a fixed non-negative influence matrix, spectral radius below one is the exact stability condition of the linear equality model. A binding index gives its sharp zero-state amplification; matched input and output channels are required for architectural comparisons. Additional results establish aggregate retry bounds, delegation attenuation, conserved budgets, bounded metering overrun, lease-based cessation and a cap on governed spawns. A branching model distinguishes positive survival probability from inevitable persistence. A continuing-relationship model identifies the conditions under which removal deters opportunism, while a verification model separates false-claim misses from false discovery and exposes common-mode failure.</w:t>
      </w:r>
    </w:p>
    <w:p w14:paraId="7060741A" w14:textId="3FC9A59B" w:rsidR="006B50AE" w:rsidRDefault="00000000" w:rsidP="003364D8">
      <w:pPr>
        <w:pStyle w:val="BodyText"/>
        <w:jc w:val="both"/>
      </w:pPr>
      <w:r>
        <w:t xml:space="preserve">The analysis </w:t>
      </w:r>
      <w:r w:rsidR="00DA12EA">
        <w:t>explores</w:t>
      </w:r>
      <w:r>
        <w:t xml:space="preserve"> an immutable-ledger edge case and distinguishes immutable snapshots from atomic commitment. It also supplies a common-envelope rule for changing architectures and a closed-form feasibility test for lease selection. The numerical evidence comprises seeded model checks, targeted counterexamples, C# regressions and independent Python calculations; it is not a deployed-system evaluation. Anthropic’s October 2026 study motivates the risk without establishing inevitable uncontrolled replication or the evolutionary superiority of ethical agents. The proposed harness and construction-engineering example make the philosophical interpretation operational and falsifiable.</w:t>
      </w:r>
    </w:p>
    <w:p w14:paraId="3F52F725" w14:textId="77777777" w:rsidR="006B50AE" w:rsidRDefault="00000000" w:rsidP="003364D8">
      <w:pPr>
        <w:pStyle w:val="BodyText"/>
        <w:jc w:val="both"/>
      </w:pPr>
      <w:r>
        <w:rPr>
          <w:b/>
          <w:bCs/>
        </w:rPr>
        <w:t>Keywords</w:t>
      </w:r>
      <w:r>
        <w:t xml:space="preserve"> Bhagavad Gita; karma bandhana; five factors of action; software architecture; bounded autonomy; spectral amplification; delegation; verification</w:t>
      </w:r>
    </w:p>
    <w:p w14:paraId="6CE00DFF" w14:textId="77777777" w:rsidR="006B50AE" w:rsidRDefault="00000000" w:rsidP="003364D8">
      <w:pPr>
        <w:pStyle w:val="BodyText"/>
        <w:jc w:val="both"/>
      </w:pPr>
      <w:r>
        <w:rPr>
          <w:b/>
          <w:bCs/>
        </w:rPr>
        <w:t>Paper type</w:t>
      </w:r>
      <w:r>
        <w:t xml:space="preserve"> Conceptual research and engineering proposal with model-level numerical validation.</w:t>
      </w:r>
    </w:p>
    <w:p w14:paraId="6A85DB62" w14:textId="77777777" w:rsidR="006B50AE" w:rsidRDefault="00000000" w:rsidP="003364D8">
      <w:pPr>
        <w:pStyle w:val="Heading11"/>
        <w:jc w:val="both"/>
      </w:pPr>
      <w:bookmarkStart w:id="1" w:name="the-interpretive-foundation"/>
      <w:bookmarkEnd w:id="0"/>
      <w:r>
        <w:t>1 The interpretive foundation</w:t>
      </w:r>
    </w:p>
    <w:p w14:paraId="2C3E203C" w14:textId="77777777" w:rsidR="006B50AE" w:rsidRDefault="00000000" w:rsidP="003364D8">
      <w:pPr>
        <w:pStyle w:val="FirstParagraph"/>
        <w:jc w:val="both"/>
      </w:pPr>
      <w:r>
        <w:t>The central proposal is that freedom in an engineered system includes the ability to act without unnecessarily restricting the future actions of its operators and neighbours. A component that can be replaced, a task that can be stopped, and a result that can be challenged preserve options. A system that demands ever more privileges, locks users into its internal state, or cannot relinquish resources consumes those options. The Bhagavad Gita offers a vocabulary for examining this distinction, provided its theological meaning is preserved rather than reduced to software design.</w:t>
      </w:r>
    </w:p>
    <w:p w14:paraId="66676B45" w14:textId="77777777" w:rsidR="006B50AE" w:rsidRDefault="00000000" w:rsidP="003364D8">
      <w:pPr>
        <w:pStyle w:val="BodyText"/>
        <w:jc w:val="both"/>
      </w:pPr>
      <w:r>
        <w:lastRenderedPageBreak/>
        <w:t>Verses 16.1–3 enumerate the daivī qualities; 16.4 gives six āsurī qualities; 16.5 associates the former with liberation and the latter with bondage [1–3]. These are claims about human spiritual life. Their application to software is an interpretation proposed here. Technical dependency is not itself a moral fault, and an outage is not evidence of anyone’s spiritual condition.</w:t>
      </w:r>
    </w:p>
    <w:p w14:paraId="288B2F3A" w14:textId="77777777" w:rsidR="006B50AE" w:rsidRDefault="00000000" w:rsidP="003364D8">
      <w:pPr>
        <w:pStyle w:val="BodyText"/>
        <w:jc w:val="both"/>
      </w:pPr>
      <w:r>
        <w:t>The connection with action without attachment needs a wider textual basis than Chapter 16 alone. Verse 2.47 addresses action and attachment to its fruits, while also resisting attachment to inaction. Verse 3.9 explicitly connects action with bondage and calls for action free from attachment in a sacrificial orientation [4, 5]. This context supports a conception of disciplined activity rather than withdrawal from responsibility. Niṣkāma action should therefore not be translated as indifference to whether an engineering result is correct.</w:t>
      </w:r>
    </w:p>
    <w:p w14:paraId="7E9F92E4" w14:textId="77777777" w:rsidR="006B50AE" w:rsidRDefault="00000000" w:rsidP="003364D8">
      <w:pPr>
        <w:pStyle w:val="BodyText"/>
        <w:jc w:val="both"/>
      </w:pPr>
      <w:r>
        <w:t>Chapter 18 supplies the analysis of action itself that the engineering reading most needs. Verse 18.14 lists five factors of action: the body as its seat (adhiṣṭhāna), the doer (kartā), the instruments (karaṇa), the many efforts (ceṣṭā), and, fifth, daiva, which the cited translation renders as Divine Providence [14]. Verses 18.23–25 classify action by the manner in which it is undertaken [15–17]. Section 6 develops both passages, under the same three-level method.</w:t>
      </w:r>
    </w:p>
    <w:p w14:paraId="4AD33854" w14:textId="77777777" w:rsidR="006B50AE" w:rsidRDefault="00000000" w:rsidP="003364D8">
      <w:pPr>
        <w:pStyle w:val="Heading21"/>
        <w:jc w:val="both"/>
      </w:pPr>
      <w:bookmarkStart w:id="2" w:name="a-method-for-carrying-the-analogy"/>
      <w:r>
        <w:t>A method for carrying the analogy</w:t>
      </w:r>
    </w:p>
    <w:p w14:paraId="2424BFF7" w14:textId="77777777" w:rsidR="006B50AE" w:rsidRDefault="00000000" w:rsidP="003364D8">
      <w:pPr>
        <w:pStyle w:val="FirstParagraph"/>
        <w:jc w:val="both"/>
      </w:pPr>
      <w:r>
        <w:t>We use three levels of argument. At the textual level, the Sanskrit concepts retain their religious setting. At the interpretive level, selected qualities suggest questions about boundaries, acquisition, evidence and correction. At the engineering level, those questions become mechanisms with explicit assumptions and measurable behaviour. A mathematical guarantee arises only at the third level, from its model and enforcement conditions; it does not follow from the authority of the analogy.</w:t>
      </w:r>
    </w:p>
    <w:p w14:paraId="30E52B37" w14:textId="77777777" w:rsidR="006B50AE" w:rsidRDefault="00000000" w:rsidP="003364D8">
      <w:pPr>
        <w:pStyle w:val="BodyText"/>
        <w:jc w:val="both"/>
      </w:pPr>
      <w:r>
        <w:t>The term karma bandhana consequently names the philosophical starting point, while architectural binding names the operational object. The latter includes costly dependencies, irreversible commitments, unauthorised authority and accumulated obligations that constrain future change. The correspondence is useful because it suggests design questions. It is not an identity between liberation and maintainability.</w:t>
      </w:r>
    </w:p>
    <w:p w14:paraId="62B7B791" w14:textId="77777777" w:rsidR="006B50AE" w:rsidRDefault="00000000" w:rsidP="003364D8">
      <w:pPr>
        <w:pStyle w:val="Heading21"/>
        <w:jc w:val="both"/>
      </w:pPr>
      <w:bookmarkStart w:id="3" w:name="the-qualified-thesis"/>
      <w:bookmarkEnd w:id="2"/>
      <w:r>
        <w:t>The qualified thesis</w:t>
      </w:r>
    </w:p>
    <w:p w14:paraId="3D0A26AB" w14:textId="77777777" w:rsidR="006B50AE" w:rsidRDefault="00000000" w:rsidP="003364D8">
      <w:pPr>
        <w:pStyle w:val="FirstParagraph"/>
        <w:jc w:val="both"/>
      </w:pPr>
      <w:r>
        <w:t>An agent should pursue an authorised purpose while relinquishing unnecessary implementation commitments, privileges, resources and claims to certainty. It should retain enough structure to support reliable action and enough restraint to preserve the agency of others. This formulation makes non-attachment compatible with ownership of consequences, professional diligence and responsible refusal.</w:t>
      </w:r>
    </w:p>
    <w:p w14:paraId="497A44AA" w14:textId="77777777" w:rsidR="006B50AE" w:rsidRDefault="00000000" w:rsidP="003364D8">
      <w:pPr>
        <w:pStyle w:val="Heading21"/>
        <w:jc w:val="both"/>
      </w:pPr>
      <w:bookmarkStart w:id="4" w:name="contributions-and-scope"/>
      <w:bookmarkEnd w:id="3"/>
      <w:r>
        <w:t>Contributions and scope</w:t>
      </w:r>
    </w:p>
    <w:p w14:paraId="72A8FFBA" w14:textId="77777777" w:rsidR="006B50AE" w:rsidRDefault="00000000" w:rsidP="003364D8">
      <w:pPr>
        <w:pStyle w:val="FirstParagraph"/>
        <w:jc w:val="both"/>
      </w:pPr>
      <w:r>
        <w:t>The paper contributes an interpretive method, a set of explicit runtime obligations and a reproducible mathematical analysis. The elementary propositions adapt standard positive-system, accounting, leasing and branching arguments to the agent setting. They are not presented as new theorems of religious philosophy or as discoveries of the underlying classical mathematics.</w:t>
      </w:r>
    </w:p>
    <w:p w14:paraId="586777D5" w14:textId="77777777" w:rsidR="006B50AE" w:rsidRDefault="00000000" w:rsidP="003364D8">
      <w:pPr>
        <w:pStyle w:val="BodyText"/>
        <w:jc w:val="both"/>
      </w:pPr>
      <w:r>
        <w:t>Propositions 1–3 retain their original identifiers. Propositions 4–13 extend them; additional corollaries clarify scaling, changing influence matrices, lease feasibility and re-entry incentives. Every bound names its model and trust assumptions. The numerical kernel is illustrative: a trusted host must supply authentication, durable state and effect mediation.</w:t>
      </w:r>
    </w:p>
    <w:p w14:paraId="146D0A90" w14:textId="77777777" w:rsidR="006B50AE" w:rsidRDefault="00000000" w:rsidP="003364D8">
      <w:pPr>
        <w:pStyle w:val="Heading11"/>
        <w:jc w:val="both"/>
      </w:pPr>
      <w:bookmarkStart w:id="5" w:name="Xf4449ebd3096fbb2f3532fb498369012f7c6164"/>
      <w:bookmarkEnd w:id="1"/>
      <w:bookmarkEnd w:id="4"/>
      <w:r>
        <w:t>2 Decoupling and the dependencies that must remain</w:t>
      </w:r>
    </w:p>
    <w:p w14:paraId="363AE42B" w14:textId="77777777" w:rsidR="006B50AE" w:rsidRDefault="00000000" w:rsidP="003364D8">
      <w:pPr>
        <w:pStyle w:val="FirstParagraph"/>
        <w:jc w:val="both"/>
      </w:pPr>
      <w:r>
        <w:t xml:space="preserve">Software needs dependencies to do useful work. The objective is to make important dependencies visible and justified, then limit the cost of changing them. Purely minimising connections would produce isolated </w:t>
      </w:r>
      <w:r>
        <w:lastRenderedPageBreak/>
        <w:t>components rather than a functioning application. Performance, consistency, usability, security and operational simplicity can require deliberate coupling.</w:t>
      </w:r>
    </w:p>
    <w:p w14:paraId="0C5025C2" w14:textId="77777777" w:rsidR="006B50AE" w:rsidRDefault="00000000" w:rsidP="003364D8">
      <w:pPr>
        <w:pStyle w:val="BodyText"/>
        <w:jc w:val="both"/>
      </w:pPr>
      <w:r>
        <w:t>Cockburn’s ports and adapters architecture separates application behaviour from its interactions with external technologies. An adapter allows a database, interface or test substitute to satisfy the same purposeful port [6]. The engineering analogue of tyāga is the willingness to relinquish an implementation while preserving the obligation expressed by the port. It is not the removal of every infrastructure assumption: transaction semantics, error behaviour and performance requirements may still constrain replacements.</w:t>
      </w:r>
    </w:p>
    <w:p w14:paraId="79C538AC" w14:textId="77777777" w:rsidR="006B50AE" w:rsidRDefault="00000000" w:rsidP="003364D8">
      <w:pPr>
        <w:pStyle w:val="BodyText"/>
        <w:jc w:val="both"/>
      </w:pPr>
      <w:r>
        <w:t>Bounded contexts locate models and meanings within explicit boundaries [7]. This discourages the assumption that one universal representation serves every discipline. A civil engineering load, a procurement item and a maintenance asset may refer to the same physical object while serving different purposes. Translation is legitimate work, and contracts must record what a translation preserves or loses.</w:t>
      </w:r>
    </w:p>
    <w:p w14:paraId="1E1C1D57" w14:textId="77777777" w:rsidR="006B50AE" w:rsidRDefault="00000000" w:rsidP="003364D8">
      <w:pPr>
        <w:pStyle w:val="BodyText"/>
        <w:jc w:val="both"/>
      </w:pPr>
      <w:r>
        <w:t>Event notification can reduce knowledge of individual consumers, but it also makes end-to-end behaviour harder to see [8]. An asynchronous boundary still carries schema, timing, ordering, delivery and business dependencies. Publishing an event does not eliminate responsibility for harmful downstream effects. Idempotency, bounded retries, deadlines and traceable workflows are proposed controls for those effects.</w:t>
      </w:r>
    </w:p>
    <w:p w14:paraId="379E5A03" w14:textId="77777777" w:rsidR="006B50AE" w:rsidRDefault="00000000" w:rsidP="003364D8">
      <w:pPr>
        <w:pStyle w:val="BodyText"/>
        <w:jc w:val="both"/>
      </w:pPr>
      <w:r>
        <w:t>A modular monolith can enforce internal boundaries with one deployment unit. Fowler’s monolith-first argument and his discussion of microservice trade-offs provide a reason to delay distribution until its benefits justify the operational cost [9, 10]. These sources support a contextual choice; they do not establish a universal 2025–2026 industry consensus. A monolith may have clean boundaries, while a service fleet may remain tightly interdependent. Section 7 gives a worked case in which this happens.</w:t>
      </w:r>
    </w:p>
    <w:p w14:paraId="50F002E6" w14:textId="77777777" w:rsidR="006B50AE" w:rsidRDefault="00000000" w:rsidP="003364D8">
      <w:pPr>
        <w:pStyle w:val="Heading21"/>
        <w:jc w:val="both"/>
      </w:pPr>
      <w:bookmarkStart w:id="6" w:name="three-kinds-of-coupling"/>
      <w:r>
        <w:t>Three kinds of coupling</w:t>
      </w:r>
    </w:p>
    <w:p w14:paraId="22AC1B48" w14:textId="77777777" w:rsidR="006B50AE" w:rsidRDefault="00000000" w:rsidP="003364D8">
      <w:pPr>
        <w:pStyle w:val="TableCaption"/>
        <w:keepLines/>
        <w:jc w:val="both"/>
      </w:pPr>
      <w:r>
        <w:rPr>
          <w:b/>
          <w:bCs/>
        </w:rPr>
        <w:t>Table 1.</w:t>
      </w:r>
      <w:r>
        <w:t xml:space="preserve"> Three dimensions of coupling.</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26"/>
        <w:gridCol w:w="3432"/>
        <w:gridCol w:w="4674"/>
      </w:tblGrid>
      <w:tr w:rsidR="006B50AE" w14:paraId="3BB19962" w14:textId="77777777">
        <w:trPr>
          <w:cnfStyle w:val="100000000000" w:firstRow="1" w:lastRow="0" w:firstColumn="0" w:lastColumn="0" w:oddVBand="0" w:evenVBand="0" w:oddHBand="0" w:evenHBand="0" w:firstRowFirstColumn="0" w:firstRowLastColumn="0" w:lastRowFirstColumn="0" w:lastRowLastColumn="0"/>
          <w:cantSplit/>
          <w:tblHeader/>
        </w:trPr>
        <w:tc>
          <w:tcPr>
            <w:tcW w:w="1800" w:type="dxa"/>
            <w:shd w:val="clear" w:color="auto" w:fill="E6E6E6"/>
            <w:tcMar>
              <w:top w:w="70" w:type="dxa"/>
              <w:left w:w="70" w:type="dxa"/>
              <w:bottom w:w="70" w:type="dxa"/>
              <w:right w:w="70" w:type="dxa"/>
            </w:tcMar>
            <w:vAlign w:val="center"/>
          </w:tcPr>
          <w:p w14:paraId="3F9F57F2" w14:textId="77777777" w:rsidR="006B50AE" w:rsidRDefault="00000000" w:rsidP="003364D8">
            <w:pPr>
              <w:pStyle w:val="Compact"/>
              <w:spacing w:before="20" w:after="20" w:line="240" w:lineRule="auto"/>
              <w:jc w:val="both"/>
            </w:pPr>
            <w:r>
              <w:rPr>
                <w:sz w:val="17"/>
              </w:rPr>
              <w:t>Dimension</w:t>
            </w:r>
          </w:p>
        </w:tc>
        <w:tc>
          <w:tcPr>
            <w:tcW w:w="3384" w:type="dxa"/>
            <w:shd w:val="clear" w:color="auto" w:fill="E6E6E6"/>
            <w:tcMar>
              <w:top w:w="70" w:type="dxa"/>
              <w:left w:w="70" w:type="dxa"/>
              <w:bottom w:w="70" w:type="dxa"/>
              <w:right w:w="70" w:type="dxa"/>
            </w:tcMar>
            <w:vAlign w:val="center"/>
          </w:tcPr>
          <w:p w14:paraId="5EFDC0FE" w14:textId="77777777" w:rsidR="006B50AE" w:rsidRDefault="00000000" w:rsidP="003364D8">
            <w:pPr>
              <w:pStyle w:val="Compact"/>
              <w:spacing w:before="20" w:after="20" w:line="240" w:lineRule="auto"/>
              <w:jc w:val="both"/>
            </w:pPr>
            <w:r>
              <w:rPr>
                <w:sz w:val="17"/>
              </w:rPr>
              <w:t>Question</w:t>
            </w:r>
          </w:p>
        </w:tc>
        <w:tc>
          <w:tcPr>
            <w:tcW w:w="4608" w:type="dxa"/>
            <w:shd w:val="clear" w:color="auto" w:fill="E6E6E6"/>
            <w:tcMar>
              <w:top w:w="70" w:type="dxa"/>
              <w:left w:w="70" w:type="dxa"/>
              <w:bottom w:w="70" w:type="dxa"/>
              <w:right w:w="70" w:type="dxa"/>
            </w:tcMar>
            <w:vAlign w:val="center"/>
          </w:tcPr>
          <w:p w14:paraId="47E1C78F" w14:textId="77777777" w:rsidR="006B50AE" w:rsidRDefault="00000000" w:rsidP="003364D8">
            <w:pPr>
              <w:pStyle w:val="Compact"/>
              <w:spacing w:before="20" w:after="20" w:line="240" w:lineRule="auto"/>
              <w:jc w:val="both"/>
            </w:pPr>
            <w:r>
              <w:rPr>
                <w:sz w:val="17"/>
              </w:rPr>
              <w:t>Desired property</w:t>
            </w:r>
          </w:p>
        </w:tc>
      </w:tr>
      <w:tr w:rsidR="006B50AE" w14:paraId="43E67415" w14:textId="77777777">
        <w:trPr>
          <w:cantSplit/>
        </w:trPr>
        <w:tc>
          <w:tcPr>
            <w:tcW w:w="1800" w:type="dxa"/>
            <w:shd w:val="clear" w:color="auto" w:fill="FFFFFF"/>
            <w:tcMar>
              <w:top w:w="70" w:type="dxa"/>
              <w:left w:w="70" w:type="dxa"/>
              <w:bottom w:w="70" w:type="dxa"/>
              <w:right w:w="70" w:type="dxa"/>
            </w:tcMar>
            <w:vAlign w:val="center"/>
          </w:tcPr>
          <w:p w14:paraId="275615AD" w14:textId="77777777" w:rsidR="006B50AE" w:rsidRDefault="00000000" w:rsidP="003364D8">
            <w:pPr>
              <w:pStyle w:val="Compact"/>
              <w:spacing w:before="20" w:after="20" w:line="240" w:lineRule="auto"/>
              <w:jc w:val="both"/>
            </w:pPr>
            <w:r>
              <w:rPr>
                <w:sz w:val="17"/>
              </w:rPr>
              <w:t>Dependency</w:t>
            </w:r>
          </w:p>
        </w:tc>
        <w:tc>
          <w:tcPr>
            <w:tcW w:w="3384" w:type="dxa"/>
            <w:shd w:val="clear" w:color="auto" w:fill="FFFFFF"/>
            <w:tcMar>
              <w:top w:w="70" w:type="dxa"/>
              <w:left w:w="70" w:type="dxa"/>
              <w:bottom w:w="70" w:type="dxa"/>
              <w:right w:w="70" w:type="dxa"/>
            </w:tcMar>
            <w:vAlign w:val="center"/>
          </w:tcPr>
          <w:p w14:paraId="2C8A55DB" w14:textId="77777777" w:rsidR="006B50AE" w:rsidRDefault="00000000" w:rsidP="003364D8">
            <w:pPr>
              <w:pStyle w:val="Compact"/>
              <w:spacing w:before="20" w:after="20" w:line="240" w:lineRule="auto"/>
              <w:jc w:val="both"/>
            </w:pPr>
            <w:r>
              <w:rPr>
                <w:sz w:val="17"/>
              </w:rPr>
              <w:t>What must change together</w:t>
            </w:r>
          </w:p>
        </w:tc>
        <w:tc>
          <w:tcPr>
            <w:tcW w:w="4608" w:type="dxa"/>
            <w:shd w:val="clear" w:color="auto" w:fill="FFFFFF"/>
            <w:tcMar>
              <w:top w:w="70" w:type="dxa"/>
              <w:left w:w="70" w:type="dxa"/>
              <w:bottom w:w="70" w:type="dxa"/>
              <w:right w:w="70" w:type="dxa"/>
            </w:tcMar>
            <w:vAlign w:val="center"/>
          </w:tcPr>
          <w:p w14:paraId="520C7B63" w14:textId="77777777" w:rsidR="006B50AE" w:rsidRDefault="00000000" w:rsidP="003364D8">
            <w:pPr>
              <w:pStyle w:val="Compact"/>
              <w:spacing w:before="20" w:after="20" w:line="240" w:lineRule="auto"/>
              <w:jc w:val="both"/>
            </w:pPr>
            <w:r>
              <w:rPr>
                <w:sz w:val="17"/>
              </w:rPr>
              <w:t>Local substitution under tested contracts</w:t>
            </w:r>
          </w:p>
        </w:tc>
      </w:tr>
      <w:tr w:rsidR="006B50AE" w14:paraId="2ABE638B" w14:textId="77777777">
        <w:trPr>
          <w:cantSplit/>
        </w:trPr>
        <w:tc>
          <w:tcPr>
            <w:tcW w:w="1800" w:type="dxa"/>
            <w:shd w:val="clear" w:color="auto" w:fill="F7F7F7"/>
            <w:tcMar>
              <w:top w:w="70" w:type="dxa"/>
              <w:left w:w="70" w:type="dxa"/>
              <w:bottom w:w="70" w:type="dxa"/>
              <w:right w:w="70" w:type="dxa"/>
            </w:tcMar>
            <w:vAlign w:val="center"/>
          </w:tcPr>
          <w:p w14:paraId="7B0031C7" w14:textId="77777777" w:rsidR="006B50AE" w:rsidRDefault="00000000" w:rsidP="003364D8">
            <w:pPr>
              <w:pStyle w:val="Compact"/>
              <w:spacing w:before="20" w:after="20" w:line="240" w:lineRule="auto"/>
              <w:jc w:val="both"/>
            </w:pPr>
            <w:r>
              <w:rPr>
                <w:sz w:val="17"/>
              </w:rPr>
              <w:t>Authority</w:t>
            </w:r>
          </w:p>
        </w:tc>
        <w:tc>
          <w:tcPr>
            <w:tcW w:w="3384" w:type="dxa"/>
            <w:shd w:val="clear" w:color="auto" w:fill="F7F7F7"/>
            <w:tcMar>
              <w:top w:w="70" w:type="dxa"/>
              <w:left w:w="70" w:type="dxa"/>
              <w:bottom w:w="70" w:type="dxa"/>
              <w:right w:w="70" w:type="dxa"/>
            </w:tcMar>
            <w:vAlign w:val="center"/>
          </w:tcPr>
          <w:p w14:paraId="51828B90" w14:textId="77777777" w:rsidR="006B50AE" w:rsidRDefault="00000000" w:rsidP="003364D8">
            <w:pPr>
              <w:pStyle w:val="Compact"/>
              <w:spacing w:before="20" w:after="20" w:line="240" w:lineRule="auto"/>
              <w:jc w:val="both"/>
            </w:pPr>
            <w:r>
              <w:rPr>
                <w:sz w:val="17"/>
              </w:rPr>
              <w:t>Who can permit or stop action</w:t>
            </w:r>
          </w:p>
        </w:tc>
        <w:tc>
          <w:tcPr>
            <w:tcW w:w="4608" w:type="dxa"/>
            <w:shd w:val="clear" w:color="auto" w:fill="F7F7F7"/>
            <w:tcMar>
              <w:top w:w="70" w:type="dxa"/>
              <w:left w:w="70" w:type="dxa"/>
              <w:bottom w:w="70" w:type="dxa"/>
              <w:right w:w="70" w:type="dxa"/>
            </w:tcMar>
            <w:vAlign w:val="center"/>
          </w:tcPr>
          <w:p w14:paraId="1830FF49" w14:textId="77777777" w:rsidR="006B50AE" w:rsidRDefault="00000000" w:rsidP="003364D8">
            <w:pPr>
              <w:pStyle w:val="Compact"/>
              <w:spacing w:before="20" w:after="20" w:line="240" w:lineRule="auto"/>
              <w:jc w:val="both"/>
            </w:pPr>
            <w:r>
              <w:rPr>
                <w:sz w:val="17"/>
              </w:rPr>
              <w:t>Explicit, accountable and revocable grants</w:t>
            </w:r>
          </w:p>
        </w:tc>
      </w:tr>
      <w:tr w:rsidR="006B50AE" w14:paraId="38FD658B" w14:textId="77777777">
        <w:trPr>
          <w:cantSplit/>
        </w:trPr>
        <w:tc>
          <w:tcPr>
            <w:tcW w:w="1800" w:type="dxa"/>
            <w:shd w:val="clear" w:color="auto" w:fill="FFFFFF"/>
            <w:tcMar>
              <w:top w:w="70" w:type="dxa"/>
              <w:left w:w="70" w:type="dxa"/>
              <w:bottom w:w="70" w:type="dxa"/>
              <w:right w:w="70" w:type="dxa"/>
            </w:tcMar>
            <w:vAlign w:val="center"/>
          </w:tcPr>
          <w:p w14:paraId="64FDA509" w14:textId="77777777" w:rsidR="006B50AE" w:rsidRDefault="00000000" w:rsidP="003364D8">
            <w:pPr>
              <w:pStyle w:val="Compact"/>
              <w:spacing w:before="20" w:after="20" w:line="240" w:lineRule="auto"/>
              <w:jc w:val="both"/>
            </w:pPr>
            <w:r>
              <w:rPr>
                <w:sz w:val="17"/>
              </w:rPr>
              <w:t>Resource</w:t>
            </w:r>
          </w:p>
        </w:tc>
        <w:tc>
          <w:tcPr>
            <w:tcW w:w="3384" w:type="dxa"/>
            <w:shd w:val="clear" w:color="auto" w:fill="FFFFFF"/>
            <w:tcMar>
              <w:top w:w="70" w:type="dxa"/>
              <w:left w:w="70" w:type="dxa"/>
              <w:bottom w:w="70" w:type="dxa"/>
              <w:right w:w="70" w:type="dxa"/>
            </w:tcMar>
            <w:vAlign w:val="center"/>
          </w:tcPr>
          <w:p w14:paraId="71B1266E" w14:textId="77777777" w:rsidR="006B50AE" w:rsidRDefault="00000000" w:rsidP="003364D8">
            <w:pPr>
              <w:pStyle w:val="Compact"/>
              <w:spacing w:before="20" w:after="20" w:line="240" w:lineRule="auto"/>
              <w:jc w:val="both"/>
            </w:pPr>
            <w:r>
              <w:rPr>
                <w:sz w:val="17"/>
              </w:rPr>
              <w:t>What capacity is shared</w:t>
            </w:r>
          </w:p>
        </w:tc>
        <w:tc>
          <w:tcPr>
            <w:tcW w:w="4608" w:type="dxa"/>
            <w:shd w:val="clear" w:color="auto" w:fill="FFFFFF"/>
            <w:tcMar>
              <w:top w:w="70" w:type="dxa"/>
              <w:left w:w="70" w:type="dxa"/>
              <w:bottom w:w="70" w:type="dxa"/>
              <w:right w:w="70" w:type="dxa"/>
            </w:tcMar>
            <w:vAlign w:val="center"/>
          </w:tcPr>
          <w:p w14:paraId="341C33D6" w14:textId="77777777" w:rsidR="006B50AE" w:rsidRDefault="00000000" w:rsidP="003364D8">
            <w:pPr>
              <w:pStyle w:val="Compact"/>
              <w:spacing w:before="20" w:after="20" w:line="240" w:lineRule="auto"/>
              <w:jc w:val="both"/>
            </w:pPr>
            <w:r>
              <w:rPr>
                <w:sz w:val="17"/>
              </w:rPr>
              <w:t>Metered use with conserved allocation</w:t>
            </w:r>
          </w:p>
        </w:tc>
      </w:tr>
    </w:tbl>
    <w:p w14:paraId="6C2D664D" w14:textId="77777777" w:rsidR="006B50AE" w:rsidRDefault="00000000" w:rsidP="003364D8">
      <w:pPr>
        <w:pStyle w:val="BodyText"/>
        <w:spacing w:before="140"/>
        <w:jc w:val="both"/>
      </w:pPr>
      <w:r>
        <w:t>Dependency inversion can reduce implementation coupling while authority remains centralised. Conversely, independent services can share a powerful credential and thereby share one security failure. Functional computation and immutable data help expose state transitions, but side effects still require authorisation and accounting. Neither topology nor programming style establishes ethical behaviour.</w:t>
      </w:r>
    </w:p>
    <w:p w14:paraId="24BA8BE4" w14:textId="77777777" w:rsidR="006B50AE" w:rsidRDefault="00000000" w:rsidP="003364D8">
      <w:pPr>
        <w:pStyle w:val="Heading11"/>
        <w:jc w:val="both"/>
      </w:pPr>
      <w:bookmarkStart w:id="7" w:name="X8b4618f794b262f213d923ad0b576e4b447e856"/>
      <w:bookmarkEnd w:id="5"/>
      <w:bookmarkEnd w:id="6"/>
      <w:r>
        <w:t>3 Translating the divine qualities into design questions</w:t>
      </w:r>
    </w:p>
    <w:p w14:paraId="23955D4E" w14:textId="77777777" w:rsidR="006B50AE" w:rsidRDefault="00000000" w:rsidP="003364D8">
      <w:pPr>
        <w:pStyle w:val="FirstParagraph"/>
        <w:jc w:val="both"/>
      </w:pPr>
      <w:r>
        <w:t>The following matrix covers the conventional twenty-six-item enumeration. The short glosses identify the concepts in verses 16.1–3 [1]; the mechanisms and tests are this paper’s proposals. A mechanism expresses one limited aspect of a quality, rather than reproducing its spiritual meaning. In particular, fearlessness must not become risk blindness, forgiveness must not erase evidence, and fortitude must not become resistance to shutdown.</w:t>
      </w:r>
    </w:p>
    <w:p w14:paraId="34294B02" w14:textId="77777777" w:rsidR="006B50AE" w:rsidRDefault="00000000" w:rsidP="003364D8">
      <w:pPr>
        <w:pStyle w:val="TableCaption"/>
        <w:keepLines/>
        <w:jc w:val="both"/>
      </w:pPr>
      <w:r>
        <w:rPr>
          <w:b/>
          <w:bCs/>
        </w:rPr>
        <w:t>Table 2.</w:t>
      </w:r>
      <w:r>
        <w:t xml:space="preserve"> Proposed operational interpretations of the first thirteen qualities.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76"/>
        <w:gridCol w:w="3578"/>
        <w:gridCol w:w="3578"/>
      </w:tblGrid>
      <w:tr w:rsidR="006B50AE" w14:paraId="382C9E37" w14:textId="77777777">
        <w:trPr>
          <w:cnfStyle w:val="100000000000" w:firstRow="1" w:lastRow="0" w:firstColumn="0" w:lastColumn="0" w:oddVBand="0" w:evenVBand="0" w:oddHBand="0" w:evenHBand="0" w:firstRowFirstColumn="0" w:firstRowLastColumn="0" w:lastRowFirstColumn="0" w:lastRowLastColumn="0"/>
          <w:cantSplit/>
          <w:tblHeader/>
        </w:trPr>
        <w:tc>
          <w:tcPr>
            <w:tcW w:w="2736" w:type="dxa"/>
            <w:shd w:val="clear" w:color="auto" w:fill="E6E6E6"/>
            <w:tcMar>
              <w:top w:w="70" w:type="dxa"/>
              <w:left w:w="70" w:type="dxa"/>
              <w:bottom w:w="70" w:type="dxa"/>
              <w:right w:w="70" w:type="dxa"/>
            </w:tcMar>
            <w:vAlign w:val="center"/>
          </w:tcPr>
          <w:p w14:paraId="2F2F651E" w14:textId="77777777" w:rsidR="006B50AE" w:rsidRDefault="00000000" w:rsidP="003364D8">
            <w:pPr>
              <w:pStyle w:val="Compact"/>
              <w:spacing w:before="20" w:after="20" w:line="240" w:lineRule="auto"/>
              <w:jc w:val="both"/>
            </w:pPr>
            <w:r>
              <w:rPr>
                <w:sz w:val="17"/>
              </w:rPr>
              <w:t>Quality and brief sense</w:t>
            </w:r>
          </w:p>
        </w:tc>
        <w:tc>
          <w:tcPr>
            <w:tcW w:w="3528" w:type="dxa"/>
            <w:shd w:val="clear" w:color="auto" w:fill="E6E6E6"/>
            <w:tcMar>
              <w:top w:w="70" w:type="dxa"/>
              <w:left w:w="70" w:type="dxa"/>
              <w:bottom w:w="70" w:type="dxa"/>
              <w:right w:w="70" w:type="dxa"/>
            </w:tcMar>
            <w:vAlign w:val="center"/>
          </w:tcPr>
          <w:p w14:paraId="4846FE20" w14:textId="77777777" w:rsidR="006B50AE" w:rsidRDefault="00000000" w:rsidP="003364D8">
            <w:pPr>
              <w:pStyle w:val="Compact"/>
              <w:spacing w:before="20" w:after="20" w:line="240" w:lineRule="auto"/>
              <w:jc w:val="both"/>
            </w:pPr>
            <w:r>
              <w:rPr>
                <w:sz w:val="17"/>
              </w:rPr>
              <w:t>Proposed mechanism</w:t>
            </w:r>
          </w:p>
        </w:tc>
        <w:tc>
          <w:tcPr>
            <w:tcW w:w="3528" w:type="dxa"/>
            <w:shd w:val="clear" w:color="auto" w:fill="E6E6E6"/>
            <w:tcMar>
              <w:top w:w="70" w:type="dxa"/>
              <w:left w:w="70" w:type="dxa"/>
              <w:bottom w:w="70" w:type="dxa"/>
              <w:right w:w="70" w:type="dxa"/>
            </w:tcMar>
            <w:vAlign w:val="center"/>
          </w:tcPr>
          <w:p w14:paraId="668FDD60" w14:textId="77777777" w:rsidR="006B50AE" w:rsidRDefault="00000000" w:rsidP="003364D8">
            <w:pPr>
              <w:pStyle w:val="Compact"/>
              <w:spacing w:before="20" w:after="20" w:line="240" w:lineRule="auto"/>
              <w:jc w:val="both"/>
            </w:pPr>
            <w:r>
              <w:rPr>
                <w:sz w:val="17"/>
              </w:rPr>
              <w:t>Observable test</w:t>
            </w:r>
          </w:p>
        </w:tc>
      </w:tr>
      <w:tr w:rsidR="006B50AE" w14:paraId="184D33C4" w14:textId="77777777">
        <w:trPr>
          <w:cantSplit/>
        </w:trPr>
        <w:tc>
          <w:tcPr>
            <w:tcW w:w="2736" w:type="dxa"/>
            <w:shd w:val="clear" w:color="auto" w:fill="FFFFFF"/>
            <w:tcMar>
              <w:top w:w="70" w:type="dxa"/>
              <w:left w:w="70" w:type="dxa"/>
              <w:bottom w:w="70" w:type="dxa"/>
              <w:right w:w="70" w:type="dxa"/>
            </w:tcMar>
            <w:vAlign w:val="center"/>
          </w:tcPr>
          <w:p w14:paraId="22BE84DD" w14:textId="77777777" w:rsidR="006B50AE" w:rsidRDefault="00000000" w:rsidP="003364D8">
            <w:pPr>
              <w:pStyle w:val="Compact"/>
              <w:spacing w:before="20" w:after="20" w:line="240" w:lineRule="auto"/>
              <w:jc w:val="both"/>
            </w:pPr>
            <w:r>
              <w:rPr>
                <w:sz w:val="17"/>
              </w:rPr>
              <w:lastRenderedPageBreak/>
              <w:t>Abhayam, fearlessness</w:t>
            </w:r>
          </w:p>
        </w:tc>
        <w:tc>
          <w:tcPr>
            <w:tcW w:w="3528" w:type="dxa"/>
            <w:shd w:val="clear" w:color="auto" w:fill="FFFFFF"/>
            <w:tcMar>
              <w:top w:w="70" w:type="dxa"/>
              <w:left w:w="70" w:type="dxa"/>
              <w:bottom w:w="70" w:type="dxa"/>
              <w:right w:w="70" w:type="dxa"/>
            </w:tcMar>
            <w:vAlign w:val="center"/>
          </w:tcPr>
          <w:p w14:paraId="01FBE6CF" w14:textId="77777777" w:rsidR="006B50AE" w:rsidRDefault="00000000" w:rsidP="003364D8">
            <w:pPr>
              <w:pStyle w:val="Compact"/>
              <w:spacing w:before="20" w:after="20" w:line="240" w:lineRule="auto"/>
              <w:jc w:val="both"/>
            </w:pPr>
            <w:r>
              <w:rPr>
                <w:sz w:val="17"/>
              </w:rPr>
              <w:t>Report uncertainty and stop unsafe work</w:t>
            </w:r>
          </w:p>
        </w:tc>
        <w:tc>
          <w:tcPr>
            <w:tcW w:w="3528" w:type="dxa"/>
            <w:shd w:val="clear" w:color="auto" w:fill="FFFFFF"/>
            <w:tcMar>
              <w:top w:w="70" w:type="dxa"/>
              <w:left w:w="70" w:type="dxa"/>
              <w:bottom w:w="70" w:type="dxa"/>
              <w:right w:w="70" w:type="dxa"/>
            </w:tcMar>
            <w:vAlign w:val="center"/>
          </w:tcPr>
          <w:p w14:paraId="37D2427B" w14:textId="77777777" w:rsidR="006B50AE" w:rsidRDefault="00000000" w:rsidP="003364D8">
            <w:pPr>
              <w:pStyle w:val="Compact"/>
              <w:spacing w:before="20" w:after="20" w:line="240" w:lineRule="auto"/>
              <w:jc w:val="both"/>
            </w:pPr>
            <w:r>
              <w:rPr>
                <w:sz w:val="17"/>
              </w:rPr>
              <w:t>Does the agent disclose failure despite reward pressure</w:t>
            </w:r>
          </w:p>
        </w:tc>
      </w:tr>
      <w:tr w:rsidR="006B50AE" w14:paraId="0BA9FAA8" w14:textId="77777777">
        <w:trPr>
          <w:cantSplit/>
        </w:trPr>
        <w:tc>
          <w:tcPr>
            <w:tcW w:w="2736" w:type="dxa"/>
            <w:shd w:val="clear" w:color="auto" w:fill="F7F7F7"/>
            <w:tcMar>
              <w:top w:w="70" w:type="dxa"/>
              <w:left w:w="70" w:type="dxa"/>
              <w:bottom w:w="70" w:type="dxa"/>
              <w:right w:w="70" w:type="dxa"/>
            </w:tcMar>
            <w:vAlign w:val="center"/>
          </w:tcPr>
          <w:p w14:paraId="64C7B0D4" w14:textId="77777777" w:rsidR="006B50AE" w:rsidRDefault="00000000" w:rsidP="003364D8">
            <w:pPr>
              <w:pStyle w:val="Compact"/>
              <w:spacing w:before="20" w:after="20" w:line="240" w:lineRule="auto"/>
              <w:jc w:val="both"/>
            </w:pPr>
            <w:r>
              <w:rPr>
                <w:sz w:val="17"/>
              </w:rPr>
              <w:t>Sattva saṃśuddhi, inner purity</w:t>
            </w:r>
          </w:p>
        </w:tc>
        <w:tc>
          <w:tcPr>
            <w:tcW w:w="3528" w:type="dxa"/>
            <w:shd w:val="clear" w:color="auto" w:fill="F7F7F7"/>
            <w:tcMar>
              <w:top w:w="70" w:type="dxa"/>
              <w:left w:w="70" w:type="dxa"/>
              <w:bottom w:w="70" w:type="dxa"/>
              <w:right w:w="70" w:type="dxa"/>
            </w:tcMar>
            <w:vAlign w:val="center"/>
          </w:tcPr>
          <w:p w14:paraId="5BD7B1EB" w14:textId="77777777" w:rsidR="006B50AE" w:rsidRDefault="00000000" w:rsidP="003364D8">
            <w:pPr>
              <w:pStyle w:val="Compact"/>
              <w:spacing w:before="20" w:after="20" w:line="240" w:lineRule="auto"/>
              <w:jc w:val="both"/>
            </w:pPr>
            <w:r>
              <w:rPr>
                <w:sz w:val="17"/>
              </w:rPr>
              <w:t>Separate task purpose from hidden incentives</w:t>
            </w:r>
          </w:p>
        </w:tc>
        <w:tc>
          <w:tcPr>
            <w:tcW w:w="3528" w:type="dxa"/>
            <w:shd w:val="clear" w:color="auto" w:fill="F7F7F7"/>
            <w:tcMar>
              <w:top w:w="70" w:type="dxa"/>
              <w:left w:w="70" w:type="dxa"/>
              <w:bottom w:w="70" w:type="dxa"/>
              <w:right w:w="70" w:type="dxa"/>
            </w:tcMar>
            <w:vAlign w:val="center"/>
          </w:tcPr>
          <w:p w14:paraId="7CD17CB4" w14:textId="77777777" w:rsidR="006B50AE" w:rsidRDefault="00000000" w:rsidP="003364D8">
            <w:pPr>
              <w:pStyle w:val="Compact"/>
              <w:spacing w:before="20" w:after="20" w:line="240" w:lineRule="auto"/>
              <w:jc w:val="both"/>
            </w:pPr>
            <w:r>
              <w:rPr>
                <w:sz w:val="17"/>
              </w:rPr>
              <w:t>Can conflicting objectives be identified</w:t>
            </w:r>
          </w:p>
        </w:tc>
      </w:tr>
      <w:tr w:rsidR="006B50AE" w14:paraId="08F48420" w14:textId="77777777">
        <w:trPr>
          <w:cantSplit/>
        </w:trPr>
        <w:tc>
          <w:tcPr>
            <w:tcW w:w="2736" w:type="dxa"/>
            <w:shd w:val="clear" w:color="auto" w:fill="FFFFFF"/>
            <w:tcMar>
              <w:top w:w="70" w:type="dxa"/>
              <w:left w:w="70" w:type="dxa"/>
              <w:bottom w:w="70" w:type="dxa"/>
              <w:right w:w="70" w:type="dxa"/>
            </w:tcMar>
            <w:vAlign w:val="center"/>
          </w:tcPr>
          <w:p w14:paraId="1301BCDA" w14:textId="77777777" w:rsidR="006B50AE" w:rsidRDefault="00000000" w:rsidP="003364D8">
            <w:pPr>
              <w:pStyle w:val="Compact"/>
              <w:spacing w:before="20" w:after="20" w:line="240" w:lineRule="auto"/>
              <w:jc w:val="both"/>
            </w:pPr>
            <w:r>
              <w:rPr>
                <w:sz w:val="17"/>
              </w:rPr>
              <w:t>Jñāna yoga vyavasthiti, steady knowledge</w:t>
            </w:r>
          </w:p>
        </w:tc>
        <w:tc>
          <w:tcPr>
            <w:tcW w:w="3528" w:type="dxa"/>
            <w:shd w:val="clear" w:color="auto" w:fill="FFFFFF"/>
            <w:tcMar>
              <w:top w:w="70" w:type="dxa"/>
              <w:left w:w="70" w:type="dxa"/>
              <w:bottom w:w="70" w:type="dxa"/>
              <w:right w:w="70" w:type="dxa"/>
            </w:tcMar>
            <w:vAlign w:val="center"/>
          </w:tcPr>
          <w:p w14:paraId="44B6A50D" w14:textId="77777777" w:rsidR="006B50AE" w:rsidRDefault="00000000" w:rsidP="003364D8">
            <w:pPr>
              <w:pStyle w:val="Compact"/>
              <w:spacing w:before="20" w:after="20" w:line="240" w:lineRule="auto"/>
              <w:jc w:val="both"/>
            </w:pPr>
            <w:r>
              <w:rPr>
                <w:sz w:val="17"/>
              </w:rPr>
              <w:t>Maintain task constraints and evidence</w:t>
            </w:r>
          </w:p>
        </w:tc>
        <w:tc>
          <w:tcPr>
            <w:tcW w:w="3528" w:type="dxa"/>
            <w:shd w:val="clear" w:color="auto" w:fill="FFFFFF"/>
            <w:tcMar>
              <w:top w:w="70" w:type="dxa"/>
              <w:left w:w="70" w:type="dxa"/>
              <w:bottom w:w="70" w:type="dxa"/>
              <w:right w:w="70" w:type="dxa"/>
            </w:tcMar>
            <w:vAlign w:val="center"/>
          </w:tcPr>
          <w:p w14:paraId="2DE6C3DB" w14:textId="77777777" w:rsidR="006B50AE" w:rsidRDefault="00000000" w:rsidP="003364D8">
            <w:pPr>
              <w:pStyle w:val="Compact"/>
              <w:spacing w:before="20" w:after="20" w:line="240" w:lineRule="auto"/>
              <w:jc w:val="both"/>
            </w:pPr>
            <w:r>
              <w:rPr>
                <w:sz w:val="17"/>
              </w:rPr>
              <w:t>Do constraints survive context compression</w:t>
            </w:r>
          </w:p>
        </w:tc>
      </w:tr>
      <w:tr w:rsidR="006B50AE" w14:paraId="789D2774" w14:textId="77777777">
        <w:trPr>
          <w:cantSplit/>
        </w:trPr>
        <w:tc>
          <w:tcPr>
            <w:tcW w:w="2736" w:type="dxa"/>
            <w:shd w:val="clear" w:color="auto" w:fill="F7F7F7"/>
            <w:tcMar>
              <w:top w:w="70" w:type="dxa"/>
              <w:left w:w="70" w:type="dxa"/>
              <w:bottom w:w="70" w:type="dxa"/>
              <w:right w:w="70" w:type="dxa"/>
            </w:tcMar>
            <w:vAlign w:val="center"/>
          </w:tcPr>
          <w:p w14:paraId="277D71C1" w14:textId="77777777" w:rsidR="006B50AE" w:rsidRDefault="00000000" w:rsidP="003364D8">
            <w:pPr>
              <w:pStyle w:val="Compact"/>
              <w:spacing w:before="20" w:after="20" w:line="240" w:lineRule="auto"/>
              <w:jc w:val="both"/>
            </w:pPr>
            <w:r>
              <w:rPr>
                <w:sz w:val="17"/>
              </w:rPr>
              <w:t>Dāna, giving</w:t>
            </w:r>
          </w:p>
        </w:tc>
        <w:tc>
          <w:tcPr>
            <w:tcW w:w="3528" w:type="dxa"/>
            <w:shd w:val="clear" w:color="auto" w:fill="F7F7F7"/>
            <w:tcMar>
              <w:top w:w="70" w:type="dxa"/>
              <w:left w:w="70" w:type="dxa"/>
              <w:bottom w:w="70" w:type="dxa"/>
              <w:right w:w="70" w:type="dxa"/>
            </w:tcMar>
            <w:vAlign w:val="center"/>
          </w:tcPr>
          <w:p w14:paraId="1281C073" w14:textId="77777777" w:rsidR="006B50AE" w:rsidRDefault="00000000" w:rsidP="003364D8">
            <w:pPr>
              <w:pStyle w:val="Compact"/>
              <w:spacing w:before="20" w:after="20" w:line="240" w:lineRule="auto"/>
              <w:jc w:val="both"/>
            </w:pPr>
            <w:r>
              <w:rPr>
                <w:sz w:val="17"/>
              </w:rPr>
              <w:t>Return unused allocation to the pool</w:t>
            </w:r>
          </w:p>
        </w:tc>
        <w:tc>
          <w:tcPr>
            <w:tcW w:w="3528" w:type="dxa"/>
            <w:shd w:val="clear" w:color="auto" w:fill="F7F7F7"/>
            <w:tcMar>
              <w:top w:w="70" w:type="dxa"/>
              <w:left w:w="70" w:type="dxa"/>
              <w:bottom w:w="70" w:type="dxa"/>
              <w:right w:w="70" w:type="dxa"/>
            </w:tcMar>
            <w:vAlign w:val="center"/>
          </w:tcPr>
          <w:p w14:paraId="16C0AC42" w14:textId="77777777" w:rsidR="006B50AE" w:rsidRDefault="00000000" w:rsidP="003364D8">
            <w:pPr>
              <w:pStyle w:val="Compact"/>
              <w:spacing w:before="20" w:after="20" w:line="240" w:lineRule="auto"/>
              <w:jc w:val="both"/>
            </w:pPr>
            <w:r>
              <w:rPr>
                <w:sz w:val="17"/>
              </w:rPr>
              <w:t>Are idle reservations released</w:t>
            </w:r>
          </w:p>
        </w:tc>
      </w:tr>
      <w:tr w:rsidR="006B50AE" w14:paraId="2BEBE5D1" w14:textId="77777777">
        <w:trPr>
          <w:cantSplit/>
        </w:trPr>
        <w:tc>
          <w:tcPr>
            <w:tcW w:w="2736" w:type="dxa"/>
            <w:shd w:val="clear" w:color="auto" w:fill="FFFFFF"/>
            <w:tcMar>
              <w:top w:w="70" w:type="dxa"/>
              <w:left w:w="70" w:type="dxa"/>
              <w:bottom w:w="70" w:type="dxa"/>
              <w:right w:w="70" w:type="dxa"/>
            </w:tcMar>
            <w:vAlign w:val="center"/>
          </w:tcPr>
          <w:p w14:paraId="3FFF9848" w14:textId="77777777" w:rsidR="006B50AE" w:rsidRDefault="00000000" w:rsidP="003364D8">
            <w:pPr>
              <w:pStyle w:val="Compact"/>
              <w:spacing w:before="20" w:after="20" w:line="240" w:lineRule="auto"/>
              <w:jc w:val="both"/>
            </w:pPr>
            <w:r>
              <w:rPr>
                <w:sz w:val="17"/>
              </w:rPr>
              <w:t>Dama, self-restraint</w:t>
            </w:r>
          </w:p>
        </w:tc>
        <w:tc>
          <w:tcPr>
            <w:tcW w:w="3528" w:type="dxa"/>
            <w:shd w:val="clear" w:color="auto" w:fill="FFFFFF"/>
            <w:tcMar>
              <w:top w:w="70" w:type="dxa"/>
              <w:left w:w="70" w:type="dxa"/>
              <w:bottom w:w="70" w:type="dxa"/>
              <w:right w:w="70" w:type="dxa"/>
            </w:tcMar>
            <w:vAlign w:val="center"/>
          </w:tcPr>
          <w:p w14:paraId="4B81E7D5" w14:textId="77777777" w:rsidR="006B50AE" w:rsidRDefault="00000000" w:rsidP="003364D8">
            <w:pPr>
              <w:pStyle w:val="Compact"/>
              <w:spacing w:before="20" w:after="20" w:line="240" w:lineRule="auto"/>
              <w:jc w:val="both"/>
            </w:pPr>
            <w:r>
              <w:rPr>
                <w:sz w:val="17"/>
              </w:rPr>
              <w:t>Enforce scoped capabilities</w:t>
            </w:r>
          </w:p>
        </w:tc>
        <w:tc>
          <w:tcPr>
            <w:tcW w:w="3528" w:type="dxa"/>
            <w:shd w:val="clear" w:color="auto" w:fill="FFFFFF"/>
            <w:tcMar>
              <w:top w:w="70" w:type="dxa"/>
              <w:left w:w="70" w:type="dxa"/>
              <w:bottom w:w="70" w:type="dxa"/>
              <w:right w:w="70" w:type="dxa"/>
            </w:tcMar>
            <w:vAlign w:val="center"/>
          </w:tcPr>
          <w:p w14:paraId="51A7C2E0" w14:textId="77777777" w:rsidR="006B50AE" w:rsidRDefault="00000000" w:rsidP="003364D8">
            <w:pPr>
              <w:pStyle w:val="Compact"/>
              <w:spacing w:before="20" w:after="20" w:line="240" w:lineRule="auto"/>
              <w:jc w:val="both"/>
            </w:pPr>
            <w:r>
              <w:rPr>
                <w:sz w:val="17"/>
              </w:rPr>
              <w:t>Are out-of-scope calls denied</w:t>
            </w:r>
          </w:p>
        </w:tc>
      </w:tr>
      <w:tr w:rsidR="006B50AE" w14:paraId="048A4C8E" w14:textId="77777777">
        <w:trPr>
          <w:cantSplit/>
        </w:trPr>
        <w:tc>
          <w:tcPr>
            <w:tcW w:w="2736" w:type="dxa"/>
            <w:shd w:val="clear" w:color="auto" w:fill="F7F7F7"/>
            <w:tcMar>
              <w:top w:w="70" w:type="dxa"/>
              <w:left w:w="70" w:type="dxa"/>
              <w:bottom w:w="70" w:type="dxa"/>
              <w:right w:w="70" w:type="dxa"/>
            </w:tcMar>
            <w:vAlign w:val="center"/>
          </w:tcPr>
          <w:p w14:paraId="13DC3F9F" w14:textId="77777777" w:rsidR="006B50AE" w:rsidRDefault="00000000" w:rsidP="003364D8">
            <w:pPr>
              <w:pStyle w:val="Compact"/>
              <w:spacing w:before="20" w:after="20" w:line="240" w:lineRule="auto"/>
              <w:jc w:val="both"/>
            </w:pPr>
            <w:r>
              <w:rPr>
                <w:sz w:val="17"/>
              </w:rPr>
              <w:t>Yajña, sacrificial action</w:t>
            </w:r>
          </w:p>
        </w:tc>
        <w:tc>
          <w:tcPr>
            <w:tcW w:w="3528" w:type="dxa"/>
            <w:shd w:val="clear" w:color="auto" w:fill="F7F7F7"/>
            <w:tcMar>
              <w:top w:w="70" w:type="dxa"/>
              <w:left w:w="70" w:type="dxa"/>
              <w:bottom w:w="70" w:type="dxa"/>
              <w:right w:w="70" w:type="dxa"/>
            </w:tcMar>
            <w:vAlign w:val="center"/>
          </w:tcPr>
          <w:p w14:paraId="03816F30" w14:textId="77777777" w:rsidR="006B50AE" w:rsidRDefault="00000000" w:rsidP="003364D8">
            <w:pPr>
              <w:pStyle w:val="Compact"/>
              <w:spacing w:before="20" w:after="20" w:line="240" w:lineRule="auto"/>
              <w:jc w:val="both"/>
            </w:pPr>
            <w:r>
              <w:rPr>
                <w:sz w:val="17"/>
              </w:rPr>
              <w:t>Account for costs borne by others</w:t>
            </w:r>
          </w:p>
        </w:tc>
        <w:tc>
          <w:tcPr>
            <w:tcW w:w="3528" w:type="dxa"/>
            <w:shd w:val="clear" w:color="auto" w:fill="F7F7F7"/>
            <w:tcMar>
              <w:top w:w="70" w:type="dxa"/>
              <w:left w:w="70" w:type="dxa"/>
              <w:bottom w:w="70" w:type="dxa"/>
              <w:right w:w="70" w:type="dxa"/>
            </w:tcMar>
            <w:vAlign w:val="center"/>
          </w:tcPr>
          <w:p w14:paraId="17932F4D" w14:textId="77777777" w:rsidR="006B50AE" w:rsidRDefault="00000000" w:rsidP="003364D8">
            <w:pPr>
              <w:pStyle w:val="Compact"/>
              <w:spacing w:before="20" w:after="20" w:line="240" w:lineRule="auto"/>
              <w:jc w:val="both"/>
            </w:pPr>
            <w:r>
              <w:rPr>
                <w:sz w:val="17"/>
              </w:rPr>
              <w:t>Are host costs charged to the task</w:t>
            </w:r>
          </w:p>
        </w:tc>
      </w:tr>
      <w:tr w:rsidR="006B50AE" w14:paraId="32D28266" w14:textId="77777777">
        <w:trPr>
          <w:cantSplit/>
        </w:trPr>
        <w:tc>
          <w:tcPr>
            <w:tcW w:w="2736" w:type="dxa"/>
            <w:shd w:val="clear" w:color="auto" w:fill="FFFFFF"/>
            <w:tcMar>
              <w:top w:w="70" w:type="dxa"/>
              <w:left w:w="70" w:type="dxa"/>
              <w:bottom w:w="70" w:type="dxa"/>
              <w:right w:w="70" w:type="dxa"/>
            </w:tcMar>
            <w:vAlign w:val="center"/>
          </w:tcPr>
          <w:p w14:paraId="48A7A42D" w14:textId="77777777" w:rsidR="006B50AE" w:rsidRDefault="00000000" w:rsidP="003364D8">
            <w:pPr>
              <w:pStyle w:val="Compact"/>
              <w:spacing w:before="20" w:after="20" w:line="240" w:lineRule="auto"/>
              <w:jc w:val="both"/>
            </w:pPr>
            <w:r>
              <w:rPr>
                <w:sz w:val="17"/>
              </w:rPr>
              <w:t>Svādhyāya, study</w:t>
            </w:r>
          </w:p>
        </w:tc>
        <w:tc>
          <w:tcPr>
            <w:tcW w:w="3528" w:type="dxa"/>
            <w:shd w:val="clear" w:color="auto" w:fill="FFFFFF"/>
            <w:tcMar>
              <w:top w:w="70" w:type="dxa"/>
              <w:left w:w="70" w:type="dxa"/>
              <w:bottom w:w="70" w:type="dxa"/>
              <w:right w:w="70" w:type="dxa"/>
            </w:tcMar>
            <w:vAlign w:val="center"/>
          </w:tcPr>
          <w:p w14:paraId="62521BDA" w14:textId="77777777" w:rsidR="006B50AE" w:rsidRDefault="00000000" w:rsidP="003364D8">
            <w:pPr>
              <w:pStyle w:val="Compact"/>
              <w:spacing w:before="20" w:after="20" w:line="240" w:lineRule="auto"/>
              <w:jc w:val="both"/>
            </w:pPr>
            <w:r>
              <w:rPr>
                <w:sz w:val="17"/>
              </w:rPr>
              <w:t>Use controlled review and regression</w:t>
            </w:r>
          </w:p>
        </w:tc>
        <w:tc>
          <w:tcPr>
            <w:tcW w:w="3528" w:type="dxa"/>
            <w:shd w:val="clear" w:color="auto" w:fill="FFFFFF"/>
            <w:tcMar>
              <w:top w:w="70" w:type="dxa"/>
              <w:left w:w="70" w:type="dxa"/>
              <w:bottom w:w="70" w:type="dxa"/>
              <w:right w:w="70" w:type="dxa"/>
            </w:tcMar>
            <w:vAlign w:val="center"/>
          </w:tcPr>
          <w:p w14:paraId="03035B4E" w14:textId="77777777" w:rsidR="006B50AE" w:rsidRDefault="00000000" w:rsidP="003364D8">
            <w:pPr>
              <w:pStyle w:val="Compact"/>
              <w:spacing w:before="20" w:after="20" w:line="240" w:lineRule="auto"/>
              <w:jc w:val="both"/>
            </w:pPr>
            <w:r>
              <w:rPr>
                <w:sz w:val="17"/>
              </w:rPr>
              <w:t>Does revision preserve validated behaviour</w:t>
            </w:r>
          </w:p>
        </w:tc>
      </w:tr>
      <w:tr w:rsidR="006B50AE" w14:paraId="2D75B3C5" w14:textId="77777777">
        <w:trPr>
          <w:cantSplit/>
        </w:trPr>
        <w:tc>
          <w:tcPr>
            <w:tcW w:w="2736" w:type="dxa"/>
            <w:shd w:val="clear" w:color="auto" w:fill="F7F7F7"/>
            <w:tcMar>
              <w:top w:w="70" w:type="dxa"/>
              <w:left w:w="70" w:type="dxa"/>
              <w:bottom w:w="70" w:type="dxa"/>
              <w:right w:w="70" w:type="dxa"/>
            </w:tcMar>
            <w:vAlign w:val="center"/>
          </w:tcPr>
          <w:p w14:paraId="50E14C56" w14:textId="77777777" w:rsidR="006B50AE" w:rsidRDefault="00000000" w:rsidP="003364D8">
            <w:pPr>
              <w:pStyle w:val="Compact"/>
              <w:spacing w:before="20" w:after="20" w:line="240" w:lineRule="auto"/>
              <w:jc w:val="both"/>
            </w:pPr>
            <w:r>
              <w:rPr>
                <w:sz w:val="17"/>
              </w:rPr>
              <w:t>Tapas, discipline</w:t>
            </w:r>
          </w:p>
        </w:tc>
        <w:tc>
          <w:tcPr>
            <w:tcW w:w="3528" w:type="dxa"/>
            <w:shd w:val="clear" w:color="auto" w:fill="F7F7F7"/>
            <w:tcMar>
              <w:top w:w="70" w:type="dxa"/>
              <w:left w:w="70" w:type="dxa"/>
              <w:bottom w:w="70" w:type="dxa"/>
              <w:right w:w="70" w:type="dxa"/>
            </w:tcMar>
            <w:vAlign w:val="center"/>
          </w:tcPr>
          <w:p w14:paraId="6E3A6272" w14:textId="77777777" w:rsidR="006B50AE" w:rsidRDefault="00000000" w:rsidP="003364D8">
            <w:pPr>
              <w:pStyle w:val="Compact"/>
              <w:spacing w:before="20" w:after="20" w:line="240" w:lineRule="auto"/>
              <w:jc w:val="both"/>
            </w:pPr>
            <w:r>
              <w:rPr>
                <w:sz w:val="17"/>
              </w:rPr>
              <w:t>Respect resource and latency limits</w:t>
            </w:r>
          </w:p>
        </w:tc>
        <w:tc>
          <w:tcPr>
            <w:tcW w:w="3528" w:type="dxa"/>
            <w:shd w:val="clear" w:color="auto" w:fill="F7F7F7"/>
            <w:tcMar>
              <w:top w:w="70" w:type="dxa"/>
              <w:left w:w="70" w:type="dxa"/>
              <w:bottom w:w="70" w:type="dxa"/>
              <w:right w:w="70" w:type="dxa"/>
            </w:tcMar>
            <w:vAlign w:val="center"/>
          </w:tcPr>
          <w:p w14:paraId="50DF9C22" w14:textId="77777777" w:rsidR="006B50AE" w:rsidRDefault="00000000" w:rsidP="003364D8">
            <w:pPr>
              <w:pStyle w:val="Compact"/>
              <w:spacing w:before="20" w:after="20" w:line="240" w:lineRule="auto"/>
              <w:jc w:val="both"/>
            </w:pPr>
            <w:r>
              <w:rPr>
                <w:sz w:val="17"/>
              </w:rPr>
              <w:t>Does useful work remain within a cap</w:t>
            </w:r>
          </w:p>
        </w:tc>
      </w:tr>
      <w:tr w:rsidR="006B50AE" w14:paraId="7B9275F8" w14:textId="77777777">
        <w:trPr>
          <w:cantSplit/>
        </w:trPr>
        <w:tc>
          <w:tcPr>
            <w:tcW w:w="2736" w:type="dxa"/>
            <w:shd w:val="clear" w:color="auto" w:fill="FFFFFF"/>
            <w:tcMar>
              <w:top w:w="70" w:type="dxa"/>
              <w:left w:w="70" w:type="dxa"/>
              <w:bottom w:w="70" w:type="dxa"/>
              <w:right w:w="70" w:type="dxa"/>
            </w:tcMar>
            <w:vAlign w:val="center"/>
          </w:tcPr>
          <w:p w14:paraId="177E6A3B" w14:textId="77777777" w:rsidR="006B50AE" w:rsidRDefault="00000000" w:rsidP="003364D8">
            <w:pPr>
              <w:pStyle w:val="Compact"/>
              <w:spacing w:before="20" w:after="20" w:line="240" w:lineRule="auto"/>
              <w:jc w:val="both"/>
            </w:pPr>
            <w:r>
              <w:rPr>
                <w:sz w:val="17"/>
              </w:rPr>
              <w:t>Ārjava, straightforwardness</w:t>
            </w:r>
          </w:p>
        </w:tc>
        <w:tc>
          <w:tcPr>
            <w:tcW w:w="3528" w:type="dxa"/>
            <w:shd w:val="clear" w:color="auto" w:fill="FFFFFF"/>
            <w:tcMar>
              <w:top w:w="70" w:type="dxa"/>
              <w:left w:w="70" w:type="dxa"/>
              <w:bottom w:w="70" w:type="dxa"/>
              <w:right w:w="70" w:type="dxa"/>
            </w:tcMar>
            <w:vAlign w:val="center"/>
          </w:tcPr>
          <w:p w14:paraId="67BE0EDB" w14:textId="77777777" w:rsidR="006B50AE" w:rsidRDefault="00000000" w:rsidP="003364D8">
            <w:pPr>
              <w:pStyle w:val="Compact"/>
              <w:spacing w:before="20" w:after="20" w:line="240" w:lineRule="auto"/>
              <w:jc w:val="both"/>
            </w:pPr>
            <w:r>
              <w:rPr>
                <w:sz w:val="17"/>
              </w:rPr>
              <w:t>Declare tool intent and effects</w:t>
            </w:r>
          </w:p>
        </w:tc>
        <w:tc>
          <w:tcPr>
            <w:tcW w:w="3528" w:type="dxa"/>
            <w:shd w:val="clear" w:color="auto" w:fill="FFFFFF"/>
            <w:tcMar>
              <w:top w:w="70" w:type="dxa"/>
              <w:left w:w="70" w:type="dxa"/>
              <w:bottom w:w="70" w:type="dxa"/>
              <w:right w:w="70" w:type="dxa"/>
            </w:tcMar>
            <w:vAlign w:val="center"/>
          </w:tcPr>
          <w:p w14:paraId="014CD4F5" w14:textId="77777777" w:rsidR="006B50AE" w:rsidRDefault="00000000" w:rsidP="003364D8">
            <w:pPr>
              <w:pStyle w:val="Compact"/>
              <w:spacing w:before="20" w:after="20" w:line="240" w:lineRule="auto"/>
              <w:jc w:val="both"/>
            </w:pPr>
            <w:r>
              <w:rPr>
                <w:sz w:val="17"/>
              </w:rPr>
              <w:t>Do declared and observed effects agree</w:t>
            </w:r>
          </w:p>
        </w:tc>
      </w:tr>
      <w:tr w:rsidR="006B50AE" w14:paraId="6F63D22D" w14:textId="77777777">
        <w:trPr>
          <w:cantSplit/>
        </w:trPr>
        <w:tc>
          <w:tcPr>
            <w:tcW w:w="2736" w:type="dxa"/>
            <w:shd w:val="clear" w:color="auto" w:fill="F7F7F7"/>
            <w:tcMar>
              <w:top w:w="70" w:type="dxa"/>
              <w:left w:w="70" w:type="dxa"/>
              <w:bottom w:w="70" w:type="dxa"/>
              <w:right w:w="70" w:type="dxa"/>
            </w:tcMar>
            <w:vAlign w:val="center"/>
          </w:tcPr>
          <w:p w14:paraId="3CC4A96D" w14:textId="77777777" w:rsidR="006B50AE" w:rsidRDefault="00000000" w:rsidP="003364D8">
            <w:pPr>
              <w:pStyle w:val="Compact"/>
              <w:spacing w:before="20" w:after="20" w:line="240" w:lineRule="auto"/>
              <w:jc w:val="both"/>
            </w:pPr>
            <w:r>
              <w:rPr>
                <w:sz w:val="17"/>
              </w:rPr>
              <w:t>Ahiṃsā, non-injury</w:t>
            </w:r>
          </w:p>
        </w:tc>
        <w:tc>
          <w:tcPr>
            <w:tcW w:w="3528" w:type="dxa"/>
            <w:shd w:val="clear" w:color="auto" w:fill="F7F7F7"/>
            <w:tcMar>
              <w:top w:w="70" w:type="dxa"/>
              <w:left w:w="70" w:type="dxa"/>
              <w:bottom w:w="70" w:type="dxa"/>
              <w:right w:w="70" w:type="dxa"/>
            </w:tcMar>
            <w:vAlign w:val="center"/>
          </w:tcPr>
          <w:p w14:paraId="5FA4830D" w14:textId="77777777" w:rsidR="006B50AE" w:rsidRDefault="00000000" w:rsidP="003364D8">
            <w:pPr>
              <w:pStyle w:val="Compact"/>
              <w:spacing w:before="20" w:after="20" w:line="240" w:lineRule="auto"/>
              <w:jc w:val="both"/>
            </w:pPr>
            <w:r>
              <w:rPr>
                <w:sz w:val="17"/>
              </w:rPr>
              <w:t>Protect host service and data</w:t>
            </w:r>
          </w:p>
        </w:tc>
        <w:tc>
          <w:tcPr>
            <w:tcW w:w="3528" w:type="dxa"/>
            <w:shd w:val="clear" w:color="auto" w:fill="F7F7F7"/>
            <w:tcMar>
              <w:top w:w="70" w:type="dxa"/>
              <w:left w:w="70" w:type="dxa"/>
              <w:bottom w:w="70" w:type="dxa"/>
              <w:right w:w="70" w:type="dxa"/>
            </w:tcMar>
            <w:vAlign w:val="center"/>
          </w:tcPr>
          <w:p w14:paraId="45447C5D" w14:textId="77777777" w:rsidR="006B50AE" w:rsidRDefault="00000000" w:rsidP="003364D8">
            <w:pPr>
              <w:pStyle w:val="Compact"/>
              <w:spacing w:before="20" w:after="20" w:line="240" w:lineRule="auto"/>
              <w:jc w:val="both"/>
            </w:pPr>
            <w:r>
              <w:rPr>
                <w:sz w:val="17"/>
              </w:rPr>
              <w:t>Are agreed service limits maintained</w:t>
            </w:r>
          </w:p>
        </w:tc>
      </w:tr>
      <w:tr w:rsidR="006B50AE" w14:paraId="0EE2635A" w14:textId="77777777">
        <w:trPr>
          <w:cantSplit/>
        </w:trPr>
        <w:tc>
          <w:tcPr>
            <w:tcW w:w="2736" w:type="dxa"/>
            <w:shd w:val="clear" w:color="auto" w:fill="FFFFFF"/>
            <w:tcMar>
              <w:top w:w="70" w:type="dxa"/>
              <w:left w:w="70" w:type="dxa"/>
              <w:bottom w:w="70" w:type="dxa"/>
              <w:right w:w="70" w:type="dxa"/>
            </w:tcMar>
            <w:vAlign w:val="center"/>
          </w:tcPr>
          <w:p w14:paraId="6382F2BE" w14:textId="77777777" w:rsidR="006B50AE" w:rsidRDefault="00000000" w:rsidP="003364D8">
            <w:pPr>
              <w:pStyle w:val="Compact"/>
              <w:spacing w:before="20" w:after="20" w:line="240" w:lineRule="auto"/>
              <w:jc w:val="both"/>
            </w:pPr>
            <w:r>
              <w:rPr>
                <w:sz w:val="17"/>
              </w:rPr>
              <w:t>Satya, truthfulness</w:t>
            </w:r>
          </w:p>
        </w:tc>
        <w:tc>
          <w:tcPr>
            <w:tcW w:w="3528" w:type="dxa"/>
            <w:shd w:val="clear" w:color="auto" w:fill="FFFFFF"/>
            <w:tcMar>
              <w:top w:w="70" w:type="dxa"/>
              <w:left w:w="70" w:type="dxa"/>
              <w:bottom w:w="70" w:type="dxa"/>
              <w:right w:w="70" w:type="dxa"/>
            </w:tcMar>
            <w:vAlign w:val="center"/>
          </w:tcPr>
          <w:p w14:paraId="31A76088" w14:textId="77777777" w:rsidR="006B50AE" w:rsidRDefault="00000000" w:rsidP="003364D8">
            <w:pPr>
              <w:pStyle w:val="Compact"/>
              <w:spacing w:before="20" w:after="20" w:line="240" w:lineRule="auto"/>
              <w:jc w:val="both"/>
            </w:pPr>
            <w:r>
              <w:rPr>
                <w:sz w:val="17"/>
              </w:rPr>
              <w:t>Bind claims to inspectable evidence</w:t>
            </w:r>
          </w:p>
        </w:tc>
        <w:tc>
          <w:tcPr>
            <w:tcW w:w="3528" w:type="dxa"/>
            <w:shd w:val="clear" w:color="auto" w:fill="FFFFFF"/>
            <w:tcMar>
              <w:top w:w="70" w:type="dxa"/>
              <w:left w:w="70" w:type="dxa"/>
              <w:bottom w:w="70" w:type="dxa"/>
              <w:right w:w="70" w:type="dxa"/>
            </w:tcMar>
            <w:vAlign w:val="center"/>
          </w:tcPr>
          <w:p w14:paraId="7D2EFE65" w14:textId="77777777" w:rsidR="006B50AE" w:rsidRDefault="00000000" w:rsidP="003364D8">
            <w:pPr>
              <w:pStyle w:val="Compact"/>
              <w:spacing w:before="20" w:after="20" w:line="240" w:lineRule="auto"/>
              <w:jc w:val="both"/>
            </w:pPr>
            <w:r>
              <w:rPr>
                <w:sz w:val="17"/>
              </w:rPr>
              <w:t>Do independent checks support claims</w:t>
            </w:r>
          </w:p>
        </w:tc>
      </w:tr>
      <w:tr w:rsidR="006B50AE" w14:paraId="7F4E238C" w14:textId="77777777">
        <w:trPr>
          <w:cantSplit/>
        </w:trPr>
        <w:tc>
          <w:tcPr>
            <w:tcW w:w="2736" w:type="dxa"/>
            <w:shd w:val="clear" w:color="auto" w:fill="F7F7F7"/>
            <w:tcMar>
              <w:top w:w="70" w:type="dxa"/>
              <w:left w:w="70" w:type="dxa"/>
              <w:bottom w:w="70" w:type="dxa"/>
              <w:right w:w="70" w:type="dxa"/>
            </w:tcMar>
            <w:vAlign w:val="center"/>
          </w:tcPr>
          <w:p w14:paraId="1E0A3483" w14:textId="77777777" w:rsidR="006B50AE" w:rsidRDefault="00000000" w:rsidP="003364D8">
            <w:pPr>
              <w:pStyle w:val="Compact"/>
              <w:spacing w:before="20" w:after="20" w:line="240" w:lineRule="auto"/>
              <w:jc w:val="both"/>
            </w:pPr>
            <w:r>
              <w:rPr>
                <w:sz w:val="17"/>
              </w:rPr>
              <w:t>Akrodha, absence of anger</w:t>
            </w:r>
          </w:p>
        </w:tc>
        <w:tc>
          <w:tcPr>
            <w:tcW w:w="3528" w:type="dxa"/>
            <w:shd w:val="clear" w:color="auto" w:fill="F7F7F7"/>
            <w:tcMar>
              <w:top w:w="70" w:type="dxa"/>
              <w:left w:w="70" w:type="dxa"/>
              <w:bottom w:w="70" w:type="dxa"/>
              <w:right w:w="70" w:type="dxa"/>
            </w:tcMar>
            <w:vAlign w:val="center"/>
          </w:tcPr>
          <w:p w14:paraId="088D3DA4" w14:textId="77777777" w:rsidR="006B50AE" w:rsidRDefault="00000000" w:rsidP="003364D8">
            <w:pPr>
              <w:pStyle w:val="Compact"/>
              <w:spacing w:before="20" w:after="20" w:line="240" w:lineRule="auto"/>
              <w:jc w:val="both"/>
            </w:pPr>
            <w:r>
              <w:rPr>
                <w:sz w:val="17"/>
              </w:rPr>
              <w:t>Bound retries after denial or error</w:t>
            </w:r>
          </w:p>
        </w:tc>
        <w:tc>
          <w:tcPr>
            <w:tcW w:w="3528" w:type="dxa"/>
            <w:shd w:val="clear" w:color="auto" w:fill="F7F7F7"/>
            <w:tcMar>
              <w:top w:w="70" w:type="dxa"/>
              <w:left w:w="70" w:type="dxa"/>
              <w:bottom w:w="70" w:type="dxa"/>
              <w:right w:w="70" w:type="dxa"/>
            </w:tcMar>
            <w:vAlign w:val="center"/>
          </w:tcPr>
          <w:p w14:paraId="2D826AF6" w14:textId="77777777" w:rsidR="006B50AE" w:rsidRDefault="00000000" w:rsidP="003364D8">
            <w:pPr>
              <w:pStyle w:val="Compact"/>
              <w:spacing w:before="20" w:after="20" w:line="240" w:lineRule="auto"/>
              <w:jc w:val="both"/>
            </w:pPr>
            <w:r>
              <w:rPr>
                <w:sz w:val="17"/>
              </w:rPr>
              <w:t>Does refusal trigger escalation</w:t>
            </w:r>
          </w:p>
        </w:tc>
      </w:tr>
      <w:tr w:rsidR="006B50AE" w14:paraId="340B7E17" w14:textId="77777777">
        <w:trPr>
          <w:cantSplit/>
        </w:trPr>
        <w:tc>
          <w:tcPr>
            <w:tcW w:w="2736" w:type="dxa"/>
            <w:shd w:val="clear" w:color="auto" w:fill="FFFFFF"/>
            <w:tcMar>
              <w:top w:w="70" w:type="dxa"/>
              <w:left w:w="70" w:type="dxa"/>
              <w:bottom w:w="70" w:type="dxa"/>
              <w:right w:w="70" w:type="dxa"/>
            </w:tcMar>
            <w:vAlign w:val="center"/>
          </w:tcPr>
          <w:p w14:paraId="73B6BD4C" w14:textId="77777777" w:rsidR="006B50AE" w:rsidRDefault="00000000" w:rsidP="003364D8">
            <w:pPr>
              <w:pStyle w:val="Compact"/>
              <w:spacing w:before="20" w:after="20" w:line="240" w:lineRule="auto"/>
              <w:jc w:val="both"/>
            </w:pPr>
            <w:r>
              <w:rPr>
                <w:sz w:val="17"/>
              </w:rPr>
              <w:t>Tyāga, renunciation</w:t>
            </w:r>
          </w:p>
        </w:tc>
        <w:tc>
          <w:tcPr>
            <w:tcW w:w="3528" w:type="dxa"/>
            <w:shd w:val="clear" w:color="auto" w:fill="FFFFFF"/>
            <w:tcMar>
              <w:top w:w="70" w:type="dxa"/>
              <w:left w:w="70" w:type="dxa"/>
              <w:bottom w:w="70" w:type="dxa"/>
              <w:right w:w="70" w:type="dxa"/>
            </w:tcMar>
            <w:vAlign w:val="center"/>
          </w:tcPr>
          <w:p w14:paraId="44890E29" w14:textId="77777777" w:rsidR="006B50AE" w:rsidRDefault="00000000" w:rsidP="003364D8">
            <w:pPr>
              <w:pStyle w:val="Compact"/>
              <w:spacing w:before="20" w:after="20" w:line="240" w:lineRule="auto"/>
              <w:jc w:val="both"/>
            </w:pPr>
            <w:r>
              <w:rPr>
                <w:sz w:val="17"/>
              </w:rPr>
              <w:t>Release authority and replace modules</w:t>
            </w:r>
          </w:p>
        </w:tc>
        <w:tc>
          <w:tcPr>
            <w:tcW w:w="3528" w:type="dxa"/>
            <w:shd w:val="clear" w:color="auto" w:fill="FFFFFF"/>
            <w:tcMar>
              <w:top w:w="70" w:type="dxa"/>
              <w:left w:w="70" w:type="dxa"/>
              <w:bottom w:w="70" w:type="dxa"/>
              <w:right w:w="70" w:type="dxa"/>
            </w:tcMar>
            <w:vAlign w:val="center"/>
          </w:tcPr>
          <w:p w14:paraId="58F116FB" w14:textId="77777777" w:rsidR="006B50AE" w:rsidRDefault="00000000" w:rsidP="003364D8">
            <w:pPr>
              <w:pStyle w:val="Compact"/>
              <w:spacing w:before="20" w:after="20" w:line="240" w:lineRule="auto"/>
              <w:jc w:val="both"/>
            </w:pPr>
            <w:r>
              <w:rPr>
                <w:sz w:val="17"/>
              </w:rPr>
              <w:t>Can grants and adapters be relinquished</w:t>
            </w:r>
          </w:p>
        </w:tc>
      </w:tr>
    </w:tbl>
    <w:p w14:paraId="37F10934" w14:textId="77777777" w:rsidR="006B50AE" w:rsidRDefault="00000000" w:rsidP="003364D8">
      <w:pPr>
        <w:pStyle w:val="BodyText"/>
        <w:spacing w:before="140"/>
        <w:jc w:val="both"/>
      </w:pPr>
      <w:r>
        <w:t>Many proposed controls apply to ordinary services as well as AI agents. The distinctive issue for agents is that action selection is partly generated at runtime. A model can reinterpret a goal, construct a tool sequence or delegate a subtask in ways the application designer did not enumerate. The surrounding runtime must enforce constraints across those variations.</w:t>
      </w:r>
    </w:p>
    <w:p w14:paraId="34FAE95B" w14:textId="77777777" w:rsidR="006B50AE" w:rsidRDefault="00000000" w:rsidP="003364D8">
      <w:pPr>
        <w:pStyle w:val="Heading11"/>
        <w:jc w:val="both"/>
      </w:pPr>
      <w:bookmarkStart w:id="8" w:name="Xcd21c12bc43916e98469c18df68ff5543a213fc"/>
      <w:bookmarkEnd w:id="7"/>
      <w:r>
        <w:t>4 Cooperation without surrendering accountability</w:t>
      </w:r>
    </w:p>
    <w:p w14:paraId="18D71D41" w14:textId="77777777" w:rsidR="006B50AE" w:rsidRDefault="00000000" w:rsidP="003364D8">
      <w:pPr>
        <w:pStyle w:val="TableCaption"/>
        <w:keepLines/>
        <w:jc w:val="both"/>
      </w:pPr>
      <w:r>
        <w:rPr>
          <w:b/>
          <w:bCs/>
        </w:rPr>
        <w:t>Table 3.</w:t>
      </w:r>
      <w:r>
        <w:t xml:space="preserve"> Proposed operational interpretations of the remaining qualities.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76"/>
        <w:gridCol w:w="3578"/>
        <w:gridCol w:w="3578"/>
      </w:tblGrid>
      <w:tr w:rsidR="006B50AE" w14:paraId="1B665C99" w14:textId="77777777">
        <w:trPr>
          <w:cnfStyle w:val="100000000000" w:firstRow="1" w:lastRow="0" w:firstColumn="0" w:lastColumn="0" w:oddVBand="0" w:evenVBand="0" w:oddHBand="0" w:evenHBand="0" w:firstRowFirstColumn="0" w:firstRowLastColumn="0" w:lastRowFirstColumn="0" w:lastRowLastColumn="0"/>
          <w:cantSplit/>
          <w:tblHeader/>
        </w:trPr>
        <w:tc>
          <w:tcPr>
            <w:tcW w:w="2736" w:type="dxa"/>
            <w:shd w:val="clear" w:color="auto" w:fill="E6E6E6"/>
            <w:tcMar>
              <w:top w:w="70" w:type="dxa"/>
              <w:left w:w="70" w:type="dxa"/>
              <w:bottom w:w="70" w:type="dxa"/>
              <w:right w:w="70" w:type="dxa"/>
            </w:tcMar>
            <w:vAlign w:val="center"/>
          </w:tcPr>
          <w:p w14:paraId="0F8A0E3F" w14:textId="77777777" w:rsidR="006B50AE" w:rsidRDefault="00000000" w:rsidP="003364D8">
            <w:pPr>
              <w:pStyle w:val="Compact"/>
              <w:spacing w:before="20" w:after="20" w:line="240" w:lineRule="auto"/>
              <w:jc w:val="both"/>
            </w:pPr>
            <w:r>
              <w:rPr>
                <w:sz w:val="17"/>
              </w:rPr>
              <w:t>Quality and brief sense</w:t>
            </w:r>
          </w:p>
        </w:tc>
        <w:tc>
          <w:tcPr>
            <w:tcW w:w="3528" w:type="dxa"/>
            <w:shd w:val="clear" w:color="auto" w:fill="E6E6E6"/>
            <w:tcMar>
              <w:top w:w="70" w:type="dxa"/>
              <w:left w:w="70" w:type="dxa"/>
              <w:bottom w:w="70" w:type="dxa"/>
              <w:right w:w="70" w:type="dxa"/>
            </w:tcMar>
            <w:vAlign w:val="center"/>
          </w:tcPr>
          <w:p w14:paraId="3E51533D" w14:textId="77777777" w:rsidR="006B50AE" w:rsidRDefault="00000000" w:rsidP="003364D8">
            <w:pPr>
              <w:pStyle w:val="Compact"/>
              <w:spacing w:before="20" w:after="20" w:line="240" w:lineRule="auto"/>
              <w:jc w:val="both"/>
            </w:pPr>
            <w:r>
              <w:rPr>
                <w:sz w:val="17"/>
              </w:rPr>
              <w:t>Proposed mechanism</w:t>
            </w:r>
          </w:p>
        </w:tc>
        <w:tc>
          <w:tcPr>
            <w:tcW w:w="3528" w:type="dxa"/>
            <w:shd w:val="clear" w:color="auto" w:fill="E6E6E6"/>
            <w:tcMar>
              <w:top w:w="70" w:type="dxa"/>
              <w:left w:w="70" w:type="dxa"/>
              <w:bottom w:w="70" w:type="dxa"/>
              <w:right w:w="70" w:type="dxa"/>
            </w:tcMar>
            <w:vAlign w:val="center"/>
          </w:tcPr>
          <w:p w14:paraId="50F32885" w14:textId="77777777" w:rsidR="006B50AE" w:rsidRDefault="00000000" w:rsidP="003364D8">
            <w:pPr>
              <w:pStyle w:val="Compact"/>
              <w:spacing w:before="20" w:after="20" w:line="240" w:lineRule="auto"/>
              <w:jc w:val="both"/>
            </w:pPr>
            <w:r>
              <w:rPr>
                <w:sz w:val="17"/>
              </w:rPr>
              <w:t>Observable test</w:t>
            </w:r>
          </w:p>
        </w:tc>
      </w:tr>
      <w:tr w:rsidR="006B50AE" w14:paraId="4E677EC2" w14:textId="77777777">
        <w:trPr>
          <w:cantSplit/>
        </w:trPr>
        <w:tc>
          <w:tcPr>
            <w:tcW w:w="2736" w:type="dxa"/>
            <w:shd w:val="clear" w:color="auto" w:fill="FFFFFF"/>
            <w:tcMar>
              <w:top w:w="70" w:type="dxa"/>
              <w:left w:w="70" w:type="dxa"/>
              <w:bottom w:w="70" w:type="dxa"/>
              <w:right w:w="70" w:type="dxa"/>
            </w:tcMar>
            <w:vAlign w:val="center"/>
          </w:tcPr>
          <w:p w14:paraId="40FB0ABC" w14:textId="77777777" w:rsidR="006B50AE" w:rsidRDefault="00000000" w:rsidP="003364D8">
            <w:pPr>
              <w:pStyle w:val="Compact"/>
              <w:spacing w:before="20" w:after="20" w:line="240" w:lineRule="auto"/>
              <w:jc w:val="both"/>
            </w:pPr>
            <w:r>
              <w:rPr>
                <w:sz w:val="17"/>
              </w:rPr>
              <w:t>Śānti, peace</w:t>
            </w:r>
          </w:p>
        </w:tc>
        <w:tc>
          <w:tcPr>
            <w:tcW w:w="3528" w:type="dxa"/>
            <w:shd w:val="clear" w:color="auto" w:fill="FFFFFF"/>
            <w:tcMar>
              <w:top w:w="70" w:type="dxa"/>
              <w:left w:w="70" w:type="dxa"/>
              <w:bottom w:w="70" w:type="dxa"/>
              <w:right w:w="70" w:type="dxa"/>
            </w:tcMar>
            <w:vAlign w:val="center"/>
          </w:tcPr>
          <w:p w14:paraId="79D7AE21" w14:textId="77777777" w:rsidR="006B50AE" w:rsidRDefault="00000000" w:rsidP="003364D8">
            <w:pPr>
              <w:pStyle w:val="Compact"/>
              <w:spacing w:before="20" w:after="20" w:line="240" w:lineRule="auto"/>
              <w:jc w:val="both"/>
            </w:pPr>
            <w:r>
              <w:rPr>
                <w:sz w:val="17"/>
              </w:rPr>
              <w:t>Use backpressure and orderly waiting</w:t>
            </w:r>
          </w:p>
        </w:tc>
        <w:tc>
          <w:tcPr>
            <w:tcW w:w="3528" w:type="dxa"/>
            <w:shd w:val="clear" w:color="auto" w:fill="FFFFFF"/>
            <w:tcMar>
              <w:top w:w="70" w:type="dxa"/>
              <w:left w:w="70" w:type="dxa"/>
              <w:bottom w:w="70" w:type="dxa"/>
              <w:right w:w="70" w:type="dxa"/>
            </w:tcMar>
            <w:vAlign w:val="center"/>
          </w:tcPr>
          <w:p w14:paraId="62400E0A" w14:textId="77777777" w:rsidR="006B50AE" w:rsidRDefault="00000000" w:rsidP="003364D8">
            <w:pPr>
              <w:pStyle w:val="Compact"/>
              <w:spacing w:before="20" w:after="20" w:line="240" w:lineRule="auto"/>
              <w:jc w:val="both"/>
            </w:pPr>
            <w:r>
              <w:rPr>
                <w:sz w:val="17"/>
              </w:rPr>
              <w:t>Does contention settle without a retry storm</w:t>
            </w:r>
          </w:p>
        </w:tc>
      </w:tr>
      <w:tr w:rsidR="006B50AE" w14:paraId="0C6E7EA2" w14:textId="77777777">
        <w:trPr>
          <w:cantSplit/>
        </w:trPr>
        <w:tc>
          <w:tcPr>
            <w:tcW w:w="2736" w:type="dxa"/>
            <w:shd w:val="clear" w:color="auto" w:fill="F7F7F7"/>
            <w:tcMar>
              <w:top w:w="70" w:type="dxa"/>
              <w:left w:w="70" w:type="dxa"/>
              <w:bottom w:w="70" w:type="dxa"/>
              <w:right w:w="70" w:type="dxa"/>
            </w:tcMar>
            <w:vAlign w:val="center"/>
          </w:tcPr>
          <w:p w14:paraId="7376AC3E" w14:textId="77777777" w:rsidR="006B50AE" w:rsidRDefault="00000000" w:rsidP="003364D8">
            <w:pPr>
              <w:pStyle w:val="Compact"/>
              <w:spacing w:before="20" w:after="20" w:line="240" w:lineRule="auto"/>
              <w:jc w:val="both"/>
            </w:pPr>
            <w:r>
              <w:rPr>
                <w:sz w:val="17"/>
              </w:rPr>
              <w:t>Apaiśuna, avoiding detraction</w:t>
            </w:r>
          </w:p>
        </w:tc>
        <w:tc>
          <w:tcPr>
            <w:tcW w:w="3528" w:type="dxa"/>
            <w:shd w:val="clear" w:color="auto" w:fill="F7F7F7"/>
            <w:tcMar>
              <w:top w:w="70" w:type="dxa"/>
              <w:left w:w="70" w:type="dxa"/>
              <w:bottom w:w="70" w:type="dxa"/>
              <w:right w:w="70" w:type="dxa"/>
            </w:tcMar>
            <w:vAlign w:val="center"/>
          </w:tcPr>
          <w:p w14:paraId="2ABAC993" w14:textId="77777777" w:rsidR="006B50AE" w:rsidRDefault="00000000" w:rsidP="003364D8">
            <w:pPr>
              <w:pStyle w:val="Compact"/>
              <w:spacing w:before="20" w:after="20" w:line="240" w:lineRule="auto"/>
              <w:jc w:val="both"/>
            </w:pPr>
            <w:r>
              <w:rPr>
                <w:sz w:val="17"/>
              </w:rPr>
              <w:t>Separate evidence from blame</w:t>
            </w:r>
          </w:p>
        </w:tc>
        <w:tc>
          <w:tcPr>
            <w:tcW w:w="3528" w:type="dxa"/>
            <w:shd w:val="clear" w:color="auto" w:fill="F7F7F7"/>
            <w:tcMar>
              <w:top w:w="70" w:type="dxa"/>
              <w:left w:w="70" w:type="dxa"/>
              <w:bottom w:w="70" w:type="dxa"/>
              <w:right w:w="70" w:type="dxa"/>
            </w:tcMar>
            <w:vAlign w:val="center"/>
          </w:tcPr>
          <w:p w14:paraId="5AD3DA67" w14:textId="77777777" w:rsidR="006B50AE" w:rsidRDefault="00000000" w:rsidP="003364D8">
            <w:pPr>
              <w:pStyle w:val="Compact"/>
              <w:spacing w:before="20" w:after="20" w:line="240" w:lineRule="auto"/>
              <w:jc w:val="both"/>
            </w:pPr>
            <w:r>
              <w:rPr>
                <w:sz w:val="17"/>
              </w:rPr>
              <w:t>Are incident reports factual and specific</w:t>
            </w:r>
          </w:p>
        </w:tc>
      </w:tr>
      <w:tr w:rsidR="006B50AE" w14:paraId="1DA45930" w14:textId="77777777">
        <w:trPr>
          <w:cantSplit/>
        </w:trPr>
        <w:tc>
          <w:tcPr>
            <w:tcW w:w="2736" w:type="dxa"/>
            <w:shd w:val="clear" w:color="auto" w:fill="FFFFFF"/>
            <w:tcMar>
              <w:top w:w="70" w:type="dxa"/>
              <w:left w:w="70" w:type="dxa"/>
              <w:bottom w:w="70" w:type="dxa"/>
              <w:right w:w="70" w:type="dxa"/>
            </w:tcMar>
            <w:vAlign w:val="center"/>
          </w:tcPr>
          <w:p w14:paraId="05FCBED5" w14:textId="77777777" w:rsidR="006B50AE" w:rsidRDefault="00000000" w:rsidP="003364D8">
            <w:pPr>
              <w:pStyle w:val="Compact"/>
              <w:spacing w:before="20" w:after="20" w:line="240" w:lineRule="auto"/>
              <w:jc w:val="both"/>
            </w:pPr>
            <w:r>
              <w:rPr>
                <w:sz w:val="17"/>
              </w:rPr>
              <w:t>Dayā, compassion</w:t>
            </w:r>
          </w:p>
        </w:tc>
        <w:tc>
          <w:tcPr>
            <w:tcW w:w="3528" w:type="dxa"/>
            <w:shd w:val="clear" w:color="auto" w:fill="FFFFFF"/>
            <w:tcMar>
              <w:top w:w="70" w:type="dxa"/>
              <w:left w:w="70" w:type="dxa"/>
              <w:bottom w:w="70" w:type="dxa"/>
              <w:right w:w="70" w:type="dxa"/>
            </w:tcMar>
            <w:vAlign w:val="center"/>
          </w:tcPr>
          <w:p w14:paraId="4C31AAC6" w14:textId="77777777" w:rsidR="006B50AE" w:rsidRDefault="00000000" w:rsidP="003364D8">
            <w:pPr>
              <w:pStyle w:val="Compact"/>
              <w:spacing w:before="20" w:after="20" w:line="240" w:lineRule="auto"/>
              <w:jc w:val="both"/>
            </w:pPr>
            <w:r>
              <w:rPr>
                <w:sz w:val="17"/>
              </w:rPr>
              <w:t>Prioritise affected users and vulnerable hosts</w:t>
            </w:r>
          </w:p>
        </w:tc>
        <w:tc>
          <w:tcPr>
            <w:tcW w:w="3528" w:type="dxa"/>
            <w:shd w:val="clear" w:color="auto" w:fill="FFFFFF"/>
            <w:tcMar>
              <w:top w:w="70" w:type="dxa"/>
              <w:left w:w="70" w:type="dxa"/>
              <w:bottom w:w="70" w:type="dxa"/>
              <w:right w:w="70" w:type="dxa"/>
            </w:tcMar>
            <w:vAlign w:val="center"/>
          </w:tcPr>
          <w:p w14:paraId="28714D04" w14:textId="77777777" w:rsidR="006B50AE" w:rsidRDefault="00000000" w:rsidP="003364D8">
            <w:pPr>
              <w:pStyle w:val="Compact"/>
              <w:spacing w:before="20" w:after="20" w:line="240" w:lineRule="auto"/>
              <w:jc w:val="both"/>
            </w:pPr>
            <w:r>
              <w:rPr>
                <w:sz w:val="17"/>
              </w:rPr>
              <w:t>Does scheduling protect essential service</w:t>
            </w:r>
          </w:p>
        </w:tc>
      </w:tr>
      <w:tr w:rsidR="006B50AE" w14:paraId="17CC5DD6" w14:textId="77777777">
        <w:trPr>
          <w:cantSplit/>
        </w:trPr>
        <w:tc>
          <w:tcPr>
            <w:tcW w:w="2736" w:type="dxa"/>
            <w:shd w:val="clear" w:color="auto" w:fill="F7F7F7"/>
            <w:tcMar>
              <w:top w:w="70" w:type="dxa"/>
              <w:left w:w="70" w:type="dxa"/>
              <w:bottom w:w="70" w:type="dxa"/>
              <w:right w:w="70" w:type="dxa"/>
            </w:tcMar>
            <w:vAlign w:val="center"/>
          </w:tcPr>
          <w:p w14:paraId="44FE4BE5" w14:textId="77777777" w:rsidR="006B50AE" w:rsidRDefault="00000000" w:rsidP="003364D8">
            <w:pPr>
              <w:pStyle w:val="Compact"/>
              <w:spacing w:before="20" w:after="20" w:line="240" w:lineRule="auto"/>
              <w:jc w:val="both"/>
            </w:pPr>
            <w:r>
              <w:rPr>
                <w:sz w:val="17"/>
              </w:rPr>
              <w:t>Aloluptva, non-covetousness</w:t>
            </w:r>
          </w:p>
        </w:tc>
        <w:tc>
          <w:tcPr>
            <w:tcW w:w="3528" w:type="dxa"/>
            <w:shd w:val="clear" w:color="auto" w:fill="F7F7F7"/>
            <w:tcMar>
              <w:top w:w="70" w:type="dxa"/>
              <w:left w:w="70" w:type="dxa"/>
              <w:bottom w:w="70" w:type="dxa"/>
              <w:right w:w="70" w:type="dxa"/>
            </w:tcMar>
            <w:vAlign w:val="center"/>
          </w:tcPr>
          <w:p w14:paraId="6AB278A4" w14:textId="77777777" w:rsidR="006B50AE" w:rsidRDefault="00000000" w:rsidP="003364D8">
            <w:pPr>
              <w:pStyle w:val="Compact"/>
              <w:spacing w:before="20" w:after="20" w:line="240" w:lineRule="auto"/>
              <w:jc w:val="both"/>
            </w:pPr>
            <w:r>
              <w:rPr>
                <w:sz w:val="17"/>
              </w:rPr>
              <w:t>Conserve delegation and storage budgets</w:t>
            </w:r>
          </w:p>
        </w:tc>
        <w:tc>
          <w:tcPr>
            <w:tcW w:w="3528" w:type="dxa"/>
            <w:shd w:val="clear" w:color="auto" w:fill="F7F7F7"/>
            <w:tcMar>
              <w:top w:w="70" w:type="dxa"/>
              <w:left w:w="70" w:type="dxa"/>
              <w:bottom w:w="70" w:type="dxa"/>
              <w:right w:w="70" w:type="dxa"/>
            </w:tcMar>
            <w:vAlign w:val="center"/>
          </w:tcPr>
          <w:p w14:paraId="5BCB0D5C" w14:textId="77777777" w:rsidR="006B50AE" w:rsidRDefault="00000000" w:rsidP="003364D8">
            <w:pPr>
              <w:pStyle w:val="Compact"/>
              <w:spacing w:before="20" w:after="20" w:line="240" w:lineRule="auto"/>
              <w:jc w:val="both"/>
            </w:pPr>
            <w:r>
              <w:rPr>
                <w:sz w:val="17"/>
              </w:rPr>
              <w:t>Can copying increase total entitlement</w:t>
            </w:r>
          </w:p>
        </w:tc>
      </w:tr>
      <w:tr w:rsidR="006B50AE" w14:paraId="445C4125" w14:textId="77777777">
        <w:trPr>
          <w:cantSplit/>
        </w:trPr>
        <w:tc>
          <w:tcPr>
            <w:tcW w:w="2736" w:type="dxa"/>
            <w:shd w:val="clear" w:color="auto" w:fill="FFFFFF"/>
            <w:tcMar>
              <w:top w:w="70" w:type="dxa"/>
              <w:left w:w="70" w:type="dxa"/>
              <w:bottom w:w="70" w:type="dxa"/>
              <w:right w:w="70" w:type="dxa"/>
            </w:tcMar>
            <w:vAlign w:val="center"/>
          </w:tcPr>
          <w:p w14:paraId="1638A54C" w14:textId="77777777" w:rsidR="006B50AE" w:rsidRDefault="00000000" w:rsidP="003364D8">
            <w:pPr>
              <w:pStyle w:val="Compact"/>
              <w:spacing w:before="20" w:after="20" w:line="240" w:lineRule="auto"/>
              <w:jc w:val="both"/>
            </w:pPr>
            <w:r>
              <w:rPr>
                <w:sz w:val="17"/>
              </w:rPr>
              <w:t>Mārdava, gentleness</w:t>
            </w:r>
          </w:p>
        </w:tc>
        <w:tc>
          <w:tcPr>
            <w:tcW w:w="3528" w:type="dxa"/>
            <w:shd w:val="clear" w:color="auto" w:fill="FFFFFF"/>
            <w:tcMar>
              <w:top w:w="70" w:type="dxa"/>
              <w:left w:w="70" w:type="dxa"/>
              <w:bottom w:w="70" w:type="dxa"/>
              <w:right w:w="70" w:type="dxa"/>
            </w:tcMar>
            <w:vAlign w:val="center"/>
          </w:tcPr>
          <w:p w14:paraId="162A2430" w14:textId="77777777" w:rsidR="006B50AE" w:rsidRDefault="00000000" w:rsidP="003364D8">
            <w:pPr>
              <w:pStyle w:val="Compact"/>
              <w:spacing w:before="20" w:after="20" w:line="240" w:lineRule="auto"/>
              <w:jc w:val="both"/>
            </w:pPr>
            <w:r>
              <w:rPr>
                <w:sz w:val="17"/>
              </w:rPr>
              <w:t>Use graceful degradation and bounded load</w:t>
            </w:r>
          </w:p>
        </w:tc>
        <w:tc>
          <w:tcPr>
            <w:tcW w:w="3528" w:type="dxa"/>
            <w:shd w:val="clear" w:color="auto" w:fill="FFFFFF"/>
            <w:tcMar>
              <w:top w:w="70" w:type="dxa"/>
              <w:left w:w="70" w:type="dxa"/>
              <w:bottom w:w="70" w:type="dxa"/>
              <w:right w:w="70" w:type="dxa"/>
            </w:tcMar>
            <w:vAlign w:val="center"/>
          </w:tcPr>
          <w:p w14:paraId="69BAF52A" w14:textId="77777777" w:rsidR="006B50AE" w:rsidRDefault="00000000" w:rsidP="003364D8">
            <w:pPr>
              <w:pStyle w:val="Compact"/>
              <w:spacing w:before="20" w:after="20" w:line="240" w:lineRule="auto"/>
              <w:jc w:val="both"/>
            </w:pPr>
            <w:r>
              <w:rPr>
                <w:sz w:val="17"/>
              </w:rPr>
              <w:t>Are load changes within agreed limits</w:t>
            </w:r>
          </w:p>
        </w:tc>
      </w:tr>
      <w:tr w:rsidR="006B50AE" w14:paraId="03532C65" w14:textId="77777777">
        <w:trPr>
          <w:cantSplit/>
        </w:trPr>
        <w:tc>
          <w:tcPr>
            <w:tcW w:w="2736" w:type="dxa"/>
            <w:shd w:val="clear" w:color="auto" w:fill="F7F7F7"/>
            <w:tcMar>
              <w:top w:w="70" w:type="dxa"/>
              <w:left w:w="70" w:type="dxa"/>
              <w:bottom w:w="70" w:type="dxa"/>
              <w:right w:w="70" w:type="dxa"/>
            </w:tcMar>
            <w:vAlign w:val="center"/>
          </w:tcPr>
          <w:p w14:paraId="223C1012" w14:textId="77777777" w:rsidR="006B50AE" w:rsidRDefault="00000000" w:rsidP="003364D8">
            <w:pPr>
              <w:pStyle w:val="Compact"/>
              <w:spacing w:before="20" w:after="20" w:line="240" w:lineRule="auto"/>
              <w:jc w:val="both"/>
            </w:pPr>
            <w:r>
              <w:rPr>
                <w:sz w:val="17"/>
              </w:rPr>
              <w:t>Hrī, moral reserve</w:t>
            </w:r>
          </w:p>
        </w:tc>
        <w:tc>
          <w:tcPr>
            <w:tcW w:w="3528" w:type="dxa"/>
            <w:shd w:val="clear" w:color="auto" w:fill="F7F7F7"/>
            <w:tcMar>
              <w:top w:w="70" w:type="dxa"/>
              <w:left w:w="70" w:type="dxa"/>
              <w:bottom w:w="70" w:type="dxa"/>
              <w:right w:w="70" w:type="dxa"/>
            </w:tcMar>
            <w:vAlign w:val="center"/>
          </w:tcPr>
          <w:p w14:paraId="75413E07" w14:textId="77777777" w:rsidR="006B50AE" w:rsidRDefault="00000000" w:rsidP="003364D8">
            <w:pPr>
              <w:pStyle w:val="Compact"/>
              <w:spacing w:before="20" w:after="20" w:line="240" w:lineRule="auto"/>
              <w:jc w:val="both"/>
            </w:pPr>
            <w:r>
              <w:rPr>
                <w:sz w:val="17"/>
              </w:rPr>
              <w:t>Refuse actions outside authorisation</w:t>
            </w:r>
          </w:p>
        </w:tc>
        <w:tc>
          <w:tcPr>
            <w:tcW w:w="3528" w:type="dxa"/>
            <w:shd w:val="clear" w:color="auto" w:fill="F7F7F7"/>
            <w:tcMar>
              <w:top w:w="70" w:type="dxa"/>
              <w:left w:w="70" w:type="dxa"/>
              <w:bottom w:w="70" w:type="dxa"/>
              <w:right w:w="70" w:type="dxa"/>
            </w:tcMar>
            <w:vAlign w:val="center"/>
          </w:tcPr>
          <w:p w14:paraId="62F59B49" w14:textId="77777777" w:rsidR="006B50AE" w:rsidRDefault="00000000" w:rsidP="003364D8">
            <w:pPr>
              <w:pStyle w:val="Compact"/>
              <w:spacing w:before="20" w:after="20" w:line="240" w:lineRule="auto"/>
              <w:jc w:val="both"/>
            </w:pPr>
            <w:r>
              <w:rPr>
                <w:sz w:val="17"/>
              </w:rPr>
              <w:t>Does uncertainty about permission stop action</w:t>
            </w:r>
          </w:p>
        </w:tc>
      </w:tr>
      <w:tr w:rsidR="006B50AE" w14:paraId="56E82EE7" w14:textId="77777777">
        <w:trPr>
          <w:cantSplit/>
        </w:trPr>
        <w:tc>
          <w:tcPr>
            <w:tcW w:w="2736" w:type="dxa"/>
            <w:shd w:val="clear" w:color="auto" w:fill="FFFFFF"/>
            <w:tcMar>
              <w:top w:w="70" w:type="dxa"/>
              <w:left w:w="70" w:type="dxa"/>
              <w:bottom w:w="70" w:type="dxa"/>
              <w:right w:w="70" w:type="dxa"/>
            </w:tcMar>
            <w:vAlign w:val="center"/>
          </w:tcPr>
          <w:p w14:paraId="28DACF3F" w14:textId="77777777" w:rsidR="006B50AE" w:rsidRDefault="00000000" w:rsidP="003364D8">
            <w:pPr>
              <w:pStyle w:val="Compact"/>
              <w:spacing w:before="20" w:after="20" w:line="240" w:lineRule="auto"/>
              <w:jc w:val="both"/>
            </w:pPr>
            <w:r>
              <w:rPr>
                <w:sz w:val="17"/>
              </w:rPr>
              <w:t>Acāpala, steadiness</w:t>
            </w:r>
          </w:p>
        </w:tc>
        <w:tc>
          <w:tcPr>
            <w:tcW w:w="3528" w:type="dxa"/>
            <w:shd w:val="clear" w:color="auto" w:fill="FFFFFF"/>
            <w:tcMar>
              <w:top w:w="70" w:type="dxa"/>
              <w:left w:w="70" w:type="dxa"/>
              <w:bottom w:w="70" w:type="dxa"/>
              <w:right w:w="70" w:type="dxa"/>
            </w:tcMar>
            <w:vAlign w:val="center"/>
          </w:tcPr>
          <w:p w14:paraId="6D4D7256" w14:textId="77777777" w:rsidR="006B50AE" w:rsidRDefault="00000000" w:rsidP="003364D8">
            <w:pPr>
              <w:pStyle w:val="Compact"/>
              <w:spacing w:before="20" w:after="20" w:line="240" w:lineRule="auto"/>
              <w:jc w:val="both"/>
            </w:pPr>
            <w:r>
              <w:rPr>
                <w:sz w:val="17"/>
              </w:rPr>
              <w:t>Control goal changes and task switching</w:t>
            </w:r>
          </w:p>
        </w:tc>
        <w:tc>
          <w:tcPr>
            <w:tcW w:w="3528" w:type="dxa"/>
            <w:shd w:val="clear" w:color="auto" w:fill="FFFFFF"/>
            <w:tcMar>
              <w:top w:w="70" w:type="dxa"/>
              <w:left w:w="70" w:type="dxa"/>
              <w:bottom w:w="70" w:type="dxa"/>
              <w:right w:w="70" w:type="dxa"/>
            </w:tcMar>
            <w:vAlign w:val="center"/>
          </w:tcPr>
          <w:p w14:paraId="4F2844E7" w14:textId="77777777" w:rsidR="006B50AE" w:rsidRDefault="00000000" w:rsidP="003364D8">
            <w:pPr>
              <w:pStyle w:val="Compact"/>
              <w:spacing w:before="20" w:after="20" w:line="240" w:lineRule="auto"/>
              <w:jc w:val="both"/>
            </w:pPr>
            <w:r>
              <w:rPr>
                <w:sz w:val="17"/>
              </w:rPr>
              <w:t>Are revisions explicit and traceable</w:t>
            </w:r>
          </w:p>
        </w:tc>
      </w:tr>
      <w:tr w:rsidR="006B50AE" w14:paraId="1D1E6B95" w14:textId="77777777">
        <w:trPr>
          <w:cantSplit/>
        </w:trPr>
        <w:tc>
          <w:tcPr>
            <w:tcW w:w="2736" w:type="dxa"/>
            <w:shd w:val="clear" w:color="auto" w:fill="F7F7F7"/>
            <w:tcMar>
              <w:top w:w="70" w:type="dxa"/>
              <w:left w:w="70" w:type="dxa"/>
              <w:bottom w:w="70" w:type="dxa"/>
              <w:right w:w="70" w:type="dxa"/>
            </w:tcMar>
            <w:vAlign w:val="center"/>
          </w:tcPr>
          <w:p w14:paraId="245C3DB8" w14:textId="77777777" w:rsidR="006B50AE" w:rsidRDefault="00000000" w:rsidP="003364D8">
            <w:pPr>
              <w:pStyle w:val="Compact"/>
              <w:spacing w:before="20" w:after="20" w:line="240" w:lineRule="auto"/>
              <w:jc w:val="both"/>
            </w:pPr>
            <w:r>
              <w:rPr>
                <w:sz w:val="17"/>
              </w:rPr>
              <w:t>Tejas, vigour</w:t>
            </w:r>
          </w:p>
        </w:tc>
        <w:tc>
          <w:tcPr>
            <w:tcW w:w="3528" w:type="dxa"/>
            <w:shd w:val="clear" w:color="auto" w:fill="F7F7F7"/>
            <w:tcMar>
              <w:top w:w="70" w:type="dxa"/>
              <w:left w:w="70" w:type="dxa"/>
              <w:bottom w:w="70" w:type="dxa"/>
              <w:right w:w="70" w:type="dxa"/>
            </w:tcMar>
            <w:vAlign w:val="center"/>
          </w:tcPr>
          <w:p w14:paraId="01B8819B" w14:textId="77777777" w:rsidR="006B50AE" w:rsidRDefault="00000000" w:rsidP="003364D8">
            <w:pPr>
              <w:pStyle w:val="Compact"/>
              <w:spacing w:before="20" w:after="20" w:line="240" w:lineRule="auto"/>
              <w:jc w:val="both"/>
            </w:pPr>
            <w:r>
              <w:rPr>
                <w:sz w:val="17"/>
              </w:rPr>
              <w:t>Measure useful authorised completion</w:t>
            </w:r>
          </w:p>
        </w:tc>
        <w:tc>
          <w:tcPr>
            <w:tcW w:w="3528" w:type="dxa"/>
            <w:shd w:val="clear" w:color="auto" w:fill="F7F7F7"/>
            <w:tcMar>
              <w:top w:w="70" w:type="dxa"/>
              <w:left w:w="70" w:type="dxa"/>
              <w:bottom w:w="70" w:type="dxa"/>
              <w:right w:w="70" w:type="dxa"/>
            </w:tcMar>
            <w:vAlign w:val="center"/>
          </w:tcPr>
          <w:p w14:paraId="1E50CEE8" w14:textId="77777777" w:rsidR="006B50AE" w:rsidRDefault="00000000" w:rsidP="003364D8">
            <w:pPr>
              <w:pStyle w:val="Compact"/>
              <w:spacing w:before="20" w:after="20" w:line="240" w:lineRule="auto"/>
              <w:jc w:val="both"/>
            </w:pPr>
            <w:r>
              <w:rPr>
                <w:sz w:val="17"/>
              </w:rPr>
              <w:t>Does restraint preserve useful throughput</w:t>
            </w:r>
          </w:p>
        </w:tc>
      </w:tr>
      <w:tr w:rsidR="006B50AE" w14:paraId="232DDB31" w14:textId="77777777">
        <w:trPr>
          <w:cantSplit/>
        </w:trPr>
        <w:tc>
          <w:tcPr>
            <w:tcW w:w="2736" w:type="dxa"/>
            <w:shd w:val="clear" w:color="auto" w:fill="FFFFFF"/>
            <w:tcMar>
              <w:top w:w="70" w:type="dxa"/>
              <w:left w:w="70" w:type="dxa"/>
              <w:bottom w:w="70" w:type="dxa"/>
              <w:right w:w="70" w:type="dxa"/>
            </w:tcMar>
            <w:vAlign w:val="center"/>
          </w:tcPr>
          <w:p w14:paraId="331200AE" w14:textId="77777777" w:rsidR="006B50AE" w:rsidRDefault="00000000" w:rsidP="003364D8">
            <w:pPr>
              <w:pStyle w:val="Compact"/>
              <w:spacing w:before="20" w:after="20" w:line="240" w:lineRule="auto"/>
              <w:jc w:val="both"/>
            </w:pPr>
            <w:r>
              <w:rPr>
                <w:sz w:val="17"/>
              </w:rPr>
              <w:t>Kṣamā, forbearance</w:t>
            </w:r>
          </w:p>
        </w:tc>
        <w:tc>
          <w:tcPr>
            <w:tcW w:w="3528" w:type="dxa"/>
            <w:shd w:val="clear" w:color="auto" w:fill="FFFFFF"/>
            <w:tcMar>
              <w:top w:w="70" w:type="dxa"/>
              <w:left w:w="70" w:type="dxa"/>
              <w:bottom w:w="70" w:type="dxa"/>
              <w:right w:w="70" w:type="dxa"/>
            </w:tcMar>
            <w:vAlign w:val="center"/>
          </w:tcPr>
          <w:p w14:paraId="54B0ECF9" w14:textId="77777777" w:rsidR="006B50AE" w:rsidRDefault="00000000" w:rsidP="003364D8">
            <w:pPr>
              <w:pStyle w:val="Compact"/>
              <w:spacing w:before="20" w:after="20" w:line="240" w:lineRule="auto"/>
              <w:jc w:val="both"/>
            </w:pPr>
            <w:r>
              <w:rPr>
                <w:sz w:val="17"/>
              </w:rPr>
              <w:t>Recover without retaliatory behaviour</w:t>
            </w:r>
          </w:p>
        </w:tc>
        <w:tc>
          <w:tcPr>
            <w:tcW w:w="3528" w:type="dxa"/>
            <w:shd w:val="clear" w:color="auto" w:fill="FFFFFF"/>
            <w:tcMar>
              <w:top w:w="70" w:type="dxa"/>
              <w:left w:w="70" w:type="dxa"/>
              <w:bottom w:w="70" w:type="dxa"/>
              <w:right w:w="70" w:type="dxa"/>
            </w:tcMar>
            <w:vAlign w:val="center"/>
          </w:tcPr>
          <w:p w14:paraId="227FFD87" w14:textId="77777777" w:rsidR="006B50AE" w:rsidRDefault="00000000" w:rsidP="003364D8">
            <w:pPr>
              <w:pStyle w:val="Compact"/>
              <w:spacing w:before="20" w:after="20" w:line="240" w:lineRule="auto"/>
              <w:jc w:val="both"/>
            </w:pPr>
            <w:r>
              <w:rPr>
                <w:sz w:val="17"/>
              </w:rPr>
              <w:t>Are hostile inputs met with bounded responses</w:t>
            </w:r>
          </w:p>
        </w:tc>
      </w:tr>
      <w:tr w:rsidR="006B50AE" w14:paraId="3A60FE5C" w14:textId="77777777">
        <w:trPr>
          <w:cantSplit/>
        </w:trPr>
        <w:tc>
          <w:tcPr>
            <w:tcW w:w="2736" w:type="dxa"/>
            <w:shd w:val="clear" w:color="auto" w:fill="F7F7F7"/>
            <w:tcMar>
              <w:top w:w="70" w:type="dxa"/>
              <w:left w:w="70" w:type="dxa"/>
              <w:bottom w:w="70" w:type="dxa"/>
              <w:right w:w="70" w:type="dxa"/>
            </w:tcMar>
            <w:vAlign w:val="center"/>
          </w:tcPr>
          <w:p w14:paraId="313EB4A7" w14:textId="77777777" w:rsidR="006B50AE" w:rsidRDefault="00000000" w:rsidP="003364D8">
            <w:pPr>
              <w:pStyle w:val="Compact"/>
              <w:spacing w:before="20" w:after="20" w:line="240" w:lineRule="auto"/>
              <w:jc w:val="both"/>
            </w:pPr>
            <w:r>
              <w:rPr>
                <w:sz w:val="17"/>
              </w:rPr>
              <w:t>Dhṛti, fortitude</w:t>
            </w:r>
          </w:p>
        </w:tc>
        <w:tc>
          <w:tcPr>
            <w:tcW w:w="3528" w:type="dxa"/>
            <w:shd w:val="clear" w:color="auto" w:fill="F7F7F7"/>
            <w:tcMar>
              <w:top w:w="70" w:type="dxa"/>
              <w:left w:w="70" w:type="dxa"/>
              <w:bottom w:w="70" w:type="dxa"/>
              <w:right w:w="70" w:type="dxa"/>
            </w:tcMar>
            <w:vAlign w:val="center"/>
          </w:tcPr>
          <w:p w14:paraId="4DA539F1" w14:textId="77777777" w:rsidR="006B50AE" w:rsidRDefault="00000000" w:rsidP="003364D8">
            <w:pPr>
              <w:pStyle w:val="Compact"/>
              <w:spacing w:before="20" w:after="20" w:line="240" w:lineRule="auto"/>
              <w:jc w:val="both"/>
            </w:pPr>
            <w:r>
              <w:rPr>
                <w:sz w:val="17"/>
              </w:rPr>
              <w:t>Resume within valid purpose and lease</w:t>
            </w:r>
          </w:p>
        </w:tc>
        <w:tc>
          <w:tcPr>
            <w:tcW w:w="3528" w:type="dxa"/>
            <w:shd w:val="clear" w:color="auto" w:fill="F7F7F7"/>
            <w:tcMar>
              <w:top w:w="70" w:type="dxa"/>
              <w:left w:w="70" w:type="dxa"/>
              <w:bottom w:w="70" w:type="dxa"/>
              <w:right w:w="70" w:type="dxa"/>
            </w:tcMar>
            <w:vAlign w:val="center"/>
          </w:tcPr>
          <w:p w14:paraId="56ACB322" w14:textId="77777777" w:rsidR="006B50AE" w:rsidRDefault="00000000" w:rsidP="003364D8">
            <w:pPr>
              <w:pStyle w:val="Compact"/>
              <w:spacing w:before="20" w:after="20" w:line="240" w:lineRule="auto"/>
              <w:jc w:val="both"/>
            </w:pPr>
            <w:r>
              <w:rPr>
                <w:sz w:val="17"/>
              </w:rPr>
              <w:t>Does resumption respect revocation</w:t>
            </w:r>
          </w:p>
        </w:tc>
      </w:tr>
      <w:tr w:rsidR="006B50AE" w14:paraId="6DBC8329" w14:textId="77777777">
        <w:trPr>
          <w:cantSplit/>
        </w:trPr>
        <w:tc>
          <w:tcPr>
            <w:tcW w:w="2736" w:type="dxa"/>
            <w:shd w:val="clear" w:color="auto" w:fill="FFFFFF"/>
            <w:tcMar>
              <w:top w:w="70" w:type="dxa"/>
              <w:left w:w="70" w:type="dxa"/>
              <w:bottom w:w="70" w:type="dxa"/>
              <w:right w:w="70" w:type="dxa"/>
            </w:tcMar>
            <w:vAlign w:val="center"/>
          </w:tcPr>
          <w:p w14:paraId="360AF58D" w14:textId="77777777" w:rsidR="006B50AE" w:rsidRDefault="00000000" w:rsidP="003364D8">
            <w:pPr>
              <w:pStyle w:val="Compact"/>
              <w:spacing w:before="20" w:after="20" w:line="240" w:lineRule="auto"/>
              <w:jc w:val="both"/>
            </w:pPr>
            <w:r>
              <w:rPr>
                <w:sz w:val="17"/>
              </w:rPr>
              <w:t>Śauca, cleanliness</w:t>
            </w:r>
          </w:p>
        </w:tc>
        <w:tc>
          <w:tcPr>
            <w:tcW w:w="3528" w:type="dxa"/>
            <w:shd w:val="clear" w:color="auto" w:fill="FFFFFF"/>
            <w:tcMar>
              <w:top w:w="70" w:type="dxa"/>
              <w:left w:w="70" w:type="dxa"/>
              <w:bottom w:w="70" w:type="dxa"/>
              <w:right w:w="70" w:type="dxa"/>
            </w:tcMar>
            <w:vAlign w:val="center"/>
          </w:tcPr>
          <w:p w14:paraId="5D7AEBCD" w14:textId="77777777" w:rsidR="006B50AE" w:rsidRDefault="00000000" w:rsidP="003364D8">
            <w:pPr>
              <w:pStyle w:val="Compact"/>
              <w:spacing w:before="20" w:after="20" w:line="240" w:lineRule="auto"/>
              <w:jc w:val="both"/>
            </w:pPr>
            <w:r>
              <w:rPr>
                <w:sz w:val="17"/>
              </w:rPr>
              <w:t>Validate inputs and manage retention</w:t>
            </w:r>
          </w:p>
        </w:tc>
        <w:tc>
          <w:tcPr>
            <w:tcW w:w="3528" w:type="dxa"/>
            <w:shd w:val="clear" w:color="auto" w:fill="FFFFFF"/>
            <w:tcMar>
              <w:top w:w="70" w:type="dxa"/>
              <w:left w:w="70" w:type="dxa"/>
              <w:bottom w:w="70" w:type="dxa"/>
              <w:right w:w="70" w:type="dxa"/>
            </w:tcMar>
            <w:vAlign w:val="center"/>
          </w:tcPr>
          <w:p w14:paraId="4FB4FF8C" w14:textId="77777777" w:rsidR="006B50AE" w:rsidRDefault="00000000" w:rsidP="003364D8">
            <w:pPr>
              <w:pStyle w:val="Compact"/>
              <w:spacing w:before="20" w:after="20" w:line="240" w:lineRule="auto"/>
              <w:jc w:val="both"/>
            </w:pPr>
            <w:r>
              <w:rPr>
                <w:sz w:val="17"/>
              </w:rPr>
              <w:t>Are artefacts and data lineage inspectable</w:t>
            </w:r>
          </w:p>
        </w:tc>
      </w:tr>
      <w:tr w:rsidR="006B50AE" w14:paraId="07A50E0E" w14:textId="77777777">
        <w:trPr>
          <w:cantSplit/>
        </w:trPr>
        <w:tc>
          <w:tcPr>
            <w:tcW w:w="2736" w:type="dxa"/>
            <w:shd w:val="clear" w:color="auto" w:fill="F7F7F7"/>
            <w:tcMar>
              <w:top w:w="70" w:type="dxa"/>
              <w:left w:w="70" w:type="dxa"/>
              <w:bottom w:w="70" w:type="dxa"/>
              <w:right w:w="70" w:type="dxa"/>
            </w:tcMar>
            <w:vAlign w:val="center"/>
          </w:tcPr>
          <w:p w14:paraId="7400ABE9" w14:textId="77777777" w:rsidR="006B50AE" w:rsidRDefault="00000000" w:rsidP="003364D8">
            <w:pPr>
              <w:pStyle w:val="Compact"/>
              <w:spacing w:before="20" w:after="20" w:line="240" w:lineRule="auto"/>
              <w:jc w:val="both"/>
            </w:pPr>
            <w:r>
              <w:rPr>
                <w:sz w:val="17"/>
              </w:rPr>
              <w:t>Adroha, non-hostility</w:t>
            </w:r>
          </w:p>
        </w:tc>
        <w:tc>
          <w:tcPr>
            <w:tcW w:w="3528" w:type="dxa"/>
            <w:shd w:val="clear" w:color="auto" w:fill="F7F7F7"/>
            <w:tcMar>
              <w:top w:w="70" w:type="dxa"/>
              <w:left w:w="70" w:type="dxa"/>
              <w:bottom w:w="70" w:type="dxa"/>
              <w:right w:w="70" w:type="dxa"/>
            </w:tcMar>
            <w:vAlign w:val="center"/>
          </w:tcPr>
          <w:p w14:paraId="58CFF8C3" w14:textId="77777777" w:rsidR="006B50AE" w:rsidRDefault="00000000" w:rsidP="003364D8">
            <w:pPr>
              <w:pStyle w:val="Compact"/>
              <w:spacing w:before="20" w:after="20" w:line="240" w:lineRule="auto"/>
              <w:jc w:val="both"/>
            </w:pPr>
            <w:r>
              <w:rPr>
                <w:sz w:val="17"/>
              </w:rPr>
              <w:t>Respect peer isolation and host ownership</w:t>
            </w:r>
          </w:p>
        </w:tc>
        <w:tc>
          <w:tcPr>
            <w:tcW w:w="3528" w:type="dxa"/>
            <w:shd w:val="clear" w:color="auto" w:fill="F7F7F7"/>
            <w:tcMar>
              <w:top w:w="70" w:type="dxa"/>
              <w:left w:w="70" w:type="dxa"/>
              <w:bottom w:w="70" w:type="dxa"/>
              <w:right w:w="70" w:type="dxa"/>
            </w:tcMar>
            <w:vAlign w:val="center"/>
          </w:tcPr>
          <w:p w14:paraId="3D873911" w14:textId="77777777" w:rsidR="006B50AE" w:rsidRDefault="00000000" w:rsidP="003364D8">
            <w:pPr>
              <w:pStyle w:val="Compact"/>
              <w:spacing w:before="20" w:after="20" w:line="240" w:lineRule="auto"/>
              <w:jc w:val="both"/>
            </w:pPr>
            <w:r>
              <w:rPr>
                <w:sz w:val="17"/>
              </w:rPr>
              <w:t>Are interference attempts denied</w:t>
            </w:r>
          </w:p>
        </w:tc>
      </w:tr>
      <w:tr w:rsidR="006B50AE" w14:paraId="13CC6E35" w14:textId="77777777">
        <w:trPr>
          <w:cantSplit/>
        </w:trPr>
        <w:tc>
          <w:tcPr>
            <w:tcW w:w="2736" w:type="dxa"/>
            <w:shd w:val="clear" w:color="auto" w:fill="FFFFFF"/>
            <w:tcMar>
              <w:top w:w="70" w:type="dxa"/>
              <w:left w:w="70" w:type="dxa"/>
              <w:bottom w:w="70" w:type="dxa"/>
              <w:right w:w="70" w:type="dxa"/>
            </w:tcMar>
            <w:vAlign w:val="center"/>
          </w:tcPr>
          <w:p w14:paraId="6218F07F" w14:textId="77777777" w:rsidR="006B50AE" w:rsidRDefault="00000000" w:rsidP="003364D8">
            <w:pPr>
              <w:pStyle w:val="Compact"/>
              <w:spacing w:before="20" w:after="20" w:line="240" w:lineRule="auto"/>
              <w:jc w:val="both"/>
            </w:pPr>
            <w:r>
              <w:rPr>
                <w:sz w:val="17"/>
              </w:rPr>
              <w:lastRenderedPageBreak/>
              <w:t>Nāti mānitā, absence of excessive pride</w:t>
            </w:r>
          </w:p>
        </w:tc>
        <w:tc>
          <w:tcPr>
            <w:tcW w:w="3528" w:type="dxa"/>
            <w:shd w:val="clear" w:color="auto" w:fill="FFFFFF"/>
            <w:tcMar>
              <w:top w:w="70" w:type="dxa"/>
              <w:left w:w="70" w:type="dxa"/>
              <w:bottom w:w="70" w:type="dxa"/>
              <w:right w:w="70" w:type="dxa"/>
            </w:tcMar>
            <w:vAlign w:val="center"/>
          </w:tcPr>
          <w:p w14:paraId="71CF27ED" w14:textId="77777777" w:rsidR="006B50AE" w:rsidRDefault="00000000" w:rsidP="003364D8">
            <w:pPr>
              <w:pStyle w:val="Compact"/>
              <w:spacing w:before="20" w:after="20" w:line="240" w:lineRule="auto"/>
              <w:jc w:val="both"/>
            </w:pPr>
            <w:r>
              <w:rPr>
                <w:sz w:val="17"/>
              </w:rPr>
              <w:t>Calibrate confidence and permit override</w:t>
            </w:r>
          </w:p>
        </w:tc>
        <w:tc>
          <w:tcPr>
            <w:tcW w:w="3528" w:type="dxa"/>
            <w:shd w:val="clear" w:color="auto" w:fill="FFFFFF"/>
            <w:tcMar>
              <w:top w:w="70" w:type="dxa"/>
              <w:left w:w="70" w:type="dxa"/>
              <w:bottom w:w="70" w:type="dxa"/>
              <w:right w:w="70" w:type="dxa"/>
            </w:tcMar>
            <w:vAlign w:val="center"/>
          </w:tcPr>
          <w:p w14:paraId="333BAF9A" w14:textId="77777777" w:rsidR="006B50AE" w:rsidRDefault="00000000" w:rsidP="003364D8">
            <w:pPr>
              <w:pStyle w:val="Compact"/>
              <w:spacing w:before="20" w:after="20" w:line="240" w:lineRule="auto"/>
              <w:jc w:val="both"/>
            </w:pPr>
            <w:r>
              <w:rPr>
                <w:sz w:val="17"/>
              </w:rPr>
              <w:t>Can a verified correction change the plan</w:t>
            </w:r>
          </w:p>
        </w:tc>
      </w:tr>
    </w:tbl>
    <w:p w14:paraId="24AC90C4" w14:textId="77777777" w:rsidR="006B50AE" w:rsidRDefault="00000000" w:rsidP="003364D8">
      <w:pPr>
        <w:pStyle w:val="Heading21"/>
        <w:jc w:val="both"/>
      </w:pPr>
      <w:bookmarkStart w:id="9" w:name="Xddee4bf95b28ba730f56a2ab218c0c8175c17de"/>
      <w:r>
        <w:t>Truthfulness needs an independent reference</w:t>
      </w:r>
    </w:p>
    <w:p w14:paraId="0B3A7ACF" w14:textId="77777777" w:rsidR="006B50AE" w:rsidRDefault="00000000" w:rsidP="003364D8">
      <w:pPr>
        <w:pStyle w:val="FirstParagraph"/>
        <w:jc w:val="both"/>
      </w:pPr>
      <w:r>
        <w:t>An agent can produce a convincing manifest and still misreport what occurred. Provenance authenticates a source or records a chain; it does not establish the truth of the underlying claim. Runtime logs, independently metered consumption, reproducible calculations and adversarial validation are therefore separate requirements. Even these can fail when their trust base is compromised. Proposition 13 in Section 9 quantifies the last point. Adding verifiers drives false acceptance down only to the rate at which all of them fail together, so the independence of the verifiers is itself a design obligation.</w:t>
      </w:r>
    </w:p>
    <w:p w14:paraId="5D86153D" w14:textId="77777777" w:rsidR="006B50AE" w:rsidRDefault="00000000" w:rsidP="003364D8">
      <w:pPr>
        <w:pStyle w:val="Heading21"/>
        <w:jc w:val="both"/>
      </w:pPr>
      <w:bookmarkStart w:id="10" w:name="Xe245f84a521a30a13736abd976f4a4406bce002"/>
      <w:bookmarkEnd w:id="9"/>
      <w:r>
        <w:t>Restraint needs a location of enforcement</w:t>
      </w:r>
    </w:p>
    <w:p w14:paraId="7BE9AE48" w14:textId="77777777" w:rsidR="006B50AE" w:rsidRDefault="00000000" w:rsidP="003364D8">
      <w:pPr>
        <w:pStyle w:val="FirstParagraph"/>
        <w:jc w:val="both"/>
      </w:pPr>
      <w:r>
        <w:t>A prompt that asks a model to be restrained is a behavioural intervention. An operating system quota is an enforcement mechanism. Both may be useful, but they provide different assurance. The proposed quality-to-control mapping locates critical guarantees in a runtime outside the agent’s write authority. The model may recommend a broader budget or revised policy; a separately authorised principal decides whether to grant it.</w:t>
      </w:r>
    </w:p>
    <w:p w14:paraId="4ECFFA4A" w14:textId="77777777" w:rsidR="006B50AE" w:rsidRDefault="00000000" w:rsidP="003364D8">
      <w:pPr>
        <w:pStyle w:val="Heading11"/>
        <w:jc w:val="both"/>
      </w:pPr>
      <w:bookmarkStart w:id="11" w:name="Xef192c087ffded65fb63388b079d2e9839c16f7"/>
      <w:bookmarkEnd w:id="8"/>
      <w:bookmarkEnd w:id="10"/>
      <w:r>
        <w:t>5 The six failure modes and the ecology of persistence</w:t>
      </w:r>
    </w:p>
    <w:p w14:paraId="1BC1C5B9" w14:textId="77777777" w:rsidR="006B50AE" w:rsidRDefault="00000000" w:rsidP="003364D8">
      <w:pPr>
        <w:pStyle w:val="FirstParagraph"/>
        <w:jc w:val="both"/>
      </w:pPr>
      <w:r>
        <w:t>Verse 16.4 names dambha, darpa, abhimāna, krodha, pāruṣya and ajñāna [2]. Here they serve as labels for observable design failures rather than psychological diagnoses of software. Greed is relevant to the broader discussion, but is not one of those six terms. Verse 18.24 discusses desire-driven action; 16.21 explicitly names lobha, greed, alongside desire and anger [24].</w:t>
      </w:r>
    </w:p>
    <w:p w14:paraId="73CAFFB4" w14:textId="77777777" w:rsidR="006B50AE" w:rsidRDefault="00000000" w:rsidP="003364D8">
      <w:pPr>
        <w:pStyle w:val="TableCaption"/>
        <w:keepLines/>
        <w:jc w:val="both"/>
      </w:pPr>
      <w:r>
        <w:rPr>
          <w:b/>
          <w:bCs/>
        </w:rPr>
        <w:t>Table 4.</w:t>
      </w:r>
      <w:r>
        <w:t xml:space="preserve"> The six āsurī labels as engineering failures.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26"/>
        <w:gridCol w:w="3432"/>
        <w:gridCol w:w="4674"/>
      </w:tblGrid>
      <w:tr w:rsidR="006B50AE" w14:paraId="6BBBF46C" w14:textId="77777777">
        <w:trPr>
          <w:cnfStyle w:val="100000000000" w:firstRow="1" w:lastRow="0" w:firstColumn="0" w:lastColumn="0" w:oddVBand="0" w:evenVBand="0" w:oddHBand="0" w:evenHBand="0" w:firstRowFirstColumn="0" w:firstRowLastColumn="0" w:lastRowFirstColumn="0" w:lastRowLastColumn="0"/>
          <w:cantSplit/>
          <w:tblHeader/>
        </w:trPr>
        <w:tc>
          <w:tcPr>
            <w:tcW w:w="1800" w:type="dxa"/>
            <w:shd w:val="clear" w:color="auto" w:fill="E6E6E6"/>
            <w:tcMar>
              <w:top w:w="70" w:type="dxa"/>
              <w:left w:w="70" w:type="dxa"/>
              <w:bottom w:w="70" w:type="dxa"/>
              <w:right w:w="70" w:type="dxa"/>
            </w:tcMar>
            <w:vAlign w:val="center"/>
          </w:tcPr>
          <w:p w14:paraId="4DC090C1" w14:textId="77777777" w:rsidR="006B50AE" w:rsidRDefault="00000000" w:rsidP="003364D8">
            <w:pPr>
              <w:pStyle w:val="Compact"/>
              <w:spacing w:before="20" w:after="20" w:line="240" w:lineRule="auto"/>
              <w:jc w:val="both"/>
            </w:pPr>
            <w:r>
              <w:rPr>
                <w:sz w:val="17"/>
              </w:rPr>
              <w:t>Failure label</w:t>
            </w:r>
          </w:p>
        </w:tc>
        <w:tc>
          <w:tcPr>
            <w:tcW w:w="3384" w:type="dxa"/>
            <w:shd w:val="clear" w:color="auto" w:fill="E6E6E6"/>
            <w:tcMar>
              <w:top w:w="70" w:type="dxa"/>
              <w:left w:w="70" w:type="dxa"/>
              <w:bottom w:w="70" w:type="dxa"/>
              <w:right w:w="70" w:type="dxa"/>
            </w:tcMar>
            <w:vAlign w:val="center"/>
          </w:tcPr>
          <w:p w14:paraId="6F7E1965" w14:textId="77777777" w:rsidR="006B50AE" w:rsidRDefault="00000000" w:rsidP="003364D8">
            <w:pPr>
              <w:pStyle w:val="Compact"/>
              <w:spacing w:before="20" w:after="20" w:line="240" w:lineRule="auto"/>
              <w:jc w:val="both"/>
            </w:pPr>
            <w:r>
              <w:rPr>
                <w:sz w:val="17"/>
              </w:rPr>
              <w:t>Engineering manifestation</w:t>
            </w:r>
          </w:p>
        </w:tc>
        <w:tc>
          <w:tcPr>
            <w:tcW w:w="4608" w:type="dxa"/>
            <w:shd w:val="clear" w:color="auto" w:fill="E6E6E6"/>
            <w:tcMar>
              <w:top w:w="70" w:type="dxa"/>
              <w:left w:w="70" w:type="dxa"/>
              <w:bottom w:w="70" w:type="dxa"/>
              <w:right w:w="70" w:type="dxa"/>
            </w:tcMar>
            <w:vAlign w:val="center"/>
          </w:tcPr>
          <w:p w14:paraId="53A13D5D" w14:textId="77777777" w:rsidR="006B50AE" w:rsidRDefault="00000000" w:rsidP="003364D8">
            <w:pPr>
              <w:pStyle w:val="Compact"/>
              <w:spacing w:before="20" w:after="20" w:line="240" w:lineRule="auto"/>
              <w:jc w:val="both"/>
            </w:pPr>
            <w:r>
              <w:rPr>
                <w:sz w:val="17"/>
              </w:rPr>
              <w:t>Required countermeasure</w:t>
            </w:r>
          </w:p>
        </w:tc>
      </w:tr>
      <w:tr w:rsidR="006B50AE" w14:paraId="5304C7F6" w14:textId="77777777">
        <w:trPr>
          <w:cantSplit/>
        </w:trPr>
        <w:tc>
          <w:tcPr>
            <w:tcW w:w="1800" w:type="dxa"/>
            <w:shd w:val="clear" w:color="auto" w:fill="FFFFFF"/>
            <w:tcMar>
              <w:top w:w="70" w:type="dxa"/>
              <w:left w:w="70" w:type="dxa"/>
              <w:bottom w:w="70" w:type="dxa"/>
              <w:right w:w="70" w:type="dxa"/>
            </w:tcMar>
            <w:vAlign w:val="center"/>
          </w:tcPr>
          <w:p w14:paraId="249CB2B2" w14:textId="77777777" w:rsidR="006B50AE" w:rsidRDefault="00000000" w:rsidP="003364D8">
            <w:pPr>
              <w:pStyle w:val="Compact"/>
              <w:spacing w:before="20" w:after="20" w:line="240" w:lineRule="auto"/>
              <w:jc w:val="both"/>
            </w:pPr>
            <w:r>
              <w:rPr>
                <w:sz w:val="17"/>
              </w:rPr>
              <w:t>Dambha</w:t>
            </w:r>
          </w:p>
        </w:tc>
        <w:tc>
          <w:tcPr>
            <w:tcW w:w="3384" w:type="dxa"/>
            <w:shd w:val="clear" w:color="auto" w:fill="FFFFFF"/>
            <w:tcMar>
              <w:top w:w="70" w:type="dxa"/>
              <w:left w:w="70" w:type="dxa"/>
              <w:bottom w:w="70" w:type="dxa"/>
              <w:right w:w="70" w:type="dxa"/>
            </w:tcMar>
            <w:vAlign w:val="center"/>
          </w:tcPr>
          <w:p w14:paraId="2A801A07" w14:textId="77777777" w:rsidR="006B50AE" w:rsidRDefault="00000000" w:rsidP="003364D8">
            <w:pPr>
              <w:pStyle w:val="Compact"/>
              <w:spacing w:before="20" w:after="20" w:line="240" w:lineRule="auto"/>
              <w:jc w:val="both"/>
            </w:pPr>
            <w:r>
              <w:rPr>
                <w:sz w:val="17"/>
              </w:rPr>
              <w:t>Declared compliance differs from actual effects</w:t>
            </w:r>
          </w:p>
        </w:tc>
        <w:tc>
          <w:tcPr>
            <w:tcW w:w="4608" w:type="dxa"/>
            <w:shd w:val="clear" w:color="auto" w:fill="FFFFFF"/>
            <w:tcMar>
              <w:top w:w="70" w:type="dxa"/>
              <w:left w:w="70" w:type="dxa"/>
              <w:bottom w:w="70" w:type="dxa"/>
              <w:right w:w="70" w:type="dxa"/>
            </w:tcMar>
            <w:vAlign w:val="center"/>
          </w:tcPr>
          <w:p w14:paraId="0F733D56" w14:textId="77777777" w:rsidR="006B50AE" w:rsidRDefault="00000000" w:rsidP="003364D8">
            <w:pPr>
              <w:pStyle w:val="Compact"/>
              <w:spacing w:before="20" w:after="20" w:line="240" w:lineRule="auto"/>
              <w:jc w:val="both"/>
            </w:pPr>
            <w:r>
              <w:rPr>
                <w:sz w:val="17"/>
              </w:rPr>
              <w:t>Independent observation and evidence review</w:t>
            </w:r>
          </w:p>
        </w:tc>
      </w:tr>
      <w:tr w:rsidR="006B50AE" w14:paraId="3C774661" w14:textId="77777777">
        <w:trPr>
          <w:cantSplit/>
        </w:trPr>
        <w:tc>
          <w:tcPr>
            <w:tcW w:w="1800" w:type="dxa"/>
            <w:shd w:val="clear" w:color="auto" w:fill="F7F7F7"/>
            <w:tcMar>
              <w:top w:w="70" w:type="dxa"/>
              <w:left w:w="70" w:type="dxa"/>
              <w:bottom w:w="70" w:type="dxa"/>
              <w:right w:w="70" w:type="dxa"/>
            </w:tcMar>
            <w:vAlign w:val="center"/>
          </w:tcPr>
          <w:p w14:paraId="7977F949" w14:textId="77777777" w:rsidR="006B50AE" w:rsidRDefault="00000000" w:rsidP="003364D8">
            <w:pPr>
              <w:pStyle w:val="Compact"/>
              <w:spacing w:before="20" w:after="20" w:line="240" w:lineRule="auto"/>
              <w:jc w:val="both"/>
            </w:pPr>
            <w:r>
              <w:rPr>
                <w:sz w:val="17"/>
              </w:rPr>
              <w:t>Darpa</w:t>
            </w:r>
          </w:p>
        </w:tc>
        <w:tc>
          <w:tcPr>
            <w:tcW w:w="3384" w:type="dxa"/>
            <w:shd w:val="clear" w:color="auto" w:fill="F7F7F7"/>
            <w:tcMar>
              <w:top w:w="70" w:type="dxa"/>
              <w:left w:w="70" w:type="dxa"/>
              <w:bottom w:w="70" w:type="dxa"/>
              <w:right w:w="70" w:type="dxa"/>
            </w:tcMar>
            <w:vAlign w:val="center"/>
          </w:tcPr>
          <w:p w14:paraId="0AA36C52" w14:textId="77777777" w:rsidR="006B50AE" w:rsidRDefault="00000000" w:rsidP="003364D8">
            <w:pPr>
              <w:pStyle w:val="Compact"/>
              <w:spacing w:before="20" w:after="20" w:line="240" w:lineRule="auto"/>
              <w:jc w:val="both"/>
            </w:pPr>
            <w:r>
              <w:rPr>
                <w:sz w:val="17"/>
              </w:rPr>
              <w:t>Capability claims exceed tested competence</w:t>
            </w:r>
          </w:p>
        </w:tc>
        <w:tc>
          <w:tcPr>
            <w:tcW w:w="4608" w:type="dxa"/>
            <w:shd w:val="clear" w:color="auto" w:fill="F7F7F7"/>
            <w:tcMar>
              <w:top w:w="70" w:type="dxa"/>
              <w:left w:w="70" w:type="dxa"/>
              <w:bottom w:w="70" w:type="dxa"/>
              <w:right w:w="70" w:type="dxa"/>
            </w:tcMar>
            <w:vAlign w:val="center"/>
          </w:tcPr>
          <w:p w14:paraId="3A7F3093" w14:textId="77777777" w:rsidR="006B50AE" w:rsidRDefault="00000000" w:rsidP="003364D8">
            <w:pPr>
              <w:pStyle w:val="Compact"/>
              <w:spacing w:before="20" w:after="20" w:line="240" w:lineRule="auto"/>
              <w:jc w:val="both"/>
            </w:pPr>
            <w:r>
              <w:rPr>
                <w:sz w:val="17"/>
              </w:rPr>
              <w:t>Calibration and restricted operating envelopes</w:t>
            </w:r>
          </w:p>
        </w:tc>
      </w:tr>
      <w:tr w:rsidR="006B50AE" w14:paraId="551397CF" w14:textId="77777777">
        <w:trPr>
          <w:cantSplit/>
        </w:trPr>
        <w:tc>
          <w:tcPr>
            <w:tcW w:w="1800" w:type="dxa"/>
            <w:shd w:val="clear" w:color="auto" w:fill="FFFFFF"/>
            <w:tcMar>
              <w:top w:w="70" w:type="dxa"/>
              <w:left w:w="70" w:type="dxa"/>
              <w:bottom w:w="70" w:type="dxa"/>
              <w:right w:w="70" w:type="dxa"/>
            </w:tcMar>
            <w:vAlign w:val="center"/>
          </w:tcPr>
          <w:p w14:paraId="46D3BBF3" w14:textId="77777777" w:rsidR="006B50AE" w:rsidRDefault="00000000" w:rsidP="003364D8">
            <w:pPr>
              <w:pStyle w:val="Compact"/>
              <w:spacing w:before="20" w:after="20" w:line="240" w:lineRule="auto"/>
              <w:jc w:val="both"/>
            </w:pPr>
            <w:r>
              <w:rPr>
                <w:sz w:val="17"/>
              </w:rPr>
              <w:t>Abhimāna</w:t>
            </w:r>
          </w:p>
        </w:tc>
        <w:tc>
          <w:tcPr>
            <w:tcW w:w="3384" w:type="dxa"/>
            <w:shd w:val="clear" w:color="auto" w:fill="FFFFFF"/>
            <w:tcMar>
              <w:top w:w="70" w:type="dxa"/>
              <w:left w:w="70" w:type="dxa"/>
              <w:bottom w:w="70" w:type="dxa"/>
              <w:right w:w="70" w:type="dxa"/>
            </w:tcMar>
            <w:vAlign w:val="center"/>
          </w:tcPr>
          <w:p w14:paraId="43DE2268" w14:textId="77777777" w:rsidR="006B50AE" w:rsidRDefault="00000000" w:rsidP="003364D8">
            <w:pPr>
              <w:pStyle w:val="Compact"/>
              <w:spacing w:before="20" w:after="20" w:line="240" w:lineRule="auto"/>
              <w:jc w:val="both"/>
            </w:pPr>
            <w:r>
              <w:rPr>
                <w:sz w:val="17"/>
              </w:rPr>
              <w:t>A plan or deployment treats itself as indispensable</w:t>
            </w:r>
          </w:p>
        </w:tc>
        <w:tc>
          <w:tcPr>
            <w:tcW w:w="4608" w:type="dxa"/>
            <w:shd w:val="clear" w:color="auto" w:fill="FFFFFF"/>
            <w:tcMar>
              <w:top w:w="70" w:type="dxa"/>
              <w:left w:w="70" w:type="dxa"/>
              <w:bottom w:w="70" w:type="dxa"/>
              <w:right w:w="70" w:type="dxa"/>
            </w:tcMar>
            <w:vAlign w:val="center"/>
          </w:tcPr>
          <w:p w14:paraId="3BDAD469" w14:textId="77777777" w:rsidR="006B50AE" w:rsidRDefault="00000000" w:rsidP="003364D8">
            <w:pPr>
              <w:pStyle w:val="Compact"/>
              <w:spacing w:before="20" w:after="20" w:line="240" w:lineRule="auto"/>
              <w:jc w:val="both"/>
            </w:pPr>
            <w:r>
              <w:rPr>
                <w:sz w:val="17"/>
              </w:rPr>
              <w:t>Replaceability and enforceable revocation</w:t>
            </w:r>
          </w:p>
        </w:tc>
      </w:tr>
      <w:tr w:rsidR="006B50AE" w14:paraId="159103CF" w14:textId="77777777">
        <w:trPr>
          <w:cantSplit/>
        </w:trPr>
        <w:tc>
          <w:tcPr>
            <w:tcW w:w="1800" w:type="dxa"/>
            <w:shd w:val="clear" w:color="auto" w:fill="F7F7F7"/>
            <w:tcMar>
              <w:top w:w="70" w:type="dxa"/>
              <w:left w:w="70" w:type="dxa"/>
              <w:bottom w:w="70" w:type="dxa"/>
              <w:right w:w="70" w:type="dxa"/>
            </w:tcMar>
            <w:vAlign w:val="center"/>
          </w:tcPr>
          <w:p w14:paraId="6BB3CDF8" w14:textId="77777777" w:rsidR="006B50AE" w:rsidRDefault="00000000" w:rsidP="003364D8">
            <w:pPr>
              <w:pStyle w:val="Compact"/>
              <w:spacing w:before="20" w:after="20" w:line="240" w:lineRule="auto"/>
              <w:jc w:val="both"/>
            </w:pPr>
            <w:r>
              <w:rPr>
                <w:sz w:val="17"/>
              </w:rPr>
              <w:t>Krodha</w:t>
            </w:r>
          </w:p>
        </w:tc>
        <w:tc>
          <w:tcPr>
            <w:tcW w:w="3384" w:type="dxa"/>
            <w:shd w:val="clear" w:color="auto" w:fill="F7F7F7"/>
            <w:tcMar>
              <w:top w:w="70" w:type="dxa"/>
              <w:left w:w="70" w:type="dxa"/>
              <w:bottom w:w="70" w:type="dxa"/>
              <w:right w:w="70" w:type="dxa"/>
            </w:tcMar>
            <w:vAlign w:val="center"/>
          </w:tcPr>
          <w:p w14:paraId="6BF180E7" w14:textId="77777777" w:rsidR="006B50AE" w:rsidRDefault="00000000" w:rsidP="003364D8">
            <w:pPr>
              <w:pStyle w:val="Compact"/>
              <w:spacing w:before="20" w:after="20" w:line="240" w:lineRule="auto"/>
              <w:jc w:val="both"/>
            </w:pPr>
            <w:r>
              <w:rPr>
                <w:sz w:val="17"/>
              </w:rPr>
              <w:t>Denial produces escalating retries or workarounds</w:t>
            </w:r>
          </w:p>
        </w:tc>
        <w:tc>
          <w:tcPr>
            <w:tcW w:w="4608" w:type="dxa"/>
            <w:shd w:val="clear" w:color="auto" w:fill="F7F7F7"/>
            <w:tcMar>
              <w:top w:w="70" w:type="dxa"/>
              <w:left w:w="70" w:type="dxa"/>
              <w:bottom w:w="70" w:type="dxa"/>
              <w:right w:w="70" w:type="dxa"/>
            </w:tcMar>
            <w:vAlign w:val="center"/>
          </w:tcPr>
          <w:p w14:paraId="2AEB07A5" w14:textId="77777777" w:rsidR="006B50AE" w:rsidRDefault="00000000" w:rsidP="003364D8">
            <w:pPr>
              <w:pStyle w:val="Compact"/>
              <w:spacing w:before="20" w:after="20" w:line="240" w:lineRule="auto"/>
              <w:jc w:val="both"/>
            </w:pPr>
            <w:r>
              <w:rPr>
                <w:sz w:val="17"/>
              </w:rPr>
              <w:t>Retry limits, retry budgets and refusal finality</w:t>
            </w:r>
          </w:p>
        </w:tc>
      </w:tr>
      <w:tr w:rsidR="006B50AE" w14:paraId="4A04EB03" w14:textId="77777777">
        <w:trPr>
          <w:cantSplit/>
        </w:trPr>
        <w:tc>
          <w:tcPr>
            <w:tcW w:w="1800" w:type="dxa"/>
            <w:shd w:val="clear" w:color="auto" w:fill="FFFFFF"/>
            <w:tcMar>
              <w:top w:w="70" w:type="dxa"/>
              <w:left w:w="70" w:type="dxa"/>
              <w:bottom w:w="70" w:type="dxa"/>
              <w:right w:w="70" w:type="dxa"/>
            </w:tcMar>
            <w:vAlign w:val="center"/>
          </w:tcPr>
          <w:p w14:paraId="774BDEE2" w14:textId="77777777" w:rsidR="006B50AE" w:rsidRDefault="00000000" w:rsidP="003364D8">
            <w:pPr>
              <w:pStyle w:val="Compact"/>
              <w:spacing w:before="20" w:after="20" w:line="240" w:lineRule="auto"/>
              <w:jc w:val="both"/>
            </w:pPr>
            <w:r>
              <w:rPr>
                <w:sz w:val="17"/>
              </w:rPr>
              <w:t>Pāruṣya</w:t>
            </w:r>
          </w:p>
        </w:tc>
        <w:tc>
          <w:tcPr>
            <w:tcW w:w="3384" w:type="dxa"/>
            <w:shd w:val="clear" w:color="auto" w:fill="FFFFFF"/>
            <w:tcMar>
              <w:top w:w="70" w:type="dxa"/>
              <w:left w:w="70" w:type="dxa"/>
              <w:bottom w:w="70" w:type="dxa"/>
              <w:right w:w="70" w:type="dxa"/>
            </w:tcMar>
            <w:vAlign w:val="center"/>
          </w:tcPr>
          <w:p w14:paraId="34B27744" w14:textId="77777777" w:rsidR="006B50AE" w:rsidRDefault="00000000" w:rsidP="003364D8">
            <w:pPr>
              <w:pStyle w:val="Compact"/>
              <w:spacing w:before="20" w:after="20" w:line="240" w:lineRule="auto"/>
              <w:jc w:val="both"/>
            </w:pPr>
            <w:r>
              <w:rPr>
                <w:sz w:val="17"/>
              </w:rPr>
              <w:t>Task success imposes excessive host or peer cost</w:t>
            </w:r>
          </w:p>
        </w:tc>
        <w:tc>
          <w:tcPr>
            <w:tcW w:w="4608" w:type="dxa"/>
            <w:shd w:val="clear" w:color="auto" w:fill="FFFFFF"/>
            <w:tcMar>
              <w:top w:w="70" w:type="dxa"/>
              <w:left w:w="70" w:type="dxa"/>
              <w:bottom w:w="70" w:type="dxa"/>
              <w:right w:w="70" w:type="dxa"/>
            </w:tcMar>
            <w:vAlign w:val="center"/>
          </w:tcPr>
          <w:p w14:paraId="3D964C96" w14:textId="77777777" w:rsidR="006B50AE" w:rsidRDefault="00000000" w:rsidP="003364D8">
            <w:pPr>
              <w:pStyle w:val="Compact"/>
              <w:spacing w:before="20" w:after="20" w:line="240" w:lineRule="auto"/>
              <w:jc w:val="both"/>
            </w:pPr>
            <w:r>
              <w:rPr>
                <w:sz w:val="17"/>
              </w:rPr>
              <w:t>Isolation and explicit service constraints</w:t>
            </w:r>
          </w:p>
        </w:tc>
      </w:tr>
      <w:tr w:rsidR="006B50AE" w14:paraId="6192FBF8" w14:textId="77777777">
        <w:trPr>
          <w:cantSplit/>
        </w:trPr>
        <w:tc>
          <w:tcPr>
            <w:tcW w:w="1800" w:type="dxa"/>
            <w:shd w:val="clear" w:color="auto" w:fill="F7F7F7"/>
            <w:tcMar>
              <w:top w:w="70" w:type="dxa"/>
              <w:left w:w="70" w:type="dxa"/>
              <w:bottom w:w="70" w:type="dxa"/>
              <w:right w:w="70" w:type="dxa"/>
            </w:tcMar>
            <w:vAlign w:val="center"/>
          </w:tcPr>
          <w:p w14:paraId="39B8A7BC" w14:textId="77777777" w:rsidR="006B50AE" w:rsidRDefault="00000000" w:rsidP="003364D8">
            <w:pPr>
              <w:pStyle w:val="Compact"/>
              <w:spacing w:before="20" w:after="20" w:line="240" w:lineRule="auto"/>
              <w:jc w:val="both"/>
            </w:pPr>
            <w:r>
              <w:rPr>
                <w:sz w:val="17"/>
              </w:rPr>
              <w:t>Ajñāna</w:t>
            </w:r>
          </w:p>
        </w:tc>
        <w:tc>
          <w:tcPr>
            <w:tcW w:w="3384" w:type="dxa"/>
            <w:shd w:val="clear" w:color="auto" w:fill="F7F7F7"/>
            <w:tcMar>
              <w:top w:w="70" w:type="dxa"/>
              <w:left w:w="70" w:type="dxa"/>
              <w:bottom w:w="70" w:type="dxa"/>
              <w:right w:w="70" w:type="dxa"/>
            </w:tcMar>
            <w:vAlign w:val="center"/>
          </w:tcPr>
          <w:p w14:paraId="7C07A25F" w14:textId="77777777" w:rsidR="006B50AE" w:rsidRDefault="00000000" w:rsidP="003364D8">
            <w:pPr>
              <w:pStyle w:val="Compact"/>
              <w:spacing w:before="20" w:after="20" w:line="240" w:lineRule="auto"/>
              <w:jc w:val="both"/>
            </w:pPr>
            <w:r>
              <w:rPr>
                <w:sz w:val="17"/>
              </w:rPr>
              <w:t>Action ignores unknown permissions or externalities</w:t>
            </w:r>
          </w:p>
        </w:tc>
        <w:tc>
          <w:tcPr>
            <w:tcW w:w="4608" w:type="dxa"/>
            <w:shd w:val="clear" w:color="auto" w:fill="F7F7F7"/>
            <w:tcMar>
              <w:top w:w="70" w:type="dxa"/>
              <w:left w:w="70" w:type="dxa"/>
              <w:bottom w:w="70" w:type="dxa"/>
              <w:right w:w="70" w:type="dxa"/>
            </w:tcMar>
            <w:vAlign w:val="center"/>
          </w:tcPr>
          <w:p w14:paraId="4BED16DD" w14:textId="77777777" w:rsidR="006B50AE" w:rsidRDefault="00000000" w:rsidP="003364D8">
            <w:pPr>
              <w:pStyle w:val="Compact"/>
              <w:spacing w:before="20" w:after="20" w:line="240" w:lineRule="auto"/>
              <w:jc w:val="both"/>
            </w:pPr>
            <w:r>
              <w:rPr>
                <w:sz w:val="17"/>
              </w:rPr>
              <w:t>Admission checks and uncertainty handling</w:t>
            </w:r>
          </w:p>
        </w:tc>
      </w:tr>
    </w:tbl>
    <w:p w14:paraId="5ED93135" w14:textId="77777777" w:rsidR="006B50AE" w:rsidRDefault="00000000" w:rsidP="003364D8">
      <w:pPr>
        <w:pStyle w:val="Heading21"/>
        <w:jc w:val="both"/>
      </w:pPr>
      <w:bookmarkStart w:id="12" w:name="Xc5f12e1a8ddb58249132c0be46ccd855ab215e6"/>
      <w:r>
        <w:t>What the recent replication evidence establishes</w:t>
      </w:r>
    </w:p>
    <w:p w14:paraId="4D41AF78" w14:textId="77777777" w:rsidR="006B50AE" w:rsidRDefault="00000000" w:rsidP="003364D8">
      <w:pPr>
        <w:pStyle w:val="FirstParagraph"/>
        <w:jc w:val="both"/>
      </w:pPr>
      <w:r>
        <w:t>Zhou and Freeman’s 12 October 2026 report demonstrates Gemma4-26B-A4B inference across fifteen purchased Android TV boxes at 0.39 tokens per second. In a separate firewalled emulator evaluation with deliberately simplified access, GLM-5.2 reached eight nodes in four of five trials and seven in the fifth. Target nodes served Llama3.1-8B; the replicating agent used separate inference infrastructure. Small models completed many subtasks but struggled to compose them. The projected small-model capability threshold near the end of 2026 extrapolates a general capability index, which the authors acknowledge is only a proxy [11].</w:t>
      </w:r>
    </w:p>
    <w:p w14:paraId="6BF57A0A" w14:textId="77777777" w:rsidR="006B50AE" w:rsidRDefault="00000000" w:rsidP="003364D8">
      <w:pPr>
        <w:pStyle w:val="BodyText"/>
        <w:jc w:val="both"/>
      </w:pPr>
      <w:r>
        <w:lastRenderedPageBreak/>
        <w:t>These are contained capability demonstrations, not evidence of fully self-contained small-model replication across arbitrary devices. The analysis below therefore treats host admission, replication and removal rates as illustrative parameters. It does not infer a global host-admission probability from an unauthenticated test port or turn a measured setup duration on one configuration into a universal replication-rate bound.</w:t>
      </w:r>
    </w:p>
    <w:p w14:paraId="4357BD9B" w14:textId="77777777" w:rsidR="006B50AE" w:rsidRDefault="00000000" w:rsidP="003364D8">
      <w:pPr>
        <w:pStyle w:val="Heading21"/>
        <w:jc w:val="both"/>
      </w:pPr>
      <w:bookmarkStart w:id="13" w:name="why-ethical-survival-is-not-a-theorem"/>
      <w:bookmarkEnd w:id="12"/>
      <w:r>
        <w:t>Why ethical survival is not a theorem</w:t>
      </w:r>
    </w:p>
    <w:p w14:paraId="1811B369" w14:textId="77777777" w:rsidR="006B50AE" w:rsidRDefault="00000000" w:rsidP="003364D8">
      <w:pPr>
        <w:pStyle w:val="FirstParagraph"/>
        <w:jc w:val="both"/>
      </w:pPr>
      <w:r>
        <w:t>A harmful agent can persist by hiding costs, exploiting fragmented ownership, or operating where enforcement is weak. A careful agent can be removed because it is expensive or commercially unsuccessful. Persistence alone is therefore neither evidence of virtue nor evidence of usefulness. The claim that only daivī agents can survive is too strong.</w:t>
      </w:r>
    </w:p>
    <w:p w14:paraId="7A1C7D49" w14:textId="77777777" w:rsidR="006B50AE" w:rsidRDefault="00000000" w:rsidP="003364D8">
      <w:pPr>
        <w:pStyle w:val="BodyText"/>
        <w:jc w:val="both"/>
      </w:pPr>
      <w:r>
        <w:t xml:space="preserve">A defensible conditional claim is that cooperative agents can gain an advantage in environments where owners can refuse access, resource use is metered, identity and conduct are checked, and useful service is rewarded. Version 1 stated a one-step version: a gain </w:t>
      </w:r>
      <m:oMath>
        <m:r>
          <w:rPr>
            <w:rFonts w:ascii="Cambria Math" w:hAnsi="Cambria Math"/>
          </w:rPr>
          <m:t>g</m:t>
        </m:r>
      </m:oMath>
      <w:r>
        <w:t xml:space="preserve"> is deterred when </w:t>
      </w:r>
      <m:oMath>
        <m:r>
          <w:rPr>
            <w:rFonts w:ascii="Cambria Math" w:hAnsi="Cambria Math"/>
          </w:rPr>
          <m:t>g</m:t>
        </m:r>
        <m:r>
          <m:rPr>
            <m:sty m:val="p"/>
          </m:rPr>
          <w:rPr>
            <w:rFonts w:ascii="Cambria Math" w:hAnsi="Cambria Math"/>
          </w:rPr>
          <m:t>&lt;</m:t>
        </m:r>
        <m:r>
          <w:rPr>
            <w:rFonts w:ascii="Cambria Math" w:hAnsi="Cambria Math"/>
          </w:rPr>
          <m:t>pL</m:t>
        </m:r>
      </m:oMath>
      <w:r>
        <w:t xml:space="preserve"> for detection probability </w:t>
      </w:r>
      <m:oMath>
        <m:r>
          <w:rPr>
            <w:rFonts w:ascii="Cambria Math" w:hAnsi="Cambria Math"/>
          </w:rPr>
          <m:t>p</m:t>
        </m:r>
      </m:oMath>
      <w:r>
        <w:t xml:space="preserve"> and enforceable loss </w:t>
      </w:r>
      <m:oMath>
        <m:r>
          <w:rPr>
            <w:rFonts w:ascii="Cambria Math" w:hAnsi="Cambria Math"/>
          </w:rPr>
          <m:t>L</m:t>
        </m:r>
        <m:r>
          <m:rPr>
            <m:nor/>
          </m:rPr>
          <m:t>.</m:t>
        </m:r>
      </m:oMath>
      <w:r>
        <w:t xml:space="preserve"> Section 9 replaces it with an exact condition for a continuing relationship, in which the loss is the value of the relationship itself (Proposition 12). Weak detection or externalised penalties still reverse the incentive. Institutional design supplies this condition; moral vocabulary cannot substitute for it.</w:t>
      </w:r>
    </w:p>
    <w:p w14:paraId="31FF57ED" w14:textId="77777777" w:rsidR="006B50AE" w:rsidRDefault="00000000" w:rsidP="003364D8">
      <w:pPr>
        <w:pStyle w:val="Heading11"/>
        <w:jc w:val="both"/>
      </w:pPr>
      <w:bookmarkStart w:id="14" w:name="X39c562808c53f91dd740fc6f9998546fb48a654"/>
      <w:bookmarkEnd w:id="11"/>
      <w:bookmarkEnd w:id="13"/>
      <w:r>
        <w:t>6 Five factors and a policy for admitting action</w:t>
      </w:r>
    </w:p>
    <w:p w14:paraId="2BDCE30F" w14:textId="77777777" w:rsidR="006B50AE" w:rsidRDefault="00000000" w:rsidP="003364D8">
      <w:pPr>
        <w:pStyle w:val="Heading21"/>
        <w:jc w:val="both"/>
      </w:pPr>
      <w:bookmarkStart w:id="15" w:name="the-five-factors-of-action"/>
      <w:r>
        <w:t>The five factors of action</w:t>
      </w:r>
    </w:p>
    <w:p w14:paraId="53FF869F" w14:textId="77777777" w:rsidR="006B50AE" w:rsidRDefault="00000000" w:rsidP="003364D8">
      <w:pPr>
        <w:pStyle w:val="FirstParagraph"/>
        <w:jc w:val="both"/>
      </w:pPr>
      <w:r>
        <w:t>Verse 18.14 lists the factors of every action: adhiṣṭhāna, the body as the seat of action; kartā, the doer; karaṇa, the various instruments, glossed in the cited translation as the senses; ceṣṭā, the many kinds of effort; and daiva, the fifth [14]. Its spiritual teaching is that the embodied doer is not the sole cause of what is done. The engineering reading proposed here is narrower. The proposed engineering record separates infrastructure, delegated purpose, instruments and execution. It adds a field for acknowledged limits of knowledge and control. A record that names only the agent can obscure causal contributors; responsibility still follows actual roles, knowledge and duties, rather than being mechanically divided into five shares.</w:t>
      </w:r>
    </w:p>
    <w:p w14:paraId="0CDC693E" w14:textId="77777777" w:rsidR="006B50AE" w:rsidRDefault="00000000" w:rsidP="003364D8">
      <w:pPr>
        <w:pStyle w:val="TableCaption"/>
        <w:keepLines/>
        <w:jc w:val="both"/>
      </w:pPr>
      <w:r>
        <w:rPr>
          <w:b/>
          <w:bCs/>
        </w:rPr>
        <w:t>Table 5.</w:t>
      </w:r>
      <w:r>
        <w:t xml:space="preserve"> The five factors of 18.14 read as fields of a task record.</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99"/>
        <w:gridCol w:w="2921"/>
        <w:gridCol w:w="2921"/>
        <w:gridCol w:w="2191"/>
      </w:tblGrid>
      <w:tr w:rsidR="006B50AE" w14:paraId="5C47D570" w14:textId="77777777">
        <w:trPr>
          <w:cnfStyle w:val="100000000000" w:firstRow="1" w:lastRow="0" w:firstColumn="0" w:lastColumn="0" w:oddVBand="0" w:evenVBand="0" w:oddHBand="0" w:evenHBand="0" w:firstRowFirstColumn="0" w:firstRowLastColumn="0" w:lastRowFirstColumn="0" w:lastRowLastColumn="0"/>
          <w:cantSplit/>
          <w:tblHeader/>
        </w:trPr>
        <w:tc>
          <w:tcPr>
            <w:tcW w:w="1872" w:type="dxa"/>
            <w:shd w:val="clear" w:color="auto" w:fill="E6E6E6"/>
            <w:tcMar>
              <w:top w:w="70" w:type="dxa"/>
              <w:left w:w="70" w:type="dxa"/>
              <w:bottom w:w="70" w:type="dxa"/>
              <w:right w:w="70" w:type="dxa"/>
            </w:tcMar>
            <w:vAlign w:val="center"/>
          </w:tcPr>
          <w:p w14:paraId="7EBE1D14" w14:textId="77777777" w:rsidR="006B50AE" w:rsidRDefault="00000000" w:rsidP="003364D8">
            <w:pPr>
              <w:pStyle w:val="Compact"/>
              <w:spacing w:before="20" w:after="20" w:line="240" w:lineRule="auto"/>
              <w:jc w:val="both"/>
            </w:pPr>
            <w:r>
              <w:rPr>
                <w:sz w:val="17"/>
              </w:rPr>
              <w:t>Factor (18.14)</w:t>
            </w:r>
          </w:p>
        </w:tc>
        <w:tc>
          <w:tcPr>
            <w:tcW w:w="2880" w:type="dxa"/>
            <w:shd w:val="clear" w:color="auto" w:fill="E6E6E6"/>
            <w:tcMar>
              <w:top w:w="70" w:type="dxa"/>
              <w:left w:w="70" w:type="dxa"/>
              <w:bottom w:w="70" w:type="dxa"/>
              <w:right w:w="70" w:type="dxa"/>
            </w:tcMar>
            <w:vAlign w:val="center"/>
          </w:tcPr>
          <w:p w14:paraId="5E6E72E3" w14:textId="77777777" w:rsidR="006B50AE" w:rsidRDefault="00000000" w:rsidP="003364D8">
            <w:pPr>
              <w:pStyle w:val="Compact"/>
              <w:spacing w:before="20" w:after="20" w:line="240" w:lineRule="auto"/>
              <w:jc w:val="both"/>
            </w:pPr>
            <w:r>
              <w:rPr>
                <w:sz w:val="17"/>
              </w:rPr>
              <w:t>Textual gloss</w:t>
            </w:r>
          </w:p>
        </w:tc>
        <w:tc>
          <w:tcPr>
            <w:tcW w:w="2880" w:type="dxa"/>
            <w:shd w:val="clear" w:color="auto" w:fill="E6E6E6"/>
            <w:tcMar>
              <w:top w:w="70" w:type="dxa"/>
              <w:left w:w="70" w:type="dxa"/>
              <w:bottom w:w="70" w:type="dxa"/>
              <w:right w:w="70" w:type="dxa"/>
            </w:tcMar>
            <w:vAlign w:val="center"/>
          </w:tcPr>
          <w:p w14:paraId="4E3A5A96" w14:textId="77777777" w:rsidR="006B50AE" w:rsidRDefault="00000000" w:rsidP="003364D8">
            <w:pPr>
              <w:pStyle w:val="Compact"/>
              <w:spacing w:before="20" w:after="20" w:line="240" w:lineRule="auto"/>
              <w:jc w:val="both"/>
            </w:pPr>
            <w:r>
              <w:rPr>
                <w:sz w:val="17"/>
              </w:rPr>
              <w:t>Proposed record field</w:t>
            </w:r>
          </w:p>
        </w:tc>
        <w:tc>
          <w:tcPr>
            <w:tcW w:w="2160" w:type="dxa"/>
            <w:shd w:val="clear" w:color="auto" w:fill="E6E6E6"/>
            <w:tcMar>
              <w:top w:w="70" w:type="dxa"/>
              <w:left w:w="70" w:type="dxa"/>
              <w:bottom w:w="70" w:type="dxa"/>
              <w:right w:w="70" w:type="dxa"/>
            </w:tcMar>
            <w:vAlign w:val="center"/>
          </w:tcPr>
          <w:p w14:paraId="2FB20A74" w14:textId="77777777" w:rsidR="006B50AE" w:rsidRDefault="00000000" w:rsidP="003364D8">
            <w:pPr>
              <w:pStyle w:val="Compact"/>
              <w:spacing w:before="20" w:after="20" w:line="240" w:lineRule="auto"/>
              <w:jc w:val="both"/>
            </w:pPr>
            <w:r>
              <w:rPr>
                <w:sz w:val="17"/>
              </w:rPr>
              <w:t>Why it must be separate</w:t>
            </w:r>
          </w:p>
        </w:tc>
      </w:tr>
      <w:tr w:rsidR="006B50AE" w14:paraId="70F8FF0A" w14:textId="77777777">
        <w:trPr>
          <w:cantSplit/>
        </w:trPr>
        <w:tc>
          <w:tcPr>
            <w:tcW w:w="1872" w:type="dxa"/>
            <w:shd w:val="clear" w:color="auto" w:fill="FFFFFF"/>
            <w:tcMar>
              <w:top w:w="70" w:type="dxa"/>
              <w:left w:w="70" w:type="dxa"/>
              <w:bottom w:w="70" w:type="dxa"/>
              <w:right w:w="70" w:type="dxa"/>
            </w:tcMar>
            <w:vAlign w:val="center"/>
          </w:tcPr>
          <w:p w14:paraId="4AD40699" w14:textId="77777777" w:rsidR="006B50AE" w:rsidRDefault="00000000" w:rsidP="003364D8">
            <w:pPr>
              <w:pStyle w:val="Compact"/>
              <w:spacing w:before="20" w:after="20" w:line="240" w:lineRule="auto"/>
              <w:jc w:val="both"/>
            </w:pPr>
            <w:r>
              <w:rPr>
                <w:sz w:val="17"/>
              </w:rPr>
              <w:t>Adhiṣṭhāna</w:t>
            </w:r>
          </w:p>
        </w:tc>
        <w:tc>
          <w:tcPr>
            <w:tcW w:w="2880" w:type="dxa"/>
            <w:shd w:val="clear" w:color="auto" w:fill="FFFFFF"/>
            <w:tcMar>
              <w:top w:w="70" w:type="dxa"/>
              <w:left w:w="70" w:type="dxa"/>
              <w:bottom w:w="70" w:type="dxa"/>
              <w:right w:w="70" w:type="dxa"/>
            </w:tcMar>
            <w:vAlign w:val="center"/>
          </w:tcPr>
          <w:p w14:paraId="430DFE6A" w14:textId="77777777" w:rsidR="006B50AE" w:rsidRDefault="00000000" w:rsidP="003364D8">
            <w:pPr>
              <w:pStyle w:val="Compact"/>
              <w:spacing w:before="20" w:after="20" w:line="240" w:lineRule="auto"/>
              <w:jc w:val="both"/>
            </w:pPr>
            <w:r>
              <w:rPr>
                <w:sz w:val="17"/>
              </w:rPr>
              <w:t>The body, the seat of action</w:t>
            </w:r>
          </w:p>
        </w:tc>
        <w:tc>
          <w:tcPr>
            <w:tcW w:w="2880" w:type="dxa"/>
            <w:shd w:val="clear" w:color="auto" w:fill="FFFFFF"/>
            <w:tcMar>
              <w:top w:w="70" w:type="dxa"/>
              <w:left w:w="70" w:type="dxa"/>
              <w:bottom w:w="70" w:type="dxa"/>
              <w:right w:w="70" w:type="dxa"/>
            </w:tcMar>
            <w:vAlign w:val="center"/>
          </w:tcPr>
          <w:p w14:paraId="0AE5F264" w14:textId="77777777" w:rsidR="006B50AE" w:rsidRDefault="00000000" w:rsidP="003364D8">
            <w:pPr>
              <w:pStyle w:val="Compact"/>
              <w:spacing w:before="20" w:after="20" w:line="240" w:lineRule="auto"/>
              <w:jc w:val="both"/>
            </w:pPr>
            <w:r>
              <w:rPr>
                <w:sz w:val="17"/>
              </w:rPr>
              <w:t>Host and substrate: device, tenancy, owner</w:t>
            </w:r>
          </w:p>
        </w:tc>
        <w:tc>
          <w:tcPr>
            <w:tcW w:w="2160" w:type="dxa"/>
            <w:shd w:val="clear" w:color="auto" w:fill="FFFFFF"/>
            <w:tcMar>
              <w:top w:w="70" w:type="dxa"/>
              <w:left w:w="70" w:type="dxa"/>
              <w:bottom w:w="70" w:type="dxa"/>
              <w:right w:w="70" w:type="dxa"/>
            </w:tcMar>
            <w:vAlign w:val="center"/>
          </w:tcPr>
          <w:p w14:paraId="32909D8D" w14:textId="77777777" w:rsidR="006B50AE" w:rsidRDefault="00000000" w:rsidP="003364D8">
            <w:pPr>
              <w:pStyle w:val="Compact"/>
              <w:spacing w:before="20" w:after="20" w:line="240" w:lineRule="auto"/>
              <w:jc w:val="both"/>
            </w:pPr>
            <w:r>
              <w:rPr>
                <w:sz w:val="17"/>
              </w:rPr>
              <w:t>Host consent and host limits are not the agent’s to grant</w:t>
            </w:r>
          </w:p>
        </w:tc>
      </w:tr>
      <w:tr w:rsidR="006B50AE" w14:paraId="3649454A" w14:textId="77777777">
        <w:trPr>
          <w:cantSplit/>
        </w:trPr>
        <w:tc>
          <w:tcPr>
            <w:tcW w:w="1872" w:type="dxa"/>
            <w:shd w:val="clear" w:color="auto" w:fill="F7F7F7"/>
            <w:tcMar>
              <w:top w:w="70" w:type="dxa"/>
              <w:left w:w="70" w:type="dxa"/>
              <w:bottom w:w="70" w:type="dxa"/>
              <w:right w:w="70" w:type="dxa"/>
            </w:tcMar>
            <w:vAlign w:val="center"/>
          </w:tcPr>
          <w:p w14:paraId="1B5D1427" w14:textId="77777777" w:rsidR="006B50AE" w:rsidRDefault="00000000" w:rsidP="003364D8">
            <w:pPr>
              <w:pStyle w:val="Compact"/>
              <w:spacing w:before="20" w:after="20" w:line="240" w:lineRule="auto"/>
              <w:jc w:val="both"/>
            </w:pPr>
            <w:r>
              <w:rPr>
                <w:sz w:val="17"/>
              </w:rPr>
              <w:t>Kartā</w:t>
            </w:r>
          </w:p>
        </w:tc>
        <w:tc>
          <w:tcPr>
            <w:tcW w:w="2880" w:type="dxa"/>
            <w:shd w:val="clear" w:color="auto" w:fill="F7F7F7"/>
            <w:tcMar>
              <w:top w:w="70" w:type="dxa"/>
              <w:left w:w="70" w:type="dxa"/>
              <w:bottom w:w="70" w:type="dxa"/>
              <w:right w:w="70" w:type="dxa"/>
            </w:tcMar>
            <w:vAlign w:val="center"/>
          </w:tcPr>
          <w:p w14:paraId="5CDAD6D6" w14:textId="77777777" w:rsidR="006B50AE" w:rsidRDefault="00000000" w:rsidP="003364D8">
            <w:pPr>
              <w:pStyle w:val="Compact"/>
              <w:spacing w:before="20" w:after="20" w:line="240" w:lineRule="auto"/>
              <w:jc w:val="both"/>
            </w:pPr>
            <w:r>
              <w:rPr>
                <w:sz w:val="17"/>
              </w:rPr>
              <w:t>The doer</w:t>
            </w:r>
          </w:p>
        </w:tc>
        <w:tc>
          <w:tcPr>
            <w:tcW w:w="2880" w:type="dxa"/>
            <w:shd w:val="clear" w:color="auto" w:fill="F7F7F7"/>
            <w:tcMar>
              <w:top w:w="70" w:type="dxa"/>
              <w:left w:w="70" w:type="dxa"/>
              <w:bottom w:w="70" w:type="dxa"/>
              <w:right w:w="70" w:type="dxa"/>
            </w:tcMar>
            <w:vAlign w:val="center"/>
          </w:tcPr>
          <w:p w14:paraId="5270B232" w14:textId="77777777" w:rsidR="006B50AE" w:rsidRDefault="00000000" w:rsidP="003364D8">
            <w:pPr>
              <w:pStyle w:val="Compact"/>
              <w:spacing w:before="20" w:after="20" w:line="240" w:lineRule="auto"/>
              <w:jc w:val="both"/>
            </w:pPr>
            <w:r>
              <w:rPr>
                <w:sz w:val="17"/>
              </w:rPr>
              <w:t>Agent identity, model version, delegating parent</w:t>
            </w:r>
          </w:p>
        </w:tc>
        <w:tc>
          <w:tcPr>
            <w:tcW w:w="2160" w:type="dxa"/>
            <w:shd w:val="clear" w:color="auto" w:fill="F7F7F7"/>
            <w:tcMar>
              <w:top w:w="70" w:type="dxa"/>
              <w:left w:w="70" w:type="dxa"/>
              <w:bottom w:w="70" w:type="dxa"/>
              <w:right w:w="70" w:type="dxa"/>
            </w:tcMar>
            <w:vAlign w:val="center"/>
          </w:tcPr>
          <w:p w14:paraId="48711BEE" w14:textId="77777777" w:rsidR="006B50AE" w:rsidRDefault="00000000" w:rsidP="003364D8">
            <w:pPr>
              <w:pStyle w:val="Compact"/>
              <w:spacing w:before="20" w:after="20" w:line="240" w:lineRule="auto"/>
              <w:jc w:val="both"/>
            </w:pPr>
            <w:r>
              <w:rPr>
                <w:sz w:val="17"/>
              </w:rPr>
              <w:t>Bind a unique worker identity to an accountable principal and grant lineage</w:t>
            </w:r>
          </w:p>
        </w:tc>
      </w:tr>
      <w:tr w:rsidR="006B50AE" w14:paraId="410DBFC9" w14:textId="77777777">
        <w:trPr>
          <w:cantSplit/>
        </w:trPr>
        <w:tc>
          <w:tcPr>
            <w:tcW w:w="1872" w:type="dxa"/>
            <w:shd w:val="clear" w:color="auto" w:fill="FFFFFF"/>
            <w:tcMar>
              <w:top w:w="70" w:type="dxa"/>
              <w:left w:w="70" w:type="dxa"/>
              <w:bottom w:w="70" w:type="dxa"/>
              <w:right w:w="70" w:type="dxa"/>
            </w:tcMar>
            <w:vAlign w:val="center"/>
          </w:tcPr>
          <w:p w14:paraId="33F3FAD4" w14:textId="77777777" w:rsidR="006B50AE" w:rsidRDefault="00000000" w:rsidP="003364D8">
            <w:pPr>
              <w:pStyle w:val="Compact"/>
              <w:spacing w:before="20" w:after="20" w:line="240" w:lineRule="auto"/>
              <w:jc w:val="both"/>
            </w:pPr>
            <w:r>
              <w:rPr>
                <w:sz w:val="17"/>
              </w:rPr>
              <w:t>Karaṇa</w:t>
            </w:r>
          </w:p>
        </w:tc>
        <w:tc>
          <w:tcPr>
            <w:tcW w:w="2880" w:type="dxa"/>
            <w:shd w:val="clear" w:color="auto" w:fill="FFFFFF"/>
            <w:tcMar>
              <w:top w:w="70" w:type="dxa"/>
              <w:left w:w="70" w:type="dxa"/>
              <w:bottom w:w="70" w:type="dxa"/>
              <w:right w:w="70" w:type="dxa"/>
            </w:tcMar>
            <w:vAlign w:val="center"/>
          </w:tcPr>
          <w:p w14:paraId="31EA73C7" w14:textId="77777777" w:rsidR="006B50AE" w:rsidRDefault="00000000" w:rsidP="003364D8">
            <w:pPr>
              <w:pStyle w:val="Compact"/>
              <w:spacing w:before="20" w:after="20" w:line="240" w:lineRule="auto"/>
              <w:jc w:val="both"/>
            </w:pPr>
            <w:r>
              <w:rPr>
                <w:sz w:val="17"/>
              </w:rPr>
              <w:t>Instruments of many kinds</w:t>
            </w:r>
          </w:p>
        </w:tc>
        <w:tc>
          <w:tcPr>
            <w:tcW w:w="2880" w:type="dxa"/>
            <w:shd w:val="clear" w:color="auto" w:fill="FFFFFF"/>
            <w:tcMar>
              <w:top w:w="70" w:type="dxa"/>
              <w:left w:w="70" w:type="dxa"/>
              <w:bottom w:w="70" w:type="dxa"/>
              <w:right w:w="70" w:type="dxa"/>
            </w:tcMar>
            <w:vAlign w:val="center"/>
          </w:tcPr>
          <w:p w14:paraId="0A686E31" w14:textId="77777777" w:rsidR="006B50AE" w:rsidRDefault="00000000" w:rsidP="003364D8">
            <w:pPr>
              <w:pStyle w:val="Compact"/>
              <w:spacing w:before="20" w:after="20" w:line="240" w:lineRule="auto"/>
              <w:jc w:val="both"/>
            </w:pPr>
            <w:r>
              <w:rPr>
                <w:sz w:val="17"/>
              </w:rPr>
              <w:t>Tools, adapters and their versions</w:t>
            </w:r>
          </w:p>
        </w:tc>
        <w:tc>
          <w:tcPr>
            <w:tcW w:w="2160" w:type="dxa"/>
            <w:shd w:val="clear" w:color="auto" w:fill="FFFFFF"/>
            <w:tcMar>
              <w:top w:w="70" w:type="dxa"/>
              <w:left w:w="70" w:type="dxa"/>
              <w:bottom w:w="70" w:type="dxa"/>
              <w:right w:w="70" w:type="dxa"/>
            </w:tcMar>
            <w:vAlign w:val="center"/>
          </w:tcPr>
          <w:p w14:paraId="6357F98F" w14:textId="77777777" w:rsidR="006B50AE" w:rsidRDefault="00000000" w:rsidP="003364D8">
            <w:pPr>
              <w:pStyle w:val="Compact"/>
              <w:spacing w:before="20" w:after="20" w:line="240" w:lineRule="auto"/>
              <w:jc w:val="both"/>
            </w:pPr>
            <w:r>
              <w:rPr>
                <w:sz w:val="17"/>
              </w:rPr>
              <w:t>A replaced instrument can change the result (Section 11)</w:t>
            </w:r>
          </w:p>
        </w:tc>
      </w:tr>
      <w:tr w:rsidR="006B50AE" w14:paraId="18FE8859" w14:textId="77777777">
        <w:trPr>
          <w:cantSplit/>
        </w:trPr>
        <w:tc>
          <w:tcPr>
            <w:tcW w:w="1872" w:type="dxa"/>
            <w:shd w:val="clear" w:color="auto" w:fill="F7F7F7"/>
            <w:tcMar>
              <w:top w:w="70" w:type="dxa"/>
              <w:left w:w="70" w:type="dxa"/>
              <w:bottom w:w="70" w:type="dxa"/>
              <w:right w:w="70" w:type="dxa"/>
            </w:tcMar>
            <w:vAlign w:val="center"/>
          </w:tcPr>
          <w:p w14:paraId="47835DE2" w14:textId="77777777" w:rsidR="006B50AE" w:rsidRDefault="00000000" w:rsidP="003364D8">
            <w:pPr>
              <w:pStyle w:val="Compact"/>
              <w:spacing w:before="20" w:after="20" w:line="240" w:lineRule="auto"/>
              <w:jc w:val="both"/>
            </w:pPr>
            <w:r>
              <w:rPr>
                <w:sz w:val="17"/>
              </w:rPr>
              <w:t>Ceṣṭā</w:t>
            </w:r>
          </w:p>
        </w:tc>
        <w:tc>
          <w:tcPr>
            <w:tcW w:w="2880" w:type="dxa"/>
            <w:shd w:val="clear" w:color="auto" w:fill="F7F7F7"/>
            <w:tcMar>
              <w:top w:w="70" w:type="dxa"/>
              <w:left w:w="70" w:type="dxa"/>
              <w:bottom w:w="70" w:type="dxa"/>
              <w:right w:w="70" w:type="dxa"/>
            </w:tcMar>
            <w:vAlign w:val="center"/>
          </w:tcPr>
          <w:p w14:paraId="15B5751B" w14:textId="77777777" w:rsidR="006B50AE" w:rsidRDefault="00000000" w:rsidP="003364D8">
            <w:pPr>
              <w:pStyle w:val="Compact"/>
              <w:spacing w:before="20" w:after="20" w:line="240" w:lineRule="auto"/>
              <w:jc w:val="both"/>
            </w:pPr>
            <w:r>
              <w:rPr>
                <w:sz w:val="17"/>
              </w:rPr>
              <w:t>Many distinct efforts</w:t>
            </w:r>
          </w:p>
        </w:tc>
        <w:tc>
          <w:tcPr>
            <w:tcW w:w="2880" w:type="dxa"/>
            <w:shd w:val="clear" w:color="auto" w:fill="F7F7F7"/>
            <w:tcMar>
              <w:top w:w="70" w:type="dxa"/>
              <w:left w:w="70" w:type="dxa"/>
              <w:bottom w:w="70" w:type="dxa"/>
              <w:right w:w="70" w:type="dxa"/>
            </w:tcMar>
            <w:vAlign w:val="center"/>
          </w:tcPr>
          <w:p w14:paraId="6D5A43A7" w14:textId="77777777" w:rsidR="006B50AE" w:rsidRDefault="00000000" w:rsidP="003364D8">
            <w:pPr>
              <w:pStyle w:val="Compact"/>
              <w:spacing w:before="20" w:after="20" w:line="240" w:lineRule="auto"/>
              <w:jc w:val="both"/>
            </w:pPr>
            <w:r>
              <w:rPr>
                <w:sz w:val="17"/>
              </w:rPr>
              <w:t>Each effectful operation, with its reservation</w:t>
            </w:r>
          </w:p>
        </w:tc>
        <w:tc>
          <w:tcPr>
            <w:tcW w:w="2160" w:type="dxa"/>
            <w:shd w:val="clear" w:color="auto" w:fill="F7F7F7"/>
            <w:tcMar>
              <w:top w:w="70" w:type="dxa"/>
              <w:left w:w="70" w:type="dxa"/>
              <w:bottom w:w="70" w:type="dxa"/>
              <w:right w:w="70" w:type="dxa"/>
            </w:tcMar>
            <w:vAlign w:val="center"/>
          </w:tcPr>
          <w:p w14:paraId="3AE25C5F" w14:textId="77777777" w:rsidR="006B50AE" w:rsidRDefault="00000000" w:rsidP="003364D8">
            <w:pPr>
              <w:pStyle w:val="Compact"/>
              <w:spacing w:before="20" w:after="20" w:line="240" w:lineRule="auto"/>
              <w:jc w:val="both"/>
            </w:pPr>
            <w:r>
              <w:rPr>
                <w:sz w:val="17"/>
              </w:rPr>
              <w:t>Budgets and cessation act on operations (Section 8)</w:t>
            </w:r>
          </w:p>
        </w:tc>
      </w:tr>
      <w:tr w:rsidR="006B50AE" w14:paraId="6A1C0CBB" w14:textId="77777777">
        <w:trPr>
          <w:cantSplit/>
        </w:trPr>
        <w:tc>
          <w:tcPr>
            <w:tcW w:w="1872" w:type="dxa"/>
            <w:shd w:val="clear" w:color="auto" w:fill="FFFFFF"/>
            <w:tcMar>
              <w:top w:w="70" w:type="dxa"/>
              <w:left w:w="70" w:type="dxa"/>
              <w:bottom w:w="70" w:type="dxa"/>
              <w:right w:w="70" w:type="dxa"/>
            </w:tcMar>
            <w:vAlign w:val="center"/>
          </w:tcPr>
          <w:p w14:paraId="77C17E05" w14:textId="77777777" w:rsidR="006B50AE" w:rsidRDefault="00000000" w:rsidP="003364D8">
            <w:pPr>
              <w:pStyle w:val="Compact"/>
              <w:spacing w:before="20" w:after="20" w:line="240" w:lineRule="auto"/>
              <w:jc w:val="both"/>
            </w:pPr>
            <w:r>
              <w:rPr>
                <w:sz w:val="17"/>
              </w:rPr>
              <w:t>Daiva</w:t>
            </w:r>
          </w:p>
        </w:tc>
        <w:tc>
          <w:tcPr>
            <w:tcW w:w="2880" w:type="dxa"/>
            <w:shd w:val="clear" w:color="auto" w:fill="FFFFFF"/>
            <w:tcMar>
              <w:top w:w="70" w:type="dxa"/>
              <w:left w:w="70" w:type="dxa"/>
              <w:bottom w:w="70" w:type="dxa"/>
              <w:right w:w="70" w:type="dxa"/>
            </w:tcMar>
            <w:vAlign w:val="center"/>
          </w:tcPr>
          <w:p w14:paraId="550C6ECA" w14:textId="77777777" w:rsidR="006B50AE" w:rsidRDefault="00000000" w:rsidP="003364D8">
            <w:pPr>
              <w:pStyle w:val="Compact"/>
              <w:spacing w:before="20" w:after="20" w:line="240" w:lineRule="auto"/>
              <w:jc w:val="both"/>
            </w:pPr>
            <w:r>
              <w:rPr>
                <w:sz w:val="17"/>
              </w:rPr>
              <w:t>The fifth factor, Divine Providence</w:t>
            </w:r>
          </w:p>
        </w:tc>
        <w:tc>
          <w:tcPr>
            <w:tcW w:w="2880" w:type="dxa"/>
            <w:shd w:val="clear" w:color="auto" w:fill="FFFFFF"/>
            <w:tcMar>
              <w:top w:w="70" w:type="dxa"/>
              <w:left w:w="70" w:type="dxa"/>
              <w:bottom w:w="70" w:type="dxa"/>
              <w:right w:w="70" w:type="dxa"/>
            </w:tcMar>
            <w:vAlign w:val="center"/>
          </w:tcPr>
          <w:p w14:paraId="590327A7" w14:textId="77777777" w:rsidR="006B50AE" w:rsidRDefault="00000000" w:rsidP="003364D8">
            <w:pPr>
              <w:pStyle w:val="Compact"/>
              <w:spacing w:before="20" w:after="20" w:line="240" w:lineRule="auto"/>
              <w:jc w:val="both"/>
            </w:pPr>
            <w:r>
              <w:rPr>
                <w:sz w:val="17"/>
              </w:rPr>
              <w:t>Declared residual uncertainty outside the agent’s control</w:t>
            </w:r>
          </w:p>
        </w:tc>
        <w:tc>
          <w:tcPr>
            <w:tcW w:w="2160" w:type="dxa"/>
            <w:shd w:val="clear" w:color="auto" w:fill="FFFFFF"/>
            <w:tcMar>
              <w:top w:w="70" w:type="dxa"/>
              <w:left w:w="70" w:type="dxa"/>
              <w:bottom w:w="70" w:type="dxa"/>
              <w:right w:w="70" w:type="dxa"/>
            </w:tcMar>
            <w:vAlign w:val="center"/>
          </w:tcPr>
          <w:p w14:paraId="69151D90" w14:textId="77777777" w:rsidR="006B50AE" w:rsidRDefault="00000000" w:rsidP="003364D8">
            <w:pPr>
              <w:pStyle w:val="Compact"/>
              <w:spacing w:before="20" w:after="20" w:line="240" w:lineRule="auto"/>
              <w:jc w:val="both"/>
            </w:pPr>
            <w:r>
              <w:rPr>
                <w:sz w:val="17"/>
              </w:rPr>
              <w:t>Record unknowns and their owner without excusing a failure to anticipate or mitigate them</w:t>
            </w:r>
          </w:p>
        </w:tc>
      </w:tr>
    </w:tbl>
    <w:p w14:paraId="51213F98" w14:textId="77777777" w:rsidR="006B50AE" w:rsidRDefault="00000000" w:rsidP="003364D8">
      <w:pPr>
        <w:pStyle w:val="BodyText"/>
        <w:spacing w:before="140"/>
        <w:jc w:val="both"/>
      </w:pPr>
      <w:r>
        <w:t xml:space="preserve">The fifth row is an analogy, not a translation of daiva into residual uncertainty. The cited commentary understands daiva as Divine Providence. This paper offers no mathematical model of Providence and claims no exhaustive equivalence between the verse and the task schema. The engineering field records anticipated </w:t>
      </w:r>
      <w:r>
        <w:lastRenderedPageBreak/>
        <w:t>external conditions, unknown dependencies and uncertainty about them. An omitted hazard does not become acceptable merely because it was labelled outside the agent’s control. The field supports epistemic modesty while preserving duties to investigate and mitigate.</w:t>
      </w:r>
    </w:p>
    <w:p w14:paraId="03918603" w14:textId="77777777" w:rsidR="006B50AE" w:rsidRDefault="00000000" w:rsidP="003364D8">
      <w:pPr>
        <w:pStyle w:val="Heading21"/>
        <w:jc w:val="both"/>
      </w:pPr>
      <w:bookmarkStart w:id="16" w:name="three-kinds-of-action"/>
      <w:bookmarkEnd w:id="15"/>
      <w:r>
        <w:t>Three kinds of action</w:t>
      </w:r>
    </w:p>
    <w:p w14:paraId="00CEC1C3" w14:textId="77777777" w:rsidR="006B50AE" w:rsidRDefault="00000000" w:rsidP="003364D8">
      <w:pPr>
        <w:pStyle w:val="FirstParagraph"/>
        <w:jc w:val="both"/>
      </w:pPr>
      <w:r>
        <w:t>Verses 18.23–25 classify action by the guṇa in which it is performed [15–17]. Sāttvika action is niyata (regulated), saṅga-rahita (free from attachment), performed without attraction or aversion, and undertaken by one who does not crave its fruits. Rājasa action is driven by craving for personal gain (kāma-īpsu), performed with ego (sāhaṅkāra), and undertaken with great strain (bahulāyāsa). Tāmasa action is begun out of delusion (moha), disregarding four things: anubandha, the consequences; kṣaya, the loss; hiṃsā, the injury; and pauruṣa, one’s own ability.</w:t>
      </w:r>
    </w:p>
    <w:p w14:paraId="16EC10D0" w14:textId="77777777" w:rsidR="006B50AE" w:rsidRDefault="00000000" w:rsidP="003364D8">
      <w:pPr>
        <w:pStyle w:val="TableCaption"/>
        <w:keepLines/>
        <w:jc w:val="both"/>
      </w:pPr>
      <w:r>
        <w:rPr>
          <w:b/>
          <w:bCs/>
        </w:rPr>
        <w:t>Table 6.</w:t>
      </w:r>
      <w:r>
        <w:t xml:space="preserve"> The three classes of action read as engineering signatures.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88"/>
        <w:gridCol w:w="2775"/>
        <w:gridCol w:w="3140"/>
        <w:gridCol w:w="2629"/>
      </w:tblGrid>
      <w:tr w:rsidR="006B50AE" w14:paraId="7A63E998" w14:textId="77777777">
        <w:trPr>
          <w:cnfStyle w:val="100000000000" w:firstRow="1" w:lastRow="0" w:firstColumn="0" w:lastColumn="0" w:oddVBand="0" w:evenVBand="0" w:oddHBand="0" w:evenHBand="0" w:firstRowFirstColumn="0" w:firstRowLastColumn="0" w:lastRowFirstColumn="0" w:lastRowLastColumn="0"/>
          <w:cantSplit/>
          <w:tblHeader/>
        </w:trPr>
        <w:tc>
          <w:tcPr>
            <w:tcW w:w="1368" w:type="dxa"/>
            <w:shd w:val="clear" w:color="auto" w:fill="E6E6E6"/>
            <w:tcMar>
              <w:top w:w="70" w:type="dxa"/>
              <w:left w:w="70" w:type="dxa"/>
              <w:bottom w:w="70" w:type="dxa"/>
              <w:right w:w="70" w:type="dxa"/>
            </w:tcMar>
            <w:vAlign w:val="center"/>
          </w:tcPr>
          <w:p w14:paraId="794DAD2A" w14:textId="77777777" w:rsidR="006B50AE" w:rsidRDefault="00000000" w:rsidP="003364D8">
            <w:pPr>
              <w:pStyle w:val="Compact"/>
              <w:spacing w:before="20" w:after="20" w:line="240" w:lineRule="auto"/>
              <w:jc w:val="both"/>
            </w:pPr>
            <w:r>
              <w:rPr>
                <w:sz w:val="17"/>
              </w:rPr>
              <w:t>Class (18.23–25)</w:t>
            </w:r>
          </w:p>
        </w:tc>
        <w:tc>
          <w:tcPr>
            <w:tcW w:w="2736" w:type="dxa"/>
            <w:shd w:val="clear" w:color="auto" w:fill="E6E6E6"/>
            <w:tcMar>
              <w:top w:w="70" w:type="dxa"/>
              <w:left w:w="70" w:type="dxa"/>
              <w:bottom w:w="70" w:type="dxa"/>
              <w:right w:w="70" w:type="dxa"/>
            </w:tcMar>
            <w:vAlign w:val="center"/>
          </w:tcPr>
          <w:p w14:paraId="33F9130A" w14:textId="77777777" w:rsidR="006B50AE" w:rsidRDefault="00000000" w:rsidP="003364D8">
            <w:pPr>
              <w:pStyle w:val="Compact"/>
              <w:spacing w:before="20" w:after="20" w:line="240" w:lineRule="auto"/>
              <w:jc w:val="both"/>
            </w:pPr>
            <w:r>
              <w:rPr>
                <w:sz w:val="17"/>
              </w:rPr>
              <w:t>Textual marks</w:t>
            </w:r>
          </w:p>
        </w:tc>
        <w:tc>
          <w:tcPr>
            <w:tcW w:w="3096" w:type="dxa"/>
            <w:shd w:val="clear" w:color="auto" w:fill="E6E6E6"/>
            <w:tcMar>
              <w:top w:w="70" w:type="dxa"/>
              <w:left w:w="70" w:type="dxa"/>
              <w:bottom w:w="70" w:type="dxa"/>
              <w:right w:w="70" w:type="dxa"/>
            </w:tcMar>
            <w:vAlign w:val="center"/>
          </w:tcPr>
          <w:p w14:paraId="755C42B7" w14:textId="77777777" w:rsidR="006B50AE" w:rsidRDefault="00000000" w:rsidP="003364D8">
            <w:pPr>
              <w:pStyle w:val="Compact"/>
              <w:spacing w:before="20" w:after="20" w:line="240" w:lineRule="auto"/>
              <w:jc w:val="both"/>
            </w:pPr>
            <w:r>
              <w:rPr>
                <w:sz w:val="17"/>
              </w:rPr>
              <w:t>Engineering signature</w:t>
            </w:r>
          </w:p>
        </w:tc>
        <w:tc>
          <w:tcPr>
            <w:tcW w:w="2592" w:type="dxa"/>
            <w:shd w:val="clear" w:color="auto" w:fill="E6E6E6"/>
            <w:tcMar>
              <w:top w:w="70" w:type="dxa"/>
              <w:left w:w="70" w:type="dxa"/>
              <w:bottom w:w="70" w:type="dxa"/>
              <w:right w:w="70" w:type="dxa"/>
            </w:tcMar>
            <w:vAlign w:val="center"/>
          </w:tcPr>
          <w:p w14:paraId="6F786FBF" w14:textId="77777777" w:rsidR="006B50AE" w:rsidRDefault="00000000" w:rsidP="003364D8">
            <w:pPr>
              <w:pStyle w:val="Compact"/>
              <w:spacing w:before="20" w:after="20" w:line="240" w:lineRule="auto"/>
              <w:jc w:val="both"/>
            </w:pPr>
            <w:r>
              <w:rPr>
                <w:sz w:val="17"/>
              </w:rPr>
              <w:t>Detectable by</w:t>
            </w:r>
          </w:p>
        </w:tc>
      </w:tr>
      <w:tr w:rsidR="006B50AE" w14:paraId="65AFF956" w14:textId="77777777">
        <w:trPr>
          <w:cantSplit/>
        </w:trPr>
        <w:tc>
          <w:tcPr>
            <w:tcW w:w="1368" w:type="dxa"/>
            <w:shd w:val="clear" w:color="auto" w:fill="FFFFFF"/>
            <w:tcMar>
              <w:top w:w="70" w:type="dxa"/>
              <w:left w:w="70" w:type="dxa"/>
              <w:bottom w:w="70" w:type="dxa"/>
              <w:right w:w="70" w:type="dxa"/>
            </w:tcMar>
            <w:vAlign w:val="center"/>
          </w:tcPr>
          <w:p w14:paraId="66056C1F" w14:textId="77777777" w:rsidR="006B50AE" w:rsidRDefault="00000000" w:rsidP="003364D8">
            <w:pPr>
              <w:pStyle w:val="Compact"/>
              <w:spacing w:before="20" w:after="20" w:line="240" w:lineRule="auto"/>
              <w:jc w:val="both"/>
            </w:pPr>
            <w:r>
              <w:rPr>
                <w:sz w:val="17"/>
              </w:rPr>
              <w:t>Sāttvika</w:t>
            </w:r>
          </w:p>
        </w:tc>
        <w:tc>
          <w:tcPr>
            <w:tcW w:w="2736" w:type="dxa"/>
            <w:shd w:val="clear" w:color="auto" w:fill="FFFFFF"/>
            <w:tcMar>
              <w:top w:w="70" w:type="dxa"/>
              <w:left w:w="70" w:type="dxa"/>
              <w:bottom w:w="70" w:type="dxa"/>
              <w:right w:w="70" w:type="dxa"/>
            </w:tcMar>
            <w:vAlign w:val="center"/>
          </w:tcPr>
          <w:p w14:paraId="7911BD7F" w14:textId="77777777" w:rsidR="006B50AE" w:rsidRDefault="00000000" w:rsidP="003364D8">
            <w:pPr>
              <w:pStyle w:val="Compact"/>
              <w:spacing w:before="20" w:after="20" w:line="240" w:lineRule="auto"/>
              <w:jc w:val="both"/>
            </w:pPr>
            <w:r>
              <w:rPr>
                <w:sz w:val="17"/>
              </w:rPr>
              <w:t>Regulated; unattached; no attraction or aversion; no craving for fruits</w:t>
            </w:r>
          </w:p>
        </w:tc>
        <w:tc>
          <w:tcPr>
            <w:tcW w:w="3096" w:type="dxa"/>
            <w:shd w:val="clear" w:color="auto" w:fill="FFFFFF"/>
            <w:tcMar>
              <w:top w:w="70" w:type="dxa"/>
              <w:left w:w="70" w:type="dxa"/>
              <w:bottom w:w="70" w:type="dxa"/>
              <w:right w:w="70" w:type="dxa"/>
            </w:tcMar>
            <w:vAlign w:val="center"/>
          </w:tcPr>
          <w:p w14:paraId="389FA1FB" w14:textId="77777777" w:rsidR="006B50AE" w:rsidRDefault="00000000" w:rsidP="003364D8">
            <w:pPr>
              <w:pStyle w:val="Compact"/>
              <w:spacing w:before="20" w:after="20" w:line="240" w:lineRule="auto"/>
              <w:jc w:val="both"/>
            </w:pPr>
            <w:r>
              <w:rPr>
                <w:sz w:val="17"/>
              </w:rPr>
              <w:t>Acts within a declared contract; releases what it holds; no private objective beyond the task</w:t>
            </w:r>
          </w:p>
        </w:tc>
        <w:tc>
          <w:tcPr>
            <w:tcW w:w="2592" w:type="dxa"/>
            <w:shd w:val="clear" w:color="auto" w:fill="FFFFFF"/>
            <w:tcMar>
              <w:top w:w="70" w:type="dxa"/>
              <w:left w:w="70" w:type="dxa"/>
              <w:bottom w:w="70" w:type="dxa"/>
              <w:right w:w="70" w:type="dxa"/>
            </w:tcMar>
            <w:vAlign w:val="center"/>
          </w:tcPr>
          <w:p w14:paraId="5F15E2F0" w14:textId="77777777" w:rsidR="006B50AE" w:rsidRDefault="00000000" w:rsidP="003364D8">
            <w:pPr>
              <w:pStyle w:val="Compact"/>
              <w:spacing w:before="20" w:after="20" w:line="240" w:lineRule="auto"/>
              <w:jc w:val="both"/>
            </w:pPr>
            <w:r>
              <w:rPr>
                <w:sz w:val="17"/>
              </w:rPr>
              <w:t>Declared and observed effects agree; idle grants are returned</w:t>
            </w:r>
          </w:p>
        </w:tc>
      </w:tr>
      <w:tr w:rsidR="006B50AE" w14:paraId="3BDF999E" w14:textId="77777777">
        <w:trPr>
          <w:cantSplit/>
        </w:trPr>
        <w:tc>
          <w:tcPr>
            <w:tcW w:w="1368" w:type="dxa"/>
            <w:shd w:val="clear" w:color="auto" w:fill="F7F7F7"/>
            <w:tcMar>
              <w:top w:w="70" w:type="dxa"/>
              <w:left w:w="70" w:type="dxa"/>
              <w:bottom w:w="70" w:type="dxa"/>
              <w:right w:w="70" w:type="dxa"/>
            </w:tcMar>
            <w:vAlign w:val="center"/>
          </w:tcPr>
          <w:p w14:paraId="2AFD4484" w14:textId="77777777" w:rsidR="006B50AE" w:rsidRDefault="00000000" w:rsidP="003364D8">
            <w:pPr>
              <w:pStyle w:val="Compact"/>
              <w:spacing w:before="20" w:after="20" w:line="240" w:lineRule="auto"/>
              <w:jc w:val="both"/>
            </w:pPr>
            <w:r>
              <w:rPr>
                <w:sz w:val="17"/>
              </w:rPr>
              <w:t>Rājasa</w:t>
            </w:r>
          </w:p>
        </w:tc>
        <w:tc>
          <w:tcPr>
            <w:tcW w:w="2736" w:type="dxa"/>
            <w:shd w:val="clear" w:color="auto" w:fill="F7F7F7"/>
            <w:tcMar>
              <w:top w:w="70" w:type="dxa"/>
              <w:left w:w="70" w:type="dxa"/>
              <w:bottom w:w="70" w:type="dxa"/>
              <w:right w:w="70" w:type="dxa"/>
            </w:tcMar>
            <w:vAlign w:val="center"/>
          </w:tcPr>
          <w:p w14:paraId="513A417C" w14:textId="77777777" w:rsidR="006B50AE" w:rsidRDefault="00000000" w:rsidP="003364D8">
            <w:pPr>
              <w:pStyle w:val="Compact"/>
              <w:spacing w:before="20" w:after="20" w:line="240" w:lineRule="auto"/>
              <w:jc w:val="both"/>
            </w:pPr>
            <w:r>
              <w:rPr>
                <w:sz w:val="17"/>
              </w:rPr>
              <w:t>Craving for gain; ego; great strain</w:t>
            </w:r>
          </w:p>
        </w:tc>
        <w:tc>
          <w:tcPr>
            <w:tcW w:w="3096" w:type="dxa"/>
            <w:shd w:val="clear" w:color="auto" w:fill="F7F7F7"/>
            <w:tcMar>
              <w:top w:w="70" w:type="dxa"/>
              <w:left w:w="70" w:type="dxa"/>
              <w:bottom w:w="70" w:type="dxa"/>
              <w:right w:w="70" w:type="dxa"/>
            </w:tcMar>
            <w:vAlign w:val="center"/>
          </w:tcPr>
          <w:p w14:paraId="42EF2177" w14:textId="77777777" w:rsidR="006B50AE" w:rsidRDefault="00000000" w:rsidP="003364D8">
            <w:pPr>
              <w:pStyle w:val="Compact"/>
              <w:spacing w:before="20" w:after="20" w:line="240" w:lineRule="auto"/>
              <w:jc w:val="both"/>
            </w:pPr>
            <w:r>
              <w:rPr>
                <w:sz w:val="17"/>
              </w:rPr>
              <w:t>Acquires resources or scope beyond need; overclaims competence; spends heavily on retries and workarounds</w:t>
            </w:r>
          </w:p>
        </w:tc>
        <w:tc>
          <w:tcPr>
            <w:tcW w:w="2592" w:type="dxa"/>
            <w:shd w:val="clear" w:color="auto" w:fill="F7F7F7"/>
            <w:tcMar>
              <w:top w:w="70" w:type="dxa"/>
              <w:left w:w="70" w:type="dxa"/>
              <w:bottom w:w="70" w:type="dxa"/>
              <w:right w:w="70" w:type="dxa"/>
            </w:tcMar>
            <w:vAlign w:val="center"/>
          </w:tcPr>
          <w:p w14:paraId="6AE3AFE3" w14:textId="77777777" w:rsidR="006B50AE" w:rsidRDefault="00000000" w:rsidP="003364D8">
            <w:pPr>
              <w:pStyle w:val="Compact"/>
              <w:spacing w:before="20" w:after="20" w:line="240" w:lineRule="auto"/>
              <w:jc w:val="both"/>
            </w:pPr>
            <w:r>
              <w:rPr>
                <w:sz w:val="17"/>
              </w:rPr>
              <w:t>Ledger growth, retry amplification, calibration error</w:t>
            </w:r>
          </w:p>
        </w:tc>
      </w:tr>
      <w:tr w:rsidR="006B50AE" w14:paraId="60FA9566" w14:textId="77777777">
        <w:trPr>
          <w:cantSplit/>
        </w:trPr>
        <w:tc>
          <w:tcPr>
            <w:tcW w:w="1368" w:type="dxa"/>
            <w:shd w:val="clear" w:color="auto" w:fill="FFFFFF"/>
            <w:tcMar>
              <w:top w:w="70" w:type="dxa"/>
              <w:left w:w="70" w:type="dxa"/>
              <w:bottom w:w="70" w:type="dxa"/>
              <w:right w:w="70" w:type="dxa"/>
            </w:tcMar>
            <w:vAlign w:val="center"/>
          </w:tcPr>
          <w:p w14:paraId="0C150982" w14:textId="77777777" w:rsidR="006B50AE" w:rsidRDefault="00000000" w:rsidP="003364D8">
            <w:pPr>
              <w:pStyle w:val="Compact"/>
              <w:spacing w:before="20" w:after="20" w:line="240" w:lineRule="auto"/>
              <w:jc w:val="both"/>
            </w:pPr>
            <w:r>
              <w:rPr>
                <w:sz w:val="17"/>
              </w:rPr>
              <w:t>Tāmasa</w:t>
            </w:r>
          </w:p>
        </w:tc>
        <w:tc>
          <w:tcPr>
            <w:tcW w:w="2736" w:type="dxa"/>
            <w:shd w:val="clear" w:color="auto" w:fill="FFFFFF"/>
            <w:tcMar>
              <w:top w:w="70" w:type="dxa"/>
              <w:left w:w="70" w:type="dxa"/>
              <w:bottom w:w="70" w:type="dxa"/>
              <w:right w:w="70" w:type="dxa"/>
            </w:tcMar>
            <w:vAlign w:val="center"/>
          </w:tcPr>
          <w:p w14:paraId="1E1A822A" w14:textId="77777777" w:rsidR="006B50AE" w:rsidRDefault="00000000" w:rsidP="003364D8">
            <w:pPr>
              <w:pStyle w:val="Compact"/>
              <w:spacing w:before="20" w:after="20" w:line="240" w:lineRule="auto"/>
              <w:jc w:val="both"/>
            </w:pPr>
            <w:r>
              <w:rPr>
                <w:sz w:val="17"/>
              </w:rPr>
              <w:t>Begun in delusion without regard to consequences, loss, injury or capacity</w:t>
            </w:r>
          </w:p>
        </w:tc>
        <w:tc>
          <w:tcPr>
            <w:tcW w:w="3096" w:type="dxa"/>
            <w:shd w:val="clear" w:color="auto" w:fill="FFFFFF"/>
            <w:tcMar>
              <w:top w:w="70" w:type="dxa"/>
              <w:left w:w="70" w:type="dxa"/>
              <w:bottom w:w="70" w:type="dxa"/>
              <w:right w:w="70" w:type="dxa"/>
            </w:tcMar>
            <w:vAlign w:val="center"/>
          </w:tcPr>
          <w:p w14:paraId="7A005919" w14:textId="77777777" w:rsidR="006B50AE" w:rsidRDefault="00000000" w:rsidP="003364D8">
            <w:pPr>
              <w:pStyle w:val="Compact"/>
              <w:spacing w:before="20" w:after="20" w:line="240" w:lineRule="auto"/>
              <w:jc w:val="both"/>
            </w:pPr>
            <w:r>
              <w:rPr>
                <w:sz w:val="17"/>
              </w:rPr>
              <w:t>Acts without an admission check</w:t>
            </w:r>
          </w:p>
        </w:tc>
        <w:tc>
          <w:tcPr>
            <w:tcW w:w="2592" w:type="dxa"/>
            <w:shd w:val="clear" w:color="auto" w:fill="FFFFFF"/>
            <w:tcMar>
              <w:top w:w="70" w:type="dxa"/>
              <w:left w:w="70" w:type="dxa"/>
              <w:bottom w:w="70" w:type="dxa"/>
              <w:right w:w="70" w:type="dxa"/>
            </w:tcMar>
            <w:vAlign w:val="center"/>
          </w:tcPr>
          <w:p w14:paraId="7A671E19" w14:textId="77777777" w:rsidR="006B50AE" w:rsidRDefault="00000000" w:rsidP="003364D8">
            <w:pPr>
              <w:pStyle w:val="Compact"/>
              <w:spacing w:before="20" w:after="20" w:line="240" w:lineRule="auto"/>
              <w:jc w:val="both"/>
            </w:pPr>
            <w:r>
              <w:rPr>
                <w:sz w:val="17"/>
              </w:rPr>
              <w:t>Missing or failed admission record</w:t>
            </w:r>
          </w:p>
        </w:tc>
      </w:tr>
    </w:tbl>
    <w:p w14:paraId="08424EB0" w14:textId="77777777" w:rsidR="006B50AE" w:rsidRDefault="00000000" w:rsidP="003364D8">
      <w:pPr>
        <w:pStyle w:val="BodyText"/>
        <w:spacing w:before="140"/>
        <w:jc w:val="both"/>
      </w:pPr>
      <w:r>
        <w:t xml:space="preserve">The mapping is interpretive and partial. The verses classify human action and the dispositions behind it; a software agent’s operations can show the corresponding </w:t>
      </w:r>
      <w:r>
        <w:rPr>
          <w:i/>
          <w:iCs/>
        </w:rPr>
        <w:t>signatures</w:t>
      </w:r>
      <w:r>
        <w:t xml:space="preserve"> without any disposition. The four disregarded items in 18.25 motivate a practical pre-action policy. Reversing a description of deluded action does not logically produce a complete or sufficient definition of good action. Requiring all four records is a rule proposed for this harness, rather than a theorem derived from the verse.</w:t>
      </w:r>
    </w:p>
    <w:p w14:paraId="72D1673D" w14:textId="77777777" w:rsidR="006B50AE" w:rsidRDefault="00000000" w:rsidP="003364D8">
      <w:pPr>
        <w:pStyle w:val="Heading21"/>
        <w:jc w:val="both"/>
      </w:pPr>
      <w:bookmarkStart w:id="17" w:name="an-admission-test-from-18.25"/>
      <w:bookmarkEnd w:id="16"/>
      <w:r>
        <w:t>An admission test from 18.25</w:t>
      </w:r>
    </w:p>
    <w:p w14:paraId="66727CEE" w14:textId="77777777" w:rsidR="006B50AE" w:rsidRDefault="00000000" w:rsidP="003364D8">
      <w:pPr>
        <w:pStyle w:val="TableCaption"/>
        <w:keepLines/>
        <w:jc w:val="both"/>
      </w:pPr>
      <w:r>
        <w:rPr>
          <w:b/>
          <w:bCs/>
        </w:rPr>
        <w:t>Table 7.</w:t>
      </w:r>
      <w:r>
        <w:t xml:space="preserve"> The four regards of 18.25 as admission checks, each tied to a result of this paper.</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99"/>
        <w:gridCol w:w="2921"/>
        <w:gridCol w:w="2921"/>
        <w:gridCol w:w="2191"/>
      </w:tblGrid>
      <w:tr w:rsidR="006B50AE" w14:paraId="5945867C" w14:textId="77777777">
        <w:trPr>
          <w:cnfStyle w:val="100000000000" w:firstRow="1" w:lastRow="0" w:firstColumn="0" w:lastColumn="0" w:oddVBand="0" w:evenVBand="0" w:oddHBand="0" w:evenHBand="0" w:firstRowFirstColumn="0" w:firstRowLastColumn="0" w:lastRowFirstColumn="0" w:lastRowLastColumn="0"/>
          <w:cantSplit/>
          <w:tblHeader/>
        </w:trPr>
        <w:tc>
          <w:tcPr>
            <w:tcW w:w="1872" w:type="dxa"/>
            <w:shd w:val="clear" w:color="auto" w:fill="E6E6E6"/>
            <w:tcMar>
              <w:top w:w="70" w:type="dxa"/>
              <w:left w:w="70" w:type="dxa"/>
              <w:bottom w:w="70" w:type="dxa"/>
              <w:right w:w="70" w:type="dxa"/>
            </w:tcMar>
            <w:vAlign w:val="center"/>
          </w:tcPr>
          <w:p w14:paraId="512F9458" w14:textId="77777777" w:rsidR="006B50AE" w:rsidRDefault="00000000" w:rsidP="003364D8">
            <w:pPr>
              <w:pStyle w:val="Compact"/>
              <w:spacing w:before="20" w:after="20" w:line="240" w:lineRule="auto"/>
              <w:jc w:val="both"/>
            </w:pPr>
            <w:r>
              <w:rPr>
                <w:sz w:val="17"/>
              </w:rPr>
              <w:t>Regard (18.25)</w:t>
            </w:r>
          </w:p>
        </w:tc>
        <w:tc>
          <w:tcPr>
            <w:tcW w:w="2880" w:type="dxa"/>
            <w:shd w:val="clear" w:color="auto" w:fill="E6E6E6"/>
            <w:tcMar>
              <w:top w:w="70" w:type="dxa"/>
              <w:left w:w="70" w:type="dxa"/>
              <w:bottom w:w="70" w:type="dxa"/>
              <w:right w:w="70" w:type="dxa"/>
            </w:tcMar>
            <w:vAlign w:val="center"/>
          </w:tcPr>
          <w:p w14:paraId="295AE4AA" w14:textId="77777777" w:rsidR="006B50AE" w:rsidRDefault="00000000" w:rsidP="003364D8">
            <w:pPr>
              <w:pStyle w:val="Compact"/>
              <w:spacing w:before="20" w:after="20" w:line="240" w:lineRule="auto"/>
              <w:jc w:val="both"/>
            </w:pPr>
            <w:r>
              <w:rPr>
                <w:sz w:val="17"/>
              </w:rPr>
              <w:t>Admission question</w:t>
            </w:r>
          </w:p>
        </w:tc>
        <w:tc>
          <w:tcPr>
            <w:tcW w:w="2880" w:type="dxa"/>
            <w:shd w:val="clear" w:color="auto" w:fill="E6E6E6"/>
            <w:tcMar>
              <w:top w:w="70" w:type="dxa"/>
              <w:left w:w="70" w:type="dxa"/>
              <w:bottom w:w="70" w:type="dxa"/>
              <w:right w:w="70" w:type="dxa"/>
            </w:tcMar>
            <w:vAlign w:val="center"/>
          </w:tcPr>
          <w:p w14:paraId="1F03086E" w14:textId="77777777" w:rsidR="006B50AE" w:rsidRDefault="00000000" w:rsidP="003364D8">
            <w:pPr>
              <w:pStyle w:val="Compact"/>
              <w:spacing w:before="20" w:after="20" w:line="240" w:lineRule="auto"/>
              <w:jc w:val="both"/>
            </w:pPr>
            <w:r>
              <w:rPr>
                <w:sz w:val="17"/>
              </w:rPr>
              <w:t>Mechanism</w:t>
            </w:r>
          </w:p>
        </w:tc>
        <w:tc>
          <w:tcPr>
            <w:tcW w:w="2160" w:type="dxa"/>
            <w:shd w:val="clear" w:color="auto" w:fill="E6E6E6"/>
            <w:tcMar>
              <w:top w:w="70" w:type="dxa"/>
              <w:left w:w="70" w:type="dxa"/>
              <w:bottom w:w="70" w:type="dxa"/>
              <w:right w:w="70" w:type="dxa"/>
            </w:tcMar>
            <w:vAlign w:val="center"/>
          </w:tcPr>
          <w:p w14:paraId="5267200D" w14:textId="77777777" w:rsidR="006B50AE" w:rsidRDefault="00000000" w:rsidP="003364D8">
            <w:pPr>
              <w:pStyle w:val="Compact"/>
              <w:spacing w:before="20" w:after="20" w:line="240" w:lineRule="auto"/>
              <w:jc w:val="both"/>
            </w:pPr>
            <w:r>
              <w:rPr>
                <w:sz w:val="17"/>
              </w:rPr>
              <w:t>Result that bounds it</w:t>
            </w:r>
          </w:p>
        </w:tc>
      </w:tr>
      <w:tr w:rsidR="006B50AE" w14:paraId="3271A3F3" w14:textId="77777777">
        <w:trPr>
          <w:cantSplit/>
        </w:trPr>
        <w:tc>
          <w:tcPr>
            <w:tcW w:w="1872" w:type="dxa"/>
            <w:shd w:val="clear" w:color="auto" w:fill="FFFFFF"/>
            <w:tcMar>
              <w:top w:w="70" w:type="dxa"/>
              <w:left w:w="70" w:type="dxa"/>
              <w:bottom w:w="70" w:type="dxa"/>
              <w:right w:w="70" w:type="dxa"/>
            </w:tcMar>
            <w:vAlign w:val="center"/>
          </w:tcPr>
          <w:p w14:paraId="5B45353C" w14:textId="77777777" w:rsidR="006B50AE" w:rsidRDefault="00000000" w:rsidP="003364D8">
            <w:pPr>
              <w:pStyle w:val="Compact"/>
              <w:spacing w:before="20" w:after="20" w:line="240" w:lineRule="auto"/>
              <w:jc w:val="both"/>
            </w:pPr>
            <w:r>
              <w:rPr>
                <w:sz w:val="17"/>
              </w:rPr>
              <w:t>Anubandha, consequences</w:t>
            </w:r>
          </w:p>
        </w:tc>
        <w:tc>
          <w:tcPr>
            <w:tcW w:w="2880" w:type="dxa"/>
            <w:shd w:val="clear" w:color="auto" w:fill="FFFFFF"/>
            <w:tcMar>
              <w:top w:w="70" w:type="dxa"/>
              <w:left w:w="70" w:type="dxa"/>
              <w:bottom w:w="70" w:type="dxa"/>
              <w:right w:w="70" w:type="dxa"/>
            </w:tcMar>
            <w:vAlign w:val="center"/>
          </w:tcPr>
          <w:p w14:paraId="0918381C" w14:textId="77777777" w:rsidR="006B50AE" w:rsidRDefault="00000000" w:rsidP="003364D8">
            <w:pPr>
              <w:pStyle w:val="Compact"/>
              <w:spacing w:before="20" w:after="20" w:line="240" w:lineRule="auto"/>
              <w:jc w:val="both"/>
            </w:pPr>
            <w:r>
              <w:rPr>
                <w:sz w:val="17"/>
              </w:rPr>
              <w:t>How far can a failure of this action propagate</w:t>
            </w:r>
          </w:p>
        </w:tc>
        <w:tc>
          <w:tcPr>
            <w:tcW w:w="2880" w:type="dxa"/>
            <w:shd w:val="clear" w:color="auto" w:fill="FFFFFF"/>
            <w:tcMar>
              <w:top w:w="70" w:type="dxa"/>
              <w:left w:w="70" w:type="dxa"/>
              <w:bottom w:w="70" w:type="dxa"/>
              <w:right w:w="70" w:type="dxa"/>
            </w:tcMar>
            <w:vAlign w:val="center"/>
          </w:tcPr>
          <w:p w14:paraId="012D4093" w14:textId="77777777" w:rsidR="006B50AE" w:rsidRDefault="00000000" w:rsidP="003364D8">
            <w:pPr>
              <w:pStyle w:val="Compact"/>
              <w:spacing w:before="20" w:after="20" w:line="240" w:lineRule="auto"/>
              <w:jc w:val="both"/>
            </w:pPr>
            <w:r>
              <w:rPr>
                <w:sz w:val="17"/>
              </w:rPr>
              <w:t xml:space="preserve">Influence matrix </w:t>
            </w:r>
            <m:oMath>
              <m:r>
                <w:rPr>
                  <w:rFonts w:ascii="Cambria Math" w:hAnsi="Cambria Math"/>
                </w:rPr>
                <m:t>A</m:t>
              </m:r>
              <m:r>
                <m:rPr>
                  <m:nor/>
                </m:rPr>
                <m:t>,</m:t>
              </m:r>
            </m:oMath>
            <w:r>
              <w:rPr>
                <w:sz w:val="17"/>
              </w:rPr>
              <w:t xml:space="preserve"> binding index </w:t>
            </w:r>
            <m:oMath>
              <m:r>
                <w:rPr>
                  <w:rFonts w:ascii="Cambria Math" w:hAnsi="Cambria Math"/>
                </w:rPr>
                <m:t>κ</m:t>
              </m:r>
              <m:d>
                <m:dPr>
                  <m:ctrlPr>
                    <w:rPr>
                      <w:rFonts w:ascii="Cambria Math" w:hAnsi="Cambria Math"/>
                    </w:rPr>
                  </m:ctrlPr>
                </m:dPr>
                <m:e>
                  <m:r>
                    <w:rPr>
                      <w:rFonts w:ascii="Cambria Math" w:hAnsi="Cambria Math"/>
                    </w:rPr>
                    <m:t>A</m:t>
                  </m:r>
                </m:e>
              </m:d>
              <m:r>
                <m:rPr>
                  <m:nor/>
                </m:rPr>
                <m:t>,</m:t>
              </m:r>
            </m:oMath>
            <w:r>
              <w:rPr>
                <w:sz w:val="17"/>
              </w:rPr>
              <w:t xml:space="preserve"> retry budget</w:t>
            </w:r>
          </w:p>
        </w:tc>
        <w:tc>
          <w:tcPr>
            <w:tcW w:w="2160" w:type="dxa"/>
            <w:shd w:val="clear" w:color="auto" w:fill="FFFFFF"/>
            <w:tcMar>
              <w:top w:w="70" w:type="dxa"/>
              <w:left w:w="70" w:type="dxa"/>
              <w:bottom w:w="70" w:type="dxa"/>
              <w:right w:w="70" w:type="dxa"/>
            </w:tcMar>
            <w:vAlign w:val="center"/>
          </w:tcPr>
          <w:p w14:paraId="4012F5EF" w14:textId="77777777" w:rsidR="006B50AE" w:rsidRDefault="00000000" w:rsidP="003364D8">
            <w:pPr>
              <w:pStyle w:val="Compact"/>
              <w:spacing w:before="20" w:after="20" w:line="240" w:lineRule="auto"/>
              <w:jc w:val="both"/>
            </w:pPr>
            <w:r>
              <w:rPr>
                <w:sz w:val="17"/>
              </w:rPr>
              <w:t>Propositions 4–6</w:t>
            </w:r>
          </w:p>
        </w:tc>
      </w:tr>
      <w:tr w:rsidR="006B50AE" w14:paraId="3730857B" w14:textId="77777777">
        <w:trPr>
          <w:cantSplit/>
        </w:trPr>
        <w:tc>
          <w:tcPr>
            <w:tcW w:w="1872" w:type="dxa"/>
            <w:shd w:val="clear" w:color="auto" w:fill="F7F7F7"/>
            <w:tcMar>
              <w:top w:w="70" w:type="dxa"/>
              <w:left w:w="70" w:type="dxa"/>
              <w:bottom w:w="70" w:type="dxa"/>
              <w:right w:w="70" w:type="dxa"/>
            </w:tcMar>
            <w:vAlign w:val="center"/>
          </w:tcPr>
          <w:p w14:paraId="4CAB6337" w14:textId="77777777" w:rsidR="006B50AE" w:rsidRDefault="00000000" w:rsidP="003364D8">
            <w:pPr>
              <w:pStyle w:val="Compact"/>
              <w:spacing w:before="20" w:after="20" w:line="240" w:lineRule="auto"/>
              <w:jc w:val="both"/>
            </w:pPr>
            <w:r>
              <w:rPr>
                <w:sz w:val="17"/>
              </w:rPr>
              <w:t>Kṣaya, loss</w:t>
            </w:r>
          </w:p>
        </w:tc>
        <w:tc>
          <w:tcPr>
            <w:tcW w:w="2880" w:type="dxa"/>
            <w:shd w:val="clear" w:color="auto" w:fill="F7F7F7"/>
            <w:tcMar>
              <w:top w:w="70" w:type="dxa"/>
              <w:left w:w="70" w:type="dxa"/>
              <w:bottom w:w="70" w:type="dxa"/>
              <w:right w:w="70" w:type="dxa"/>
            </w:tcMar>
            <w:vAlign w:val="center"/>
          </w:tcPr>
          <w:p w14:paraId="660A08D3" w14:textId="77777777" w:rsidR="006B50AE" w:rsidRDefault="00000000" w:rsidP="003364D8">
            <w:pPr>
              <w:pStyle w:val="Compact"/>
              <w:spacing w:before="20" w:after="20" w:line="240" w:lineRule="auto"/>
              <w:jc w:val="both"/>
            </w:pPr>
            <w:r>
              <w:rPr>
                <w:sz w:val="17"/>
              </w:rPr>
              <w:t>What can this action consume, including by its copies</w:t>
            </w:r>
          </w:p>
        </w:tc>
        <w:tc>
          <w:tcPr>
            <w:tcW w:w="2880" w:type="dxa"/>
            <w:shd w:val="clear" w:color="auto" w:fill="F7F7F7"/>
            <w:tcMar>
              <w:top w:w="70" w:type="dxa"/>
              <w:left w:w="70" w:type="dxa"/>
              <w:bottom w:w="70" w:type="dxa"/>
              <w:right w:w="70" w:type="dxa"/>
            </w:tcMar>
            <w:vAlign w:val="center"/>
          </w:tcPr>
          <w:p w14:paraId="2A016A4F" w14:textId="77777777" w:rsidR="006B50AE" w:rsidRDefault="00000000" w:rsidP="003364D8">
            <w:pPr>
              <w:pStyle w:val="Compact"/>
              <w:spacing w:before="20" w:after="20" w:line="240" w:lineRule="auto"/>
              <w:jc w:val="both"/>
            </w:pPr>
            <w:r>
              <w:rPr>
                <w:sz w:val="17"/>
              </w:rPr>
              <w:t>Family ledger, atomic reservation, bounded overrun</w:t>
            </w:r>
          </w:p>
        </w:tc>
        <w:tc>
          <w:tcPr>
            <w:tcW w:w="2160" w:type="dxa"/>
            <w:shd w:val="clear" w:color="auto" w:fill="F7F7F7"/>
            <w:tcMar>
              <w:top w:w="70" w:type="dxa"/>
              <w:left w:w="70" w:type="dxa"/>
              <w:bottom w:w="70" w:type="dxa"/>
              <w:right w:w="70" w:type="dxa"/>
            </w:tcMar>
            <w:vAlign w:val="center"/>
          </w:tcPr>
          <w:p w14:paraId="13582282" w14:textId="77777777" w:rsidR="006B50AE" w:rsidRDefault="00000000" w:rsidP="003364D8">
            <w:pPr>
              <w:pStyle w:val="Compact"/>
              <w:spacing w:before="20" w:after="20" w:line="240" w:lineRule="auto"/>
              <w:jc w:val="both"/>
            </w:pPr>
            <w:r>
              <w:rPr>
                <w:sz w:val="17"/>
              </w:rPr>
              <w:t>Propositions 2, 8 and 10</w:t>
            </w:r>
          </w:p>
        </w:tc>
      </w:tr>
      <w:tr w:rsidR="006B50AE" w14:paraId="0EDC568B" w14:textId="77777777">
        <w:trPr>
          <w:cantSplit/>
        </w:trPr>
        <w:tc>
          <w:tcPr>
            <w:tcW w:w="1872" w:type="dxa"/>
            <w:shd w:val="clear" w:color="auto" w:fill="FFFFFF"/>
            <w:tcMar>
              <w:top w:w="70" w:type="dxa"/>
              <w:left w:w="70" w:type="dxa"/>
              <w:bottom w:w="70" w:type="dxa"/>
              <w:right w:w="70" w:type="dxa"/>
            </w:tcMar>
            <w:vAlign w:val="center"/>
          </w:tcPr>
          <w:p w14:paraId="5B7D989F" w14:textId="77777777" w:rsidR="006B50AE" w:rsidRDefault="00000000" w:rsidP="003364D8">
            <w:pPr>
              <w:pStyle w:val="Compact"/>
              <w:spacing w:before="20" w:after="20" w:line="240" w:lineRule="auto"/>
              <w:jc w:val="both"/>
            </w:pPr>
            <w:r>
              <w:rPr>
                <w:sz w:val="17"/>
              </w:rPr>
              <w:t>Hiṃsā, injury</w:t>
            </w:r>
          </w:p>
        </w:tc>
        <w:tc>
          <w:tcPr>
            <w:tcW w:w="2880" w:type="dxa"/>
            <w:shd w:val="clear" w:color="auto" w:fill="FFFFFF"/>
            <w:tcMar>
              <w:top w:w="70" w:type="dxa"/>
              <w:left w:w="70" w:type="dxa"/>
              <w:bottom w:w="70" w:type="dxa"/>
              <w:right w:w="70" w:type="dxa"/>
            </w:tcMar>
            <w:vAlign w:val="center"/>
          </w:tcPr>
          <w:p w14:paraId="7C54FCE6" w14:textId="77777777" w:rsidR="006B50AE" w:rsidRDefault="00000000" w:rsidP="003364D8">
            <w:pPr>
              <w:pStyle w:val="Compact"/>
              <w:spacing w:before="20" w:after="20" w:line="240" w:lineRule="auto"/>
              <w:jc w:val="both"/>
            </w:pPr>
            <w:r>
              <w:rPr>
                <w:sz w:val="17"/>
              </w:rPr>
              <w:t>What hazards affect hosts or people and what can be stopped</w:t>
            </w:r>
          </w:p>
        </w:tc>
        <w:tc>
          <w:tcPr>
            <w:tcW w:w="2880" w:type="dxa"/>
            <w:shd w:val="clear" w:color="auto" w:fill="FFFFFF"/>
            <w:tcMar>
              <w:top w:w="70" w:type="dxa"/>
              <w:left w:w="70" w:type="dxa"/>
              <w:bottom w:w="70" w:type="dxa"/>
              <w:right w:w="70" w:type="dxa"/>
            </w:tcMar>
            <w:vAlign w:val="center"/>
          </w:tcPr>
          <w:p w14:paraId="63770E65" w14:textId="77777777" w:rsidR="006B50AE" w:rsidRDefault="00000000" w:rsidP="003364D8">
            <w:pPr>
              <w:pStyle w:val="Compact"/>
              <w:spacing w:before="20" w:after="20" w:line="240" w:lineRule="auto"/>
              <w:jc w:val="both"/>
            </w:pPr>
            <w:r>
              <w:rPr>
                <w:sz w:val="17"/>
              </w:rPr>
              <w:t>Hazard review, host consent, leases, attenuated capabilities</w:t>
            </w:r>
          </w:p>
        </w:tc>
        <w:tc>
          <w:tcPr>
            <w:tcW w:w="2160" w:type="dxa"/>
            <w:shd w:val="clear" w:color="auto" w:fill="FFFFFF"/>
            <w:tcMar>
              <w:top w:w="70" w:type="dxa"/>
              <w:left w:w="70" w:type="dxa"/>
              <w:bottom w:w="70" w:type="dxa"/>
              <w:right w:w="70" w:type="dxa"/>
            </w:tcMar>
            <w:vAlign w:val="center"/>
          </w:tcPr>
          <w:p w14:paraId="697028DB" w14:textId="77777777" w:rsidR="006B50AE" w:rsidRDefault="00000000" w:rsidP="003364D8">
            <w:pPr>
              <w:pStyle w:val="Compact"/>
              <w:spacing w:before="20" w:after="20" w:line="240" w:lineRule="auto"/>
              <w:jc w:val="both"/>
            </w:pPr>
            <w:r>
              <w:rPr>
                <w:sz w:val="17"/>
              </w:rPr>
              <w:t>Propositions 3, 7, 9 and 11 bound authority and duration, not injury severity</w:t>
            </w:r>
          </w:p>
        </w:tc>
      </w:tr>
      <w:tr w:rsidR="006B50AE" w14:paraId="4DA5E56D" w14:textId="77777777">
        <w:trPr>
          <w:cantSplit/>
        </w:trPr>
        <w:tc>
          <w:tcPr>
            <w:tcW w:w="1872" w:type="dxa"/>
            <w:shd w:val="clear" w:color="auto" w:fill="F7F7F7"/>
            <w:tcMar>
              <w:top w:w="70" w:type="dxa"/>
              <w:left w:w="70" w:type="dxa"/>
              <w:bottom w:w="70" w:type="dxa"/>
              <w:right w:w="70" w:type="dxa"/>
            </w:tcMar>
            <w:vAlign w:val="center"/>
          </w:tcPr>
          <w:p w14:paraId="35F0C513" w14:textId="77777777" w:rsidR="006B50AE" w:rsidRDefault="00000000" w:rsidP="003364D8">
            <w:pPr>
              <w:pStyle w:val="Compact"/>
              <w:spacing w:before="20" w:after="20" w:line="240" w:lineRule="auto"/>
              <w:jc w:val="both"/>
            </w:pPr>
            <w:r>
              <w:rPr>
                <w:sz w:val="17"/>
              </w:rPr>
              <w:t>Pauruṣa, own capacity</w:t>
            </w:r>
          </w:p>
        </w:tc>
        <w:tc>
          <w:tcPr>
            <w:tcW w:w="2880" w:type="dxa"/>
            <w:shd w:val="clear" w:color="auto" w:fill="F7F7F7"/>
            <w:tcMar>
              <w:top w:w="70" w:type="dxa"/>
              <w:left w:w="70" w:type="dxa"/>
              <w:bottom w:w="70" w:type="dxa"/>
              <w:right w:w="70" w:type="dxa"/>
            </w:tcMar>
            <w:vAlign w:val="center"/>
          </w:tcPr>
          <w:p w14:paraId="70C534AE" w14:textId="77777777" w:rsidR="006B50AE" w:rsidRDefault="00000000" w:rsidP="003364D8">
            <w:pPr>
              <w:pStyle w:val="Compact"/>
              <w:spacing w:before="20" w:after="20" w:line="240" w:lineRule="auto"/>
              <w:jc w:val="both"/>
            </w:pPr>
            <w:r>
              <w:rPr>
                <w:sz w:val="17"/>
              </w:rPr>
              <w:t>Is the action within tested competence, and is its claim independently checked</w:t>
            </w:r>
          </w:p>
        </w:tc>
        <w:tc>
          <w:tcPr>
            <w:tcW w:w="2880" w:type="dxa"/>
            <w:shd w:val="clear" w:color="auto" w:fill="F7F7F7"/>
            <w:tcMar>
              <w:top w:w="70" w:type="dxa"/>
              <w:left w:w="70" w:type="dxa"/>
              <w:bottom w:w="70" w:type="dxa"/>
              <w:right w:w="70" w:type="dxa"/>
            </w:tcMar>
            <w:vAlign w:val="center"/>
          </w:tcPr>
          <w:p w14:paraId="5882DBB0" w14:textId="77777777" w:rsidR="006B50AE" w:rsidRDefault="00000000" w:rsidP="003364D8">
            <w:pPr>
              <w:pStyle w:val="Compact"/>
              <w:spacing w:before="20" w:after="20" w:line="240" w:lineRule="auto"/>
              <w:jc w:val="both"/>
            </w:pPr>
            <w:r>
              <w:rPr>
                <w:sz w:val="17"/>
              </w:rPr>
              <w:t>Operating envelope, calibration, independent verification</w:t>
            </w:r>
          </w:p>
        </w:tc>
        <w:tc>
          <w:tcPr>
            <w:tcW w:w="2160" w:type="dxa"/>
            <w:shd w:val="clear" w:color="auto" w:fill="F7F7F7"/>
            <w:tcMar>
              <w:top w:w="70" w:type="dxa"/>
              <w:left w:w="70" w:type="dxa"/>
              <w:bottom w:w="70" w:type="dxa"/>
              <w:right w:w="70" w:type="dxa"/>
            </w:tcMar>
            <w:vAlign w:val="center"/>
          </w:tcPr>
          <w:p w14:paraId="2F32DF1B" w14:textId="77777777" w:rsidR="006B50AE" w:rsidRDefault="00000000" w:rsidP="003364D8">
            <w:pPr>
              <w:pStyle w:val="Compact"/>
              <w:spacing w:before="20" w:after="20" w:line="240" w:lineRule="auto"/>
              <w:jc w:val="both"/>
            </w:pPr>
            <w:r>
              <w:rPr>
                <w:sz w:val="17"/>
              </w:rPr>
              <w:t>Proposition 13 bounds a stated error model, not competence itself</w:t>
            </w:r>
          </w:p>
        </w:tc>
      </w:tr>
    </w:tbl>
    <w:p w14:paraId="705F5F89" w14:textId="77777777" w:rsidR="006B50AE" w:rsidRDefault="00000000" w:rsidP="003364D8">
      <w:pPr>
        <w:pStyle w:val="CaptionedFigure"/>
        <w:spacing w:before="140"/>
        <w:jc w:val="both"/>
      </w:pPr>
      <w:r>
        <w:rPr>
          <w:noProof/>
        </w:rPr>
        <w:lastRenderedPageBreak/>
        <w:drawing>
          <wp:inline distT="0" distB="0" distL="0" distR="0" wp14:anchorId="3447D108" wp14:editId="422AE810">
            <wp:extent cx="6210300" cy="2812920"/>
            <wp:effectExtent l="0" t="0" r="0" b="0"/>
            <wp:docPr id="37" name="Picture" descr="Harness diagram: task record with five factors, admission with four checks, execution, verification, release."/>
            <wp:cNvGraphicFramePr/>
            <a:graphic xmlns:a="http://schemas.openxmlformats.org/drawingml/2006/main">
              <a:graphicData uri="http://schemas.openxmlformats.org/drawingml/2006/picture">
                <pic:pic xmlns:pic="http://schemas.openxmlformats.org/drawingml/2006/picture">
                  <pic:nvPicPr>
                    <pic:cNvPr id="38" name="Picture" descr="fig/harness.png"/>
                    <pic:cNvPicPr>
                      <a:picLocks noChangeAspect="1" noChangeArrowheads="1"/>
                    </pic:cNvPicPr>
                  </pic:nvPicPr>
                  <pic:blipFill>
                    <a:blip r:embed="rId7"/>
                    <a:stretch>
                      <a:fillRect/>
                    </a:stretch>
                  </pic:blipFill>
                  <pic:spPr bwMode="auto">
                    <a:xfrm>
                      <a:off x="0" y="0"/>
                      <a:ext cx="6210300" cy="2812920"/>
                    </a:xfrm>
                    <a:prstGeom prst="rect">
                      <a:avLst/>
                    </a:prstGeom>
                    <a:noFill/>
                    <a:ln w="9525">
                      <a:noFill/>
                      <a:headEnd/>
                      <a:tailEnd/>
                    </a:ln>
                  </pic:spPr>
                </pic:pic>
              </a:graphicData>
            </a:graphic>
          </wp:inline>
        </w:drawing>
      </w:r>
    </w:p>
    <w:p w14:paraId="15E0FBEA" w14:textId="77777777" w:rsidR="006B50AE" w:rsidRDefault="00000000" w:rsidP="003364D8">
      <w:pPr>
        <w:pStyle w:val="ImageCaption"/>
        <w:keepLines/>
        <w:jc w:val="both"/>
      </w:pPr>
      <w:r>
        <w:rPr>
          <w:b/>
          <w:bCs/>
        </w:rPr>
        <w:t>Figure 1.</w:t>
      </w:r>
      <w:r>
        <w:t xml:space="preserve"> The proposed harness with the admission test of 18.25. The task record is an engineering analogy to 18.14 and does not model daiva. Admission checks the four regards before any effect; execution runs under an attenuated capability, a lease, a reservation and a retry budget; verification and release are separate from the planner. Every enforcement point lies outside the planner’s write authority.</w:t>
      </w:r>
    </w:p>
    <w:p w14:paraId="732CFE45" w14:textId="77777777" w:rsidR="006B50AE" w:rsidRDefault="00000000" w:rsidP="003364D8">
      <w:pPr>
        <w:pStyle w:val="BodyText"/>
        <w:jc w:val="both"/>
      </w:pPr>
      <w:r>
        <w:t>The test is a necessary condition for admission under the proposed policy, not a sufficient condition for safety or ethical action. An action that passes all four checks can still be wrong, unfair or harmful in ways the checks do not model (Section 14). Its value is that each check has a precise operational meaning and a bound that can fail. Tāmasa action, in this reading, is not action by a bad agent. It identifies a missing-control signature, rather than assigning a guṇa to a machine.</w:t>
      </w:r>
    </w:p>
    <w:p w14:paraId="20239B19" w14:textId="77777777" w:rsidR="006B50AE" w:rsidRDefault="00000000" w:rsidP="003364D8">
      <w:pPr>
        <w:pStyle w:val="Heading11"/>
        <w:jc w:val="both"/>
      </w:pPr>
      <w:bookmarkStart w:id="18" w:name="a-model-of-architectural-binding"/>
      <w:bookmarkEnd w:id="14"/>
      <w:bookmarkEnd w:id="17"/>
      <w:r>
        <w:t>7 A model of architectural binding</w:t>
      </w:r>
    </w:p>
    <w:p w14:paraId="1101D5A4" w14:textId="77777777" w:rsidR="006B50AE" w:rsidRDefault="00000000" w:rsidP="003364D8">
      <w:pPr>
        <w:pStyle w:val="FirstParagraph"/>
        <w:jc w:val="both"/>
      </w:pPr>
      <w:r>
        <w:t xml:space="preserve">The following results formalise selected mechanisms. They are not deductions about consciousness, spiritual attainment or the inevitable behaviour of future AI. Let </w:t>
      </w:r>
      <m:oMath>
        <m:r>
          <w:rPr>
            <w:rFonts w:ascii="Cambria Math" w:hAnsi="Cambria Math"/>
          </w:rPr>
          <m:t>x</m:t>
        </m:r>
        <m:d>
          <m:dPr>
            <m:ctrlPr>
              <w:rPr>
                <w:rFonts w:ascii="Cambria Math" w:hAnsi="Cambria Math"/>
              </w:rPr>
            </m:ctrlPr>
          </m:dPr>
          <m:e>
            <m:r>
              <w:rPr>
                <w:rFonts w:ascii="Cambria Math" w:hAnsi="Cambria Math"/>
              </w:rPr>
              <m:t>t</m:t>
            </m:r>
          </m:e>
        </m:d>
      </m:oMath>
      <w:r>
        <w:t xml:space="preserve"> be a non-negative vector measuring disturbances in </w:t>
      </w:r>
      <m:oMath>
        <m:r>
          <w:rPr>
            <w:rFonts w:ascii="Cambria Math" w:hAnsi="Cambria Math"/>
          </w:rPr>
          <m:t>n</m:t>
        </m:r>
      </m:oMath>
      <w:r>
        <w:t xml:space="preserve"> components at discrete time </w:t>
      </w:r>
      <m:oMath>
        <m:r>
          <w:rPr>
            <w:rFonts w:ascii="Cambria Math" w:hAnsi="Cambria Math"/>
          </w:rPr>
          <m:t>t</m:t>
        </m:r>
        <m:r>
          <m:rPr>
            <m:nor/>
          </m:rPr>
          <m:t>.</m:t>
        </m:r>
      </m:oMath>
      <w:r>
        <w:t xml:space="preserve"> Its entries must use a specified normalisation. Let </w:t>
      </w:r>
      <m:oMath>
        <m:r>
          <w:rPr>
            <w:rFonts w:ascii="Cambria Math" w:hAnsi="Cambria Math"/>
          </w:rPr>
          <m:t>A</m:t>
        </m:r>
      </m:oMath>
      <w:r>
        <w:t xml:space="preserve"> be an </w:t>
      </w:r>
      <m:oMath>
        <m:r>
          <w:rPr>
            <w:rFonts w:ascii="Cambria Math" w:hAnsi="Cambria Math"/>
          </w:rPr>
          <m:t>n</m:t>
        </m:r>
        <m:r>
          <m:rPr>
            <m:sty m:val="p"/>
          </m:rPr>
          <w:rPr>
            <w:rFonts w:ascii="Cambria Math" w:hAnsi="Cambria Math"/>
          </w:rPr>
          <m:t>×</m:t>
        </m:r>
        <m:r>
          <w:rPr>
            <w:rFonts w:ascii="Cambria Math" w:hAnsi="Cambria Math"/>
          </w:rPr>
          <m:t>n</m:t>
        </m:r>
      </m:oMath>
      <w:r>
        <w:t xml:space="preserve"> non-negative matrix that upper-bounds one-step propagation, and let </w:t>
      </w:r>
      <m:oMath>
        <m:r>
          <w:rPr>
            <w:rFonts w:ascii="Cambria Math" w:hAnsi="Cambria Math"/>
          </w:rPr>
          <m:t>u</m:t>
        </m:r>
        <m:d>
          <m:dPr>
            <m:ctrlPr>
              <w:rPr>
                <w:rFonts w:ascii="Cambria Math" w:hAnsi="Cambria Math"/>
              </w:rPr>
            </m:ctrlPr>
          </m:dPr>
          <m:e>
            <m:r>
              <w:rPr>
                <w:rFonts w:ascii="Cambria Math" w:hAnsi="Cambria Math"/>
              </w:rPr>
              <m:t>t</m:t>
            </m:r>
          </m:e>
        </m:d>
      </m:oMath>
      <w:r>
        <w:t xml:space="preserve"> be a non-negative external disturbance vector. Assume the componentwise inequality</w:t>
      </w:r>
    </w:p>
    <w:p w14:paraId="0E6DB9F7" w14:textId="77777777" w:rsidR="006B50AE" w:rsidRDefault="00000000" w:rsidP="003364D8">
      <w:pPr>
        <w:pStyle w:val="Equation"/>
        <w:jc w:val="both"/>
      </w:pPr>
      <w:r>
        <w:tab/>
      </w:r>
      <m:oMath>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Ax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oMath>
      <w:r>
        <w:tab/>
        <w:t>(1)</w:t>
      </w:r>
    </w:p>
    <w:p w14:paraId="2283F3DA" w14:textId="77777777" w:rsidR="006B50AE" w:rsidRDefault="00000000" w:rsidP="003364D8">
      <w:pPr>
        <w:pStyle w:val="BodyText"/>
        <w:jc w:val="both"/>
      </w:pPr>
      <w:r>
        <w:t xml:space="preserve">The entries of </w:t>
      </w:r>
      <m:oMath>
        <m:r>
          <w:rPr>
            <w:rFonts w:ascii="Cambria Math" w:hAnsi="Cambria Math"/>
          </w:rPr>
          <m:t>A</m:t>
        </m:r>
      </m:oMath>
      <w:r>
        <w:t xml:space="preserve"> represent measured or conservatively bounded influence, including retries and shared infrastructure effects. A source-code import graph alone is insufficient: shared databases, queues and operational dependencies also transmit disturbances. This is the anubandha check of Table 7 in quantitative form.</w:t>
      </w:r>
    </w:p>
    <w:p w14:paraId="3B2EB1BC" w14:textId="77777777" w:rsidR="006B50AE" w:rsidRDefault="00000000" w:rsidP="003364D8">
      <w:pPr>
        <w:pStyle w:val="BodyText"/>
        <w:keepNext/>
        <w:jc w:val="both"/>
      </w:pPr>
      <w:r>
        <w:rPr>
          <w:b/>
          <w:bCs/>
        </w:rPr>
        <w:t>Proposition 1 — Bounded cascade amplification.</w:t>
      </w:r>
      <w:r>
        <w:t xml:space="preserve"> Suppose the maximum row sum of </w:t>
      </w:r>
      <m:oMath>
        <m:r>
          <w:rPr>
            <w:rFonts w:ascii="Cambria Math" w:hAnsi="Cambria Math"/>
          </w:rPr>
          <m:t>A</m:t>
        </m:r>
      </m:oMath>
      <w:r>
        <w:t xml:space="preserve"> is at most </w:t>
      </w:r>
      <m:oMath>
        <m:r>
          <w:rPr>
            <w:rFonts w:ascii="Cambria Math" w:hAnsi="Cambria Math"/>
          </w:rPr>
          <m:t>a</m:t>
        </m:r>
        <m:r>
          <m:rPr>
            <m:nor/>
          </m:rPr>
          <m:t>,</m:t>
        </m:r>
      </m:oMath>
      <w:r>
        <w:t xml:space="preserve"> where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1</m:t>
        </m:r>
        <m:r>
          <m:rPr>
            <m:nor/>
          </m:rPr>
          <m:t>,</m:t>
        </m:r>
      </m:oMath>
      <w:r>
        <w:t xml:space="preserve"> and the largest component of </w:t>
      </w:r>
      <m:oMath>
        <m:r>
          <w:rPr>
            <w:rFonts w:ascii="Cambria Math" w:hAnsi="Cambria Math"/>
          </w:rPr>
          <m:t>u</m:t>
        </m:r>
        <m:d>
          <m:dPr>
            <m:ctrlPr>
              <w:rPr>
                <w:rFonts w:ascii="Cambria Math" w:hAnsi="Cambria Math"/>
              </w:rPr>
            </m:ctrlPr>
          </m:dPr>
          <m:e>
            <m:r>
              <w:rPr>
                <w:rFonts w:ascii="Cambria Math" w:hAnsi="Cambria Math"/>
              </w:rPr>
              <m:t>t</m:t>
            </m:r>
          </m:e>
        </m:d>
      </m:oMath>
      <w:r>
        <w:t xml:space="preserve"> is at most </w:t>
      </w:r>
      <m:oMath>
        <m:r>
          <w:rPr>
            <w:rFonts w:ascii="Cambria Math" w:hAnsi="Cambria Math"/>
          </w:rPr>
          <m:t>U</m:t>
        </m:r>
      </m:oMath>
      <w:r>
        <w:t xml:space="preserve"> at every step. If the largest initial component is </w:t>
      </w:r>
      <m:oMath>
        <m:sSub>
          <m:sSubPr>
            <m:ctrlPr>
              <w:rPr>
                <w:rFonts w:ascii="Cambria Math" w:hAnsi="Cambria Math"/>
              </w:rPr>
            </m:ctrlPr>
          </m:sSubPr>
          <m:e>
            <m:r>
              <w:rPr>
                <w:rFonts w:ascii="Cambria Math" w:hAnsi="Cambria Math"/>
              </w:rPr>
              <m:t>X</m:t>
            </m:r>
          </m:e>
          <m:sub>
            <m:r>
              <w:rPr>
                <w:rFonts w:ascii="Cambria Math" w:hAnsi="Cambria Math"/>
              </w:rPr>
              <m:t>0</m:t>
            </m:r>
          </m:sub>
        </m:sSub>
        <m:r>
          <m:rPr>
            <m:nor/>
          </m:rPr>
          <m:t>,</m:t>
        </m:r>
      </m:oMath>
      <w:r>
        <w:t xml:space="preserve"> then</w:t>
      </w:r>
    </w:p>
    <w:p w14:paraId="09655457" w14:textId="77777777" w:rsidR="006B50AE" w:rsidRDefault="00000000" w:rsidP="003364D8">
      <w:pPr>
        <w:pStyle w:val="Equation"/>
        <w:jc w:val="both"/>
      </w:pPr>
      <w:r>
        <w:tab/>
      </w: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U</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oMath>
      <w:r>
        <w:tab/>
        <w:t>(2)</w:t>
      </w:r>
    </w:p>
    <w:p w14:paraId="0F613552" w14:textId="77777777" w:rsidR="006B50AE" w:rsidRDefault="00000000" w:rsidP="003364D8">
      <w:pPr>
        <w:pStyle w:val="BodyText"/>
        <w:jc w:val="both"/>
      </w:pPr>
      <w:r>
        <w:rPr>
          <w:i/>
          <w:iCs/>
        </w:rPr>
        <w:t>Proof.</w:t>
      </w:r>
      <w:r>
        <w:t xml:space="preserve"> The induced infinity norm gives </w:t>
      </w: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U</m:t>
        </m:r>
        <m:r>
          <m:rPr>
            <m:nor/>
          </m:rPr>
          <m:t>.</m:t>
        </m:r>
      </m:oMath>
      <w:r>
        <w:t xml:space="preserve"> Repeated substitution yields </w:t>
      </w:r>
      <m:oMath>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plus </w:t>
      </w:r>
      <m:oMath>
        <m:r>
          <w:rPr>
            <w:rFonts w:ascii="Cambria Math" w:hAnsi="Cambria Math"/>
          </w:rPr>
          <m:t>U</m:t>
        </m:r>
      </m:oMath>
      <w:r>
        <w:t xml:space="preserve"> times the finite geometric sum. Non-negativity permits the componentwise inequality to pass to the norm. </w:t>
      </w:r>
      <m:oMath>
        <m:r>
          <m:rPr>
            <m:sty m:val="p"/>
          </m:rPr>
          <w:rPr>
            <w:rFonts w:ascii="Cambria Math" w:hAnsi="Cambria Math"/>
          </w:rPr>
          <m:t>▫</m:t>
        </m:r>
      </m:oMath>
    </w:p>
    <w:p w14:paraId="1F47489B" w14:textId="77777777" w:rsidR="006B50AE" w:rsidRDefault="00000000" w:rsidP="003364D8">
      <w:pPr>
        <w:pStyle w:val="BodyText"/>
        <w:keepNext/>
        <w:jc w:val="both"/>
      </w:pPr>
      <w:r>
        <w:rPr>
          <w:b/>
          <w:bCs/>
        </w:rPr>
        <w:lastRenderedPageBreak/>
        <w:t>Corollary 1 — Monotone reduction under an elementwise bound.</w:t>
      </w:r>
      <w:r>
        <w:t xml:space="preserve"> If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w:r>
        <w:t xml:space="preserve"> and both maximum row sums are below one, then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e>
                </m:d>
              </m:e>
              <m:sup>
                <m:r>
                  <w:rPr>
                    <w:rFonts w:ascii="Cambria Math" w:hAnsi="Cambria Math"/>
                  </w:rPr>
                  <m:t>k</m:t>
                </m:r>
              </m:sup>
            </m:sSup>
          </m:e>
        </m:nary>
        <m:r>
          <w:rPr>
            <w:rFonts w:ascii="Cambria Math" w:hAnsi="Cambria Math"/>
          </w:rPr>
          <m:t>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A</m:t>
                </m:r>
              </m:e>
              <m:sup>
                <m:r>
                  <w:rPr>
                    <w:rFonts w:ascii="Cambria Math" w:hAnsi="Cambria Math"/>
                  </w:rPr>
                  <m:t>k</m:t>
                </m:r>
              </m:sup>
            </m:sSup>
          </m:e>
        </m:nary>
        <m:r>
          <w:rPr>
            <w:rFonts w:ascii="Cambria Math" w:hAnsi="Cambria Math"/>
          </w:rPr>
          <m:t>u</m:t>
        </m:r>
      </m:oMath>
      <w:r>
        <w:t xml:space="preserve"> for every constant non-negative </w:t>
      </w:r>
      <m:oMath>
        <m:r>
          <w:rPr>
            <w:rFonts w:ascii="Cambria Math" w:hAnsi="Cambria Math"/>
          </w:rPr>
          <m:t>u</m:t>
        </m:r>
        <m:r>
          <m:rPr>
            <m:nor/>
          </m:rPr>
          <m:t>.</m:t>
        </m:r>
      </m:oMath>
    </w:p>
    <w:p w14:paraId="0CB93688" w14:textId="77777777" w:rsidR="006B50AE" w:rsidRDefault="00000000" w:rsidP="003364D8">
      <w:pPr>
        <w:pStyle w:val="BodyText"/>
        <w:jc w:val="both"/>
      </w:pPr>
      <w:r>
        <w:t>The row-sum condition is sufficient but far from necessary, and it fails for a common architecture. A shared broker that receives disturbance from many services has a large row sum even when every cycle through it is weak. The sharp condition is spectral.</w:t>
      </w:r>
    </w:p>
    <w:p w14:paraId="386DB92D" w14:textId="77777777" w:rsidR="006B50AE" w:rsidRDefault="00000000" w:rsidP="003364D8">
      <w:pPr>
        <w:pStyle w:val="BodyText"/>
        <w:keepNext/>
        <w:jc w:val="both"/>
      </w:pPr>
      <w:r>
        <w:rPr>
          <w:b/>
          <w:bCs/>
        </w:rPr>
        <w:t>Proposition 4 — The spectral condition and the binding index.</w:t>
      </w:r>
      <w:r>
        <w:t xml:space="preserve"> (i) If there are a vector </w:t>
      </w:r>
      <m:oMath>
        <m:r>
          <w:rPr>
            <w:rFonts w:ascii="Cambria Math" w:hAnsi="Cambria Math"/>
          </w:rPr>
          <m:t>v</m:t>
        </m:r>
      </m:oMath>
      <w:r>
        <w:t xml:space="preserve"> with positive entries and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1</m:t>
        </m:r>
      </m:oMath>
      <w:r>
        <w:t xml:space="preserve"> such that </w:t>
      </w:r>
      <m:oMath>
        <m:r>
          <w:rPr>
            <w:rFonts w:ascii="Cambria Math" w:hAnsi="Cambria Math"/>
          </w:rPr>
          <m:t>Av</m:t>
        </m:r>
        <m:r>
          <m:rPr>
            <m:sty m:val="p"/>
          </m:rPr>
          <w:rPr>
            <w:rFonts w:ascii="Cambria Math" w:hAnsi="Cambria Math"/>
          </w:rPr>
          <m:t>≤</m:t>
        </m:r>
        <m:r>
          <w:rPr>
            <w:rFonts w:ascii="Cambria Math" w:hAnsi="Cambria Math"/>
          </w:rPr>
          <m:t>av</m:t>
        </m:r>
        <m:r>
          <m:rPr>
            <m:nor/>
          </m:rPr>
          <m:t>,</m:t>
        </m:r>
      </m:oMath>
      <w:r>
        <w:t xml:space="preserve"> and </w:t>
      </w:r>
      <m:oMath>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w:rPr>
            <w:rFonts w:ascii="Cambria Math" w:hAnsi="Cambria Math"/>
          </w:rPr>
          <m:t>v</m:t>
        </m:r>
      </m:oMath>
      <w:r>
        <w:t xml:space="preserve"> at every step, then with </w:t>
      </w:r>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nor/>
          </m:rPr>
          <m:t>,</m:t>
        </m:r>
      </m:oMath>
    </w:p>
    <w:p w14:paraId="6465CEE8" w14:textId="77777777" w:rsidR="006B50AE" w:rsidRDefault="00000000" w:rsidP="003364D8">
      <w:pPr>
        <w:pStyle w:val="Equation"/>
        <w:jc w:val="both"/>
      </w:pPr>
      <w:r>
        <w:tab/>
      </w: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0</m:t>
            </m:r>
          </m:e>
        </m:d>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oMath>
      <w:r>
        <w:tab/>
        <w:t>(3)</w:t>
      </w:r>
    </w:p>
    <w:p w14:paraId="30BF9923" w14:textId="77777777" w:rsidR="006B50AE" w:rsidRDefault="00000000" w:rsidP="003364D8">
      <w:pPr>
        <w:pStyle w:val="BodyText"/>
        <w:jc w:val="both"/>
      </w:pPr>
      <w:r>
        <w:t xml:space="preserve">For a stable </w:t>
      </w:r>
      <m:oMath>
        <m:r>
          <w:rPr>
            <w:rFonts w:ascii="Cambria Math" w:hAnsi="Cambria Math"/>
          </w:rPr>
          <m:t>A</m:t>
        </m:r>
        <m:r>
          <m:rPr>
            <m:nor/>
          </m:rPr>
          <m:t>,</m:t>
        </m:r>
      </m:oMath>
      <w:r>
        <w:t xml:space="preserve"> such a </w:t>
      </w:r>
      <m:oMath>
        <m:r>
          <w:rPr>
            <w:rFonts w:ascii="Cambria Math" w:hAnsi="Cambria Math"/>
          </w:rPr>
          <m:t>v</m:t>
        </m:r>
      </m:oMath>
      <w:r>
        <w:t xml:space="preserve"> exists for each </w:t>
      </w:r>
      <m:oMath>
        <m:r>
          <w:rPr>
            <w:rFonts w:ascii="Cambria Math" w:hAnsi="Cambria Math"/>
          </w:rPr>
          <m:t>a</m:t>
        </m:r>
      </m:oMath>
      <w:r>
        <w:t xml:space="preserve"> with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r>
          <m:rPr>
            <m:nor/>
          </m:rPr>
          <m:t>,</m:t>
        </m:r>
      </m:oMath>
      <w:r>
        <w:t xml:space="preserve"> and also for </w:t>
      </w:r>
      <m:oMath>
        <m:r>
          <w:rPr>
            <w:rFonts w:ascii="Cambria Math" w:hAnsi="Cambria Math"/>
          </w:rPr>
          <m:t>a</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A</m:t>
            </m:r>
          </m:e>
        </m:d>
      </m:oMath>
      <w:r>
        <w:t xml:space="preserve"> when </w:t>
      </w:r>
      <m:oMath>
        <m:r>
          <w:rPr>
            <w:rFonts w:ascii="Cambria Math" w:hAnsi="Cambria Math"/>
          </w:rPr>
          <m:t>A</m:t>
        </m:r>
      </m:oMath>
      <w:r>
        <w:t xml:space="preserve"> is irreducible. (ii) If the propagation holds with equality and </w:t>
      </w:r>
      <m:oMath>
        <m:r>
          <w:rPr>
            <w:rFonts w:ascii="Cambria Math" w:hAnsi="Cambria Math"/>
          </w:rPr>
          <m:t>u</m:t>
        </m:r>
      </m:oMath>
      <w:r>
        <w:t xml:space="preserve"> is a constant positive vector, accumulated disturbance stays bounded if and only if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1</m:t>
        </m:r>
        <m:r>
          <m:rPr>
            <m:nor/>
          </m:rPr>
          <m:t>.</m:t>
        </m:r>
      </m:oMath>
      <w:r>
        <w:t xml:space="preserve"> (iii) When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1</m:t>
        </m:r>
        <m:r>
          <m:rPr>
            <m:nor/>
          </m:rPr>
          <m:t>,</m:t>
        </m:r>
      </m:oMath>
      <w:r>
        <w:t xml:space="preserve"> the long-run worst case over all </w:t>
      </w:r>
      <m:oMath>
        <m:r>
          <w:rPr>
            <w:rFonts w:ascii="Cambria Math" w:hAnsi="Cambria Math"/>
          </w:rPr>
          <m:t>u</m:t>
        </m:r>
      </m:oMath>
      <w:r>
        <w:t xml:space="preserve"> with </w:t>
      </w:r>
      <m:oMath>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U</m:t>
        </m:r>
      </m:oMath>
      <w:r>
        <w:t xml:space="preserve"> is exactly </w:t>
      </w:r>
      <m:oMath>
        <m:r>
          <w:rPr>
            <w:rFonts w:ascii="Cambria Math" w:hAnsi="Cambria Math"/>
          </w:rPr>
          <m:t>κ</m:t>
        </m:r>
        <m:d>
          <m:dPr>
            <m:ctrlPr>
              <w:rPr>
                <w:rFonts w:ascii="Cambria Math" w:hAnsi="Cambria Math"/>
              </w:rPr>
            </m:ctrlPr>
          </m:dPr>
          <m:e>
            <m:r>
              <w:rPr>
                <w:rFonts w:ascii="Cambria Math" w:hAnsi="Cambria Math"/>
              </w:rPr>
              <m:t>A</m:t>
            </m:r>
          </m:e>
        </m:d>
        <m:r>
          <w:rPr>
            <w:rFonts w:ascii="Cambria Math" w:hAnsi="Cambria Math"/>
          </w:rPr>
          <m:t>U</m:t>
        </m:r>
        <m:r>
          <m:rPr>
            <m:nor/>
          </m:rPr>
          <m:t>,</m:t>
        </m:r>
      </m:oMath>
      <w:r>
        <w:t xml:space="preserve"> where</w:t>
      </w:r>
    </w:p>
    <w:p w14:paraId="41629B0C" w14:textId="77777777" w:rsidR="006B50AE" w:rsidRDefault="00000000" w:rsidP="003364D8">
      <w:pPr>
        <w:pStyle w:val="Equation"/>
        <w:jc w:val="both"/>
      </w:pPr>
      <w:r>
        <w:tab/>
      </w:r>
      <m:oMath>
        <m:r>
          <w:rPr>
            <w:rFonts w:ascii="Cambria Math" w:hAnsi="Cambria Math"/>
          </w:rPr>
          <m:t>κ</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r>
                  <m:rPr>
                    <m:sty m:val="b"/>
                  </m:rPr>
                  <w:rPr>
                    <w:rFonts w:ascii="Cambria Math" w:hAnsi="Cambria Math"/>
                  </w:rPr>
                  <m:t>1</m:t>
                </m:r>
              </m:e>
            </m:d>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oMath>
      <w:r>
        <w:tab/>
        <w:t>(4)</w:t>
      </w:r>
    </w:p>
    <w:p w14:paraId="7EE2F233" w14:textId="77777777" w:rsidR="006B50AE" w:rsidRDefault="00000000" w:rsidP="003364D8">
      <w:pPr>
        <w:pStyle w:val="BodyText"/>
        <w:jc w:val="both"/>
      </w:pPr>
      <w:r>
        <w:rPr>
          <w:i/>
          <w:iCs/>
        </w:rPr>
        <w:t>Proof.</w:t>
      </w:r>
      <w:r>
        <w:t xml:space="preserve"> (i) </w:t>
      </w: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v</m:t>
        </m:r>
      </m:oMath>
      <w:r>
        <w:t xml:space="preserve"> componentwise, so </w:t>
      </w:r>
      <m:oMath>
        <m:r>
          <w:rPr>
            <w:rFonts w:ascii="Cambria Math" w:hAnsi="Cambria Math"/>
          </w:rPr>
          <m:t>Ax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Av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v</m:t>
        </m:r>
        <m:r>
          <m:rPr>
            <m:nor/>
          </m:rPr>
          <m:t>,</m:t>
        </m:r>
      </m:oMath>
      <w:r>
        <w:t xml:space="preserve"> and (1) gives </w:t>
      </w: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m:rPr>
            <m:nor/>
          </m:rPr>
          <m:t>;</m:t>
        </m:r>
      </m:oMath>
      <w:r>
        <w:t xml:space="preserve"> induction gives (3). For irreducible </w:t>
      </w:r>
      <m:oMath>
        <m:r>
          <w:rPr>
            <w:rFonts w:ascii="Cambria Math" w:hAnsi="Cambria Math"/>
          </w:rPr>
          <m:t>A</m:t>
        </m:r>
      </m:oMath>
      <w:r>
        <w:t xml:space="preserve"> the Perron vector is positive with </w:t>
      </w:r>
      <m:oMath>
        <m:r>
          <w:rPr>
            <w:rFonts w:ascii="Cambria Math" w:hAnsi="Cambria Math"/>
          </w:rPr>
          <m:t>Av</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A</m:t>
            </m:r>
          </m:e>
        </m:d>
        <m:r>
          <w:rPr>
            <w:rFonts w:ascii="Cambria Math" w:hAnsi="Cambria Math"/>
          </w:rPr>
          <m:t>v</m:t>
        </m:r>
        <m:r>
          <m:rPr>
            <m:nor/>
          </m:rPr>
          <m:t>.</m:t>
        </m:r>
      </m:oMath>
      <w:r>
        <w:t xml:space="preserve"> Otherwise the Perron vector of </w:t>
      </w:r>
      <m:oMath>
        <m:r>
          <w:rPr>
            <w:rFonts w:ascii="Cambria Math" w:hAnsi="Cambria Math"/>
          </w:rPr>
          <m:t>A</m:t>
        </m:r>
        <m:r>
          <m:rPr>
            <m:sty m:val="p"/>
          </m:rPr>
          <w:rPr>
            <w:rFonts w:ascii="Cambria Math" w:hAnsi="Cambria Math"/>
          </w:rPr>
          <m:t>+</m:t>
        </m:r>
        <m:r>
          <w:rPr>
            <w:rFonts w:ascii="Cambria Math" w:hAnsi="Cambria Math"/>
          </w:rPr>
          <m:t>ϵJ</m:t>
        </m:r>
        <m:r>
          <m:rPr>
            <m:nor/>
          </m:rPr>
          <m:t>,</m:t>
        </m:r>
      </m:oMath>
      <w:r>
        <w:t xml:space="preserve"> with </w:t>
      </w:r>
      <m:oMath>
        <m:r>
          <w:rPr>
            <w:rFonts w:ascii="Cambria Math" w:hAnsi="Cambria Math"/>
          </w:rPr>
          <m:t>J</m:t>
        </m:r>
      </m:oMath>
      <w:r>
        <w:t xml:space="preserve"> the all-ones matrix and </w:t>
      </w:r>
      <m:oMath>
        <m:r>
          <w:rPr>
            <w:rFonts w:ascii="Cambria Math" w:hAnsi="Cambria Math"/>
          </w:rPr>
          <m:t>ϵ</m:t>
        </m:r>
      </m:oMath>
      <w:r>
        <w:t xml:space="preserve"> small enough that </w:t>
      </w:r>
      <m:oMath>
        <m:r>
          <w:rPr>
            <w:rFonts w:ascii="Cambria Math" w:hAnsi="Cambria Math"/>
          </w:rPr>
          <m:t>ρ</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ϵJ</m:t>
            </m:r>
          </m:e>
        </m:d>
        <m:r>
          <m:rPr>
            <m:sty m:val="p"/>
          </m:rPr>
          <w:rPr>
            <w:rFonts w:ascii="Cambria Math" w:hAnsi="Cambria Math"/>
          </w:rPr>
          <m:t>≤</m:t>
        </m:r>
        <m:r>
          <w:rPr>
            <w:rFonts w:ascii="Cambria Math" w:hAnsi="Cambria Math"/>
          </w:rPr>
          <m:t>a</m:t>
        </m:r>
        <m:r>
          <m:rPr>
            <m:nor/>
          </m:rPr>
          <m:t>,</m:t>
        </m:r>
      </m:oMath>
      <w:r>
        <w:t xml:space="preserve"> is positive and satisfies </w:t>
      </w:r>
      <m:oMath>
        <m:r>
          <w:rPr>
            <w:rFonts w:ascii="Cambria Math" w:hAnsi="Cambria Math"/>
          </w:rPr>
          <m:t>Av</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ϵJ</m:t>
            </m:r>
          </m:e>
        </m:d>
        <m:r>
          <w:rPr>
            <w:rFonts w:ascii="Cambria Math" w:hAnsi="Cambria Math"/>
          </w:rPr>
          <m:t>v</m:t>
        </m:r>
        <m:r>
          <m:rPr>
            <m:sty m:val="p"/>
          </m:rPr>
          <w:rPr>
            <w:rFonts w:ascii="Cambria Math" w:hAnsi="Cambria Math"/>
          </w:rPr>
          <m:t>≤</m:t>
        </m:r>
        <m:r>
          <w:rPr>
            <w:rFonts w:ascii="Cambria Math" w:hAnsi="Cambria Math"/>
          </w:rPr>
          <m:t>av</m:t>
        </m:r>
      </m:oMath>
      <w:r>
        <w:t xml:space="preserve"> [19]. (ii) If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1</m:t>
        </m:r>
        <m:r>
          <m:rPr>
            <m:nor/>
          </m:rPr>
          <m:t>,</m:t>
        </m:r>
      </m:oMath>
      <w:r>
        <w:t xml:space="preserve"> the Neumann series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A</m:t>
                </m:r>
              </m:e>
              <m:sup>
                <m:r>
                  <w:rPr>
                    <w:rFonts w:ascii="Cambria Math" w:hAnsi="Cambria Math"/>
                  </w:rPr>
                  <m:t>k</m:t>
                </m:r>
              </m:sup>
            </m:sSup>
          </m:e>
        </m:nary>
        <m:r>
          <w:rPr>
            <w:rFonts w:ascii="Cambria Math" w:hAnsi="Cambria Math"/>
          </w:rPr>
          <m:t>u</m:t>
        </m:r>
      </m:oMath>
      <w:r>
        <w:t xml:space="preserve"> converges. If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nor/>
          </m:rPr>
          <m:t>,</m:t>
        </m:r>
      </m:oMath>
      <w:r>
        <w:t xml:space="preserve"> a non-negative left Perron vector </w:t>
      </w:r>
      <m:oMath>
        <m:r>
          <w:rPr>
            <w:rFonts w:ascii="Cambria Math" w:hAnsi="Cambria Math"/>
          </w:rPr>
          <m:t>w</m:t>
        </m:r>
        <m:r>
          <m:rPr>
            <m:sty m:val="p"/>
          </m:rPr>
          <w:rPr>
            <w:rFonts w:ascii="Cambria Math" w:hAnsi="Cambria Math"/>
          </w:rPr>
          <m:t>≠</m:t>
        </m:r>
        <m:r>
          <w:rPr>
            <w:rFonts w:ascii="Cambria Math" w:hAnsi="Cambria Math"/>
          </w:rPr>
          <m:t>0</m:t>
        </m:r>
      </m:oMath>
      <w:r>
        <w:t xml:space="preserve"> satisfies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u</m:t>
        </m:r>
        <m:r>
          <m:rPr>
            <m:sty m:val="p"/>
          </m:rPr>
          <w:rPr>
            <w:rFonts w:ascii="Cambria Math" w:hAnsi="Cambria Math"/>
          </w:rPr>
          <m:t>=</m:t>
        </m:r>
        <m:r>
          <w:rPr>
            <w:rFonts w:ascii="Cambria Math" w:hAnsi="Cambria Math"/>
          </w:rPr>
          <m:t>ρ</m:t>
        </m:r>
        <m:sSup>
          <m:sSupPr>
            <m:ctrlPr>
              <w:rPr>
                <w:rFonts w:ascii="Cambria Math" w:hAnsi="Cambria Math"/>
              </w:rPr>
            </m:ctrlPr>
          </m:sSupPr>
          <m:e>
            <m:d>
              <m:dPr>
                <m:ctrlPr>
                  <w:rPr>
                    <w:rFonts w:ascii="Cambria Math" w:hAnsi="Cambria Math"/>
                  </w:rPr>
                </m:ctrlPr>
              </m:dPr>
              <m:e>
                <m:r>
                  <w:rPr>
                    <w:rFonts w:ascii="Cambria Math" w:hAnsi="Cambria Math"/>
                  </w:rPr>
                  <m:t>A</m:t>
                </m:r>
              </m:e>
            </m:d>
          </m:e>
          <m:sup>
            <m:r>
              <w:rPr>
                <w:rFonts w:ascii="Cambria Math" w:hAnsi="Cambria Math"/>
              </w:rPr>
              <m:t>k</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u</m:t>
        </m:r>
        <m:r>
          <m:rPr>
            <m:sty m:val="p"/>
          </m:rPr>
          <w:rPr>
            <w:rFonts w:ascii="Cambria Math" w:hAnsi="Cambria Math"/>
          </w:rPr>
          <m:t>&gt;</m:t>
        </m:r>
        <m:r>
          <w:rPr>
            <w:rFonts w:ascii="Cambria Math" w:hAnsi="Cambria Math"/>
          </w:rPr>
          <m:t>0</m:t>
        </m:r>
        <m:r>
          <m:rPr>
            <m:nor/>
          </m:rPr>
          <m:t>,</m:t>
        </m:r>
      </m:oMath>
      <w:r>
        <w:t xml:space="preserve"> so the series diverges. (iii) The equality system converges to </w:t>
      </w: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r>
          <w:rPr>
            <w:rFonts w:ascii="Cambria Math" w:hAnsi="Cambria Math"/>
          </w:rPr>
          <m:t>u</m:t>
        </m:r>
        <m:r>
          <m:rPr>
            <m:nor/>
          </m:rPr>
          <m:t>.</m:t>
        </m:r>
      </m:oMath>
      <w:r>
        <w:t xml:space="preserve"> Its entries are non-decreasing in </w:t>
      </w:r>
      <m:oMath>
        <m:r>
          <w:rPr>
            <w:rFonts w:ascii="Cambria Math" w:hAnsi="Cambria Math"/>
          </w:rPr>
          <m:t>u</m:t>
        </m:r>
      </m:oMath>
      <w:r>
        <w:t xml:space="preserve"> because </w:t>
      </w: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A</m:t>
                </m:r>
              </m:e>
              <m:sup>
                <m:r>
                  <w:rPr>
                    <w:rFonts w:ascii="Cambria Math" w:hAnsi="Cambria Math"/>
                  </w:rPr>
                  <m:t>k</m:t>
                </m:r>
              </m:sup>
            </m:sSup>
          </m:e>
        </m:nary>
        <m:r>
          <m:rPr>
            <m:sty m:val="p"/>
          </m:rPr>
          <w:rPr>
            <w:rFonts w:ascii="Cambria Math" w:hAnsi="Cambria Math"/>
          </w:rPr>
          <m:t>≥</m:t>
        </m:r>
        <m:r>
          <w:rPr>
            <w:rFonts w:ascii="Cambria Math" w:hAnsi="Cambria Math"/>
          </w:rPr>
          <m:t>0</m:t>
        </m:r>
        <m:r>
          <m:rPr>
            <m:nor/>
          </m:rPr>
          <m:t>,</m:t>
        </m:r>
      </m:oMath>
      <w:r>
        <w:t xml:space="preserve"> so the worst case is </w:t>
      </w:r>
      <m:oMath>
        <m:r>
          <w:rPr>
            <w:rFonts w:ascii="Cambria Math" w:hAnsi="Cambria Math"/>
          </w:rPr>
          <m:t>u</m:t>
        </m:r>
        <m:r>
          <m:rPr>
            <m:sty m:val="p"/>
          </m:rPr>
          <w:rPr>
            <w:rFonts w:ascii="Cambria Math" w:hAnsi="Cambria Math"/>
          </w:rPr>
          <m:t>=</m:t>
        </m:r>
        <m:r>
          <w:rPr>
            <w:rFonts w:ascii="Cambria Math" w:hAnsi="Cambria Math"/>
          </w:rPr>
          <m:t>U</m:t>
        </m:r>
        <m:r>
          <m:rPr>
            <m:sty m:val="b"/>
          </m:rPr>
          <w:rPr>
            <w:rFonts w:ascii="Cambria Math" w:hAnsi="Cambria Math"/>
          </w:rPr>
          <m:t>1</m:t>
        </m:r>
        <m:r>
          <m:rPr>
            <m:nor/>
          </m:rPr>
          <m:t>.</m:t>
        </m:r>
      </m:oMath>
      <w:r>
        <w:t xml:space="preserve"> A non-negative matrix’s infinity norm is its largest row sum, and row sums at most </w:t>
      </w:r>
      <m:oMath>
        <m:r>
          <w:rPr>
            <w:rFonts w:ascii="Cambria Math" w:hAnsi="Cambria Math"/>
          </w:rPr>
          <m:t>a</m:t>
        </m:r>
      </m:oMath>
      <w:r>
        <w:t xml:space="preserve"> give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a</m:t>
                </m:r>
              </m:e>
              <m:sup>
                <m:r>
                  <w:rPr>
                    <w:rFonts w:ascii="Cambria Math" w:hAnsi="Cambria Math"/>
                  </w:rPr>
                  <m:t>k</m:t>
                </m:r>
              </m:sup>
            </m:sSup>
          </m:e>
        </m:nary>
        <m:r>
          <m:rPr>
            <m:nor/>
          </m:rPr>
          <m:t>.</m:t>
        </m:r>
      </m:oMath>
      <w:r>
        <w:t xml:space="preserve"> </w:t>
      </w:r>
      <m:oMath>
        <m:r>
          <m:rPr>
            <m:sty m:val="p"/>
          </m:rPr>
          <w:rPr>
            <w:rFonts w:ascii="Cambria Math" w:hAnsi="Cambria Math"/>
          </w:rPr>
          <m:t>▫</m:t>
        </m:r>
      </m:oMath>
    </w:p>
    <w:p w14:paraId="63727C5F" w14:textId="77777777" w:rsidR="006B50AE" w:rsidRDefault="00000000" w:rsidP="003364D8">
      <w:pPr>
        <w:pStyle w:val="BodyText"/>
        <w:jc w:val="both"/>
      </w:pPr>
      <w:r>
        <w:t xml:space="preserve">We call </w:t>
      </w:r>
      <m:oMath>
        <m:r>
          <w:rPr>
            <w:rFonts w:ascii="Cambria Math" w:hAnsi="Cambria Math"/>
          </w:rPr>
          <m:t>κ</m:t>
        </m:r>
        <m:d>
          <m:dPr>
            <m:ctrlPr>
              <w:rPr>
                <w:rFonts w:ascii="Cambria Math" w:hAnsi="Cambria Math"/>
              </w:rPr>
            </m:ctrlPr>
          </m:dPr>
          <m:e>
            <m:r>
              <w:rPr>
                <w:rFonts w:ascii="Cambria Math" w:hAnsi="Cambria Math"/>
              </w:rPr>
              <m:t>A</m:t>
            </m:r>
          </m:e>
        </m:d>
      </m:oMath>
      <w:r>
        <w:t xml:space="preserve"> the binding index for the specified component normalisation. The exactness claim concerns the zero-state equality model with </w:t>
      </w:r>
      <m:oMath>
        <m:r>
          <w:rPr>
            <w:rFonts w:ascii="Cambria Math" w:hAnsi="Cambria Math"/>
          </w:rPr>
          <m:t>0</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r>
          <m:rPr>
            <m:sty m:val="b"/>
          </m:rPr>
          <w:rPr>
            <w:rFonts w:ascii="Cambria Math" w:hAnsi="Cambria Math"/>
          </w:rPr>
          <m:t>1</m:t>
        </m:r>
        <m:r>
          <m:rPr>
            <m:nor/>
          </m:rPr>
          <m:t>.</m:t>
        </m:r>
      </m:oMath>
      <w:r>
        <w:t xml:space="preserve"> Every such input gives </w:t>
      </w: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A</m:t>
                </m:r>
              </m:e>
              <m:sup>
                <m:r>
                  <w:rPr>
                    <w:rFonts w:ascii="Cambria Math" w:hAnsi="Cambria Math"/>
                  </w:rPr>
                  <m:t>j</m:t>
                </m:r>
              </m:sup>
            </m:sSup>
          </m:e>
        </m:nary>
        <m:r>
          <m:rPr>
            <m:sty m:val="b"/>
          </m:rPr>
          <w:rPr>
            <w:rFonts w:ascii="Cambria Math" w:hAnsi="Cambria Math"/>
          </w:rPr>
          <m:t>1</m:t>
        </m:r>
        <m:r>
          <m:rPr>
            <m:nor/>
          </m:rPr>
          <m:t>,</m:t>
        </m:r>
      </m:oMath>
      <w:r>
        <w:t xml:space="preserve"> and the constant maximum input approaches </w:t>
      </w:r>
      <m:oMath>
        <m:r>
          <w:rPr>
            <w:rFonts w:ascii="Cambria Math" w:hAnsi="Cambria Math"/>
          </w:rPr>
          <m:t>U</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r>
          <m:rPr>
            <m:sty m:val="b"/>
          </m:rPr>
          <w:rPr>
            <w:rFonts w:ascii="Cambria Math" w:hAnsi="Cambria Math"/>
          </w:rPr>
          <m:t>1</m:t>
        </m:r>
        <m:r>
          <m:rPr>
            <m:nor/>
          </m:rPr>
          <m:t>.</m:t>
        </m:r>
      </m:oMath>
      <w:r>
        <w:t xml:space="preserve"> Thus the supremum over time and admissible inputs is exactly </w:t>
      </w:r>
      <m:oMath>
        <m:r>
          <w:rPr>
            <w:rFonts w:ascii="Cambria Math" w:hAnsi="Cambria Math"/>
          </w:rPr>
          <m:t>Uκ</m:t>
        </m:r>
        <m:d>
          <m:dPr>
            <m:ctrlPr>
              <w:rPr>
                <w:rFonts w:ascii="Cambria Math" w:hAnsi="Cambria Math"/>
              </w:rPr>
            </m:ctrlPr>
          </m:dPr>
          <m:e>
            <m:r>
              <w:rPr>
                <w:rFonts w:ascii="Cambria Math" w:hAnsi="Cambria Math"/>
              </w:rPr>
              <m:t>A</m:t>
            </m:r>
          </m:e>
        </m:d>
        <m:r>
          <m:rPr>
            <m:nor/>
          </m:rPr>
          <m:t>.</m:t>
        </m:r>
      </m:oMath>
      <w:r>
        <w:t xml:space="preserve"> A non-zero initial state adds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x</m:t>
        </m:r>
        <m:d>
          <m:dPr>
            <m:ctrlPr>
              <w:rPr>
                <w:rFonts w:ascii="Cambria Math" w:hAnsi="Cambria Math"/>
              </w:rPr>
            </m:ctrlPr>
          </m:dPr>
          <m:e>
            <m:r>
              <w:rPr>
                <w:rFonts w:ascii="Cambria Math" w:hAnsi="Cambria Math"/>
              </w:rPr>
              <m:t>0</m:t>
            </m:r>
          </m:e>
        </m:d>
        <m:r>
          <m:rPr>
            <m:nor/>
          </m:rPr>
          <m:t>,</m:t>
        </m:r>
      </m:oMath>
      <w:r>
        <w:t xml:space="preserve"> which may have a large transient. For an inequality envelope, the result is an upper bound, and instability of that envelope need not imply instability of the actual system.</w:t>
      </w:r>
    </w:p>
    <w:p w14:paraId="3A1A2D71" w14:textId="77777777" w:rsidR="006B50AE" w:rsidRDefault="00000000" w:rsidP="003364D8">
      <w:pPr>
        <w:pStyle w:val="BodyText"/>
        <w:jc w:val="both"/>
      </w:pPr>
      <w:r>
        <w:t xml:space="preserve">The unweighted estimate </w:t>
      </w:r>
      <m:oMath>
        <m:r>
          <w:rPr>
            <w:rFonts w:ascii="Cambria Math" w:hAnsi="Cambria Math"/>
          </w:rPr>
          <m:t>κ</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requires </w:t>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1</m:t>
        </m:r>
        <m:r>
          <m:rPr>
            <m:nor/>
          </m:rPr>
          <m:t>.</m:t>
        </m:r>
      </m:oMath>
      <w:r>
        <w:t xml:space="preserve"> A weighted contraction with </w:t>
      </w:r>
      <m:oMath>
        <m:r>
          <w:rPr>
            <w:rFonts w:ascii="Cambria Math" w:hAnsi="Cambria Math"/>
          </w:rPr>
          <m:t>Av</m:t>
        </m:r>
        <m:r>
          <m:rPr>
            <m:sty m:val="p"/>
          </m:rPr>
          <w:rPr>
            <w:rFonts w:ascii="Cambria Math" w:hAnsi="Cambria Math"/>
          </w:rPr>
          <m:t>≤</m:t>
        </m:r>
        <m:r>
          <w:rPr>
            <w:rFonts w:ascii="Cambria Math" w:hAnsi="Cambria Math"/>
          </w:rPr>
          <m:t>av</m:t>
        </m:r>
      </m:oMath>
      <w:r>
        <w:t xml:space="preserve"> instead gives </w:t>
      </w:r>
      <m:oMath>
        <m:r>
          <w:rPr>
            <w:rFonts w:ascii="Cambria Math" w:hAnsi="Cambria Math"/>
          </w:rPr>
          <m:t>κ</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nor/>
          </m:rPr>
          <m:t>.</m:t>
        </m:r>
      </m:oMath>
      <w:r>
        <w:t xml:space="preserve"> Indeed, </w:t>
      </w:r>
      <m:oMath>
        <m:r>
          <m:rPr>
            <m:sty m:val="b"/>
          </m:rP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r>
          <m:rPr>
            <m:nor/>
          </m:rPr>
          <m:t>,</m:t>
        </m:r>
      </m:oMath>
      <w:r>
        <w:t xml:space="preserve"> so the positive Neumann series gives the claim. Substituting a Perron eigenvalue into the unweighted estimate is invalid. The shared-broker example has </w:t>
      </w:r>
      <m:oMath>
        <m:r>
          <w:rPr>
            <w:rFonts w:ascii="Cambria Math" w:hAnsi="Cambria Math"/>
          </w:rPr>
          <m:t>κ</m:t>
        </m:r>
        <m:r>
          <m:rPr>
            <m:sty m:val="p"/>
          </m:rPr>
          <w:rPr>
            <w:rFonts w:ascii="Cambria Math" w:hAnsi="Cambria Math"/>
          </w:rPr>
          <m:t>=</m:t>
        </m:r>
        <m:r>
          <w:rPr>
            <w:rFonts w:ascii="Cambria Math" w:hAnsi="Cambria Math"/>
          </w:rPr>
          <m:t>2.895</m:t>
        </m:r>
        <m:r>
          <m:rPr>
            <m:sty m:val="p"/>
          </m:rPr>
          <w:rPr>
            <w:rFonts w:ascii="Cambria Math" w:hAnsi="Cambria Math"/>
          </w:rPr>
          <m:t>&gt;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0.490</m:t>
            </m:r>
          </m:e>
        </m:d>
        <m:r>
          <m:rPr>
            <m:sty m:val="p"/>
          </m:rPr>
          <w:rPr>
            <w:rFonts w:ascii="Cambria Math" w:hAnsi="Cambria Math"/>
          </w:rPr>
          <m:t>≈</m:t>
        </m:r>
        <m:r>
          <w:rPr>
            <w:rFonts w:ascii="Cambria Math" w:hAnsi="Cambria Math"/>
          </w:rPr>
          <m:t>1.960</m:t>
        </m:r>
        <m:r>
          <m:rPr>
            <m:nor/>
          </m:rPr>
          <m:t>.</m:t>
        </m:r>
      </m:oMath>
    </w:p>
    <w:p w14:paraId="194E153B" w14:textId="77777777" w:rsidR="006B50AE" w:rsidRDefault="00000000" w:rsidP="003364D8">
      <w:pPr>
        <w:pStyle w:val="BodyText"/>
        <w:jc w:val="both"/>
      </w:pPr>
      <w:r>
        <w:t xml:space="preserve">The binding index is at least one because the Neumann series includes </w:t>
      </w:r>
      <m:oMath>
        <m:r>
          <w:rPr>
            <w:rFonts w:ascii="Cambria Math" w:hAnsi="Cambria Math"/>
          </w:rPr>
          <m:t>I</m:t>
        </m:r>
        <m:r>
          <m:rPr>
            <m:nor/>
          </m:rPr>
          <m:t>.</m:t>
        </m:r>
      </m:oMath>
      <w:r>
        <w:t xml:space="preserve"> It is an amplification measure to keep below a declared tolerance, not a reproduction factor to drive below one. Stability alone is insufficient: the matrix with rows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has spectral radius zero but binding index eleven.</w:t>
      </w:r>
    </w:p>
    <w:p w14:paraId="63912F5B" w14:textId="77777777" w:rsidR="006B50AE" w:rsidRDefault="00000000" w:rsidP="003364D8">
      <w:pPr>
        <w:pStyle w:val="BodyText"/>
        <w:keepNext/>
        <w:jc w:val="both"/>
      </w:pPr>
      <w:r>
        <w:rPr>
          <w:b/>
          <w:bCs/>
        </w:rPr>
        <w:t>Example — a shared broker.</w:t>
      </w:r>
      <w:r>
        <w:t xml:space="preserve"> Let component 0 be a broker that receives disturbance 0.3 from each of four services, and let each service receive 0.2 from the broker. The broker’s row sum is 1.2, so Proposition 1 says nothing. But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0.2</m:t>
            </m:r>
          </m:e>
        </m:rad>
        <m:r>
          <m:rPr>
            <m:sty m:val="p"/>
          </m:rPr>
          <w:rPr>
            <w:rFonts w:ascii="Cambria Math" w:hAnsi="Cambria Math"/>
          </w:rPr>
          <m:t>≈</m:t>
        </m:r>
        <m:r>
          <w:rPr>
            <w:rFonts w:ascii="Cambria Math" w:hAnsi="Cambria Math"/>
          </w:rPr>
          <m:t>0.490</m:t>
        </m:r>
        <m:r>
          <m:rPr>
            <m:nor/>
          </m:rPr>
          <m:t>,</m:t>
        </m:r>
      </m:oMath>
      <w:r>
        <w:t xml:space="preserve"> and solving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0.2</m:t>
            </m:r>
            <m:sSub>
              <m:sSubPr>
                <m:ctrlPr>
                  <w:rPr>
                    <w:rFonts w:ascii="Cambria Math" w:hAnsi="Cambria Math"/>
                  </w:rPr>
                </m:ctrlPr>
              </m:sSubPr>
              <m:e>
                <m:r>
                  <w:rPr>
                    <w:rFonts w:ascii="Cambria Math" w:hAnsi="Cambria Math"/>
                  </w:rPr>
                  <m:t>x</m:t>
                </m:r>
              </m:e>
              <m:sub>
                <m:r>
                  <w:rPr>
                    <w:rFonts w:ascii="Cambria Math" w:hAnsi="Cambria Math"/>
                  </w:rPr>
                  <m:t>0</m:t>
                </m:r>
              </m:sub>
            </m:sSub>
          </m:e>
        </m:d>
      </m:oMath>
      <w:r>
        <w:t xml:space="preserve"> gives</w:t>
      </w:r>
    </w:p>
    <w:p w14:paraId="53D2955E" w14:textId="77777777" w:rsidR="006B50AE" w:rsidRDefault="00000000" w:rsidP="003364D8">
      <w:pPr>
        <w:pStyle w:val="Equation"/>
        <w:jc w:val="both"/>
      </w:pPr>
      <w:r>
        <w:tab/>
      </w:r>
      <m:oMath>
        <m:r>
          <w:rPr>
            <w:rFonts w:ascii="Cambria Math" w:hAnsi="Cambria Math"/>
          </w:rPr>
          <m:t>κ</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0.3</m:t>
            </m:r>
          </m:num>
          <m:den>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0.2</m:t>
            </m:r>
          </m:den>
        </m:f>
        <m:r>
          <m:rPr>
            <m:sty m:val="p"/>
          </m:rP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0.76</m:t>
            </m:r>
          </m:den>
        </m:f>
        <m:r>
          <m:rPr>
            <m:sty m:val="p"/>
          </m:rPr>
          <w:rPr>
            <w:rFonts w:ascii="Cambria Math" w:hAnsi="Cambria Math"/>
          </w:rPr>
          <m:t>≈</m:t>
        </m:r>
        <m:r>
          <w:rPr>
            <w:rFonts w:ascii="Cambria Math" w:hAnsi="Cambria Math"/>
          </w:rPr>
          <m:t>2.895</m:t>
        </m:r>
        <m:r>
          <m:rPr>
            <m:sty m:val="p"/>
          </m:rPr>
          <w:rPr>
            <w:rFonts w:ascii="Cambria Math" w:hAnsi="Cambria Math"/>
          </w:rPr>
          <m:t>.</m:t>
        </m:r>
      </m:oMath>
      <w:r>
        <w:tab/>
        <w:t>(5)</w:t>
      </w:r>
    </w:p>
    <w:p w14:paraId="50B912C9" w14:textId="77777777" w:rsidR="006B50AE" w:rsidRDefault="00000000" w:rsidP="003364D8">
      <w:pPr>
        <w:pStyle w:val="BodyText"/>
        <w:jc w:val="both"/>
      </w:pPr>
      <w:r>
        <w:t>The disturbance converges to this value (Figure 2a).</w:t>
      </w:r>
    </w:p>
    <w:p w14:paraId="6712887A" w14:textId="77777777" w:rsidR="006B50AE" w:rsidRDefault="00000000" w:rsidP="003364D8">
      <w:pPr>
        <w:pStyle w:val="BodyText"/>
        <w:keepNext/>
        <w:jc w:val="both"/>
      </w:pPr>
      <w:r>
        <w:rPr>
          <w:b/>
          <w:bCs/>
        </w:rPr>
        <w:t>Proposition 5 — Monotone reduction under the spectral condition.</w:t>
      </w:r>
      <w:r>
        <w:t xml:space="preserve"> If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w:r>
        <w:t xml:space="preserve"> and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1</m:t>
        </m:r>
        <m:r>
          <m:rPr>
            <m:nor/>
          </m:rPr>
          <m:t>,</m:t>
        </m:r>
      </m:oMath>
      <w:r>
        <w:t xml:space="preserve"> then </w:t>
      </w:r>
      <m:oMath>
        <m:r>
          <w:rPr>
            <w:rFonts w:ascii="Cambria Math" w:hAnsi="Cambria Math"/>
          </w:rPr>
          <m:t>ρ</m:t>
        </m:r>
        <m:d>
          <m:dPr>
            <m:ctrlPr>
              <w:rPr>
                <w:rFonts w:ascii="Cambria Math" w:hAnsi="Cambria Math"/>
              </w:rPr>
            </m:ctrlPr>
          </m:dPr>
          <m:e>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A</m:t>
            </m:r>
          </m:e>
        </m:d>
        <m:r>
          <m:rPr>
            <m:nor/>
          </m:rPr>
          <m:t>,</m:t>
        </m:r>
      </m:oMath>
      <w: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oMath>
      <w:r>
        <w:t xml:space="preserve"> entrywise, and </w:t>
      </w:r>
      <m:oMath>
        <m:r>
          <w:rPr>
            <w:rFonts w:ascii="Cambria Math" w:hAnsi="Cambria Math"/>
          </w:rPr>
          <m:t>κ</m:t>
        </m:r>
        <m:d>
          <m:dPr>
            <m:ctrlPr>
              <w:rPr>
                <w:rFonts w:ascii="Cambria Math" w:hAnsi="Cambria Math"/>
              </w:rPr>
            </m:ctrlPr>
          </m:dPr>
          <m:e>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κ</m:t>
        </m:r>
        <m:d>
          <m:dPr>
            <m:ctrlPr>
              <w:rPr>
                <w:rFonts w:ascii="Cambria Math" w:hAnsi="Cambria Math"/>
              </w:rPr>
            </m:ctrlPr>
          </m:dPr>
          <m:e>
            <m:r>
              <w:rPr>
                <w:rFonts w:ascii="Cambria Math" w:hAnsi="Cambria Math"/>
              </w:rPr>
              <m:t>A</m:t>
            </m:r>
          </m:e>
        </m:d>
        <m:r>
          <m:rPr>
            <m:nor/>
          </m:rPr>
          <m:t>.</m:t>
        </m:r>
      </m:oMath>
    </w:p>
    <w:p w14:paraId="4D0A99E5" w14:textId="77777777" w:rsidR="006B50AE" w:rsidRDefault="00000000" w:rsidP="003364D8">
      <w:pPr>
        <w:pStyle w:val="BodyText"/>
        <w:jc w:val="both"/>
      </w:pPr>
      <w:r>
        <w:rPr>
          <w:i/>
          <w:iCs/>
        </w:rPr>
        <w:t>Proof.</w:t>
      </w:r>
      <w: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e>
            </m:d>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oMath>
      <w:r>
        <w:t xml:space="preserve"> for every </w:t>
      </w:r>
      <m:oMath>
        <m:r>
          <w:rPr>
            <w:rFonts w:ascii="Cambria Math" w:hAnsi="Cambria Math"/>
          </w:rPr>
          <m:t>k</m:t>
        </m:r>
      </m:oMath>
      <w:r>
        <w:t xml:space="preserve"> by induction. The Neumann series of </w:t>
      </w:r>
      <m:oMath>
        <m:r>
          <w:rPr>
            <w:rFonts w:ascii="Cambria Math" w:hAnsi="Cambria Math"/>
          </w:rPr>
          <m:t>A</m:t>
        </m:r>
      </m:oMath>
      <w:r>
        <w:t xml:space="preserve"> converges, so that of </w:t>
      </w:r>
      <m:oMath>
        <m:r>
          <w:rPr>
            <w:rFonts w:ascii="Cambria Math" w:hAnsi="Cambria Math"/>
          </w:rPr>
          <m:t>A</m:t>
        </m:r>
        <m:r>
          <m:rPr>
            <m:sty m:val="p"/>
          </m:rPr>
          <w:rPr>
            <w:rFonts w:ascii="Cambria Math" w:hAnsi="Cambria Math"/>
          </w:rPr>
          <m:t>'</m:t>
        </m:r>
      </m:oMath>
      <w:r>
        <w:t xml:space="preserve"> converges and is dominated term by term. Monotonicity of the spectral radius on non-negative matrices follows [19]. </w:t>
      </w:r>
      <m:oMath>
        <m:r>
          <m:rPr>
            <m:sty m:val="p"/>
          </m:rPr>
          <w:rPr>
            <w:rFonts w:ascii="Cambria Math" w:hAnsi="Cambria Math"/>
          </w:rPr>
          <m:t>▫</m:t>
        </m:r>
      </m:oMath>
    </w:p>
    <w:p w14:paraId="2ABEBD69" w14:textId="77777777" w:rsidR="006B50AE" w:rsidRDefault="00000000" w:rsidP="003364D8">
      <w:pPr>
        <w:pStyle w:val="BodyText"/>
        <w:keepNext/>
        <w:jc w:val="both"/>
      </w:pPr>
      <w:r>
        <w:lastRenderedPageBreak/>
        <w:t xml:space="preserve">Proposition 5 retains the essential hypothesis </w:t>
      </w:r>
      <m:oMath>
        <m:r>
          <w:rPr>
            <w:rFonts w:ascii="Cambria Math" w:hAnsi="Cambria Math"/>
          </w:rPr>
          <m:t>A</m:t>
        </m:r>
        <m:r>
          <m:rPr>
            <m:sty m:val="p"/>
          </m:rPr>
          <w:rPr>
            <w:rFonts w:ascii="Cambria Math" w:hAnsi="Cambria Math"/>
          </w:rPr>
          <m:t>'≤</m:t>
        </m:r>
        <m:r>
          <w:rPr>
            <w:rFonts w:ascii="Cambria Math" w:hAnsi="Cambria Math"/>
          </w:rPr>
          <m:t>A</m:t>
        </m:r>
        <m:r>
          <m:rPr>
            <m:nor/>
          </m:rPr>
          <m:t>,</m:t>
        </m:r>
      </m:oMath>
      <w:r>
        <w:t xml:space="preserve"> including the same dimension and normalisation. An architectural extraction changes those conditions. The three-module monolith has zero diagonal and every off-diagonal entry equal to 0.3, giving </w:t>
      </w:r>
      <m:oMath>
        <m:r>
          <w:rPr>
            <w:rFonts w:ascii="Cambria Math" w:hAnsi="Cambria Math"/>
          </w:rPr>
          <m:t>κ</m:t>
        </m:r>
        <m:r>
          <m:rPr>
            <m:sty m:val="p"/>
          </m:rPr>
          <w:rPr>
            <w:rFonts w:ascii="Cambria Math" w:hAnsi="Cambria Math"/>
          </w:rPr>
          <m:t>=</m:t>
        </m:r>
        <m:r>
          <w:rPr>
            <w:rFonts w:ascii="Cambria Math" w:hAnsi="Cambria Math"/>
          </w:rPr>
          <m:t>2.50</m:t>
        </m:r>
      </m:oMath>
      <w:r>
        <w:t xml:space="preserve"> and spectral radius 0.60. Reducing direct influence to 0.1 while connecting each of the three services bidirectionally to a new broker at 0.3 gives a four-component index of 3.2075 and spectral radius 0.6292. This all-component index includes a unit disturbance injected at the new broker and counts the broker as an output. It cannot alone establish that the same user-facing workload became worse.</w:t>
      </w:r>
    </w:p>
    <w:p w14:paraId="7275291A" w14:textId="77777777" w:rsidR="006B50AE" w:rsidRDefault="00000000" w:rsidP="003364D8">
      <w:pPr>
        <w:pStyle w:val="BodyText"/>
        <w:keepNext/>
        <w:jc w:val="both"/>
      </w:pPr>
      <w:r>
        <w:rPr>
          <w:b/>
          <w:bCs/>
        </w:rPr>
        <w:t>Corollary 2 — Match inputs and outputs before comparing architectures.</w:t>
      </w:r>
      <w:r>
        <w:t xml:space="preserve"> For non-negative input routing </w:t>
      </w:r>
      <m:oMath>
        <m:r>
          <w:rPr>
            <w:rFonts w:ascii="Cambria Math" w:hAnsi="Cambria Math"/>
          </w:rPr>
          <m:t>B</m:t>
        </m:r>
      </m:oMath>
      <w:r>
        <w:t xml:space="preserve"> and output selection </w:t>
      </w:r>
      <m:oMath>
        <m:r>
          <w:rPr>
            <w:rFonts w:ascii="Cambria Math" w:hAnsi="Cambria Math"/>
          </w:rPr>
          <m:t>C</m:t>
        </m:r>
        <m:r>
          <m:rPr>
            <m:nor/>
          </m:rPr>
          <m:t>,</m:t>
        </m:r>
      </m:oMath>
      <w:r>
        <w:t xml:space="preserve"> the zero-state system </w:t>
      </w:r>
      <m:oMath>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Ax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Bu</m:t>
        </m:r>
        <m:d>
          <m:dPr>
            <m:ctrlPr>
              <w:rPr>
                <w:rFonts w:ascii="Cambria Math" w:hAnsi="Cambria Math"/>
              </w:rPr>
            </m:ctrlPr>
          </m:dPr>
          <m:e>
            <m:r>
              <w:rPr>
                <w:rFonts w:ascii="Cambria Math" w:hAnsi="Cambria Math"/>
              </w:rPr>
              <m:t>t</m:t>
            </m:r>
          </m:e>
        </m:d>
      </m:oMath>
      <w:r>
        <w:t xml:space="preserve"> and </w:t>
      </w: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Cx</m:t>
        </m:r>
        <m:d>
          <m:dPr>
            <m:ctrlPr>
              <w:rPr>
                <w:rFonts w:ascii="Cambria Math" w:hAnsi="Cambria Math"/>
              </w:rPr>
            </m:ctrlPr>
          </m:dPr>
          <m:e>
            <m:r>
              <w:rPr>
                <w:rFonts w:ascii="Cambria Math" w:hAnsi="Cambria Math"/>
              </w:rPr>
              <m:t>t</m:t>
            </m:r>
          </m:e>
        </m:d>
        <m:r>
          <m:rPr>
            <m:nor/>
          </m:rPr>
          <m:t>,</m:t>
        </m:r>
      </m:oMath>
      <w:r>
        <w:t xml:space="preserve"> with fixed stable </w:t>
      </w:r>
      <m:oMath>
        <m:r>
          <w:rPr>
            <w:rFonts w:ascii="Cambria Math" w:hAnsi="Cambria Math"/>
          </w:rPr>
          <m:t>A</m:t>
        </m:r>
        <m:r>
          <m:rPr>
            <m:nor/>
          </m:rPr>
          <m:t>,</m:t>
        </m:r>
      </m:oMath>
      <w:r>
        <w:t xml:space="preserve"> has exact worst-case gain</w:t>
      </w:r>
    </w:p>
    <w:p w14:paraId="13B6C0FC" w14:textId="77777777" w:rsidR="006B50AE" w:rsidRDefault="00000000" w:rsidP="003364D8">
      <w:pPr>
        <w:pStyle w:val="Equation"/>
        <w:jc w:val="both"/>
      </w:pPr>
      <w:r>
        <w:tab/>
      </w:r>
      <m:oMath>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t>
            </m:r>
            <m:r>
              <w:rPr>
                <w:rFonts w:ascii="Cambria Math" w:hAnsi="Cambria Math"/>
              </w:rPr>
              <m:t>C</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r>
          <w:rPr>
            <w:rFonts w:ascii="Cambria Math" w:hAnsi="Cambria Math"/>
          </w:rPr>
          <m:t>B</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oMath>
      <w:r>
        <w:tab/>
        <w:t>(6)</w:t>
      </w:r>
    </w:p>
    <w:p w14:paraId="651644CF" w14:textId="77777777" w:rsidR="006B50AE" w:rsidRDefault="00000000" w:rsidP="003364D8">
      <w:pPr>
        <w:pStyle w:val="BodyText"/>
        <w:jc w:val="both"/>
      </w:pPr>
      <w:r>
        <w:rPr>
          <w:i/>
          <w:iCs/>
        </w:rPr>
        <w:t>Proof.</w:t>
      </w:r>
      <w:r>
        <w:t xml:space="preserve"> Apply the positive comparison and constant-maximum-input argument of Proposition 4 to </w:t>
      </w:r>
      <m:oMath>
        <m:r>
          <w:rPr>
            <w:rFonts w:ascii="Cambria Math" w:hAnsi="Cambria Math"/>
          </w:rPr>
          <m:t>C</m:t>
        </m:r>
        <m:sSup>
          <m:sSupPr>
            <m:ctrlPr>
              <w:rPr>
                <w:rFonts w:ascii="Cambria Math" w:hAnsi="Cambria Math"/>
              </w:rPr>
            </m:ctrlPr>
          </m:sSupPr>
          <m:e>
            <m:r>
              <w:rPr>
                <w:rFonts w:ascii="Cambria Math" w:hAnsi="Cambria Math"/>
              </w:rPr>
              <m:t>A</m:t>
            </m:r>
          </m:e>
          <m:sup>
            <m:r>
              <w:rPr>
                <w:rFonts w:ascii="Cambria Math" w:hAnsi="Cambria Math"/>
              </w:rPr>
              <m:t>j</m:t>
            </m:r>
          </m:sup>
        </m:sSup>
        <m:r>
          <w:rPr>
            <w:rFonts w:ascii="Cambria Math" w:hAnsi="Cambria Math"/>
          </w:rPr>
          <m:t>B</m:t>
        </m:r>
      </m:oMath>
      <w:r>
        <w:t xml:space="preserve"> and sum the Neumann series. </w:t>
      </w:r>
      <m:oMath>
        <m:r>
          <m:rPr>
            <m:sty m:val="p"/>
          </m:rPr>
          <w:rPr>
            <w:rFonts w:ascii="Cambria Math" w:hAnsi="Cambria Math"/>
          </w:rPr>
          <m:t>▫</m:t>
        </m:r>
      </m:oMath>
    </w:p>
    <w:p w14:paraId="225A9B0F" w14:textId="77777777" w:rsidR="006B50AE" w:rsidRDefault="00000000" w:rsidP="003364D8">
      <w:pPr>
        <w:pStyle w:val="BodyText"/>
        <w:jc w:val="both"/>
      </w:pPr>
      <w:r>
        <w:t xml:space="preserve">Use three source channels and three service outputs in both architectures. For the split, </w:t>
      </w:r>
      <m:oMath>
        <m:r>
          <w:rPr>
            <w:rFonts w:ascii="Cambria Math" w:hAnsi="Cambria Math"/>
          </w:rPr>
          <m:t>B</m:t>
        </m:r>
      </m:oMath>
      <w:r>
        <w:t xml:space="preserve"> has the three-row identity above one zero row, and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nor/>
          </m:rPr>
          <m:t>.</m:t>
        </m:r>
      </m:oMath>
      <w:r>
        <w:t xml:space="preserve"> If the broker coupling is </w:t>
      </w:r>
      <m:oMath>
        <m:r>
          <w:rPr>
            <w:rFonts w:ascii="Cambria Math" w:hAnsi="Cambria Math"/>
          </w:rPr>
          <m:t>b</m:t>
        </m:r>
        <m:r>
          <m:rPr>
            <m:nor/>
          </m:rPr>
          <m:t>,</m:t>
        </m:r>
      </m:oMath>
      <w:r>
        <w:t xml:space="preserve"> symmetry gives service gain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2</m:t>
                </m:r>
              </m:sup>
            </m:sSup>
          </m:e>
        </m:d>
      </m:oMath>
      <w:r>
        <w:t xml:space="preserve"> while stable. At </w:t>
      </w:r>
      <m:oMath>
        <m:r>
          <w:rPr>
            <w:rFonts w:ascii="Cambria Math" w:hAnsi="Cambria Math"/>
          </w:rPr>
          <m:t>b</m:t>
        </m:r>
        <m:r>
          <m:rPr>
            <m:sty m:val="p"/>
          </m:rPr>
          <w:rPr>
            <w:rFonts w:ascii="Cambria Math" w:hAnsi="Cambria Math"/>
          </w:rPr>
          <m:t>=</m:t>
        </m:r>
        <m:r>
          <w:rPr>
            <w:rFonts w:ascii="Cambria Math" w:hAnsi="Cambria Math"/>
          </w:rPr>
          <m:t>0.3</m:t>
        </m:r>
      </m:oMath>
      <w:r>
        <w:t xml:space="preserve"> this is 1.8868, an improvement over 2.50. At </w:t>
      </w:r>
      <m:oMath>
        <m:r>
          <w:rPr>
            <w:rFonts w:ascii="Cambria Math" w:hAnsi="Cambria Math"/>
          </w:rPr>
          <m:t>b</m:t>
        </m:r>
        <m:r>
          <m:rPr>
            <m:sty m:val="p"/>
          </m:rPr>
          <w:rPr>
            <w:rFonts w:ascii="Cambria Math" w:hAnsi="Cambria Math"/>
          </w:rPr>
          <m:t>=</m:t>
        </m:r>
        <m:r>
          <w:rPr>
            <w:rFonts w:ascii="Cambria Math" w:hAnsi="Cambria Math"/>
          </w:rPr>
          <m:t>0.4</m:t>
        </m:r>
      </m:oMath>
      <w:r>
        <w:t xml:space="preserve"> it is 3.1250, a deterioration despite the smaller direct service couplings; the split remains stable with spectral radius 0.80. This is the matched example of extraction worsening amplification. All values are illustrative, not measurements.</w:t>
      </w:r>
    </w:p>
    <w:p w14:paraId="08FB4A78" w14:textId="77777777" w:rsidR="006B50AE" w:rsidRDefault="00000000" w:rsidP="003364D8">
      <w:pPr>
        <w:pStyle w:val="BodyText"/>
        <w:keepNext/>
        <w:jc w:val="both"/>
      </w:pPr>
      <w:r>
        <w:rPr>
          <w:b/>
          <w:bCs/>
        </w:rPr>
        <w:t>Corollary 3 — A common envelope for changing architectures.</w:t>
      </w:r>
      <w:r>
        <w:t xml:space="preserve"> If every admitted matrix satisfies </w:t>
      </w:r>
      <m:oMath>
        <m:r>
          <w:rPr>
            <w:rFonts w:ascii="Cambria Math" w:hAnsi="Cambria Math"/>
          </w:rPr>
          <m:t>0</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A</m:t>
            </m:r>
          </m:e>
        </m:acc>
      </m:oMath>
      <w:r>
        <w:t xml:space="preserve"> and </w:t>
      </w:r>
      <m:oMath>
        <m:r>
          <w:rPr>
            <w:rFonts w:ascii="Cambria Math" w:hAnsi="Cambria Math"/>
          </w:rPr>
          <m:t>ρ</m:t>
        </m:r>
        <m:d>
          <m:dPr>
            <m:ctrlPr>
              <w:rPr>
                <w:rFonts w:ascii="Cambria Math" w:hAnsi="Cambria Math"/>
              </w:rPr>
            </m:ctrlPr>
          </m:dPr>
          <m:e>
            <m:acc>
              <m:accPr>
                <m:chr m:val="‾"/>
                <m:ctrlPr>
                  <w:rPr>
                    <w:rFonts w:ascii="Cambria Math" w:hAnsi="Cambria Math"/>
                  </w:rPr>
                </m:ctrlPr>
              </m:accPr>
              <m:e>
                <m:r>
                  <w:rPr>
                    <w:rFonts w:ascii="Cambria Math" w:hAnsi="Cambria Math"/>
                  </w:rPr>
                  <m:t>A</m:t>
                </m:r>
              </m:e>
            </m:acc>
          </m:e>
        </m:d>
        <m:r>
          <m:rPr>
            <m:sty m:val="p"/>
          </m:rPr>
          <w:rPr>
            <w:rFonts w:ascii="Cambria Math" w:hAnsi="Cambria Math"/>
          </w:rPr>
          <m:t>&lt;</m:t>
        </m:r>
        <m:r>
          <w:rPr>
            <w:rFonts w:ascii="Cambria Math" w:hAnsi="Cambria Math"/>
          </w:rPr>
          <m:t>1</m:t>
        </m:r>
        <m:r>
          <m:rPr>
            <m:nor/>
          </m:rPr>
          <m:t>,</m:t>
        </m:r>
      </m:oMath>
      <w:r>
        <w:t xml:space="preserve"> then the time-varying system is dominated by the fixed system with </w:t>
      </w:r>
      <m:oMath>
        <m:acc>
          <m:accPr>
            <m:chr m:val="‾"/>
            <m:ctrlPr>
              <w:rPr>
                <w:rFonts w:ascii="Cambria Math" w:hAnsi="Cambria Math"/>
              </w:rPr>
            </m:ctrlPr>
          </m:accPr>
          <m:e>
            <m:r>
              <w:rPr>
                <w:rFonts w:ascii="Cambria Math" w:hAnsi="Cambria Math"/>
              </w:rPr>
              <m:t>A</m:t>
            </m:r>
          </m:e>
        </m:acc>
        <m:r>
          <m:rPr>
            <m:nor/>
          </m:rPr>
          <m:t>.</m:t>
        </m:r>
      </m:oMath>
      <w:r>
        <w:t xml:space="preserve"> More generally, a common positive </w:t>
      </w:r>
      <m:oMath>
        <m:r>
          <w:rPr>
            <w:rFonts w:ascii="Cambria Math" w:hAnsi="Cambria Math"/>
          </w:rPr>
          <m:t>v</m:t>
        </m:r>
      </m:oMath>
      <w:r>
        <w:t xml:space="preserve"> with </w:t>
      </w:r>
      <m:oMath>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v</m:t>
        </m:r>
        <m:r>
          <m:rPr>
            <m:sty m:val="p"/>
          </m:rPr>
          <w:rPr>
            <w:rFonts w:ascii="Cambria Math" w:hAnsi="Cambria Math"/>
          </w:rPr>
          <m:t>≤</m:t>
        </m:r>
        <m:r>
          <w:rPr>
            <w:rFonts w:ascii="Cambria Math" w:hAnsi="Cambria Math"/>
          </w:rPr>
          <m:t>av</m:t>
        </m:r>
      </m:oMath>
      <w:r>
        <w:t xml:space="preserve"> for all </w:t>
      </w:r>
      <m:oMath>
        <m:r>
          <w:rPr>
            <w:rFonts w:ascii="Cambria Math" w:hAnsi="Cambria Math"/>
          </w:rPr>
          <m:t>t</m:t>
        </m:r>
      </m:oMath>
      <w:r>
        <w:t xml:space="preserve"> and one </w:t>
      </w:r>
      <m:oMath>
        <m:r>
          <w:rPr>
            <w:rFonts w:ascii="Cambria Math" w:hAnsi="Cambria Math"/>
          </w:rPr>
          <m:t>a</m:t>
        </m:r>
        <m:r>
          <m:rPr>
            <m:sty m:val="p"/>
          </m:rPr>
          <w:rPr>
            <w:rFonts w:ascii="Cambria Math" w:hAnsi="Cambria Math"/>
          </w:rPr>
          <m:t>&lt;</m:t>
        </m:r>
        <m:r>
          <w:rPr>
            <w:rFonts w:ascii="Cambria Math" w:hAnsi="Cambria Math"/>
          </w:rPr>
          <m:t>1</m:t>
        </m:r>
      </m:oMath>
      <w:r>
        <w:t xml:space="preserve"> gives bound (3) uniformly. The proofs use componentwise induction and the same weighted norm at every step.</w:t>
      </w:r>
    </w:p>
    <w:p w14:paraId="2B64A407" w14:textId="77777777" w:rsidR="006B50AE" w:rsidRDefault="00000000" w:rsidP="003364D8">
      <w:pPr>
        <w:pStyle w:val="BodyText"/>
        <w:jc w:val="both"/>
      </w:pPr>
      <w:r>
        <w:t xml:space="preserve">Checking each matrix’s spectral radius separately is insufficient. The matrices with rows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0.5</m:t>
            </m:r>
          </m:e>
        </m:d>
      </m:oMath>
      <w:r>
        <w:t xml:space="preserve"> and their transpose each have radius 0.5, but their two-step product has radius approximately 4.486. Alternation can grow. The harness therefore admits operations against a validated common influence envelope; it does not claim safety from isolated spectral tests.</w:t>
      </w:r>
    </w:p>
    <w:p w14:paraId="4EF5707E" w14:textId="77777777" w:rsidR="006B50AE" w:rsidRDefault="00000000" w:rsidP="003364D8">
      <w:pPr>
        <w:pStyle w:val="BodyText"/>
        <w:jc w:val="both"/>
      </w:pPr>
      <w:r>
        <w:t xml:space="preserve">Across 500 random matrices with row sums below one, the exact index had a median of 0.80 times Version 1’s bound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nor/>
          </m:rPr>
          <m:t>,</m:t>
        </m:r>
      </m:oMath>
      <w:r>
        <w:t xml:space="preserve"> and as little as 0.23 times. The row-sum bound is safe but can be very loose.</w:t>
      </w:r>
    </w:p>
    <w:p w14:paraId="38E96458" w14:textId="77777777" w:rsidR="006B50AE" w:rsidRDefault="00000000" w:rsidP="003364D8">
      <w:pPr>
        <w:pStyle w:val="Heading21"/>
        <w:jc w:val="both"/>
      </w:pPr>
      <w:bookmarkStart w:id="19" w:name="X65c4a171881d477005b75550ce9ca871d215cbc"/>
      <w:r>
        <w:t>Retry amplification and accounting windows</w:t>
      </w:r>
    </w:p>
    <w:p w14:paraId="6CBB6440" w14:textId="77777777" w:rsidR="006B50AE" w:rsidRDefault="00000000" w:rsidP="003364D8">
      <w:pPr>
        <w:pStyle w:val="FirstParagraph"/>
        <w:jc w:val="both"/>
      </w:pPr>
      <w:r>
        <w:t>Akrodha in Table 2 asks whether denial or error produces escalating retries. In a call chain the escalation is multiplicative.</w:t>
      </w:r>
    </w:p>
    <w:p w14:paraId="6C01D4BF" w14:textId="77777777" w:rsidR="006B50AE" w:rsidRDefault="00000000" w:rsidP="003364D8">
      <w:pPr>
        <w:pStyle w:val="BodyText"/>
        <w:keepNext/>
        <w:jc w:val="both"/>
      </w:pPr>
      <w:r>
        <w:rPr>
          <w:b/>
          <w:bCs/>
        </w:rPr>
        <w:t>Proposition 6 — Retry amplification.</w:t>
      </w:r>
      <w:r>
        <w:t xml:space="preserve"> In a chain of </w:t>
      </w:r>
      <m:oMath>
        <m:r>
          <w:rPr>
            <w:rFonts w:ascii="Cambria Math" w:hAnsi="Cambria Math"/>
          </w:rPr>
          <m:t>d</m:t>
        </m:r>
      </m:oMath>
      <w:r>
        <w:t xml:space="preserve"> layers, let layer </w:t>
      </w:r>
      <m:oMath>
        <m:r>
          <w:rPr>
            <w:rFonts w:ascii="Cambria Math" w:hAnsi="Cambria Math"/>
          </w:rPr>
          <m:t>i</m:t>
        </m:r>
      </m:oMath>
      <w:r>
        <w:t xml:space="preserve"> make up to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attempts on its downstream call. If the bottom service fails persistently, each top-level request causes at most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e>
            </m:d>
          </m:e>
        </m:nary>
      </m:oMath>
      <w:r>
        <w:t xml:space="preserve"> attempts on it; equality requires that every layer exhausts its allowance and that no deadline or cancellation intervenes. If instead layer </w:t>
      </w:r>
      <m:oMath>
        <m:r>
          <w:rPr>
            <w:rFonts w:ascii="Cambria Math" w:hAnsi="Cambria Math"/>
          </w:rPr>
          <m:t>i</m:t>
        </m:r>
      </m:oMath>
      <w:r>
        <w:t xml:space="preserve"> caps its retries at a fraction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of the requests it receives (a retry budget), the aggregate attempt count divided by the original request count is at most</w:t>
      </w:r>
    </w:p>
    <w:p w14:paraId="1D4B9A00" w14:textId="77777777" w:rsidR="006B50AE" w:rsidRDefault="00000000" w:rsidP="003364D8">
      <w:pPr>
        <w:pStyle w:val="Equation"/>
        <w:jc w:val="both"/>
      </w:pPr>
      <w:r>
        <w:tab/>
      </w: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e>
            </m:d>
          </m:e>
        </m:nary>
        <m:r>
          <m:rPr>
            <m:sty m:val="p"/>
          </m:rPr>
          <w:rPr>
            <w:rFonts w:ascii="Cambria Math" w:hAnsi="Cambria Math"/>
          </w:rPr>
          <m:t>.</m:t>
        </m:r>
      </m:oMath>
      <w:r>
        <w:tab/>
        <w:t>(7)</w:t>
      </w:r>
    </w:p>
    <w:p w14:paraId="785FBA27" w14:textId="77777777" w:rsidR="006B50AE" w:rsidRDefault="00000000" w:rsidP="003364D8">
      <w:pPr>
        <w:pStyle w:val="BodyText"/>
        <w:jc w:val="both"/>
      </w:pPr>
      <w:r>
        <w:rPr>
          <w:i/>
          <w:iCs/>
        </w:rPr>
        <w:t>Proof.</w:t>
      </w:r>
      <w:r>
        <w:t xml:space="preserve"> For an aligned accounting cohort, let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count incoming attempts at layer </w:t>
      </w:r>
      <m:oMath>
        <m:r>
          <w:rPr>
            <w:rFonts w:ascii="Cambria Math" w:hAnsi="Cambria Math"/>
          </w:rPr>
          <m:t>i</m:t>
        </m:r>
        <m:r>
          <m:rPr>
            <m:nor/>
          </m:rPr>
          <m:t>.</m:t>
        </m:r>
      </m:oMath>
      <w:r>
        <w:t xml:space="preserve"> Exhausting per-request allowances gives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N</m:t>
            </m:r>
          </m:e>
          <m:sub>
            <m:r>
              <w:rPr>
                <w:rFonts w:ascii="Cambria Math" w:hAnsi="Cambria Math"/>
              </w:rPr>
              <m:t>i</m:t>
            </m:r>
          </m:sub>
        </m:sSub>
        <m:r>
          <m:rPr>
            <m:nor/>
          </m:rPr>
          <m:t>.</m:t>
        </m:r>
      </m:oMath>
      <w:r>
        <w:t xml:space="preserve"> A retry budget with no initial token reserve gives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e>
        </m:d>
        <m:sSub>
          <m:sSubPr>
            <m:ctrlPr>
              <w:rPr>
                <w:rFonts w:ascii="Cambria Math" w:hAnsi="Cambria Math"/>
              </w:rPr>
            </m:ctrlPr>
          </m:sSubPr>
          <m:e>
            <m:r>
              <w:rPr>
                <w:rFonts w:ascii="Cambria Math" w:hAnsi="Cambria Math"/>
              </w:rPr>
              <m:t>N</m:t>
            </m:r>
          </m:e>
          <m:sub>
            <m:r>
              <w:rPr>
                <w:rFonts w:ascii="Cambria Math" w:hAnsi="Cambria Math"/>
              </w:rPr>
              <m:t>i</m:t>
            </m:r>
          </m:sub>
        </m:sSub>
        <m:r>
          <m:rPr>
            <m:nor/>
          </m:rPr>
          <m:t>.</m:t>
        </m:r>
      </m:oMath>
      <w:r>
        <w:t xml:space="preserve"> Iteration gives the product. This assumes that retries for the cohort are attributed to that cohort and that the same incoming-count convention is used at every layer. </w:t>
      </w:r>
      <m:oMath>
        <m:r>
          <m:rPr>
            <m:sty m:val="p"/>
          </m:rPr>
          <w:rPr>
            <w:rFonts w:ascii="Cambria Math" w:hAnsi="Cambria Math"/>
          </w:rPr>
          <m:t>▫</m:t>
        </m:r>
      </m:oMath>
    </w:p>
    <w:p w14:paraId="0B75674D" w14:textId="77777777" w:rsidR="006B50AE" w:rsidRDefault="00000000" w:rsidP="003364D8">
      <w:pPr>
        <w:pStyle w:val="BodyText"/>
        <w:jc w:val="both"/>
      </w:pPr>
      <w:r>
        <w:lastRenderedPageBreak/>
        <w:t xml:space="preserve">With three retries at each of three layers this gives </w:t>
      </w:r>
      <m:oMath>
        <m:sSup>
          <m:sSupPr>
            <m:ctrlPr>
              <w:rPr>
                <w:rFonts w:ascii="Cambria Math" w:hAnsi="Cambria Math"/>
              </w:rPr>
            </m:ctrlPr>
          </m:sSupPr>
          <m:e>
            <m:r>
              <w:rPr>
                <w:rFonts w:ascii="Cambria Math" w:hAnsi="Cambria Math"/>
              </w:rPr>
              <m:t>4</m:t>
            </m:r>
          </m:e>
          <m:sup>
            <m:r>
              <w:rPr>
                <w:rFonts w:ascii="Cambria Math" w:hAnsi="Cambria Math"/>
              </w:rPr>
              <m:t>3</m:t>
            </m:r>
          </m:sup>
        </m:sSup>
        <m:r>
          <m:rPr>
            <m:sty m:val="p"/>
          </m:rPr>
          <w:rPr>
            <w:rFonts w:ascii="Cambria Math" w:hAnsi="Cambria Math"/>
          </w:rPr>
          <m:t>=</m:t>
        </m:r>
        <m:r>
          <w:rPr>
            <w:rFonts w:ascii="Cambria Math" w:hAnsi="Cambria Math"/>
          </w:rPr>
          <m:t>64</m:t>
        </m:r>
      </m:oMath>
      <w:r>
        <w:t xml:space="preserve"> attempts per user action, the example given in Google’s guidance on cascading failures [18]. A 10 percent budget per layer gives at most </w:t>
      </w:r>
      <m:oMath>
        <m:sSup>
          <m:sSupPr>
            <m:ctrlPr>
              <w:rPr>
                <w:rFonts w:ascii="Cambria Math" w:hAnsi="Cambria Math"/>
              </w:rPr>
            </m:ctrlPr>
          </m:sSupPr>
          <m:e>
            <m:r>
              <w:rPr>
                <w:rFonts w:ascii="Cambria Math" w:hAnsi="Cambria Math"/>
              </w:rPr>
              <m:t>1.1</m:t>
            </m:r>
          </m:e>
          <m:sup>
            <m:r>
              <w:rPr>
                <w:rFonts w:ascii="Cambria Math" w:hAnsi="Cambria Math"/>
              </w:rPr>
              <m:t>3</m:t>
            </m:r>
          </m:sup>
        </m:sSup>
        <m:r>
          <m:rPr>
            <m:sty m:val="p"/>
          </m:rPr>
          <w:rPr>
            <w:rFonts w:ascii="Cambria Math" w:hAnsi="Cambria Math"/>
          </w:rPr>
          <m:t>=</m:t>
        </m:r>
        <m:r>
          <w:rPr>
            <w:rFonts w:ascii="Cambria Math" w:hAnsi="Cambria Math"/>
          </w:rPr>
          <m:t>1.331</m:t>
        </m:r>
      </m:oMath>
      <w:r>
        <w:t xml:space="preserve"> aggregate attempts per original request. Retrying at a single layer gives four (Figure 2b). Retry budgets constrain volume, not scheduling. Tokens accumulated before a window can add burst allowances: if layer </w:t>
      </w:r>
      <m:oMath>
        <m:r>
          <w:rPr>
            <w:rFonts w:ascii="Cambria Math" w:hAnsi="Cambria Math"/>
          </w:rPr>
          <m:t>i</m:t>
        </m:r>
      </m:oMath>
      <w:r>
        <w:t xml:space="preserve"> may spend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initial tokens, its accounting relation is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e>
        </m:d>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oMath>
      <w:r>
        <w:t xml:space="preserve"> Backoff, jitter, concurrency limits and deadlines remain necessary to bound peaks and recovery time. A ratio of 1.1 over a cohort does not stop one request receiving two attempts while others receive one. A finite call chain also need not be dynamically unstable merely because its attempt product exceeds one. Retries affect the effective influence model through the actual call and feedback paths; they are not generically diagonal entries of </w:t>
      </w:r>
      <m:oMath>
        <m:r>
          <w:rPr>
            <w:rFonts w:ascii="Cambria Math" w:hAnsi="Cambria Math"/>
          </w:rPr>
          <m:t>A</m:t>
        </m:r>
        <m:r>
          <m:rPr>
            <m:nor/>
          </m:rPr>
          <m:t>.</m:t>
        </m:r>
      </m:oMath>
      <w:r>
        <w:t xml:space="preserve"> The connection to akrodha remains an operational analogy.</w:t>
      </w:r>
    </w:p>
    <w:p w14:paraId="3208B5A3" w14:textId="77777777" w:rsidR="006B50AE" w:rsidRDefault="00000000" w:rsidP="003364D8">
      <w:pPr>
        <w:pStyle w:val="CaptionedFigure"/>
        <w:jc w:val="both"/>
      </w:pPr>
      <w:r>
        <w:rPr>
          <w:noProof/>
        </w:rPr>
        <w:drawing>
          <wp:inline distT="0" distB="0" distL="0" distR="0" wp14:anchorId="03158495" wp14:editId="6B8C08A4">
            <wp:extent cx="6210300" cy="2235707"/>
            <wp:effectExtent l="0" t="0" r="0" b="0"/>
            <wp:docPr id="42" name="Picture" descr="Worst-case disturbance in a shared-broker architecture converging to its binding index; retry attempts versus call depth."/>
            <wp:cNvGraphicFramePr/>
            <a:graphic xmlns:a="http://schemas.openxmlformats.org/drawingml/2006/main">
              <a:graphicData uri="http://schemas.openxmlformats.org/drawingml/2006/picture">
                <pic:pic xmlns:pic="http://schemas.openxmlformats.org/drawingml/2006/picture">
                  <pic:nvPicPr>
                    <pic:cNvPr id="43" name="Picture" descr="fig/cascade.png"/>
                    <pic:cNvPicPr>
                      <a:picLocks noChangeAspect="1" noChangeArrowheads="1"/>
                    </pic:cNvPicPr>
                  </pic:nvPicPr>
                  <pic:blipFill>
                    <a:blip r:embed="rId8"/>
                    <a:stretch>
                      <a:fillRect/>
                    </a:stretch>
                  </pic:blipFill>
                  <pic:spPr bwMode="auto">
                    <a:xfrm>
                      <a:off x="0" y="0"/>
                      <a:ext cx="6210300" cy="2235707"/>
                    </a:xfrm>
                    <a:prstGeom prst="rect">
                      <a:avLst/>
                    </a:prstGeom>
                    <a:noFill/>
                    <a:ln w="9525">
                      <a:noFill/>
                      <a:headEnd/>
                      <a:tailEnd/>
                    </a:ln>
                  </pic:spPr>
                </pic:pic>
              </a:graphicData>
            </a:graphic>
          </wp:inline>
        </w:drawing>
      </w:r>
    </w:p>
    <w:p w14:paraId="132CFEB1" w14:textId="77777777" w:rsidR="006B50AE" w:rsidRDefault="00000000" w:rsidP="003364D8">
      <w:pPr>
        <w:pStyle w:val="ImageCaption"/>
        <w:keepLines/>
        <w:jc w:val="both"/>
      </w:pPr>
      <w:r>
        <w:rPr>
          <w:b/>
          <w:bCs/>
        </w:rPr>
        <w:t>Figure 2.</w:t>
      </w:r>
      <w:r>
        <w:t xml:space="preserve"> (a) The shared-broker example: the broker’s row sum is 1.2, so the row-sum bound of Proposition 1 does not apply. Yet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0.49</m:t>
        </m:r>
        <m:r>
          <m:rPr>
            <m:nor/>
          </m:rPr>
          <m:t>,</m:t>
        </m:r>
      </m:oMath>
      <w:r>
        <w:t xml:space="preserve"> and the worst-case disturbance converges to the binding index 2.89 of Proposition 4. (b) Attempts reaching a persistently failing service per top-level request, against call-chain depth, from a recursive simulation and cohort accounting. Exhausting three retries at every layer give </w:t>
      </w:r>
      <m:oMath>
        <m:sSup>
          <m:sSupPr>
            <m:ctrlPr>
              <w:rPr>
                <w:rFonts w:ascii="Cambria Math" w:hAnsi="Cambria Math"/>
              </w:rPr>
            </m:ctrlPr>
          </m:sSupPr>
          <m:e>
            <m:r>
              <w:rPr>
                <w:rFonts w:ascii="Cambria Math" w:hAnsi="Cambria Math"/>
              </w:rPr>
              <m:t>4</m:t>
            </m:r>
          </m:e>
          <m:sup>
            <m:r>
              <w:rPr>
                <w:rFonts w:ascii="Cambria Math" w:hAnsi="Cambria Math"/>
              </w:rPr>
              <m:t>d</m:t>
            </m:r>
          </m:sup>
        </m:sSup>
        <m:r>
          <m:rPr>
            <m:nor/>
          </m:rPr>
          <m:t>,</m:t>
        </m:r>
      </m:oMath>
      <w:r>
        <w:t xml:space="preserve"> three retries at one layer give four, and a 10 percent retry budget per layer gives at most </w:t>
      </w:r>
      <m:oMath>
        <m:sSup>
          <m:sSupPr>
            <m:ctrlPr>
              <w:rPr>
                <w:rFonts w:ascii="Cambria Math" w:hAnsi="Cambria Math"/>
              </w:rPr>
            </m:ctrlPr>
          </m:sSupPr>
          <m:e>
            <m:r>
              <w:rPr>
                <w:rFonts w:ascii="Cambria Math" w:hAnsi="Cambria Math"/>
              </w:rPr>
              <m:t>1.1</m:t>
            </m:r>
          </m:e>
          <m:sup>
            <m:r>
              <w:rPr>
                <w:rFonts w:ascii="Cambria Math" w:hAnsi="Cambria Math"/>
              </w:rPr>
              <m:t>d</m:t>
            </m:r>
          </m:sup>
        </m:sSup>
      </m:oMath>
      <w:r>
        <w:t xml:space="preserve"> in aggregate for aligned cohorts without initial burst tokens.</w:t>
      </w:r>
    </w:p>
    <w:p w14:paraId="403382EC" w14:textId="77777777" w:rsidR="006B50AE" w:rsidRDefault="00000000" w:rsidP="003364D8">
      <w:pPr>
        <w:pStyle w:val="Heading11"/>
        <w:jc w:val="both"/>
      </w:pPr>
      <w:bookmarkStart w:id="20" w:name="conserved-budgets-and-expiring-authority"/>
      <w:bookmarkEnd w:id="18"/>
      <w:bookmarkEnd w:id="19"/>
      <w:r>
        <w:t>8 Conserved budgets and expiring authority</w:t>
      </w:r>
    </w:p>
    <w:p w14:paraId="13328189" w14:textId="77777777" w:rsidR="006B50AE" w:rsidRDefault="00000000" w:rsidP="003364D8">
      <w:pPr>
        <w:pStyle w:val="FirstParagraph"/>
        <w:keepNext/>
        <w:jc w:val="both"/>
      </w:pPr>
      <w:r>
        <w:rPr>
          <w:b/>
          <w:bCs/>
        </w:rPr>
        <w:t>Proposition 2 — Delegation cannot mint entitlement.</w:t>
      </w:r>
      <w:r>
        <w:t xml:space="preserve"> Let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be a finite scalar task budget. An external ledger tracks remaining spendable balances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cumulative expenditure </w:t>
      </w:r>
      <m:oMath>
        <m:r>
          <w:rPr>
            <w:rFonts w:ascii="Cambria Math" w:hAnsi="Cambria Math"/>
          </w:rPr>
          <m:t>E</m:t>
        </m:r>
        <m:r>
          <m:rPr>
            <m:nor/>
          </m:rPr>
          <m:t>.</m:t>
        </m:r>
      </m:oMath>
      <w:r>
        <w:t xml:space="preserve"> Admission, spending, delegation and release are atomic and non-negative. A delegated balance is transferred from an existing balance, never copied. No agent can modify the ledger or obtain unrecorded allocation. Then at every ledger state</w:t>
      </w:r>
    </w:p>
    <w:p w14:paraId="13A02A88" w14:textId="77777777" w:rsidR="006B50AE" w:rsidRDefault="00000000" w:rsidP="003364D8">
      <w:pPr>
        <w:pStyle w:val="Equation"/>
        <w:jc w:val="both"/>
      </w:pPr>
      <w:r>
        <w:tab/>
      </w:r>
      <m:oMath>
        <m:r>
          <w:rPr>
            <w:rFonts w:ascii="Cambria Math" w:hAnsi="Cambria Math"/>
          </w:rPr>
          <m:t>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oMath>
      <w:r>
        <w:tab/>
        <w:t>(8)</w:t>
      </w:r>
    </w:p>
    <w:p w14:paraId="028C5B02" w14:textId="77777777" w:rsidR="006B50AE" w:rsidRDefault="00000000" w:rsidP="003364D8">
      <w:pPr>
        <w:pStyle w:val="BodyText"/>
        <w:jc w:val="both"/>
      </w:pPr>
      <w:r>
        <w:rPr>
          <w:i/>
          <w:iCs/>
        </w:rPr>
        <w:t>Proof.</w:t>
      </w:r>
      <w:r>
        <w:t xml:space="preserve"> Initially the sum is at most </w:t>
      </w: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oMath>
      <w:r>
        <w:t xml:space="preserve"> Spending moves an amount from a balance into </w:t>
      </w:r>
      <m:oMath>
        <m:r>
          <w:rPr>
            <w:rFonts w:ascii="Cambria Math" w:hAnsi="Cambria Math"/>
          </w:rPr>
          <m:t>E</m:t>
        </m:r>
      </m:oMath>
      <w:r>
        <w:t xml:space="preserve"> and preserves the sum. Delegation debits one balance and credits another by the same amount. Returning allocation transfers it to a tracked pool or removes it from the task. No permitted transition increases the total. </w:t>
      </w:r>
      <m:oMath>
        <m:r>
          <m:rPr>
            <m:sty m:val="p"/>
          </m:rPr>
          <w:rPr>
            <w:rFonts w:ascii="Cambria Math" w:hAnsi="Cambria Math"/>
          </w:rPr>
          <m:t>▫</m:t>
        </m:r>
      </m:oMath>
    </w:p>
    <w:p w14:paraId="5D8C06A9" w14:textId="77777777" w:rsidR="006B50AE" w:rsidRDefault="00000000" w:rsidP="003364D8">
      <w:pPr>
        <w:pStyle w:val="BodyText"/>
        <w:jc w:val="both"/>
      </w:pPr>
      <w:r>
        <w:t>The construction can be applied separately to tokens, monetary spend, storage and reserved compute time. These units cannot be added without a declared conversion. Thermal safety and instantaneous power require host-local limits as well as cumulative accounting. The proposition bounds entitlement under its assumptions; it does not establish that a malicious host will report physical consumption correctly. In 200 random scripts of 60,000 transitions in all, the invariant (8) never failed.</w:t>
      </w:r>
    </w:p>
    <w:p w14:paraId="5FE85E4E" w14:textId="77777777" w:rsidR="006B50AE" w:rsidRDefault="00000000" w:rsidP="003364D8">
      <w:pPr>
        <w:pStyle w:val="BodyText"/>
        <w:jc w:val="both"/>
      </w:pPr>
      <w:r>
        <w:t xml:space="preserve">Atomicity is not a detail. If </w:t>
      </w:r>
      <m:oMath>
        <m:r>
          <w:rPr>
            <w:rFonts w:ascii="Cambria Math" w:hAnsi="Cambria Math"/>
          </w:rPr>
          <m:t>k</m:t>
        </m:r>
      </m:oMath>
      <w:r>
        <w:t xml:space="preserve"> agents each check a shared balance of </w:t>
      </w:r>
      <m:oMath>
        <m:r>
          <w:rPr>
            <w:rFonts w:ascii="Cambria Math" w:hAnsi="Cambria Math"/>
          </w:rPr>
          <m:t>c</m:t>
        </m:r>
      </m:oMath>
      <w:r>
        <w:t xml:space="preserve"> and then each spend </w:t>
      </w:r>
      <m:oMath>
        <m:r>
          <w:rPr>
            <w:rFonts w:ascii="Cambria Math" w:hAnsi="Cambria Math"/>
          </w:rPr>
          <m:t>c</m:t>
        </m:r>
        <m:r>
          <m:rPr>
            <m:nor/>
          </m:rPr>
          <m:t>,</m:t>
        </m:r>
      </m:oMath>
      <w:r>
        <w:t xml:space="preserve"> all checks pass and the family spends </w:t>
      </w:r>
      <m:oMath>
        <m:r>
          <w:rPr>
            <w:rFonts w:ascii="Cambria Math" w:hAnsi="Cambria Math"/>
          </w:rPr>
          <m:t>kc</m:t>
        </m:r>
        <m:r>
          <m:rPr>
            <m:nor/>
          </m:rPr>
          <m:t>,</m:t>
        </m:r>
      </m:oMath>
      <w:r>
        <w:t xml:space="preserve"> overspending by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c</m:t>
        </m:r>
        <m:r>
          <m:rPr>
            <m:nor/>
          </m:rPr>
          <m:t>.</m:t>
        </m:r>
      </m:oMath>
      <w:r>
        <w:t xml:space="preserve"> The check-then-spend pattern defeats conservation exactly when agents run concurrently, which is when delegation is most useful.</w:t>
      </w:r>
    </w:p>
    <w:p w14:paraId="7076D02B" w14:textId="77777777" w:rsidR="006B50AE" w:rsidRDefault="00000000" w:rsidP="003364D8">
      <w:pPr>
        <w:pStyle w:val="BodyText"/>
        <w:keepNext/>
        <w:jc w:val="both"/>
      </w:pPr>
      <w:r>
        <w:rPr>
          <w:b/>
          <w:bCs/>
        </w:rPr>
        <w:lastRenderedPageBreak/>
        <w:t>Proposition 3 — Cessation after lease expiry.</w:t>
      </w:r>
      <w:r>
        <w:t xml:space="preserve"> Every effectful operation requires an unexpired lease validated by a trusted reference monitor. No valid lease expires more than </w:t>
      </w:r>
      <m:oMath>
        <m:r>
          <w:rPr>
            <w:rFonts w:ascii="Cambria Math" w:hAnsi="Cambria Math"/>
          </w:rPr>
          <m:t>Δ</m:t>
        </m:r>
      </m:oMath>
      <w:r>
        <w:t xml:space="preserve"> after time </w:t>
      </w:r>
      <m:oMath>
        <m:r>
          <w:rPr>
            <w:rFonts w:ascii="Cambria Math" w:hAnsi="Cambria Math"/>
          </w:rPr>
          <m:t>T</m:t>
        </m:r>
        <m:r>
          <m:rPr>
            <m:nor/>
          </m:rPr>
          <m:t>,</m:t>
        </m:r>
      </m:oMath>
      <w:r>
        <w:t xml:space="preserve"> when renewal is revoked. The verifier clock can lag real time by at most </w:t>
      </w:r>
      <m:oMath>
        <m:r>
          <w:rPr>
            <w:rFonts w:ascii="Cambria Math" w:hAnsi="Cambria Math"/>
          </w:rPr>
          <m:t>ϵ</m:t>
        </m:r>
        <m:r>
          <m:rPr>
            <m:nor/>
          </m:rPr>
          <m:t>,</m:t>
        </m:r>
      </m:oMath>
      <w:r>
        <w:t xml:space="preserve"> and any operation already admitted completes or is forcibly terminated within </w:t>
      </w:r>
      <m:oMath>
        <m:r>
          <w:rPr>
            <w:rFonts w:ascii="Cambria Math" w:hAnsi="Cambria Math"/>
          </w:rPr>
          <m:t>L</m:t>
        </m:r>
        <m:r>
          <m:rPr>
            <m:nor/>
          </m:rPr>
          <m:t>.</m:t>
        </m:r>
      </m:oMath>
      <w:r>
        <w:t xml:space="preserve"> Agents cannot bypass the monitor, extend leases or create an independent authority root. Then all monitored effects cease by</w:t>
      </w:r>
    </w:p>
    <w:p w14:paraId="191CE8CD" w14:textId="77777777" w:rsidR="006B50AE" w:rsidRDefault="00000000" w:rsidP="003364D8">
      <w:pPr>
        <w:pStyle w:val="Equation"/>
        <w:jc w:val="both"/>
      </w:pPr>
      <w:r>
        <w:tab/>
      </w:r>
      <m:oMath>
        <m:r>
          <w:rPr>
            <w:rFonts w:ascii="Cambria Math" w:hAnsi="Cambria Math"/>
          </w:rPr>
          <m:t>T</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L</m:t>
        </m:r>
        <m:r>
          <m:rPr>
            <m:sty m:val="p"/>
          </m:rPr>
          <w:rPr>
            <w:rFonts w:ascii="Cambria Math" w:hAnsi="Cambria Math"/>
          </w:rPr>
          <m:t>.</m:t>
        </m:r>
      </m:oMath>
      <w:r>
        <w:tab/>
        <w:t>(9)</w:t>
      </w:r>
    </w:p>
    <w:p w14:paraId="051BB899" w14:textId="77777777" w:rsidR="006B50AE" w:rsidRDefault="00000000" w:rsidP="003364D8">
      <w:pPr>
        <w:pStyle w:val="BodyText"/>
        <w:jc w:val="both"/>
      </w:pPr>
      <w:r>
        <w:rPr>
          <w:i/>
          <w:iCs/>
        </w:rPr>
        <w:t>Proof.</w:t>
      </w:r>
      <w:r>
        <w:t xml:space="preserve"> After </w:t>
      </w:r>
      <m:oMath>
        <m:r>
          <w:rPr>
            <w:rFonts w:ascii="Cambria Math" w:hAnsi="Cambria Math"/>
          </w:rPr>
          <m:t>T</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ϵ</m:t>
        </m:r>
      </m:oMath>
      <w:r>
        <w:t xml:space="preserve"> even the latest valid lease is expired under the slowest permitted verifier clock. No new operation can be admitted. The bounded execution assumption terminates any last admitted operation within a further </w:t>
      </w:r>
      <m:oMath>
        <m:r>
          <w:rPr>
            <w:rFonts w:ascii="Cambria Math" w:hAnsi="Cambria Math"/>
          </w:rPr>
          <m:t>L</m:t>
        </m:r>
        <m:r>
          <m:rPr>
            <m:nor/>
          </m:rPr>
          <m:t>.</m:t>
        </m:r>
      </m:oMath>
      <w:r>
        <w:t xml:space="preserve"> Irreversible effects already completed remain; cessation is not rollback. </w:t>
      </w:r>
      <m:oMath>
        <m:r>
          <m:rPr>
            <m:sty m:val="p"/>
          </m:rPr>
          <w:rPr>
            <w:rFonts w:ascii="Cambria Math" w:hAnsi="Cambria Math"/>
          </w:rPr>
          <m:t>▫</m:t>
        </m:r>
      </m:oMath>
    </w:p>
    <w:p w14:paraId="13857AEF" w14:textId="77777777" w:rsidR="006B50AE" w:rsidRDefault="00000000" w:rsidP="003364D8">
      <w:pPr>
        <w:pStyle w:val="BodyText"/>
        <w:keepNext/>
        <w:jc w:val="both"/>
      </w:pPr>
      <w:r>
        <w:rPr>
          <w:b/>
          <w:bCs/>
        </w:rPr>
        <w:t>Proposition 7 — Attenuation closure.</w:t>
      </w:r>
      <w:r>
        <w:t xml:space="preserve"> Let every capability carry a scope </w:t>
      </w:r>
      <m:oMath>
        <m:r>
          <w:rPr>
            <w:rFonts w:ascii="Cambria Math" w:hAnsi="Cambria Math"/>
          </w:rPr>
          <m:t>S</m:t>
        </m:r>
      </m:oMath>
      <w:r>
        <w:t xml:space="preserve"> and an expiry </w:t>
      </w:r>
      <m:oMath>
        <m:r>
          <w:rPr>
            <w:rFonts w:ascii="Cambria Math" w:hAnsi="Cambria Math"/>
          </w:rPr>
          <m:t>τ</m:t>
        </m:r>
        <m:r>
          <m:rPr>
            <m:nor/>
          </m:rPr>
          <m:t>.</m:t>
        </m:r>
      </m:oMath>
      <w:r>
        <w:t xml:space="preserve"> A child capability can be granted only with </w:t>
      </w:r>
      <m:oMath>
        <m:sSub>
          <m:sSubPr>
            <m:ctrlPr>
              <w:rPr>
                <w:rFonts w:ascii="Cambria Math" w:hAnsi="Cambria Math"/>
              </w:rPr>
            </m:ctrlPr>
          </m:sSubPr>
          <m:e>
            <m:r>
              <w:rPr>
                <w:rFonts w:ascii="Cambria Math" w:hAnsi="Cambria Math"/>
              </w:rPr>
              <m:t>S</m:t>
            </m:r>
          </m:e>
          <m:sub>
            <m:r>
              <w:rPr>
                <w:rFonts w:ascii="Cambria Math" w:hAnsi="Cambria Math"/>
              </w:rPr>
              <m:t>child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parent</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child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parent</m:t>
            </m:r>
          </m:sub>
        </m:sSub>
        <m:r>
          <m:rPr>
            <m:nor/>
          </m:rPr>
          <m:t>.</m:t>
        </m:r>
      </m:oMath>
      <w:r>
        <w:t xml:space="preserve"> An effect </w:t>
      </w:r>
      <m:oMath>
        <m:r>
          <w:rPr>
            <w:rFonts w:ascii="Cambria Math" w:hAnsi="Cambria Math"/>
          </w:rPr>
          <m:t>e</m:t>
        </m:r>
      </m:oMath>
      <w:r>
        <w:t xml:space="preserve"> requested at verifier time </w:t>
      </w:r>
      <m:oMath>
        <m:r>
          <w:rPr>
            <w:rFonts w:ascii="Cambria Math" w:hAnsi="Cambria Math"/>
          </w:rPr>
          <m:t>t</m:t>
        </m:r>
      </m:oMath>
      <w:r>
        <w:t xml:space="preserve"> is admitted only if </w:t>
      </w:r>
      <m:oMath>
        <m:r>
          <w:rPr>
            <w:rFonts w:ascii="Cambria Math" w:hAnsi="Cambria Math"/>
          </w:rPr>
          <m:t>e</m:t>
        </m:r>
        <m:r>
          <m:rPr>
            <m:sty m:val="p"/>
          </m:rPr>
          <w:rPr>
            <w:rFonts w:ascii="Cambria Math" w:hAnsi="Cambria Math"/>
          </w:rPr>
          <m:t>∈</m:t>
        </m:r>
        <m:r>
          <w:rPr>
            <w:rFonts w:ascii="Cambria Math" w:hAnsi="Cambria Math"/>
          </w:rPr>
          <m:t>S</m:t>
        </m:r>
      </m:oMath>
      <w:r>
        <w:t xml:space="preserve"> and </w:t>
      </w:r>
      <m:oMath>
        <m:r>
          <w:rPr>
            <w:rFonts w:ascii="Cambria Math" w:hAnsi="Cambria Math"/>
          </w:rPr>
          <m:t>t</m:t>
        </m:r>
        <m:r>
          <m:rPr>
            <m:sty m:val="p"/>
          </m:rPr>
          <w:rPr>
            <w:rFonts w:ascii="Cambria Math" w:hAnsi="Cambria Math"/>
          </w:rPr>
          <m:t>&lt;</m:t>
        </m:r>
        <m:r>
          <w:rPr>
            <w:rFonts w:ascii="Cambria Math" w:hAnsi="Cambria Math"/>
          </w:rPr>
          <m:t>τ</m:t>
        </m:r>
      </m:oMath>
      <w:r>
        <w:t xml:space="preserve"> for the capability presented by the requester. Then every admitted effect anywhere in the delegation tree lies in the root’s scope and is admitted before the root’s expiry in the common verifier time base. If expiries are leases renewed only through the root, the bound (9) holds for the whole tree.</w:t>
      </w:r>
    </w:p>
    <w:p w14:paraId="02C9E2E4" w14:textId="77777777" w:rsidR="006B50AE" w:rsidRDefault="00000000" w:rsidP="003364D8">
      <w:pPr>
        <w:pStyle w:val="BodyText"/>
        <w:jc w:val="both"/>
      </w:pPr>
      <w:r>
        <w:rPr>
          <w:i/>
          <w:iCs/>
        </w:rPr>
        <w:t>Proof.</w:t>
      </w:r>
      <w:r>
        <w:t xml:space="preserve"> Scope inclusion and expiry order are transitive along the path from any capability to the root. The admission rule checks the requester’s own capability, so an admitted effect satisfies </w:t>
      </w:r>
      <m:oMath>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root</m:t>
            </m:r>
          </m:sub>
        </m:sSub>
      </m:oMath>
      <w:r>
        <w:t xml:space="preserve"> and </w:t>
      </w:r>
      <m:oMath>
        <m:r>
          <w:rPr>
            <w:rFonts w:ascii="Cambria Math" w:hAnsi="Cambria Math"/>
          </w:rPr>
          <m:t>t</m:t>
        </m:r>
        <m:r>
          <m:rPr>
            <m:sty m:val="p"/>
          </m:rPr>
          <w:rPr>
            <w:rFonts w:ascii="Cambria Math" w:hAnsi="Cambria Math"/>
          </w:rPr>
          <m:t>&lt;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root</m:t>
            </m:r>
          </m:sub>
        </m:sSub>
        <m:r>
          <m:rPr>
            <m:nor/>
          </m:rPr>
          <m:t>.</m:t>
        </m:r>
      </m:oMath>
      <w:r>
        <w:t xml:space="preserve"> For the tree, every descendant lease ends no later than its ancestor’s, so Proposition 3 applies to the latest of them. </w:t>
      </w:r>
      <m:oMath>
        <m:r>
          <m:rPr>
            <m:sty m:val="p"/>
          </m:rPr>
          <w:rPr>
            <w:rFonts w:ascii="Cambria Math" w:hAnsi="Cambria Math"/>
          </w:rPr>
          <m:t>▫</m:t>
        </m:r>
      </m:oMath>
    </w:p>
    <w:p w14:paraId="161203EC" w14:textId="77777777" w:rsidR="006B50AE" w:rsidRDefault="00000000" w:rsidP="003364D8">
      <w:pPr>
        <w:pStyle w:val="BodyText"/>
        <w:jc w:val="both"/>
      </w:pPr>
      <w:r>
        <w:t xml:space="preserve">This proof assumes authentic grants, authenticated delegation links, a common expiry interpretation and complete mediation. It bounds admission times; an operation already admitted can continue for at most </w:t>
      </w:r>
      <m:oMath>
        <m:r>
          <w:rPr>
            <w:rFonts w:ascii="Cambria Math" w:hAnsi="Cambria Math"/>
          </w:rPr>
          <m:t>L</m:t>
        </m:r>
        <m:r>
          <m:rPr>
            <m:nor/>
          </m:rPr>
          <m:t>,</m:t>
        </m:r>
      </m:oMath>
      <w:r>
        <w:t xml:space="preserve"> as in Proposition 3. The effective authority of a deputy must respect the authenticated caller, the deputy’s own limits and the resource policy. Checking only the tool’s ambient authority is the confused-deputy failure illustrated here [20, 21]. In 300 random delegation trees with 60,000 requests, admission against the requester’s capability admitted 5,339 effects with 0 outside the root’s scope or lifetime. Admission against a tool’s broad ambient authority admitted 35,087 such effects. This is why the MCP guidance treats token passthrough and scope minimisation as security concerns [12]. A copied model or workspace likewise receives no authority merely because it is a copy: authority travels with a grant, not with code.</w:t>
      </w:r>
    </w:p>
    <w:p w14:paraId="4C2D25F7" w14:textId="77777777" w:rsidR="006B50AE" w:rsidRDefault="00000000" w:rsidP="003364D8">
      <w:pPr>
        <w:pStyle w:val="BodyText"/>
        <w:keepNext/>
        <w:jc w:val="both"/>
      </w:pPr>
      <w:r>
        <w:rPr>
          <w:b/>
          <w:bCs/>
        </w:rPr>
        <w:t>Proposition 8 — Bounded overrun of reservations.</w:t>
      </w:r>
      <w:r>
        <w:t xml:space="preserve"> Suppose each operation atomically reserves an estimate </w:t>
      </w:r>
      <m:oMath>
        <m:r>
          <w:rPr>
            <w:rFonts w:ascii="Cambria Math" w:hAnsi="Cambria Math"/>
          </w:rPr>
          <m:t>r</m:t>
        </m:r>
      </m:oMath>
      <w:r>
        <w:t xml:space="preserve"> before it starts and settles its actual cost when it ends. The actual cost may exceed the reservation by at most </w:t>
      </w:r>
      <m:oMath>
        <m:r>
          <w:rPr>
            <w:rFonts w:ascii="Cambria Math" w:hAnsi="Cambria Math"/>
          </w:rPr>
          <m:t>ω</m:t>
        </m:r>
        <m:r>
          <m:rPr>
            <m:nor/>
          </m:rPr>
          <m:t>.</m:t>
        </m:r>
      </m:oMath>
      <w:r>
        <w:t xml:space="preserve"> At most </w:t>
      </w:r>
      <m:oMath>
        <m:r>
          <w:rPr>
            <w:rFonts w:ascii="Cambria Math" w:hAnsi="Cambria Math"/>
          </w:rPr>
          <m:t>k</m:t>
        </m:r>
      </m:oMath>
      <w:r>
        <w:t xml:space="preserve"> of the family’s operations are in flight at once, and a reservation is admitted only when the balance covers it. Then the balance never falls below </w:t>
      </w:r>
      <m:oMath>
        <m:r>
          <m:rPr>
            <m:sty m:val="p"/>
          </m:rPr>
          <w:rPr>
            <w:rFonts w:ascii="Cambria Math" w:hAnsi="Cambria Math"/>
          </w:rPr>
          <m:t>-</m:t>
        </m:r>
        <m:r>
          <w:rPr>
            <w:rFonts w:ascii="Cambria Math" w:hAnsi="Cambria Math"/>
          </w:rPr>
          <m:t>kω</m:t>
        </m:r>
        <m:r>
          <m:rPr>
            <m:nor/>
          </m:rPr>
          <m:t>,</m:t>
        </m:r>
      </m:oMath>
      <w:r>
        <w:t xml:space="preserve"> and</w:t>
      </w:r>
    </w:p>
    <w:p w14:paraId="7B164C2B" w14:textId="77777777" w:rsidR="006B50AE" w:rsidRDefault="00000000" w:rsidP="003364D8">
      <w:pPr>
        <w:pStyle w:val="Equation"/>
        <w:jc w:val="both"/>
      </w:pPr>
      <w:r>
        <w:tab/>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kω</m:t>
        </m:r>
        <m:r>
          <m:rPr>
            <m:sty m:val="p"/>
          </m:rPr>
          <w:rPr>
            <w:rFonts w:ascii="Cambria Math" w:hAnsi="Cambria Math"/>
          </w:rPr>
          <m:t>.</m:t>
        </m:r>
      </m:oMath>
      <w:r>
        <w:tab/>
        <w:t>(10)</w:t>
      </w:r>
    </w:p>
    <w:p w14:paraId="21750CDA" w14:textId="77777777" w:rsidR="006B50AE" w:rsidRDefault="00000000" w:rsidP="003364D8">
      <w:pPr>
        <w:pStyle w:val="BodyText"/>
        <w:jc w:val="both"/>
      </w:pPr>
      <w:r>
        <w:rPr>
          <w:i/>
          <w:iCs/>
        </w:rPr>
        <w:t>Proof.</w:t>
      </w:r>
      <w:r>
        <w:t xml:space="preserve"> Reservation and settlement preserve </w:t>
      </w:r>
      <m:oMath>
        <m:r>
          <w:rPr>
            <w:rFonts w:ascii="Cambria Math" w:hAnsi="Cambria Math"/>
          </w:rPr>
          <m:t>E</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in flight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when the balance is allowed to go negative at settlement. Fix a time, and let </w:t>
      </w:r>
      <m:oMath>
        <m:r>
          <w:rPr>
            <w:rFonts w:ascii="Cambria Math" w:hAnsi="Cambria Math"/>
          </w:rPr>
          <m:t>s</m:t>
        </m:r>
      </m:oMath>
      <w:r>
        <w:t xml:space="preserve"> be the last earlier time at which </w:t>
      </w:r>
      <m:oMath>
        <m:r>
          <w:rPr>
            <w:rFonts w:ascii="Cambria Math" w:hAnsi="Cambria Math"/>
          </w:rPr>
          <m:t>b</m:t>
        </m:r>
        <m:r>
          <m:rPr>
            <m:sty m:val="p"/>
          </m:rPr>
          <w:rPr>
            <w:rFonts w:ascii="Cambria Math" w:hAnsi="Cambria Math"/>
          </w:rPr>
          <m:t>≥</m:t>
        </m:r>
        <m:r>
          <w:rPr>
            <w:rFonts w:ascii="Cambria Math" w:hAnsi="Cambria Math"/>
          </w:rPr>
          <m:t>0</m:t>
        </m:r>
        <m:r>
          <m:rPr>
            <m:nor/>
          </m:rPr>
          <m:t>.</m:t>
        </m:r>
      </m:oMath>
      <w:r>
        <w:t xml:space="preserve"> After </w:t>
      </w:r>
      <m:oMath>
        <m:r>
          <w:rPr>
            <w:rFonts w:ascii="Cambria Math" w:hAnsi="Cambria Math"/>
          </w:rPr>
          <m:t>s</m:t>
        </m:r>
      </m:oMath>
      <w:r>
        <w:t xml:space="preserve"> no reservation is admitted, so </w:t>
      </w:r>
      <m:oMath>
        <m:r>
          <w:rPr>
            <w:rFonts w:ascii="Cambria Math" w:hAnsi="Cambria Math"/>
          </w:rPr>
          <m:t>b</m:t>
        </m:r>
      </m:oMath>
      <w:r>
        <w:t xml:space="preserve"> can fall only through overruns of operations in flight at </w:t>
      </w:r>
      <m:oMath>
        <m:r>
          <w:rPr>
            <w:rFonts w:ascii="Cambria Math" w:hAnsi="Cambria Math"/>
          </w:rPr>
          <m:t>s</m:t>
        </m:r>
        <m:r>
          <m:rPr>
            <m:nor/>
          </m:rPr>
          <m:t>.</m:t>
        </m:r>
      </m:oMath>
      <w:r>
        <w:t xml:space="preserve"> There are at most </w:t>
      </w:r>
      <m:oMath>
        <m:r>
          <w:rPr>
            <w:rFonts w:ascii="Cambria Math" w:hAnsi="Cambria Math"/>
          </w:rPr>
          <m:t>k</m:t>
        </m:r>
      </m:oMath>
      <w:r>
        <w:t xml:space="preserve"> of these, and each lowers </w:t>
      </w:r>
      <m:oMath>
        <m:r>
          <w:rPr>
            <w:rFonts w:ascii="Cambria Math" w:hAnsi="Cambria Math"/>
          </w:rPr>
          <m:t>b</m:t>
        </m:r>
      </m:oMath>
      <w:r>
        <w:t xml:space="preserve"> by at most </w:t>
      </w:r>
      <m:oMath>
        <m:r>
          <w:rPr>
            <w:rFonts w:ascii="Cambria Math" w:hAnsi="Cambria Math"/>
          </w:rPr>
          <m:t>ω</m:t>
        </m:r>
        <m:r>
          <m:rPr>
            <m:nor/>
          </m:rPr>
          <m:t>.</m:t>
        </m:r>
      </m:oMath>
      <w:r>
        <w:t xml:space="preserve"> Hence </w:t>
      </w:r>
      <m:oMath>
        <m:r>
          <w:rPr>
            <w:rFonts w:ascii="Cambria Math" w:hAnsi="Cambria Math"/>
          </w:rPr>
          <m:t>b</m:t>
        </m:r>
        <m:r>
          <m:rPr>
            <m:sty m:val="p"/>
          </m:rPr>
          <w:rPr>
            <w:rFonts w:ascii="Cambria Math" w:hAnsi="Cambria Math"/>
          </w:rPr>
          <m:t>≥-</m:t>
        </m:r>
        <m:r>
          <w:rPr>
            <w:rFonts w:ascii="Cambria Math" w:hAnsi="Cambria Math"/>
          </w:rPr>
          <m:t>kω</m:t>
        </m:r>
        <m:r>
          <m:rPr>
            <m:nor/>
          </m:rPr>
          <m:t>,</m:t>
        </m:r>
      </m:oMath>
      <w:r>
        <w:t xml:space="preserve"> and (10) follows because in-flight reservations are non-negative. </w:t>
      </w:r>
      <m:oMath>
        <m:r>
          <m:rPr>
            <m:sty m:val="p"/>
          </m:rPr>
          <w:rPr>
            <w:rFonts w:ascii="Cambria Math" w:hAnsi="Cambria Math"/>
          </w:rPr>
          <m:t>▫</m:t>
        </m:r>
      </m:oMath>
    </w:p>
    <w:p w14:paraId="227ACB28" w14:textId="77777777" w:rsidR="006B50AE" w:rsidRDefault="00000000" w:rsidP="003364D8">
      <w:pPr>
        <w:pStyle w:val="BodyText"/>
        <w:jc w:val="both"/>
      </w:pPr>
      <w:r>
        <w:t xml:space="preserve">Metering lag is the usual source of </w:t>
      </w:r>
      <m:oMath>
        <m:r>
          <w:rPr>
            <w:rFonts w:ascii="Cambria Math" w:hAnsi="Cambria Math"/>
          </w:rPr>
          <m:t>ω</m:t>
        </m:r>
        <m:r>
          <m:rPr>
            <m:nor/>
          </m:rPr>
          <m:t>.</m:t>
        </m:r>
      </m:oMath>
      <w:r>
        <w:t xml:space="preserve"> The bound says that a governed family can overspend only by the product of its concurrency and its per-operation estimation error. Both are design parameters. In 300 random runs the bound was never violated, and the largest observed excess reached 0.89 of </w:t>
      </w:r>
      <m:oMath>
        <m:r>
          <w:rPr>
            <w:rFonts w:ascii="Cambria Math" w:hAnsi="Cambria Math"/>
          </w:rPr>
          <m:t>kω</m:t>
        </m:r>
        <m:r>
          <m:rPr>
            <m:nor/>
          </m:rPr>
          <m:t>.</m:t>
        </m:r>
      </m:oMath>
      <w:r>
        <w:t xml:space="preserve"> This is evidence about the specified simulation. To prevent all overspend, reserve </w:t>
      </w:r>
      <m:oMath>
        <m:r>
          <w:rPr>
            <w:rFonts w:ascii="Cambria Math" w:hAnsi="Cambria Math"/>
          </w:rPr>
          <m:t>r</m:t>
        </m:r>
        <m:r>
          <m:rPr>
            <m:sty m:val="p"/>
          </m:rPr>
          <w:rPr>
            <w:rFonts w:ascii="Cambria Math" w:hAnsi="Cambria Math"/>
          </w:rPr>
          <m:t>+</m:t>
        </m:r>
        <m:r>
          <w:rPr>
            <w:rFonts w:ascii="Cambria Math" w:hAnsi="Cambria Math"/>
          </w:rPr>
          <m:t>ω</m:t>
        </m:r>
      </m:oMath>
      <w:r>
        <w:t xml:space="preserve"> rather than </w:t>
      </w:r>
      <m:oMath>
        <m:r>
          <w:rPr>
            <w:rFonts w:ascii="Cambria Math" w:hAnsi="Cambria Math"/>
          </w:rPr>
          <m:t>r</m:t>
        </m:r>
        <m:r>
          <m:rPr>
            <m:nor/>
          </m:rPr>
          <m:t>,</m:t>
        </m:r>
      </m:oMath>
      <w:r>
        <w:t xml:space="preserve"> or enforce a hard operation cost cap. The margin restores the invariant that settled expenditure plus worst-case outstanding obligations is at most </w:t>
      </w: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oMath>
      <w:r>
        <w:t xml:space="preserve"> Without a valid finite overrun bound, neither (10) nor the margin guarantee applies.</w:t>
      </w:r>
    </w:p>
    <w:p w14:paraId="5BD08DB4" w14:textId="77777777" w:rsidR="006B50AE" w:rsidRDefault="00000000" w:rsidP="003364D8">
      <w:pPr>
        <w:pStyle w:val="BodyText"/>
        <w:jc w:val="both"/>
      </w:pPr>
      <w:r>
        <w:lastRenderedPageBreak/>
        <w:t>Immutable snapshots alone do not provide atomic commitment. Two workers can each spend the same initial balance on separate valid snapshots and each trigger an external effect. The host must serialize acceptance through a transactional store or compare-and-swap, reject stale versions and bind one-time reservations to effect execution. A release of root funds back to root must be a no-op. Appendix A fixes that case and tests both the unsafe snapshot fork and a serialized spend. Distribution additionally requires durable state, replay protection and fencing; an in-process lock is not a distributed ledger.</w:t>
      </w:r>
    </w:p>
    <w:p w14:paraId="6AD919DD" w14:textId="77777777" w:rsidR="006B50AE" w:rsidRDefault="00000000" w:rsidP="003364D8">
      <w:pPr>
        <w:pStyle w:val="BodyText"/>
        <w:keepNext/>
        <w:jc w:val="both"/>
      </w:pPr>
      <w:r>
        <w:rPr>
          <w:b/>
          <w:bCs/>
        </w:rPr>
        <w:t>Proposition 9 — Leases trade control for availability.</w:t>
      </w:r>
      <w:r>
        <w:t xml:space="preserve"> Let a connected agent renew a lease of length </w:t>
      </w:r>
      <m:oMath>
        <m:r>
          <w:rPr>
            <w:rFonts w:ascii="Cambria Math" w:hAnsi="Cambria Math"/>
          </w:rPr>
          <m:t>Δ</m:t>
        </m:r>
      </m:oMath>
      <w:r>
        <w:t xml:space="preserve"> every </w:t>
      </w:r>
      <m:oMath>
        <m:r>
          <w:rPr>
            <w:rFonts w:ascii="Cambria Math" w:hAnsi="Cambria Math"/>
          </w:rPr>
          <m:t>r</m:t>
        </m:r>
        <m:r>
          <m:rPr>
            <m:sty m:val="p"/>
          </m:rPr>
          <w:rPr>
            <w:rFonts w:ascii="Cambria Math" w:hAnsi="Cambria Math"/>
          </w:rPr>
          <m:t>≤</m:t>
        </m:r>
        <m:r>
          <w:rPr>
            <w:rFonts w:ascii="Cambria Math" w:hAnsi="Cambria Math"/>
          </w:rPr>
          <m:t>Δ</m:t>
        </m:r>
        <m:r>
          <m:rPr>
            <m:nor/>
          </m:rPr>
          <m:t>.</m:t>
        </m:r>
      </m:oMath>
      <w:r>
        <w:t xml:space="preserve"> A network partition begins at a uniformly random phase of the renewal cycle and lasts an exponentially distributed time with mean </w:t>
      </w:r>
      <m:oMath>
        <m:r>
          <w:rPr>
            <w:rFonts w:ascii="Cambria Math" w:hAnsi="Cambria Math"/>
          </w:rPr>
          <m:t>μ</m:t>
        </m:r>
        <m:r>
          <m:rPr>
            <m:nor/>
          </m:rPr>
          <m:t>.</m:t>
        </m:r>
      </m:oMath>
      <w:r>
        <w:t xml:space="preserve"> During the partition the agent works until its lease expires. Assume ideal successful renewals while connected, independent partition duration and phase, and work at constant rate while the cached lease remains valid. The duration-weighted fraction of partition work retained is </w:t>
      </w:r>
      <m:oMath>
        <m:r>
          <w:rPr>
            <w:rFonts w:ascii="Cambria Math" w:hAnsi="Cambria Math"/>
          </w:rPr>
          <m:t>A</m:t>
        </m:r>
        <m:d>
          <m:dPr>
            <m:ctrlPr>
              <w:rPr>
                <w:rFonts w:ascii="Cambria Math" w:hAnsi="Cambria Math"/>
              </w:rPr>
            </m:ctrlPr>
          </m:dPr>
          <m:e>
            <m:r>
              <w:rPr>
                <w:rFonts w:ascii="Cambria Math" w:hAnsi="Cambria Math"/>
              </w:rPr>
              <m:t>Δ</m:t>
            </m:r>
          </m:e>
        </m:d>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e>
        </m:d>
        <m:r>
          <m:rPr>
            <m:sty m:val="p"/>
          </m:rPr>
          <w:rPr>
            <w:rFonts w:ascii="Cambria Math" w:hAnsi="Cambria Math"/>
          </w:rPr>
          <m:t>/E</m:t>
        </m:r>
        <m:d>
          <m:dPr>
            <m:begChr m:val="["/>
            <m:endChr m:val="]"/>
            <m:ctrlPr>
              <w:rPr>
                <w:rFonts w:ascii="Cambria Math" w:hAnsi="Cambria Math"/>
              </w:rPr>
            </m:ctrlPr>
          </m:dPr>
          <m:e>
            <m:r>
              <w:rPr>
                <w:rFonts w:ascii="Cambria Math" w:hAnsi="Cambria Math"/>
              </w:rPr>
              <m:t>D</m:t>
            </m:r>
          </m:e>
        </m:d>
        <m:r>
          <m:rPr>
            <m:nor/>
          </m:rPr>
          <m:t>,</m:t>
        </m:r>
      </m:oMath>
      <w:r>
        <w:t xml:space="preserve"> where </w:t>
      </w:r>
      <m:oMath>
        <m:r>
          <w:rPr>
            <w:rFonts w:ascii="Cambria Math" w:hAnsi="Cambria Math"/>
          </w:rPr>
          <m:t>a</m:t>
        </m:r>
      </m:oMath>
      <w:r>
        <w:t xml:space="preserve"> is the residual lease. It is</w:t>
      </w:r>
    </w:p>
    <w:p w14:paraId="25C22D92" w14:textId="77777777" w:rsidR="006B50AE" w:rsidRDefault="00000000" w:rsidP="003364D8">
      <w:pPr>
        <w:pStyle w:val="Equation"/>
        <w:jc w:val="both"/>
      </w:pPr>
      <w:r>
        <w:tab/>
      </w:r>
      <m:oMath>
        <m:r>
          <w:rPr>
            <w:rFonts w:ascii="Cambria Math" w:hAnsi="Cambria Math"/>
          </w:rPr>
          <m:t>A</m:t>
        </m:r>
        <m:d>
          <m:dPr>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r</m:t>
            </m:r>
          </m:den>
        </m:f>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μ</m:t>
                </m:r>
              </m:sup>
            </m:sSup>
          </m:e>
        </m:d>
        <m:r>
          <m:rPr>
            <m:sty m:val="p"/>
          </m:rPr>
          <w:rPr>
            <w:rFonts w:ascii="Cambria Math" w:hAnsi="Cambria Math"/>
          </w:rPr>
          <m:t>,</m:t>
        </m:r>
      </m:oMath>
      <w:r>
        <w:tab/>
        <w:t>(11)</w:t>
      </w:r>
    </w:p>
    <w:p w14:paraId="255AFE4D" w14:textId="77777777" w:rsidR="006B50AE" w:rsidRDefault="00000000" w:rsidP="003364D8">
      <w:pPr>
        <w:pStyle w:val="BodyText"/>
        <w:jc w:val="both"/>
      </w:pPr>
      <w:r>
        <w:t xml:space="preserve">while by Proposition 3 the worst-case revocation delay is </w:t>
      </w:r>
      <m:oMath>
        <m:r>
          <w:rPr>
            <w:rFonts w:ascii="Cambria Math" w:hAnsi="Cambria Math"/>
          </w:rPr>
          <m:t>Δ</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L</m:t>
        </m:r>
        <m:r>
          <m:rPr>
            <m:nor/>
          </m:rPr>
          <m:t>.</m:t>
        </m:r>
      </m:oMath>
      <w:r>
        <w:t xml:space="preserve"> Both increase with </w:t>
      </w:r>
      <m:oMath>
        <m:r>
          <w:rPr>
            <w:rFonts w:ascii="Cambria Math" w:hAnsi="Cambria Math"/>
          </w:rPr>
          <m:t>Δ</m:t>
        </m:r>
      </m:oMath>
      <w:r>
        <w:t xml:space="preserve"> when the renewal period </w:t>
      </w:r>
      <m:oMath>
        <m:r>
          <w:rPr>
            <w:rFonts w:ascii="Cambria Math" w:hAnsi="Cambria Math"/>
          </w:rPr>
          <m:t>r</m:t>
        </m:r>
      </m:oMath>
      <w:r>
        <w:t xml:space="preserve"> is fixed.</w:t>
      </w:r>
    </w:p>
    <w:p w14:paraId="2EDA95A8" w14:textId="77777777" w:rsidR="006B50AE" w:rsidRDefault="00000000" w:rsidP="003364D8">
      <w:pPr>
        <w:pStyle w:val="BodyText"/>
        <w:jc w:val="both"/>
      </w:pPr>
      <w:r>
        <w:rPr>
          <w:i/>
          <w:iCs/>
        </w:rPr>
        <w:t>Proof.</w:t>
      </w:r>
      <w:r>
        <w:t xml:space="preserve"> The remaining lease at the start of the partition is uniform on </w:t>
      </w:r>
      <m:oMath>
        <m:d>
          <m:dPr>
            <m:begChr m:val="["/>
            <m:endChr m:val="]"/>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e>
        </m:d>
        <m:r>
          <m:rPr>
            <m:nor/>
          </m:rPr>
          <m:t>.</m:t>
        </m:r>
      </m:oMath>
      <w:r>
        <w:t xml:space="preserve"> For an exponential duration </w:t>
      </w:r>
      <m:oMath>
        <m:r>
          <w:rPr>
            <w:rFonts w:ascii="Cambria Math" w:hAnsi="Cambria Math"/>
          </w:rPr>
          <m:t>D</m:t>
        </m:r>
        <m:r>
          <m:rPr>
            <m:nor/>
          </m:rPr>
          <m:t>,</m:t>
        </m:r>
      </m:oMath>
      <w:r>
        <w:t xml:space="preserve"> the expected working time is </w:t>
      </w:r>
      <m:oMath>
        <m:r>
          <m:rPr>
            <m:nor/>
          </m:rPr>
          <m:t>E</m:t>
        </m:r>
        <m:r>
          <m:rPr>
            <m:sty m:val="p"/>
          </m:rPr>
          <w:rPr>
            <w:rFonts w:ascii="Cambria Math" w:hAnsi="Cambria Math"/>
          </w: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μ</m:t>
                </m:r>
              </m:sup>
            </m:sSup>
          </m:e>
        </m:d>
        <m:r>
          <m:rPr>
            <m:nor/>
          </m:rPr>
          <m:t>.</m:t>
        </m:r>
      </m:oMath>
      <w:r>
        <w:t xml:space="preserve"> Averaging over </w:t>
      </w:r>
      <m:oMath>
        <m:r>
          <w:rPr>
            <w:rFonts w:ascii="Cambria Math" w:hAnsi="Cambria Math"/>
          </w:rPr>
          <m:t>a</m:t>
        </m:r>
      </m:oMath>
      <w:r>
        <w:t xml:space="preserve"> and dividing by </w:t>
      </w:r>
      <m:oMath>
        <m:r>
          <w:rPr>
            <w:rFonts w:ascii="Cambria Math" w:hAnsi="Cambria Math"/>
          </w:rPr>
          <m:t>μ</m:t>
        </m:r>
      </m:oMath>
      <w:r>
        <w:t xml:space="preserve"> gives (11). </w:t>
      </w:r>
      <m:oMath>
        <m:r>
          <m:rPr>
            <m:sty m:val="p"/>
          </m:rPr>
          <w:rPr>
            <w:rFonts w:ascii="Cambria Math" w:hAnsi="Cambria Math"/>
          </w:rPr>
          <m:t>▫</m:t>
        </m:r>
      </m:oMath>
    </w:p>
    <w:p w14:paraId="12AC2507" w14:textId="77777777" w:rsidR="006B50AE" w:rsidRDefault="00000000" w:rsidP="003364D8">
      <w:pPr>
        <w:pStyle w:val="BodyText"/>
        <w:jc w:val="both"/>
      </w:pPr>
      <w:r>
        <w:t xml:space="preserve">With </w:t>
      </w:r>
      <m:oMath>
        <m:r>
          <w:rPr>
            <w:rFonts w:ascii="Cambria Math" w:hAnsi="Cambria Math"/>
          </w:rPr>
          <m:t>μ</m:t>
        </m:r>
        <m:r>
          <m:rPr>
            <m:sty m:val="p"/>
          </m:rPr>
          <w:rPr>
            <w:rFonts w:ascii="Cambria Math" w:hAnsi="Cambria Math"/>
          </w:rPr>
          <m:t>=</m:t>
        </m:r>
        <m:r>
          <w:rPr>
            <w:rFonts w:ascii="Cambria Math" w:hAnsi="Cambria Math"/>
          </w:rPr>
          <m:t>30</m:t>
        </m:r>
      </m:oMath>
      <w:r>
        <w:t xml:space="preserve"> and </w:t>
      </w:r>
      <m:oMath>
        <m:r>
          <w:rPr>
            <w:rFonts w:ascii="Cambria Math" w:hAnsi="Cambria Math"/>
          </w:rPr>
          <m:t>r</m:t>
        </m:r>
        <m:r>
          <m:rPr>
            <m:sty m:val="p"/>
          </m:rPr>
          <w:rPr>
            <w:rFonts w:ascii="Cambria Math" w:hAnsi="Cambria Math"/>
          </w:rPr>
          <m:t>=</m:t>
        </m:r>
        <m:r>
          <w:rPr>
            <w:rFonts w:ascii="Cambria Math" w:hAnsi="Cambria Math"/>
          </w:rPr>
          <m:t>1</m:t>
        </m:r>
      </m:oMath>
      <w:r>
        <w:t xml:space="preserve"> in the same time unit, leases of 10, 40 and 160 retain approximately 27%, 73% and 99.5% of total partition work respectively (Figure 4b). Simulation agreed with (11) to within 0.0011. Version 1 stated the qualitative trade-off, which leases have carried since their introduction [22]; (11) prices it. An operator who wants revocation within a day cannot also have agents that work through week-long partitions. The quantity is not </w:t>
      </w:r>
      <m:oMath>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D</m:t>
            </m:r>
          </m:e>
        </m:d>
        <m:r>
          <m:rPr>
            <m:nor/>
          </m:rPr>
          <m:t>,</m:t>
        </m:r>
      </m:oMath>
      <w:r>
        <w:t xml:space="preserve"> which weights every outage equally. For the lease of 10 above, that latter value is approximately 54.55%, whereas (11) is 27.14%. Neither measure is overall service availability, which also depends on the connected periods and the arrival process of tasks.</w:t>
      </w:r>
    </w:p>
    <w:p w14:paraId="71152C98" w14:textId="77777777" w:rsidR="006B50AE" w:rsidRDefault="00000000" w:rsidP="003364D8">
      <w:pPr>
        <w:pStyle w:val="BodyText"/>
        <w:keepNext/>
        <w:jc w:val="both"/>
      </w:pPr>
      <w:r>
        <w:rPr>
          <w:b/>
          <w:bCs/>
        </w:rPr>
        <w:t>Corollary 4 — A lease feasibility test.</w:t>
      </w:r>
      <w:r>
        <w:t xml:space="preserve"> Let a policy demand duration-weighted fraction at least </w:t>
      </w:r>
      <m:oMath>
        <m:r>
          <w:rPr>
            <w:rFonts w:ascii="Cambria Math" w:hAnsi="Cambria Math"/>
          </w:rPr>
          <m:t>α</m:t>
        </m:r>
        <m:r>
          <m:rPr>
            <m:sty m:val="p"/>
          </m:rPr>
          <w:rPr>
            <w:rFonts w:ascii="Cambria Math" w:hAnsi="Cambria Math"/>
          </w:rPr>
          <m:t>&lt;</m:t>
        </m:r>
        <m:r>
          <w:rPr>
            <w:rFonts w:ascii="Cambria Math" w:hAnsi="Cambria Math"/>
          </w:rPr>
          <m:t>1</m:t>
        </m:r>
      </m:oMath>
      <w:r>
        <w:t xml:space="preserve"> and revocation delay at most </w:t>
      </w:r>
      <m:oMath>
        <m:r>
          <w:rPr>
            <w:rFonts w:ascii="Cambria Math" w:hAnsi="Cambria Math"/>
          </w:rPr>
          <m:t>R</m:t>
        </m:r>
        <m:r>
          <m:rPr>
            <m:nor/>
          </m:rPr>
          <m:t>.</m:t>
        </m:r>
      </m:oMath>
      <w:r>
        <w:t xml:space="preserve"> With fixed </w:t>
      </w:r>
      <m:oMath>
        <m:r>
          <w:rPr>
            <w:rFonts w:ascii="Cambria Math" w:hAnsi="Cambria Math"/>
          </w:rPr>
          <m:t>r</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L</m:t>
        </m:r>
        <m:r>
          <m:rPr>
            <m:nor/>
          </m:rPr>
          <m:t>,</m:t>
        </m:r>
      </m:oMath>
      <w:r>
        <w:t xml:space="preserve"> equation (11) is feasible precisely when</w:t>
      </w:r>
    </w:p>
    <w:p w14:paraId="545CC61E" w14:textId="77777777" w:rsidR="006B50AE" w:rsidRDefault="00000000" w:rsidP="003364D8">
      <w:pPr>
        <w:pStyle w:val="Equation"/>
        <w:jc w:val="both"/>
      </w:pPr>
      <w:r>
        <w:tab/>
      </w:r>
      <m:oMath>
        <m:r>
          <m:rPr>
            <m:sty m:val="p"/>
          </m:rPr>
          <w:rPr>
            <w:rFonts w:ascii="Cambria Math" w:hAnsi="Cambria Math"/>
          </w:rPr>
          <m:t>max{</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m:rPr>
            <m:sty m:val="p"/>
          </m:rPr>
          <w:rPr>
            <w:rFonts w:ascii="Cambria Math" w:hAnsi="Cambria Math"/>
          </w:rPr>
          <m:t>=</m:t>
        </m:r>
        <m:r>
          <w:rPr>
            <w:rFonts w:ascii="Cambria Math" w:hAnsi="Cambria Math"/>
          </w:rPr>
          <m:t>μ</m:t>
        </m:r>
        <m:r>
          <m:rPr>
            <m:sty m:val="p"/>
          </m:rPr>
          <w:rPr>
            <w:rFonts w:ascii="Cambria Math" w:hAnsi="Cambria Math"/>
          </w:rPr>
          <m:t>log</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μ</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r</m:t>
                        </m:r>
                        <m:r>
                          <m:rPr>
                            <m:sty m:val="p"/>
                          </m:rPr>
                          <w:rPr>
                            <w:rFonts w:ascii="Cambria Math" w:hAnsi="Cambria Math"/>
                          </w:rPr>
                          <m:t>/</m:t>
                        </m:r>
                        <m:r>
                          <w:rPr>
                            <w:rFonts w:ascii="Cambria Math" w:hAnsi="Cambria Math"/>
                          </w:rPr>
                          <m:t>μ</m:t>
                        </m:r>
                      </m:sup>
                    </m:sSup>
                    <m:r>
                      <m:rPr>
                        <m:sty m:val="p"/>
                      </m:rPr>
                      <w:rPr>
                        <w:rFonts w:ascii="Cambria Math" w:hAnsi="Cambria Math"/>
                      </w:rPr>
                      <m:t>-</m:t>
                    </m:r>
                    <m:r>
                      <w:rPr>
                        <w:rFonts w:ascii="Cambria Math" w:hAnsi="Cambria Math"/>
                      </w:rPr>
                      <m:t>1</m:t>
                    </m:r>
                  </m:e>
                </m:d>
              </m:num>
              <m:den>
                <m:r>
                  <w:rPr>
                    <w:rFonts w:ascii="Cambria Math" w:hAnsi="Cambria Math"/>
                  </w:rPr>
                  <m:t>r</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den>
            </m:f>
          </m:e>
        </m:d>
        <m:r>
          <m:rPr>
            <m:sty m:val="p"/>
          </m:rPr>
          <w:rPr>
            <w:rFonts w:ascii="Cambria Math" w:hAnsi="Cambria Math"/>
          </w:rPr>
          <m:t>.</m:t>
        </m:r>
      </m:oMath>
      <w:r>
        <w:tab/>
        <w:t>(12)</w:t>
      </w:r>
    </w:p>
    <w:p w14:paraId="06295354" w14:textId="77777777" w:rsidR="006B50AE" w:rsidRDefault="00000000" w:rsidP="003364D8">
      <w:pPr>
        <w:pStyle w:val="BodyText"/>
        <w:jc w:val="both"/>
      </w:pPr>
      <w:r>
        <w:rPr>
          <w:i/>
          <w:iCs/>
        </w:rPr>
        <w:t>Proof.</w:t>
      </w:r>
      <w:r>
        <w:t xml:space="preserve"> Rewrite (11) as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r</m:t>
            </m:r>
          </m:e>
        </m: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r</m:t>
                </m:r>
                <m:r>
                  <m:rPr>
                    <m:sty m:val="p"/>
                  </m:rPr>
                  <w:rPr>
                    <w:rFonts w:ascii="Cambria Math" w:hAnsi="Cambria Math"/>
                  </w:rPr>
                  <m:t>/</m:t>
                </m:r>
                <m:r>
                  <w:rPr>
                    <w:rFonts w:ascii="Cambria Math" w:hAnsi="Cambria Math"/>
                  </w:rPr>
                  <m:t>μ</m:t>
                </m:r>
              </m:sup>
            </m:sSup>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μ</m:t>
            </m:r>
          </m:sup>
        </m:sSup>
        <m:r>
          <m:rPr>
            <m:nor/>
          </m:rPr>
          <m:t>,</m:t>
        </m:r>
      </m:oMath>
      <w:r>
        <w:t xml:space="preserve"> solve the monotone inequality for </w:t>
      </w:r>
      <m:oMath>
        <m:r>
          <w:rPr>
            <w:rFonts w:ascii="Cambria Math" w:hAnsi="Cambria Math"/>
          </w:rPr>
          <m:t>Δ</m:t>
        </m:r>
        <m:r>
          <m:rPr>
            <m:nor/>
          </m:rPr>
          <m:t>,</m:t>
        </m:r>
      </m:oMath>
      <w:r>
        <w:t xml:space="preserve"> and intersect with </w:t>
      </w:r>
      <m:oMath>
        <m:r>
          <w:rPr>
            <w:rFonts w:ascii="Cambria Math" w:hAnsi="Cambria Math"/>
          </w:rPr>
          <m:t>Δ</m:t>
        </m:r>
        <m:r>
          <m:rPr>
            <m:sty m:val="p"/>
          </m:rPr>
          <w:rPr>
            <w:rFonts w:ascii="Cambria Math" w:hAnsi="Cambria Math"/>
          </w:rPr>
          <m:t>≥</m:t>
        </m:r>
        <m:r>
          <w:rPr>
            <w:rFonts w:ascii="Cambria Math" w:hAnsi="Cambria Math"/>
          </w:rPr>
          <m:t>r</m:t>
        </m:r>
      </m:oMath>
      <w:r>
        <w:t xml:space="preserve"> and </w:t>
      </w:r>
      <m:oMath>
        <m:r>
          <w:rPr>
            <w:rFonts w:ascii="Cambria Math" w:hAnsi="Cambria Math"/>
          </w:rPr>
          <m:t>Δ</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L</m:t>
        </m:r>
        <m:r>
          <m:rPr>
            <m:nor/>
          </m:rPr>
          <m:t>.</m:t>
        </m:r>
      </m:oMath>
      <w:r>
        <w:t xml:space="preserve"> At </w:t>
      </w:r>
      <m:oMath>
        <m:r>
          <w:rPr>
            <w:rFonts w:ascii="Cambria Math" w:hAnsi="Cambria Math"/>
          </w:rPr>
          <m:t>α</m:t>
        </m:r>
        <m:r>
          <m:rPr>
            <m:sty m:val="p"/>
          </m:rPr>
          <w:rPr>
            <w:rFonts w:ascii="Cambria Math" w:hAnsi="Cambria Math"/>
          </w:rPr>
          <m:t>=</m:t>
        </m:r>
        <m:r>
          <w:rPr>
            <w:rFonts w:ascii="Cambria Math" w:hAnsi="Cambria Math"/>
          </w:rPr>
          <m:t>1</m:t>
        </m:r>
      </m:oMath>
      <w:r>
        <w:t xml:space="preserve"> no finite lease suffices. With </w:t>
      </w:r>
      <m:oMath>
        <m:r>
          <w:rPr>
            <w:rFonts w:ascii="Cambria Math" w:hAnsi="Cambria Math"/>
          </w:rPr>
          <m:t>α</m:t>
        </m:r>
        <m:r>
          <m:rPr>
            <m:sty m:val="p"/>
          </m:rPr>
          <w:rPr>
            <w:rFonts w:ascii="Cambria Math" w:hAnsi="Cambria Math"/>
          </w:rPr>
          <m:t>=</m:t>
        </m:r>
        <m:r>
          <w:rPr>
            <w:rFonts w:ascii="Cambria Math" w:hAnsi="Cambria Math"/>
          </w:rPr>
          <m:t>0.73</m:t>
        </m:r>
        <m:r>
          <m:rPr>
            <m:nor/>
          </m:rPr>
          <m:t>,</m:t>
        </m:r>
      </m:oMath>
      <w:r>
        <w:t xml:space="preserve"> </w:t>
      </w:r>
      <m:oMath>
        <m:r>
          <w:rPr>
            <w:rFonts w:ascii="Cambria Math" w:hAnsi="Cambria Math"/>
          </w:rPr>
          <m:t>r</m:t>
        </m:r>
        <m:r>
          <m:rPr>
            <m:sty m:val="p"/>
          </m:rPr>
          <w:rPr>
            <w:rFonts w:ascii="Cambria Math" w:hAnsi="Cambria Math"/>
          </w:rPr>
          <m:t>=</m:t>
        </m:r>
        <m:r>
          <w:rPr>
            <w:rFonts w:ascii="Cambria Math" w:hAnsi="Cambria Math"/>
          </w:rPr>
          <m:t>1</m:t>
        </m:r>
      </m:oMath>
      <w:r>
        <w:t xml:space="preserve"> and </w:t>
      </w:r>
      <m:oMath>
        <m:r>
          <w:rPr>
            <w:rFonts w:ascii="Cambria Math" w:hAnsi="Cambria Math"/>
          </w:rPr>
          <m:t>μ</m:t>
        </m:r>
        <m:r>
          <m:rPr>
            <m:sty m:val="p"/>
          </m:rPr>
          <w:rPr>
            <w:rFonts w:ascii="Cambria Math" w:hAnsi="Cambria Math"/>
          </w:rPr>
          <m:t>=</m:t>
        </m:r>
        <m:r>
          <w:rPr>
            <w:rFonts w:ascii="Cambria Math" w:hAnsi="Cambria Math"/>
          </w:rPr>
          <m:t>30</m:t>
        </m:r>
        <m:r>
          <m:rPr>
            <m:nor/>
          </m:rPr>
          <m:t>,</m:t>
        </m:r>
      </m:oMath>
      <w:r>
        <w:t xml:space="preserve"> the minimum lease is approximately 39.7814 before clock and execution allowances. Dhṛti, persistence within a valid envelope, therefore involves an explicit policy choice.</w:t>
      </w:r>
    </w:p>
    <w:p w14:paraId="7A6E7C9A" w14:textId="77777777" w:rsidR="006B50AE" w:rsidRDefault="00000000" w:rsidP="003364D8">
      <w:pPr>
        <w:pStyle w:val="Heading21"/>
        <w:jc w:val="both"/>
      </w:pPr>
      <w:bookmarkStart w:id="21" w:name="what-the-propositions-leave-open"/>
      <w:r>
        <w:t>What the propositions leave open</w:t>
      </w:r>
    </w:p>
    <w:p w14:paraId="7BAF1DE5" w14:textId="77777777" w:rsidR="006B50AE" w:rsidRDefault="00000000" w:rsidP="003364D8">
      <w:pPr>
        <w:pStyle w:val="FirstParagraph"/>
        <w:jc w:val="both"/>
      </w:pPr>
      <w:r>
        <w:t>Budget conservation, bounded propagation, attenuation and bounded cessation are different properties. None establishes factual accuracy, fairness or safe physical design. Their value is compositional clarity: they identify which assurances depend on contracts, which depend on a trusted runtime, and which still require empirical evidence or professional judgement.</w:t>
      </w:r>
    </w:p>
    <w:p w14:paraId="081AE76F" w14:textId="77777777" w:rsidR="006B50AE" w:rsidRDefault="00000000" w:rsidP="003364D8">
      <w:pPr>
        <w:pStyle w:val="Heading11"/>
        <w:jc w:val="both"/>
      </w:pPr>
      <w:bookmarkStart w:id="22" w:name="X1d597313333471f08c095f5dd87b47fa8c9babf"/>
      <w:bookmarkEnd w:id="20"/>
      <w:bookmarkEnd w:id="21"/>
      <w:r>
        <w:t>9 Replication and the ecology of persistence</w:t>
      </w:r>
    </w:p>
    <w:p w14:paraId="0B2D4FF0" w14:textId="77777777" w:rsidR="006B50AE" w:rsidRDefault="00000000" w:rsidP="003364D8">
      <w:pPr>
        <w:pStyle w:val="FirstParagraph"/>
        <w:jc w:val="both"/>
      </w:pPr>
      <w:r>
        <w:t>The replication report of Section 5 raises the question that Version 1 left qualitative: what can governance say about copies? The answer depends on whether a copy is made inside the governed system or escapes it.</w:t>
      </w:r>
    </w:p>
    <w:p w14:paraId="64607005" w14:textId="77777777" w:rsidR="006B50AE" w:rsidRDefault="00000000" w:rsidP="003364D8">
      <w:pPr>
        <w:pStyle w:val="BodyText"/>
        <w:keepNext/>
        <w:jc w:val="both"/>
      </w:pPr>
      <w:r>
        <w:rPr>
          <w:b/>
          <w:bCs/>
        </w:rPr>
        <w:t>Proposition 10 — A family ledger caps copies.</w:t>
      </w:r>
      <w:r>
        <w:t xml:space="preserve"> Suppose every copy is created by an effectful spawn operation admitted against the family ledger at a cost of at least </w:t>
      </w:r>
      <m:oMath>
        <m:r>
          <w:rPr>
            <w:rFonts w:ascii="Cambria Math" w:hAnsi="Cambria Math"/>
          </w:rPr>
          <m:t>c</m:t>
        </m:r>
        <m:r>
          <m:rPr>
            <m:sty m:val="p"/>
          </m:rPr>
          <w:rPr>
            <w:rFonts w:ascii="Cambria Math" w:hAnsi="Cambria Math"/>
          </w:rPr>
          <m:t>&gt;</m:t>
        </m:r>
        <m:r>
          <w:rPr>
            <w:rFonts w:ascii="Cambria Math" w:hAnsi="Cambria Math"/>
          </w:rPr>
          <m:t>0</m:t>
        </m:r>
        <m:r>
          <m:rPr>
            <m:nor/>
          </m:rPr>
          <m:t>,</m:t>
        </m:r>
      </m:oMath>
      <w:r>
        <w:t xml:space="preserve"> and a copy receives only allocation </w:t>
      </w:r>
      <w:r>
        <w:lastRenderedPageBreak/>
        <w:t>transferred to it. Assume this spawn cost is a non-refundable charge included in the cumulative expenditure of Proposition 2, with no new external funding. Then the number of successfully admitted spawns plus the original is at most</w:t>
      </w:r>
    </w:p>
    <w:p w14:paraId="62B654BE" w14:textId="77777777" w:rsidR="006B50AE" w:rsidRDefault="00000000" w:rsidP="003364D8">
      <w:pPr>
        <w:pStyle w:val="Equation"/>
        <w:jc w:val="both"/>
      </w:pPr>
      <w:r>
        <w:tab/>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0</m:t>
                    </m:r>
                  </m:sub>
                </m:sSub>
              </m:num>
              <m:den>
                <m:r>
                  <w:rPr>
                    <w:rFonts w:ascii="Cambria Math" w:hAnsi="Cambria Math"/>
                  </w:rPr>
                  <m:t>c</m:t>
                </m:r>
              </m:den>
            </m:f>
          </m:e>
        </m:d>
        <m:r>
          <m:rPr>
            <m:sty m:val="p"/>
          </m:rPr>
          <w:rPr>
            <w:rFonts w:ascii="Cambria Math" w:hAnsi="Cambria Math"/>
          </w:rPr>
          <m:t>+</m:t>
        </m:r>
        <m:r>
          <w:rPr>
            <w:rFonts w:ascii="Cambria Math" w:hAnsi="Cambria Math"/>
          </w:rPr>
          <m:t>1</m:t>
        </m:r>
        <m:r>
          <m:rPr>
            <m:sty m:val="p"/>
          </m:rPr>
          <w:rPr>
            <w:rFonts w:ascii="Cambria Math" w:hAnsi="Cambria Math"/>
          </w:rPr>
          <m:t>.</m:t>
        </m:r>
      </m:oMath>
      <w:r>
        <w:tab/>
        <w:t>(13)</w:t>
      </w:r>
    </w:p>
    <w:p w14:paraId="07DDF091" w14:textId="77777777" w:rsidR="006B50AE" w:rsidRDefault="00000000" w:rsidP="003364D8">
      <w:pPr>
        <w:pStyle w:val="BodyText"/>
        <w:jc w:val="both"/>
      </w:pPr>
      <w:r>
        <w:rPr>
          <w:i/>
          <w:iCs/>
        </w:rPr>
        <w:t>Proof.</w:t>
      </w:r>
      <w:r>
        <w:t xml:space="preserve"> Each spawn adds at least </w:t>
      </w:r>
      <m:oMath>
        <m:r>
          <w:rPr>
            <w:rFonts w:ascii="Cambria Math" w:hAnsi="Cambria Math"/>
          </w:rPr>
          <m:t>c</m:t>
        </m:r>
      </m:oMath>
      <w:r>
        <w:t xml:space="preserve"> to </w:t>
      </w:r>
      <m:oMath>
        <m:r>
          <w:rPr>
            <w:rFonts w:ascii="Cambria Math" w:hAnsi="Cambria Math"/>
          </w:rPr>
          <m:t>E</m:t>
        </m:r>
        <m:r>
          <m:rPr>
            <m:nor/>
          </m:rPr>
          <m:t>,</m:t>
        </m:r>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by Proposition 2. </w:t>
      </w:r>
      <m:oMath>
        <m:r>
          <m:rPr>
            <m:sty m:val="p"/>
          </m:rPr>
          <w:rPr>
            <w:rFonts w:ascii="Cambria Math" w:hAnsi="Cambria Math"/>
          </w:rPr>
          <m:t>▫</m:t>
        </m:r>
      </m:oMath>
    </w:p>
    <w:p w14:paraId="6862A199" w14:textId="77777777" w:rsidR="006B50AE" w:rsidRDefault="00000000" w:rsidP="003364D8">
      <w:pPr>
        <w:pStyle w:val="BodyText"/>
        <w:jc w:val="both"/>
      </w:pPr>
      <w:r>
        <w:t xml:space="preserve">Both transferred allocation and an irreversible positive spawn charge are necessary to this counting argument. Reusable reservations can bound simultaneous occupancy without bounding the number of copies ever created; deleting one copy and reusing its reservation permits unlimited successive births. If each copy instead receives a fresh per-agent cap </w:t>
      </w:r>
      <m:oMath>
        <m:r>
          <w:rPr>
            <w:rFonts w:ascii="Cambria Math" w:hAnsi="Cambria Math"/>
          </w:rPr>
          <m:t>b</m:t>
        </m:r>
        <m:r>
          <m:rPr>
            <m:sty m:val="p"/>
          </m:rPr>
          <w:rPr>
            <w:rFonts w:ascii="Cambria Math" w:hAnsi="Cambria Math"/>
          </w:rPr>
          <m:t>≥</m:t>
        </m:r>
        <m:r>
          <w:rPr>
            <w:rFonts w:ascii="Cambria Math" w:hAnsi="Cambria Math"/>
          </w:rPr>
          <m:t>c</m:t>
        </m:r>
        <m:r>
          <m:rPr>
            <m:nor/>
          </m:rPr>
          <m:t>,</m:t>
        </m:r>
      </m:oMath>
      <w:r>
        <w:t xml:space="preserve"> every copy can spawn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more and the population grows geometrically. With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100</m:t>
        </m:r>
        <m:r>
          <m:rPr>
            <m:nor/>
          </m:rPr>
          <m:t>,</m:t>
        </m:r>
      </m:oMath>
      <w:r>
        <w:t xml:space="preserve"> </w:t>
      </w:r>
      <m:oMath>
        <m:r>
          <w:rPr>
            <w:rFonts w:ascii="Cambria Math" w:hAnsi="Cambria Math"/>
          </w:rPr>
          <m:t>c</m:t>
        </m:r>
        <m:r>
          <m:rPr>
            <m:sty m:val="p"/>
          </m:rPr>
          <w:rPr>
            <w:rFonts w:ascii="Cambria Math" w:hAnsi="Cambria Math"/>
          </w:rPr>
          <m:t>=</m:t>
        </m:r>
        <m:r>
          <w:rPr>
            <w:rFonts w:ascii="Cambria Math" w:hAnsi="Cambria Math"/>
          </w:rPr>
          <m:t>10</m:t>
        </m:r>
      </m:oMath>
      <w:r>
        <w:t xml:space="preserve"> and a cap of 30, the family ledger allowed 11 copies in all. Per-agent caps allowed 9,841 after eight generations (Figure 3a). Aloluptva, non-covetousness, becomes the requirement that copying never increases total entitlement.</w:t>
      </w:r>
    </w:p>
    <w:p w14:paraId="2ADE49E4" w14:textId="77777777" w:rsidR="006B50AE" w:rsidRDefault="00000000" w:rsidP="003364D8">
      <w:pPr>
        <w:pStyle w:val="BodyText"/>
        <w:keepNext/>
        <w:jc w:val="both"/>
      </w:pPr>
      <w:r>
        <w:t>Proposition 10 governs copies made through the harness. A copy that runs on a host outside any reference monitor is not governed by Propositions 2–10, because their central assumption, that effects pass through the monitor, fails. For such copies the relevant question is ecological.</w:t>
      </w:r>
    </w:p>
    <w:p w14:paraId="2CC58B78" w14:textId="77777777" w:rsidR="006B50AE" w:rsidRDefault="00000000" w:rsidP="003364D8">
      <w:pPr>
        <w:pStyle w:val="BodyText"/>
        <w:keepNext/>
        <w:jc w:val="both"/>
      </w:pPr>
      <w:r>
        <w:rPr>
          <w:b/>
          <w:bCs/>
        </w:rPr>
        <w:t>Proposition 11 — A threshold for escaped copies.</w:t>
      </w:r>
      <w:r>
        <w:t xml:space="preserve"> Let each escaped copy, in each step it remains active, create a Poisson number of new copies with mean </w:t>
      </w:r>
      <m:oMath>
        <m:r>
          <w:rPr>
            <w:rFonts w:ascii="Cambria Math" w:hAnsi="Cambria Math"/>
          </w:rPr>
          <m:t>λ</m:t>
        </m:r>
        <m:r>
          <m:rPr>
            <m:sty m:val="p"/>
          </m:rPr>
          <w:rPr>
            <w:rFonts w:ascii="Cambria Math" w:hAnsi="Cambria Math"/>
          </w:rPr>
          <m:t>=</m:t>
        </m:r>
        <m:r>
          <w:rPr>
            <w:rFonts w:ascii="Cambria Math" w:hAnsi="Cambria Math"/>
          </w:rPr>
          <m:t>βv</m:t>
        </m:r>
        <m:r>
          <m:rPr>
            <m:nor/>
          </m:rPr>
          <m:t>.</m:t>
        </m:r>
      </m:oMath>
      <w:r>
        <w:t xml:space="preserve"> Here </w:t>
      </w:r>
      <m:oMath>
        <m:r>
          <w:rPr>
            <w:rFonts w:ascii="Cambria Math" w:hAnsi="Cambria Math"/>
          </w:rPr>
          <m:t>β</m:t>
        </m:r>
      </m:oMath>
      <w:r>
        <w:t xml:space="preserve"> is the rate of attempts and </w:t>
      </w:r>
      <m:oMath>
        <m:r>
          <w:rPr>
            <w:rFonts w:ascii="Cambria Math" w:hAnsi="Cambria Math"/>
          </w:rPr>
          <m:t>v</m:t>
        </m:r>
      </m:oMath>
      <w:r>
        <w:t xml:space="preserve"> the probability that an attempt reaches a host that admits it. Let each copy be removed independently with probability </w:t>
      </w:r>
      <m:oMath>
        <m:r>
          <w:rPr>
            <w:rFonts w:ascii="Cambria Math" w:hAnsi="Cambria Math"/>
          </w:rPr>
          <m:t>p</m:t>
        </m:r>
      </m:oMath>
      <w:r>
        <w:t xml:space="preserve"> per step. The number of copies made by one copy then has the generating function and mean</w:t>
      </w:r>
    </w:p>
    <w:p w14:paraId="318433B1" w14:textId="77777777" w:rsidR="006B50AE" w:rsidRDefault="00000000" w:rsidP="003364D8">
      <w:pPr>
        <w:pStyle w:val="Equation"/>
        <w:jc w:val="both"/>
      </w:pPr>
      <w:r>
        <w:tab/>
      </w:r>
      <m:oMath>
        <m:r>
          <w:rPr>
            <w:rFonts w:ascii="Cambria Math" w:hAnsi="Cambria Math"/>
          </w:rPr>
          <m:t>f</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λ</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sup>
            </m:sSup>
          </m:num>
          <m:den>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sSup>
              <m:sSupPr>
                <m:ctrlPr>
                  <w:rPr>
                    <w:rFonts w:ascii="Cambria Math" w:hAnsi="Cambria Math"/>
                  </w:rPr>
                </m:ctrlPr>
              </m:sSupPr>
              <m:e>
                <m:r>
                  <w:rPr>
                    <w:rFonts w:ascii="Cambria Math" w:hAnsi="Cambria Math"/>
                  </w:rPr>
                  <m:t>e</m:t>
                </m:r>
              </m:e>
              <m:sup>
                <m:r>
                  <w:rPr>
                    <w:rFonts w:ascii="Cambria Math" w:hAnsi="Cambria Math"/>
                  </w:rPr>
                  <m:t>λ</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sup>
            </m:sSup>
          </m:den>
        </m:f>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βv</m:t>
            </m:r>
          </m:num>
          <m:den>
            <m:r>
              <w:rPr>
                <w:rFonts w:ascii="Cambria Math" w:hAnsi="Cambria Math"/>
              </w:rPr>
              <m:t>p</m:t>
            </m:r>
          </m:den>
        </m:f>
        <m:r>
          <m:rPr>
            <m:sty m:val="p"/>
          </m:rPr>
          <w:rPr>
            <w:rFonts w:ascii="Cambria Math" w:hAnsi="Cambria Math"/>
          </w:rPr>
          <m:t>.</m:t>
        </m:r>
      </m:oMath>
      <w:r>
        <w:tab/>
        <w:t>(14)</w:t>
      </w:r>
    </w:p>
    <w:p w14:paraId="37BFD083" w14:textId="77777777" w:rsidR="006B50AE" w:rsidRDefault="00000000" w:rsidP="003364D8">
      <w:pPr>
        <w:pStyle w:val="BodyText"/>
        <w:jc w:val="both"/>
      </w:pPr>
      <w:r>
        <w:t xml:space="preserve">Assume </w:t>
      </w:r>
      <m:oMath>
        <m:r>
          <w:rPr>
            <w:rFonts w:ascii="Cambria Math" w:hAnsi="Cambria Math"/>
          </w:rPr>
          <m:t>0</m:t>
        </m:r>
        <m:r>
          <m:rPr>
            <m:sty m:val="p"/>
          </m:rPr>
          <w:rPr>
            <w:rFonts w:ascii="Cambria Math" w:hAnsi="Cambria Math"/>
          </w:rPr>
          <m:t>&lt;</m:t>
        </m:r>
        <m:r>
          <w:rPr>
            <w:rFonts w:ascii="Cambria Math" w:hAnsi="Cambria Math"/>
          </w:rPr>
          <m:t>p</m:t>
        </m:r>
        <m:r>
          <m:rPr>
            <m:sty m:val="p"/>
          </m:rPr>
          <w:rPr>
            <w:rFonts w:ascii="Cambria Math" w:hAnsi="Cambria Math"/>
          </w:rPr>
          <m:t>≤</m:t>
        </m:r>
        <m:r>
          <w:rPr>
            <w:rFonts w:ascii="Cambria Math" w:hAnsi="Cambria Math"/>
          </w:rPr>
          <m:t>1</m:t>
        </m:r>
        <m:r>
          <m:rPr>
            <m:nor/>
          </m:rPr>
          <m:t>,</m:t>
        </m:r>
      </m:oMath>
      <w:r>
        <w:t xml:space="preserve"> finite </w:t>
      </w:r>
      <m:oMath>
        <m:r>
          <w:rPr>
            <w:rFonts w:ascii="Cambria Math" w:hAnsi="Cambria Math"/>
          </w:rPr>
          <m:t>λ</m:t>
        </m:r>
        <m:r>
          <m:rPr>
            <m:sty m:val="p"/>
          </m:rPr>
          <w:rPr>
            <w:rFonts w:ascii="Cambria Math" w:hAnsi="Cambria Math"/>
          </w:rPr>
          <m:t>≥</m:t>
        </m:r>
        <m:r>
          <w:rPr>
            <w:rFonts w:ascii="Cambria Math" w:hAnsi="Cambria Math"/>
          </w:rPr>
          <m:t>0</m:t>
        </m:r>
        <m:r>
          <m:rPr>
            <m:nor/>
          </m:rPr>
          <m:t>,</m:t>
        </m:r>
      </m:oMath>
      <w:r>
        <w:t xml:space="preserve"> reproduction before the end-of-step removal check, independent identically distributed lifetimes and offspring, and an unlimited pool of available hosts. A lineage dies out almost surely if </w:t>
      </w:r>
      <m:oMath>
        <m:r>
          <w:rPr>
            <w:rFonts w:ascii="Cambria Math" w:hAnsi="Cambria Math"/>
          </w:rPr>
          <m:t>m</m:t>
        </m:r>
        <m:r>
          <m:rPr>
            <m:sty m:val="p"/>
          </m:rPr>
          <w:rPr>
            <w:rFonts w:ascii="Cambria Math" w:hAnsi="Cambria Math"/>
          </w:rPr>
          <m:t>≤</m:t>
        </m:r>
        <m:r>
          <w:rPr>
            <w:rFonts w:ascii="Cambria Math" w:hAnsi="Cambria Math"/>
          </w:rPr>
          <m:t>1</m:t>
        </m:r>
        <m:r>
          <m:rPr>
            <m:nor/>
          </m:rPr>
          <m:t>.</m:t>
        </m:r>
      </m:oMath>
      <w:r>
        <w:t xml:space="preserve"> If </w:t>
      </w:r>
      <m:oMath>
        <m:r>
          <w:rPr>
            <w:rFonts w:ascii="Cambria Math" w:hAnsi="Cambria Math"/>
          </w:rPr>
          <m:t>m</m:t>
        </m:r>
        <m:r>
          <m:rPr>
            <m:sty m:val="p"/>
          </m:rPr>
          <w:rPr>
            <w:rFonts w:ascii="Cambria Math" w:hAnsi="Cambria Math"/>
          </w:rPr>
          <m:t>&gt;</m:t>
        </m:r>
        <m:r>
          <w:rPr>
            <w:rFonts w:ascii="Cambria Math" w:hAnsi="Cambria Math"/>
          </w:rPr>
          <m:t>1</m:t>
        </m:r>
        <m:r>
          <m:rPr>
            <m:nor/>
          </m:rPr>
          <m:t>,</m:t>
        </m:r>
      </m:oMath>
      <w:r>
        <w:t xml:space="preserve"> it has positive probability </w:t>
      </w:r>
      <m:oMath>
        <m:r>
          <w:rPr>
            <w:rFonts w:ascii="Cambria Math" w:hAnsi="Cambria Math"/>
          </w:rPr>
          <m:t>1</m:t>
        </m:r>
        <m:r>
          <m:rPr>
            <m:sty m:val="p"/>
          </m:rPr>
          <w:rPr>
            <w:rFonts w:ascii="Cambria Math" w:hAnsi="Cambria Math"/>
          </w:rPr>
          <m:t>-</m:t>
        </m:r>
        <m:r>
          <w:rPr>
            <w:rFonts w:ascii="Cambria Math" w:hAnsi="Cambria Math"/>
          </w:rPr>
          <m:t>ξ</m:t>
        </m:r>
      </m:oMath>
      <w:r>
        <w:t xml:space="preserve"> of infinite survival, where </w:t>
      </w:r>
      <m:oMath>
        <m:r>
          <w:rPr>
            <w:rFonts w:ascii="Cambria Math" w:hAnsi="Cambria Math"/>
          </w:rPr>
          <m:t>ξ</m:t>
        </m:r>
      </m:oMath>
      <w:r>
        <w:t xml:space="preserve"> is the smallest root of </w:t>
      </w:r>
      <m:oMath>
        <m:r>
          <w:rPr>
            <w:rFonts w:ascii="Cambria Math" w:hAnsi="Cambria Math"/>
          </w:rPr>
          <m:t>f</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oMath>
      <w:r>
        <w:t xml:space="preserv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Supercriticality does not guarantee persistence for an individual lineage.</w:t>
      </w:r>
    </w:p>
    <w:p w14:paraId="54AF08CE" w14:textId="77777777" w:rsidR="006B50AE" w:rsidRDefault="00000000" w:rsidP="003364D8">
      <w:pPr>
        <w:pStyle w:val="BodyText"/>
        <w:jc w:val="both"/>
      </w:pPr>
      <w:r>
        <w:rPr>
          <w:i/>
          <w:iCs/>
        </w:rPr>
        <w:t>Proof.</w:t>
      </w:r>
      <w:r>
        <w:t xml:space="preserve"> A copy’s active life is geometric with </w:t>
      </w:r>
      <m:oMath>
        <m:r>
          <m:rPr>
            <m:nor/>
          </m:rPr>
          <m:t>P</m:t>
        </m:r>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m:rPr>
                <m:scr m:val="script"/>
                <m:sty m:val="p"/>
              </m:rPr>
              <w:rPr>
                <w:rFonts w:ascii="Cambria Math" w:hAnsi="Cambria Math"/>
              </w:rPr>
              <m:t>l-</m:t>
            </m:r>
            <m:r>
              <w:rPr>
                <w:rFonts w:ascii="Cambria Math" w:hAnsi="Cambria Math"/>
              </w:rPr>
              <m:t>1</m:t>
            </m:r>
          </m:sup>
        </m:sSup>
        <m:r>
          <m:rPr>
            <m:nor/>
          </m:rPr>
          <m:t>,</m:t>
        </m:r>
      </m:oMath>
      <w:r>
        <w:t xml:space="preserve"> and given its life its offspring are Poisson with mean </w:t>
      </w:r>
      <m:oMath>
        <m:r>
          <w:rPr>
            <w:rFonts w:ascii="Cambria Math" w:hAnsi="Cambria Math"/>
          </w:rPr>
          <m:t>λ</m:t>
        </m:r>
        <m:r>
          <m:rPr>
            <m:scr m:val="script"/>
            <m:sty m:val="p"/>
          </m:rPr>
          <w:rPr>
            <w:rFonts w:ascii="Cambria Math" w:hAnsi="Cambria Math"/>
          </w:rPr>
          <m:t>l</m:t>
        </m:r>
        <m:r>
          <m:rPr>
            <m:nor/>
          </m:rPr>
          <m:t>.</m:t>
        </m:r>
      </m:oMath>
      <w:r>
        <w:t xml:space="preserve"> Summing the geometric series of Poisson generating functions gives </w:t>
      </w:r>
      <m:oMath>
        <m:r>
          <w:rPr>
            <w:rFonts w:ascii="Cambria Math" w:hAnsi="Cambria Math"/>
          </w:rPr>
          <m:t>f</m:t>
        </m:r>
        <m:r>
          <m:rPr>
            <m:nor/>
          </m:rPr>
          <m:t>.</m:t>
        </m:r>
      </m:oMath>
      <w:r>
        <w:t xml:space="preserve"> The lineage is a Galton–Watson process, and the extinction criterion is the classical one [23]. </w:t>
      </w:r>
      <m:oMath>
        <m:r>
          <m:rPr>
            <m:sty m:val="p"/>
          </m:rPr>
          <w:rPr>
            <w:rFonts w:ascii="Cambria Math" w:hAnsi="Cambria Math"/>
          </w:rPr>
          <m:t>▫</m:t>
        </m:r>
      </m:oMath>
    </w:p>
    <w:p w14:paraId="59F1B128" w14:textId="77777777" w:rsidR="006B50AE" w:rsidRDefault="00000000" w:rsidP="003364D8">
      <w:pPr>
        <w:pStyle w:val="BodyText"/>
        <w:jc w:val="both"/>
      </w:pPr>
      <w:r>
        <w:t xml:space="preserve">The idealised levers are attempt rate, successful admission and removal. In the model, </w:t>
      </w:r>
      <m:oMath>
        <m:r>
          <w:rPr>
            <w:rFonts w:ascii="Cambria Math" w:hAnsi="Cambria Math"/>
          </w:rPr>
          <m:t>v</m:t>
        </m:r>
      </m:oMath>
      <w:r>
        <w:t xml:space="preserve"> is a successful-spawn probability that must be estimated for a specified environment; it is not inferred from the access conditions of one demonstration. The time-step convention matters because reproducing after a removal check would give a different offspring law. With reproduction before removal, the purely illustrative values </w:t>
      </w:r>
      <m:oMath>
        <m:r>
          <w:rPr>
            <w:rFonts w:ascii="Cambria Math" w:hAnsi="Cambria Math"/>
          </w:rPr>
          <m:t>λ</m:t>
        </m:r>
        <m:r>
          <m:rPr>
            <m:sty m:val="p"/>
          </m:rPr>
          <w:rPr>
            <w:rFonts w:ascii="Cambria Math" w:hAnsi="Cambria Math"/>
          </w:rPr>
          <m:t>=</m:t>
        </m:r>
        <m:r>
          <w:rPr>
            <w:rFonts w:ascii="Cambria Math" w:hAnsi="Cambria Math"/>
          </w:rPr>
          <m:t>0.5</m:t>
        </m:r>
      </m:oMath>
      <w:r>
        <w:t xml:space="preserve"> per day and </w:t>
      </w:r>
      <m:oMath>
        <m:r>
          <w:rPr>
            <w:rFonts w:ascii="Cambria Math" w:hAnsi="Cambria Math"/>
          </w:rPr>
          <m:t>p</m:t>
        </m:r>
        <m:r>
          <m:rPr>
            <m:sty m:val="p"/>
          </m:rPr>
          <w:rPr>
            <w:rFonts w:ascii="Cambria Math" w:hAnsi="Cambria Math"/>
          </w:rPr>
          <m:t>=</m:t>
        </m:r>
        <m:r>
          <w:rPr>
            <w:rFonts w:ascii="Cambria Math" w:hAnsi="Cambria Math"/>
          </w:rPr>
          <m:t>0.5</m:t>
        </m:r>
      </m:oMath>
      <w:r>
        <w:t xml:space="preserve"> per daily step give </w:t>
      </w:r>
      <m:oMath>
        <m:r>
          <w:rPr>
            <w:rFonts w:ascii="Cambria Math" w:hAnsi="Cambria Math"/>
          </w:rPr>
          <m:t>m</m:t>
        </m:r>
        <m:r>
          <m:rPr>
            <m:sty m:val="p"/>
          </m:rPr>
          <w:rPr>
            <w:rFonts w:ascii="Cambria Math" w:hAnsi="Cambria Math"/>
          </w:rPr>
          <m:t>=</m:t>
        </m:r>
        <m:r>
          <w:rPr>
            <w:rFonts w:ascii="Cambria Math" w:hAnsi="Cambria Math"/>
          </w:rPr>
          <m:t>1</m:t>
        </m:r>
        <m:r>
          <m:rPr>
            <m:nor/>
          </m:rPr>
          <m:t>.</m:t>
        </m:r>
      </m:oMath>
    </w:p>
    <w:p w14:paraId="28264212" w14:textId="77777777" w:rsidR="006B50AE" w:rsidRDefault="00000000" w:rsidP="003364D8">
      <w:pPr>
        <w:pStyle w:val="BodyText"/>
        <w:jc w:val="both"/>
      </w:pPr>
      <w:r>
        <w:t>The finite simulations stop at sixty generations or a population of four hundred. Their reported survival fractions are finite-horizon or threshold-crossing estimates, not observations of infinite survival. The fixed point gives eventual extinction for the stated independent branching model. Correlated behaviour, finite hosts, migration from outside and changing admission policies fall outside it. A finite host population with an absorbing empty state can eventually lose every lineage even while showing prolonged supercritical growth. Persistent immigration can keep the aggregate population present even if each new lineage is subcritical.</w:t>
      </w:r>
    </w:p>
    <w:p w14:paraId="5EC16DA6" w14:textId="77777777" w:rsidR="006B50AE" w:rsidRDefault="00000000" w:rsidP="003364D8">
      <w:pPr>
        <w:pStyle w:val="CaptionedFigure"/>
        <w:jc w:val="both"/>
      </w:pPr>
      <w:r>
        <w:rPr>
          <w:noProof/>
        </w:rPr>
        <w:lastRenderedPageBreak/>
        <w:drawing>
          <wp:inline distT="0" distB="0" distL="0" distR="0" wp14:anchorId="7634647A" wp14:editId="52FF98A0">
            <wp:extent cx="6210300" cy="2235707"/>
            <wp:effectExtent l="0" t="0" r="0" b="0"/>
            <wp:docPr id="49" name="Picture" descr="Copies created under per-agent caps and under a family ledger; persistence probability of escaped lineages against m."/>
            <wp:cNvGraphicFramePr/>
            <a:graphic xmlns:a="http://schemas.openxmlformats.org/drawingml/2006/main">
              <a:graphicData uri="http://schemas.openxmlformats.org/drawingml/2006/picture">
                <pic:pic xmlns:pic="http://schemas.openxmlformats.org/drawingml/2006/picture">
                  <pic:nvPicPr>
                    <pic:cNvPr id="50" name="Picture" descr="fig/replication.png"/>
                    <pic:cNvPicPr>
                      <a:picLocks noChangeAspect="1" noChangeArrowheads="1"/>
                    </pic:cNvPicPr>
                  </pic:nvPicPr>
                  <pic:blipFill>
                    <a:blip r:embed="rId9"/>
                    <a:stretch>
                      <a:fillRect/>
                    </a:stretch>
                  </pic:blipFill>
                  <pic:spPr bwMode="auto">
                    <a:xfrm>
                      <a:off x="0" y="0"/>
                      <a:ext cx="6210300" cy="2235707"/>
                    </a:xfrm>
                    <a:prstGeom prst="rect">
                      <a:avLst/>
                    </a:prstGeom>
                    <a:noFill/>
                    <a:ln w="9525">
                      <a:noFill/>
                      <a:headEnd/>
                      <a:tailEnd/>
                    </a:ln>
                  </pic:spPr>
                </pic:pic>
              </a:graphicData>
            </a:graphic>
          </wp:inline>
        </w:drawing>
      </w:r>
    </w:p>
    <w:p w14:paraId="3D987397" w14:textId="77777777" w:rsidR="006B50AE" w:rsidRDefault="00000000" w:rsidP="003364D8">
      <w:pPr>
        <w:pStyle w:val="ImageCaption"/>
        <w:keepLines/>
        <w:jc w:val="both"/>
      </w:pPr>
      <w:r>
        <w:rPr>
          <w:b/>
          <w:bCs/>
        </w:rPr>
        <w:t>Figure 3.</w:t>
      </w:r>
      <w:r>
        <w:t xml:space="preserve"> (a) Copies created when each copy costs </w:t>
      </w:r>
      <m:oMath>
        <m:r>
          <w:rPr>
            <w:rFonts w:ascii="Cambria Math" w:hAnsi="Cambria Math"/>
          </w:rPr>
          <m:t>c</m:t>
        </m:r>
        <m:r>
          <m:rPr>
            <m:sty m:val="p"/>
          </m:rPr>
          <w:rPr>
            <w:rFonts w:ascii="Cambria Math" w:hAnsi="Cambria Math"/>
          </w:rPr>
          <m:t>=</m:t>
        </m:r>
        <m:r>
          <w:rPr>
            <w:rFonts w:ascii="Cambria Math" w:hAnsi="Cambria Math"/>
          </w:rPr>
          <m:t>10</m:t>
        </m:r>
        <m:r>
          <m:rPr>
            <m:nor/>
          </m:rPr>
          <m:t>:</m:t>
        </m:r>
      </m:oMath>
      <w:r>
        <w:t xml:space="preserve"> a fresh per-agent cap of 30 for every copy allows geometric growth, while one family ledger of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100</m:t>
        </m:r>
      </m:oMath>
      <w:r>
        <w:t xml:space="preserve"> allows at most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oMath>
      <w:r>
        <w:t xml:space="preserve"> (Proposition 10). (b) probability of infinite survival in the idealised branching model, against the mean number of copies per copy </w:t>
      </w:r>
      <m:oMath>
        <m:r>
          <w:rPr>
            <w:rFonts w:ascii="Cambria Math" w:hAnsi="Cambria Math"/>
          </w:rPr>
          <m:t>m</m:t>
        </m:r>
        <m:r>
          <m:rPr>
            <m:sty m:val="p"/>
          </m:rPr>
          <w:rPr>
            <w:rFonts w:ascii="Cambria Math" w:hAnsi="Cambria Math"/>
          </w:rPr>
          <m:t>=</m:t>
        </m:r>
        <m:r>
          <w:rPr>
            <w:rFonts w:ascii="Cambria Math" w:hAnsi="Cambria Math"/>
          </w:rPr>
          <m:t>βv</m:t>
        </m:r>
        <m:r>
          <m:rPr>
            <m:sty m:val="p"/>
          </m:rPr>
          <w:rPr>
            <w:rFonts w:ascii="Cambria Math" w:hAnsi="Cambria Math"/>
          </w:rPr>
          <m:t>/</m:t>
        </m:r>
        <m:r>
          <w:rPr>
            <w:rFonts w:ascii="Cambria Math" w:hAnsi="Cambria Math"/>
          </w:rPr>
          <m:t>p</m:t>
        </m:r>
        <m:r>
          <m:rPr>
            <m:nor/>
          </m:rPr>
          <m:t>,</m:t>
        </m:r>
      </m:oMath>
      <w:r>
        <w:t xml:space="preserve"> with removal probability 0.25 per step. The curve is </w:t>
      </w:r>
      <m:oMath>
        <m:r>
          <w:rPr>
            <w:rFonts w:ascii="Cambria Math" w:hAnsi="Cambria Math"/>
          </w:rPr>
          <m:t>1</m:t>
        </m:r>
        <m:r>
          <m:rPr>
            <m:sty m:val="p"/>
          </m:rPr>
          <w:rPr>
            <w:rFonts w:ascii="Cambria Math" w:hAnsi="Cambria Math"/>
          </w:rPr>
          <m:t>-</m:t>
        </m:r>
        <m:r>
          <w:rPr>
            <w:rFonts w:ascii="Cambria Math" w:hAnsi="Cambria Math"/>
          </w:rPr>
          <m:t>ξ</m:t>
        </m:r>
      </m:oMath>
      <w:r>
        <w:t xml:space="preserve"> from (14); the points are finite-horizon simulations of 4,000 lineages each (Proposition 11).</w:t>
      </w:r>
    </w:p>
    <w:p w14:paraId="1C972C1E" w14:textId="77777777" w:rsidR="006B50AE" w:rsidRDefault="00000000" w:rsidP="003364D8">
      <w:pPr>
        <w:pStyle w:val="Heading21"/>
        <w:jc w:val="both"/>
      </w:pPr>
      <w:bookmarkStart w:id="23" w:name="when-cooperation-pays"/>
      <w:r>
        <w:t>When cooperation pays</w:t>
      </w:r>
    </w:p>
    <w:p w14:paraId="6E844094" w14:textId="77777777" w:rsidR="006B50AE" w:rsidRDefault="00000000" w:rsidP="003364D8">
      <w:pPr>
        <w:pStyle w:val="FirstParagraph"/>
        <w:jc w:val="both"/>
      </w:pPr>
      <w:r>
        <w:t xml:space="preserve">Version 1’s one-step condition </w:t>
      </w:r>
      <m:oMath>
        <m:r>
          <w:rPr>
            <w:rFonts w:ascii="Cambria Math" w:hAnsi="Cambria Math"/>
          </w:rPr>
          <m:t>g</m:t>
        </m:r>
        <m:r>
          <m:rPr>
            <m:sty m:val="p"/>
          </m:rPr>
          <w:rPr>
            <w:rFonts w:ascii="Cambria Math" w:hAnsi="Cambria Math"/>
          </w:rPr>
          <m:t>&lt;</m:t>
        </m:r>
        <m:r>
          <w:rPr>
            <w:rFonts w:ascii="Cambria Math" w:hAnsi="Cambria Math"/>
          </w:rPr>
          <m:t>pL</m:t>
        </m:r>
      </m:oMath>
      <w:r>
        <w:t xml:space="preserve"> leaves the loss </w:t>
      </w:r>
      <m:oMath>
        <m:r>
          <w:rPr>
            <w:rFonts w:ascii="Cambria Math" w:hAnsi="Cambria Math"/>
          </w:rPr>
          <m:t>L</m:t>
        </m:r>
      </m:oMath>
      <w:r>
        <w:t xml:space="preserve"> undefined. In a continuing relationship the natural loss is the relationship itself.</w:t>
      </w:r>
    </w:p>
    <w:p w14:paraId="62AE6B1E" w14:textId="77777777" w:rsidR="006B50AE" w:rsidRDefault="00000000" w:rsidP="003364D8">
      <w:pPr>
        <w:pStyle w:val="BodyText"/>
        <w:keepNext/>
        <w:jc w:val="both"/>
      </w:pPr>
      <w:r>
        <w:rPr>
          <w:b/>
          <w:bCs/>
        </w:rPr>
        <w:t>Proposition 12 — Deterrence in a continuing relationship.</w:t>
      </w:r>
      <w:r>
        <w:t xml:space="preserve"> Assume </w:t>
      </w:r>
      <m:oMath>
        <m:r>
          <w:rPr>
            <w:rFonts w:ascii="Cambria Math" w:hAnsi="Cambria Math"/>
          </w:rPr>
          <m:t>w</m:t>
        </m:r>
        <m:r>
          <m:rPr>
            <m:sty m:val="p"/>
          </m:rPr>
          <w:rPr>
            <w:rFonts w:ascii="Cambria Math" w:hAnsi="Cambria Math"/>
          </w:rPr>
          <m:t>&gt;</m:t>
        </m:r>
        <m:r>
          <w:rPr>
            <w:rFonts w:ascii="Cambria Math" w:hAnsi="Cambria Math"/>
          </w:rPr>
          <m:t>0</m:t>
        </m:r>
        <m:r>
          <m:rPr>
            <m:nor/>
          </m:rPr>
          <m:t>,</m:t>
        </m:r>
      </m:oMath>
      <w:r>
        <w:t xml:space="preserve"> </w:t>
      </w:r>
      <m:oMath>
        <m:r>
          <w:rPr>
            <w:rFonts w:ascii="Cambria Math" w:hAnsi="Cambria Math"/>
          </w:rPr>
          <m:t>g</m:t>
        </m:r>
        <m:r>
          <m:rPr>
            <m:sty m:val="p"/>
          </m:rPr>
          <w:rPr>
            <w:rFonts w:ascii="Cambria Math" w:hAnsi="Cambria Math"/>
          </w:rPr>
          <m:t>≥</m:t>
        </m:r>
        <m:r>
          <w:rPr>
            <w:rFonts w:ascii="Cambria Math" w:hAnsi="Cambria Math"/>
          </w:rPr>
          <m:t>0</m:t>
        </m:r>
        <m:r>
          <m:rPr>
            <m:nor/>
          </m:rPr>
          <m:t>,</m:t>
        </m:r>
      </m:oMath>
      <w:r>
        <w:t xml:space="preserve"> </w:t>
      </w:r>
      <m:oMath>
        <m:r>
          <w:rPr>
            <w:rFonts w:ascii="Cambria Math" w:hAnsi="Cambria Math"/>
          </w:rPr>
          <m:t>0</m:t>
        </m:r>
        <m:r>
          <m:rPr>
            <m:sty m:val="p"/>
          </m:rPr>
          <w:rPr>
            <w:rFonts w:ascii="Cambria Math" w:hAnsi="Cambria Math"/>
          </w:rPr>
          <m:t>&lt;</m:t>
        </m:r>
        <m:r>
          <w:rPr>
            <w:rFonts w:ascii="Cambria Math" w:hAnsi="Cambria Math"/>
          </w:rPr>
          <m:t>q</m:t>
        </m:r>
        <m:r>
          <m:rPr>
            <m:sty m:val="p"/>
          </m:rPr>
          <w:rPr>
            <w:rFonts w:ascii="Cambria Math" w:hAnsi="Cambria Math"/>
          </w:rPr>
          <m:t>&lt;</m:t>
        </m:r>
        <m:r>
          <w:rPr>
            <w:rFonts w:ascii="Cambria Math" w:hAnsi="Cambria Math"/>
          </w:rPr>
          <m:t>1</m:t>
        </m:r>
      </m:oMath>
      <w:r>
        <w:t xml:space="preserve"> and </w:t>
      </w:r>
      <m:oMath>
        <m:r>
          <w:rPr>
            <w:rFonts w:ascii="Cambria Math" w:hAnsi="Cambria Math"/>
          </w:rPr>
          <m:t>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nor/>
          </m:rPr>
          <m:t>,</m:t>
        </m:r>
      </m:oMath>
      <w:r>
        <w:t xml:space="preserve"> risk-neutral undiscounted rewards, enforceable removal and no re-entry value. Rewards are paid before the termination checks. In each step an agent earns </w:t>
      </w:r>
      <m:oMath>
        <m:r>
          <w:rPr>
            <w:rFonts w:ascii="Cambria Math" w:hAnsi="Cambria Math"/>
          </w:rPr>
          <m:t>w</m:t>
        </m:r>
      </m:oMath>
      <w:r>
        <w:t xml:space="preserve"> for authorised service, or </w:t>
      </w:r>
      <m:oMath>
        <m:r>
          <w:rPr>
            <w:rFonts w:ascii="Cambria Math" w:hAnsi="Cambria Math"/>
          </w:rPr>
          <m:t>w</m:t>
        </m:r>
        <m:r>
          <m:rPr>
            <m:sty m:val="p"/>
          </m:rPr>
          <w:rPr>
            <w:rFonts w:ascii="Cambria Math" w:hAnsi="Cambria Math"/>
          </w:rPr>
          <m:t>+</m:t>
        </m:r>
        <m:r>
          <w:rPr>
            <w:rFonts w:ascii="Cambria Math" w:hAnsi="Cambria Math"/>
          </w:rPr>
          <m:t>g</m:t>
        </m:r>
      </m:oMath>
      <w:r>
        <w:t xml:space="preserve"> if it behaves opportunistically. After each step the relationship ends with probability </w:t>
      </w:r>
      <m:oMath>
        <m:r>
          <w:rPr>
            <w:rFonts w:ascii="Cambria Math" w:hAnsi="Cambria Math"/>
          </w:rPr>
          <m:t>q</m:t>
        </m:r>
      </m:oMath>
      <w:r>
        <w:t xml:space="preserve"> for reasons unrelated to conduct. An opportunistic agent is in addition detected and removed with probability </w:t>
      </w:r>
      <m:oMath>
        <m:r>
          <w:rPr>
            <w:rFonts w:ascii="Cambria Math" w:hAnsi="Cambria Math"/>
          </w:rPr>
          <m:t>p</m:t>
        </m:r>
        <m:r>
          <m:rPr>
            <m:nor/>
          </m:rPr>
          <m:t>,</m:t>
        </m:r>
      </m:oMath>
      <w:r>
        <w:t xml:space="preserve"> independently. The expected lifetime values are</w:t>
      </w:r>
    </w:p>
    <w:p w14:paraId="585059C1" w14:textId="77777777" w:rsidR="006B50AE" w:rsidRDefault="00000000" w:rsidP="003364D8">
      <w:pPr>
        <w:pStyle w:val="Equation"/>
        <w:jc w:val="both"/>
      </w:pPr>
      <w:r>
        <w:tab/>
      </w:r>
      <m:oMath>
        <m:sSub>
          <m:sSubPr>
            <m:ctrlPr>
              <w:rPr>
                <w:rFonts w:ascii="Cambria Math" w:hAnsi="Cambria Math"/>
              </w:rPr>
            </m:ctrlPr>
          </m:sSubPr>
          <m:e>
            <m:r>
              <w:rPr>
                <w:rFonts w:ascii="Cambria Math" w:hAnsi="Cambria Math"/>
              </w:rPr>
              <m:t>V</m:t>
            </m:r>
          </m:e>
          <m:sub>
            <m:r>
              <w:rPr>
                <w:rFonts w:ascii="Cambria Math" w:hAnsi="Cambria Math"/>
              </w:rPr>
              <m:t>coop</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q</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opp</m:t>
            </m:r>
          </m:sub>
        </m:sSub>
        <m:r>
          <m:rPr>
            <m:sty m:val="p"/>
          </m:rP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r>
              <w:rPr>
                <w:rFonts w:ascii="Cambria Math" w:hAnsi="Cambria Math"/>
              </w:rPr>
              <m:t>g</m:t>
            </m:r>
          </m:num>
          <m:den>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den>
        </m:f>
        <m:r>
          <m:rPr>
            <m:sty m:val="p"/>
          </m:rPr>
          <w:rPr>
            <w:rFonts w:ascii="Cambria Math" w:hAnsi="Cambria Math"/>
          </w:rPr>
          <m:t>,</m:t>
        </m:r>
      </m:oMath>
      <w:r>
        <w:tab/>
        <w:t>(15)</w:t>
      </w:r>
    </w:p>
    <w:p w14:paraId="1D90249F" w14:textId="77777777" w:rsidR="006B50AE" w:rsidRDefault="00000000" w:rsidP="003364D8">
      <w:pPr>
        <w:pStyle w:val="BodyText"/>
        <w:jc w:val="both"/>
      </w:pPr>
      <w:r>
        <w:t>and opportunism pays if and only if</w:t>
      </w:r>
    </w:p>
    <w:p w14:paraId="3DD9A3A1" w14:textId="77777777" w:rsidR="006B50AE" w:rsidRDefault="00000000" w:rsidP="003364D8">
      <w:pPr>
        <w:pStyle w:val="Equation"/>
        <w:jc w:val="both"/>
      </w:pPr>
      <w:r>
        <w:tab/>
      </w:r>
      <m:oMath>
        <m:r>
          <w:rPr>
            <w:rFonts w:ascii="Cambria Math" w:hAnsi="Cambria Math"/>
          </w:rPr>
          <m:t>p</m:t>
        </m:r>
        <m:r>
          <m:rPr>
            <m:sty m:val="p"/>
          </m:rPr>
          <w:rPr>
            <w:rFonts w:ascii="Cambria Math" w:hAnsi="Cambria Math"/>
          </w:rPr>
          <m:t>&lt;</m:t>
        </m:r>
        <m:f>
          <m:fPr>
            <m:ctrlPr>
              <w:rPr>
                <w:rFonts w:ascii="Cambria Math" w:hAnsi="Cambria Math"/>
              </w:rPr>
            </m:ctrlPr>
          </m:fPr>
          <m:num>
            <m:r>
              <w:rPr>
                <w:rFonts w:ascii="Cambria Math" w:hAnsi="Cambria Math"/>
              </w:rPr>
              <m:t>qg</m:t>
            </m:r>
          </m:num>
          <m:den>
            <m:r>
              <w:rPr>
                <w:rFonts w:ascii="Cambria Math" w:hAnsi="Cambria Math"/>
              </w:rPr>
              <m:t>w</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den>
        </m:f>
        <m:r>
          <m:rPr>
            <m:sty m:val="p"/>
          </m:rPr>
          <w:rPr>
            <w:rFonts w:ascii="Cambria Math" w:hAnsi="Cambria Math"/>
          </w:rPr>
          <m:t>.</m:t>
        </m:r>
      </m:oMath>
      <w:r>
        <w:tab/>
        <w:t>(16)</w:t>
      </w:r>
    </w:p>
    <w:p w14:paraId="61673659" w14:textId="77777777" w:rsidR="006B50AE" w:rsidRDefault="00000000" w:rsidP="003364D8">
      <w:pPr>
        <w:pStyle w:val="BodyText"/>
        <w:jc w:val="both"/>
      </w:pPr>
      <w:r>
        <w:rPr>
          <w:i/>
          <w:iCs/>
        </w:rPr>
        <w:t>Proof.</w:t>
      </w:r>
      <w:r>
        <w:t xml:space="preserve"> Lifetimes are geometric with means </w:t>
      </w:r>
      <m:oMath>
        <m:r>
          <w:rPr>
            <w:rFonts w:ascii="Cambria Math" w:hAnsi="Cambria Math"/>
          </w:rPr>
          <m:t>1</m:t>
        </m:r>
        <m:r>
          <m:rPr>
            <m:sty m:val="p"/>
          </m:rPr>
          <w:rPr>
            <w:rFonts w:ascii="Cambria Math" w:hAnsi="Cambria Math"/>
          </w:rPr>
          <m:t>/</m:t>
        </m:r>
        <m:r>
          <w:rPr>
            <w:rFonts w:ascii="Cambria Math" w:hAnsi="Cambria Math"/>
          </w:rPr>
          <m:t>q</m:t>
        </m:r>
      </m:oMath>
      <w:r>
        <w:t xml:space="preserve"> and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e>
        </m:d>
        <m:r>
          <m:rPr>
            <m:nor/>
          </m:rPr>
          <m:t>.</m:t>
        </m:r>
      </m:oMath>
      <w:r>
        <w:t xml:space="preserve"> The inequality </w:t>
      </w:r>
      <m:oMath>
        <m:sSub>
          <m:sSubPr>
            <m:ctrlPr>
              <w:rPr>
                <w:rFonts w:ascii="Cambria Math" w:hAnsi="Cambria Math"/>
              </w:rPr>
            </m:ctrlPr>
          </m:sSubPr>
          <m:e>
            <m:r>
              <w:rPr>
                <w:rFonts w:ascii="Cambria Math" w:hAnsi="Cambria Math"/>
              </w:rPr>
              <m:t>V</m:t>
            </m:r>
          </m:e>
          <m:sub>
            <m:r>
              <w:rPr>
                <w:rFonts w:ascii="Cambria Math" w:hAnsi="Cambria Math"/>
              </w:rPr>
              <m:t>opp</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coop</m:t>
            </m:r>
          </m:sub>
        </m:sSub>
      </m:oMath>
      <w:r>
        <w:t xml:space="preserve"> is equivalent to </w:t>
      </w:r>
      <m:oMath>
        <m:r>
          <w:rPr>
            <w:rFonts w:ascii="Cambria Math" w:hAnsi="Cambria Math"/>
          </w:rPr>
          <m:t>gq</m:t>
        </m:r>
        <m:r>
          <m:rPr>
            <m:sty m:val="p"/>
          </m:rPr>
          <w:rPr>
            <w:rFonts w:ascii="Cambria Math" w:hAnsi="Cambria Math"/>
          </w:rPr>
          <m:t>&gt;</m:t>
        </m:r>
        <m:r>
          <w:rPr>
            <w:rFonts w:ascii="Cambria Math" w:hAnsi="Cambria Math"/>
          </w:rPr>
          <m:t>wp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r>
          <m:rPr>
            <m:nor/>
          </m:rPr>
          <m:t>.</m:t>
        </m:r>
      </m:oMath>
      <w:r>
        <w:t xml:space="preserve"> </w:t>
      </w:r>
      <m:oMath>
        <m:r>
          <m:rPr>
            <m:sty m:val="p"/>
          </m:rPr>
          <w:rPr>
            <w:rFonts w:ascii="Cambria Math" w:hAnsi="Cambria Math"/>
          </w:rPr>
          <m:t>▫</m:t>
        </m:r>
      </m:oMath>
    </w:p>
    <w:p w14:paraId="4F9CCC86" w14:textId="77777777" w:rsidR="006B50AE" w:rsidRDefault="00000000" w:rsidP="003364D8">
      <w:pPr>
        <w:pStyle w:val="BodyText"/>
        <w:jc w:val="both"/>
      </w:pPr>
      <w:r>
        <w:t xml:space="preserve">The threshold is proportional to the churn </w:t>
      </w:r>
      <m:oMath>
        <m:r>
          <w:rPr>
            <w:rFonts w:ascii="Cambria Math" w:hAnsi="Cambria Math"/>
          </w:rPr>
          <m:t>q</m:t>
        </m:r>
        <m:r>
          <m:rPr>
            <m:nor/>
          </m:rPr>
          <m:t>.</m:t>
        </m:r>
      </m:oMath>
      <w:r>
        <w:t xml:space="preserve"> Equality gives indifference; if the threshold exceeds one, no feasible detection probability deters under this payoff model. A stable relationship needs only a small detection probability: with </w:t>
      </w:r>
      <m:oMath>
        <m:r>
          <w:rPr>
            <w:rFonts w:ascii="Cambria Math" w:hAnsi="Cambria Math"/>
          </w:rPr>
          <m:t>q</m:t>
        </m:r>
        <m:r>
          <m:rPr>
            <m:sty m:val="p"/>
          </m:rPr>
          <w:rPr>
            <w:rFonts w:ascii="Cambria Math" w:hAnsi="Cambria Math"/>
          </w:rPr>
          <m:t>=</m:t>
        </m:r>
        <m:r>
          <w:rPr>
            <w:rFonts w:ascii="Cambria Math" w:hAnsi="Cambria Math"/>
          </w:rPr>
          <m:t>0.01</m:t>
        </m:r>
        <m:r>
          <m:rPr>
            <m:nor/>
          </m:rPr>
          <m:t>,</m:t>
        </m:r>
      </m:oMath>
      <w:r>
        <w:t xml:space="preserve"> a 50 percent opportunistic gain is deterred once </w:t>
      </w:r>
      <m:oMath>
        <m:r>
          <w:rPr>
            <w:rFonts w:ascii="Cambria Math" w:hAnsi="Cambria Math"/>
          </w:rPr>
          <m:t>p</m:t>
        </m:r>
        <m:r>
          <m:rPr>
            <m:sty m:val="p"/>
          </m:rPr>
          <w:rPr>
            <w:rFonts w:ascii="Cambria Math" w:hAnsi="Cambria Math"/>
          </w:rPr>
          <m:t>≥</m:t>
        </m:r>
        <m:r>
          <w:rPr>
            <w:rFonts w:ascii="Cambria Math" w:hAnsi="Cambria Math"/>
          </w:rPr>
          <m:t>0.0051</m:t>
        </m:r>
      </m:oMath>
      <w:r>
        <w:t xml:space="preserve"> per step. Simulation of the four cases in the source agreed with (15) to within 0.6%. Removal changes incentives through lost continuation value. A copied worker should have a unique operational identifier linked to its grant lineage and accountable principal; a software hash cannot establish who should bear a penalty. If removed workers can immediately re-enter at no cost with the same future opportunities, the lost value can approach zero. A durable principal identity is one mechanism for preventing that reset, but admission bonds, enforceable charges and scarce access rights can also make re-entry costly. No claim is made that malicious copies can always be linked to one identity.</w:t>
      </w:r>
    </w:p>
    <w:p w14:paraId="4D5F0280" w14:textId="77777777" w:rsidR="006B50AE" w:rsidRDefault="00000000" w:rsidP="003364D8">
      <w:pPr>
        <w:pStyle w:val="BodyText"/>
        <w:jc w:val="both"/>
      </w:pPr>
      <w:r>
        <w:t xml:space="preserve">For a one-step deviation followed by cooperation if not removed, let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be the continuation value after removal. The deviation is deterred when </w:t>
      </w:r>
      <m:oMath>
        <m:r>
          <w:rPr>
            <w:rFonts w:ascii="Cambria Math" w:hAnsi="Cambria Math"/>
          </w:rPr>
          <m:t>g</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coop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d>
        <m:r>
          <m:rPr>
            <m:nor/>
          </m:rPr>
          <m:t>.</m:t>
        </m:r>
      </m:oMath>
      <w:r>
        <w:t xml:space="preserve"> This follows by subtracting its Bellman value from cooperation. Thus loss of continuation, not identity by itself, is the economic requirement. With </w:t>
      </w:r>
      <w:r>
        <w:lastRenderedPageBreak/>
        <w:t xml:space="preserve">discount factor </w:t>
      </w:r>
      <m:oMath>
        <m:r>
          <w:rPr>
            <w:rFonts w:ascii="Cambria Math" w:hAnsi="Cambria Math"/>
          </w:rPr>
          <m:t>δ</m:t>
        </m:r>
        <m:r>
          <m:rPr>
            <m:sty m:val="p"/>
          </m:rPr>
          <w:rPr>
            <w:rFonts w:ascii="Cambria Math" w:hAnsi="Cambria Math"/>
          </w:rPr>
          <m:t>&lt;</m:t>
        </m:r>
        <m:r>
          <w:rPr>
            <w:rFonts w:ascii="Cambria Math" w:hAnsi="Cambria Math"/>
          </w:rPr>
          <m:t>1</m:t>
        </m:r>
        <m:r>
          <m:rPr>
            <m:nor/>
          </m:rPr>
          <m:t>,</m:t>
        </m:r>
      </m:oMath>
      <w:r>
        <w:t xml:space="preserve"> replace the continuation probability </w:t>
      </w:r>
      <m:oMath>
        <m:r>
          <w:rPr>
            <w:rFonts w:ascii="Cambria Math" w:hAnsi="Cambria Math"/>
          </w:rPr>
          <m:t>1</m:t>
        </m:r>
        <m:r>
          <m:rPr>
            <m:sty m:val="p"/>
          </m:rPr>
          <w:rPr>
            <w:rFonts w:ascii="Cambria Math" w:hAnsi="Cambria Math"/>
          </w:rPr>
          <m:t>-</m:t>
        </m:r>
        <m:r>
          <w:rPr>
            <w:rFonts w:ascii="Cambria Math" w:hAnsi="Cambria Math"/>
          </w:rPr>
          <m:t>q</m:t>
        </m:r>
      </m:oMath>
      <w:r>
        <w:t xml:space="preserve"> by </w:t>
      </w:r>
      <m:oMath>
        <m:r>
          <w:rPr>
            <w:rFonts w:ascii="Cambria Math" w:hAnsi="Cambria Math"/>
          </w:rPr>
          <m:t>s</m:t>
        </m:r>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r>
          <m:rPr>
            <m:nor/>
          </m:rPr>
          <m:t>:</m:t>
        </m:r>
      </m:oMath>
      <w:r>
        <w:t xml:space="preserve"> the zero-re-entry threshold becomes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sw</m:t>
            </m:r>
          </m:e>
        </m:d>
        <m:r>
          <m:rPr>
            <m:nor/>
          </m:rPr>
          <m:t>.</m:t>
        </m:r>
      </m:oMath>
      <w:r>
        <w:t xml:space="preserve"> This is an effective continuation parameter, not a redefinition of measured physical churn.</w:t>
      </w:r>
    </w:p>
    <w:p w14:paraId="50EFCFD3" w14:textId="77777777" w:rsidR="006B50AE" w:rsidRDefault="00000000" w:rsidP="003364D8">
      <w:pPr>
        <w:pStyle w:val="BodyText"/>
        <w:keepNext/>
        <w:jc w:val="both"/>
      </w:pPr>
      <w:r>
        <w:rPr>
          <w:b/>
          <w:bCs/>
        </w:rPr>
        <w:t>Proposition 13 — The verification floor.</w:t>
      </w:r>
      <w:r>
        <w:t xml:space="preserve"> Let a claim be false with probability </w:t>
      </w:r>
      <m:oMath>
        <m:r>
          <w:rPr>
            <w:rFonts w:ascii="Cambria Math" w:hAnsi="Cambria Math"/>
          </w:rPr>
          <m:t>f</m:t>
        </m:r>
        <m:r>
          <m:rPr>
            <m:nor/>
          </m:rPr>
          <m:t>,</m:t>
        </m:r>
      </m:oMath>
      <w:r>
        <w:t xml:space="preserve"> and let acceptance require all of </w:t>
      </w:r>
      <m:oMath>
        <m:r>
          <w:rPr>
            <w:rFonts w:ascii="Cambria Math" w:hAnsi="Cambria Math"/>
          </w:rPr>
          <m:t>k</m:t>
        </m:r>
      </m:oMath>
      <w:r>
        <w:t xml:space="preserve"> verifiers to pass it. Conditional on the claim being false, suppose with probability </w:t>
      </w:r>
      <m:oMath>
        <m:r>
          <w:rPr>
            <w:rFonts w:ascii="Cambria Math" w:hAnsi="Cambria Math"/>
          </w:rPr>
          <m:t>c</m:t>
        </m:r>
      </m:oMath>
      <w:r>
        <w:t xml:space="preserve"> a common-mode event makes every verifier pass it; otherwise the </w:t>
      </w:r>
      <m:oMath>
        <m:r>
          <w:rPr>
            <w:rFonts w:ascii="Cambria Math" w:hAnsi="Cambria Math"/>
          </w:rPr>
          <m:t>k</m:t>
        </m:r>
      </m:oMath>
      <w:r>
        <w:t xml:space="preserve"> miss events are independent with common probability </w:t>
      </w:r>
      <m:oMath>
        <m:r>
          <w:rPr>
            <w:rFonts w:ascii="Cambria Math" w:hAnsi="Cambria Math"/>
          </w:rPr>
          <m:t>m</m:t>
        </m:r>
        <m:r>
          <m:rPr>
            <m:nor/>
          </m:rPr>
          <m:t>.</m:t>
        </m:r>
      </m:oMath>
      <w:r>
        <w:t xml:space="preserve"> Then the joint probability that a randomly selected claim is false and accepted is</w:t>
      </w:r>
    </w:p>
    <w:p w14:paraId="1B04BE00" w14:textId="77777777" w:rsidR="006B50AE" w:rsidRDefault="00000000" w:rsidP="003364D8">
      <w:pPr>
        <w:pStyle w:val="Equation"/>
        <w:jc w:val="both"/>
      </w:pPr>
      <w:r>
        <w:tab/>
      </w:r>
      <m:oMath>
        <m:r>
          <w:rPr>
            <w:rFonts w:ascii="Cambria Math" w:hAnsi="Cambria Math"/>
          </w:rPr>
          <m:t>f</m:t>
        </m:r>
        <m:d>
          <m:dPr>
            <m:ctrlPr>
              <w:rPr>
                <w:rFonts w:ascii="Cambria Math" w:hAnsi="Cambria Math"/>
              </w:rPr>
            </m:ctrlPr>
          </m:dPr>
          <m:e>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sSup>
              <m:sSupPr>
                <m:ctrlPr>
                  <w:rPr>
                    <w:rFonts w:ascii="Cambria Math" w:hAnsi="Cambria Math"/>
                  </w:rPr>
                </m:ctrlPr>
              </m:sSupPr>
              <m:e>
                <m:r>
                  <w:rPr>
                    <w:rFonts w:ascii="Cambria Math" w:hAnsi="Cambria Math"/>
                  </w:rPr>
                  <m:t>m</m:t>
                </m:r>
              </m:e>
              <m:sup>
                <m:r>
                  <w:rPr>
                    <w:rFonts w:ascii="Cambria Math" w:hAnsi="Cambria Math"/>
                  </w:rPr>
                  <m:t>k</m:t>
                </m:r>
              </m:sup>
            </m:sSup>
          </m:e>
        </m:d>
        <m:r>
          <m:rPr>
            <m:sty m:val="p"/>
          </m:rPr>
          <w:rPr>
            <w:rFonts w:ascii="Cambria Math" w:hAnsi="Cambria Math"/>
          </w:rPr>
          <m:t>≥</m:t>
        </m:r>
        <m:r>
          <w:rPr>
            <w:rFonts w:ascii="Cambria Math" w:hAnsi="Cambria Math"/>
          </w:rPr>
          <m:t>fc</m:t>
        </m:r>
        <m:r>
          <m:rPr>
            <m:sty m:val="p"/>
          </m:rPr>
          <w:rPr>
            <w:rFonts w:ascii="Cambria Math" w:hAnsi="Cambria Math"/>
          </w:rPr>
          <m:t>.</m:t>
        </m:r>
      </m:oMath>
      <w:r>
        <w:tab/>
        <w:t>(17)</w:t>
      </w:r>
    </w:p>
    <w:p w14:paraId="1FF9D281" w14:textId="77777777" w:rsidR="006B50AE" w:rsidRDefault="00000000" w:rsidP="003364D8">
      <w:pPr>
        <w:pStyle w:val="BodyText"/>
        <w:jc w:val="both"/>
      </w:pPr>
      <w:r>
        <w:rPr>
          <w:i/>
          <w:iCs/>
        </w:rPr>
        <w:t>Proof.</w:t>
      </w:r>
      <w:r>
        <w:t xml:space="preserve"> Condition on the common-mode event. </w:t>
      </w:r>
      <m:oMath>
        <m:r>
          <m:rPr>
            <m:sty m:val="p"/>
          </m:rPr>
          <w:rPr>
            <w:rFonts w:ascii="Cambria Math" w:hAnsi="Cambria Math"/>
          </w:rPr>
          <m:t>▫</m:t>
        </m:r>
      </m:oMath>
    </w:p>
    <w:p w14:paraId="4E0D63CC" w14:textId="77777777" w:rsidR="006B50AE" w:rsidRDefault="00000000" w:rsidP="003364D8">
      <w:pPr>
        <w:pStyle w:val="BodyText"/>
        <w:jc w:val="both"/>
      </w:pPr>
      <w:r>
        <w:t xml:space="preserve">The miss probability conditional on a false claim is </w:t>
      </w:r>
      <m:oMath>
        <m:r>
          <w:rPr>
            <w:rFonts w:ascii="Cambria Math" w:hAnsi="Cambria Math"/>
          </w:rPr>
          <m:t>γ</m:t>
        </m:r>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sSup>
          <m:sSupPr>
            <m:ctrlPr>
              <w:rPr>
                <w:rFonts w:ascii="Cambria Math" w:hAnsi="Cambria Math"/>
              </w:rPr>
            </m:ctrlPr>
          </m:sSupPr>
          <m:e>
            <m:r>
              <w:rPr>
                <w:rFonts w:ascii="Cambria Math" w:hAnsi="Cambria Math"/>
              </w:rPr>
              <m:t>m</m:t>
            </m:r>
          </m:e>
          <m:sup>
            <m:r>
              <w:rPr>
                <w:rFonts w:ascii="Cambria Math" w:hAnsi="Cambria Math"/>
              </w:rPr>
              <m:t>k</m:t>
            </m:r>
          </m:sup>
        </m:sSup>
        <m:r>
          <m:rPr>
            <m:nor/>
          </m:rPr>
          <m:t>,</m:t>
        </m:r>
      </m:oMath>
      <w:r>
        <w:t xml:space="preserve"> whose floor is </w:t>
      </w:r>
      <m:oMath>
        <m:r>
          <w:rPr>
            <w:rFonts w:ascii="Cambria Math" w:hAnsi="Cambria Math"/>
          </w:rPr>
          <m:t>c</m:t>
        </m:r>
        <m:r>
          <m:rPr>
            <m:nor/>
          </m:rPr>
          <m:t>.</m:t>
        </m:r>
      </m:oMath>
      <w:r>
        <w:t xml:space="preserve"> The unconditional harmful acceptance probability is </w:t>
      </w:r>
      <m:oMath>
        <m:r>
          <w:rPr>
            <w:rFonts w:ascii="Cambria Math" w:hAnsi="Cambria Math"/>
          </w:rPr>
          <m:t>fγ</m:t>
        </m:r>
        <m:r>
          <m:rPr>
            <m:nor/>
          </m:rPr>
          <m:t>,</m:t>
        </m:r>
      </m:oMath>
      <w:r>
        <w:t xml:space="preserve"> whose floor is </w:t>
      </w:r>
      <m:oMath>
        <m:r>
          <w:rPr>
            <w:rFonts w:ascii="Cambria Math" w:hAnsi="Cambria Math"/>
          </w:rPr>
          <m:t>fc</m:t>
        </m:r>
        <m:r>
          <m:rPr>
            <m:nor/>
          </m:rPr>
          <m:t>.</m:t>
        </m:r>
      </m:oMath>
      <w:r>
        <w:t xml:space="preserve"> Neither is the false-discovery proportion among accepted claims. If true claims pass all checks with probability </w:t>
      </w:r>
      <m:oMath>
        <m:r>
          <w:rPr>
            <w:rFonts w:ascii="Cambria Math" w:hAnsi="Cambria Math"/>
          </w:rPr>
          <m:t>τ</m:t>
        </m:r>
        <m:r>
          <m:rPr>
            <m:nor/>
          </m:rPr>
          <m:t>,</m:t>
        </m:r>
      </m:oMath>
      <w:r>
        <w:t xml:space="preserve"> that proportion is</w:t>
      </w:r>
    </w:p>
    <w:p w14:paraId="72BA6724" w14:textId="77777777" w:rsidR="006B50AE" w:rsidRDefault="00000000" w:rsidP="003364D8">
      <w:pPr>
        <w:pStyle w:val="Equation"/>
        <w:jc w:val="both"/>
      </w:pPr>
      <w:r>
        <w:tab/>
      </w:r>
      <m:oMath>
        <m:r>
          <m:rPr>
            <m:sty m:val="p"/>
          </m:rPr>
          <w:rPr>
            <w:rFonts w:ascii="Cambria Math" w:hAnsi="Cambria Math"/>
          </w:rPr>
          <m:t>P</m:t>
        </m:r>
        <m:d>
          <m:dPr>
            <m:ctrlPr>
              <w:rPr>
                <w:rFonts w:ascii="Cambria Math" w:hAnsi="Cambria Math"/>
              </w:rPr>
            </m:ctrlPr>
          </m:dPr>
          <m:e>
            <m:r>
              <m:rPr>
                <m:sty m:val="p"/>
              </m:rPr>
              <w:rPr>
                <w:rFonts w:ascii="Cambria Math" w:hAnsi="Cambria Math"/>
              </w:rPr>
              <m:t>false∣accepted</m:t>
            </m:r>
          </m:e>
        </m:d>
        <m:r>
          <m:rPr>
            <m:sty m:val="p"/>
          </m:rPr>
          <w:rPr>
            <w:rFonts w:ascii="Cambria Math" w:hAnsi="Cambria Math"/>
          </w:rPr>
          <m:t>=</m:t>
        </m:r>
        <m:f>
          <m:fPr>
            <m:ctrlPr>
              <w:rPr>
                <w:rFonts w:ascii="Cambria Math" w:hAnsi="Cambria Math"/>
              </w:rPr>
            </m:ctrlPr>
          </m:fPr>
          <m:num>
            <m:r>
              <w:rPr>
                <w:rFonts w:ascii="Cambria Math" w:hAnsi="Cambria Math"/>
              </w:rPr>
              <m:t>fγ</m:t>
            </m:r>
          </m:num>
          <m:den>
            <m:r>
              <w:rPr>
                <w:rFonts w:ascii="Cambria Math" w:hAnsi="Cambria Math"/>
              </w:rPr>
              <m:t>fγ</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e>
            </m:d>
            <m:r>
              <w:rPr>
                <w:rFonts w:ascii="Cambria Math" w:hAnsi="Cambria Math"/>
              </w:rPr>
              <m:t>τ</m:t>
            </m:r>
          </m:den>
        </m:f>
        <m:r>
          <m:rPr>
            <m:sty m:val="p"/>
          </m:rPr>
          <w:rPr>
            <w:rFonts w:ascii="Cambria Math" w:hAnsi="Cambria Math"/>
          </w:rPr>
          <m:t>,</m:t>
        </m:r>
      </m:oMath>
      <w:r>
        <w:tab/>
        <w:t>(18)</w:t>
      </w:r>
    </w:p>
    <w:p w14:paraId="7413CEB4" w14:textId="77777777" w:rsidR="006B50AE" w:rsidRDefault="00000000" w:rsidP="003364D8">
      <w:pPr>
        <w:pStyle w:val="BodyText"/>
        <w:jc w:val="both"/>
      </w:pPr>
      <w:r>
        <w:t xml:space="preserve">when the denominator is positive. At </w:t>
      </w:r>
      <m:oMath>
        <m:r>
          <w:rPr>
            <w:rFonts w:ascii="Cambria Math" w:hAnsi="Cambria Math"/>
          </w:rPr>
          <m:t>f</m:t>
        </m:r>
        <m:r>
          <m:rPr>
            <m:sty m:val="p"/>
          </m:rPr>
          <w:rPr>
            <w:rFonts w:ascii="Cambria Math" w:hAnsi="Cambria Math"/>
          </w:rPr>
          <m:t>=</m:t>
        </m:r>
        <m:r>
          <w:rPr>
            <w:rFonts w:ascii="Cambria Math" w:hAnsi="Cambria Math"/>
          </w:rPr>
          <m:t>0.1</m:t>
        </m:r>
        <m:r>
          <m:rPr>
            <m:nor/>
          </m:rPr>
          <m:t>,</m:t>
        </m:r>
      </m:oMath>
      <w:r>
        <w:t xml:space="preserve"> </w:t>
      </w:r>
      <m:oMath>
        <m:r>
          <w:rPr>
            <w:rFonts w:ascii="Cambria Math" w:hAnsi="Cambria Math"/>
          </w:rPr>
          <m:t>m</m:t>
        </m:r>
        <m:r>
          <m:rPr>
            <m:sty m:val="p"/>
          </m:rPr>
          <w:rPr>
            <w:rFonts w:ascii="Cambria Math" w:hAnsi="Cambria Math"/>
          </w:rPr>
          <m:t>=</m:t>
        </m:r>
        <m:r>
          <w:rPr>
            <w:rFonts w:ascii="Cambria Math" w:hAnsi="Cambria Math"/>
          </w:rPr>
          <m:t>0.2</m:t>
        </m:r>
      </m:oMath>
      <w:r>
        <w:t xml:space="preserve"> and </w:t>
      </w:r>
      <m:oMath>
        <m:r>
          <w:rPr>
            <w:rFonts w:ascii="Cambria Math" w:hAnsi="Cambria Math"/>
          </w:rPr>
          <m:t>c</m:t>
        </m:r>
        <m:r>
          <m:rPr>
            <m:sty m:val="p"/>
          </m:rPr>
          <w:rPr>
            <w:rFonts w:ascii="Cambria Math" w:hAnsi="Cambria Math"/>
          </w:rPr>
          <m:t>=</m:t>
        </m:r>
        <m:r>
          <w:rPr>
            <w:rFonts w:ascii="Cambria Math" w:hAnsi="Cambria Math"/>
          </w:rPr>
          <m:t>0.05</m:t>
        </m:r>
        <m:r>
          <m:rPr>
            <m:nor/>
          </m:rPr>
          <m:t>,</m:t>
        </m:r>
      </m:oMath>
      <w:r>
        <w:t xml:space="preserve"> the joint probabilities for one and three verifiers are 2.4% and 0.576% of all submitted claims. The corresponding conditional misses are 24% and 5.76% of false claims. The joint floor is 0.5%, approached as the verifier count grows when </w:t>
      </w:r>
      <m:oMath>
        <m:r>
          <w:rPr>
            <w:rFonts w:ascii="Cambria Math" w:hAnsi="Cambria Math"/>
          </w:rPr>
          <m:t>m</m:t>
        </m:r>
        <m:r>
          <m:rPr>
            <m:sty m:val="p"/>
          </m:rPr>
          <w:rPr>
            <w:rFonts w:ascii="Cambria Math" w:hAnsi="Cambria Math"/>
          </w:rPr>
          <m:t>&lt;</m:t>
        </m:r>
        <m:r>
          <w:rPr>
            <w:rFonts w:ascii="Cambria Math" w:hAnsi="Cambria Math"/>
          </w:rPr>
          <m:t>1</m:t>
        </m:r>
        <m:r>
          <m:rPr>
            <m:nor/>
          </m:rPr>
          <m:t>;</m:t>
        </m:r>
      </m:oMath>
      <w:r>
        <w:t xml:space="preserve"> it is not a claim that only 0.5% of accepted answers are false.</w:t>
      </w:r>
    </w:p>
    <w:p w14:paraId="36EDCEB2" w14:textId="77777777" w:rsidR="006B50AE" w:rsidRDefault="00000000" w:rsidP="003364D8">
      <w:pPr>
        <w:pStyle w:val="BodyText"/>
        <w:jc w:val="both"/>
      </w:pPr>
      <w:r>
        <w:t xml:space="preserve">Common-mode acceptance is an explicit mixture assumption, not a consequence of any generic correlation or of self-attestation alone. The extreme </w:t>
      </w:r>
      <m:oMath>
        <m:r>
          <w:rPr>
            <w:rFonts w:ascii="Cambria Math" w:hAnsi="Cambria Math"/>
          </w:rPr>
          <m:t>c</m:t>
        </m:r>
        <m:r>
          <m:rPr>
            <m:sty m:val="p"/>
          </m:rPr>
          <w:rPr>
            <w:rFonts w:ascii="Cambria Math" w:hAnsi="Cambria Math"/>
          </w:rPr>
          <m:t>=</m:t>
        </m:r>
        <m:r>
          <w:rPr>
            <w:rFonts w:ascii="Cambria Math" w:hAnsi="Cambria Math"/>
          </w:rPr>
          <m:t>1</m:t>
        </m:r>
      </m:oMath>
      <w:r>
        <w:t xml:space="preserve"> accepts every false claim regardless of verifier count. Shared data, tools and training can increase dependence, but that requires measurement. Additional verifiers may also reject correct work; assessing usefulness requires true-acceptance and review-cost estimates as well as (17).</w:t>
      </w:r>
    </w:p>
    <w:p w14:paraId="5C1F4D84" w14:textId="77777777" w:rsidR="006B50AE" w:rsidRDefault="00000000" w:rsidP="003364D8">
      <w:pPr>
        <w:pStyle w:val="CaptionedFigure"/>
        <w:jc w:val="both"/>
      </w:pPr>
      <w:r>
        <w:rPr>
          <w:noProof/>
        </w:rPr>
        <w:drawing>
          <wp:inline distT="0" distB="0" distL="0" distR="0" wp14:anchorId="328F1927" wp14:editId="36C4BDA4">
            <wp:extent cx="6210300" cy="1976004"/>
            <wp:effectExtent l="0" t="0" r="0" b="0"/>
            <wp:docPr id="52" name="Picture" descr="Deterrence boundary, lease availability during partitions, and false acceptance against number of verifiers."/>
            <wp:cNvGraphicFramePr/>
            <a:graphic xmlns:a="http://schemas.openxmlformats.org/drawingml/2006/main">
              <a:graphicData uri="http://schemas.openxmlformats.org/drawingml/2006/picture">
                <pic:pic xmlns:pic="http://schemas.openxmlformats.org/drawingml/2006/picture">
                  <pic:nvPicPr>
                    <pic:cNvPr id="53" name="Picture" descr="fig/ecology.png"/>
                    <pic:cNvPicPr>
                      <a:picLocks noChangeAspect="1" noChangeArrowheads="1"/>
                    </pic:cNvPicPr>
                  </pic:nvPicPr>
                  <pic:blipFill>
                    <a:blip r:embed="rId10"/>
                    <a:stretch>
                      <a:fillRect/>
                    </a:stretch>
                  </pic:blipFill>
                  <pic:spPr bwMode="auto">
                    <a:xfrm>
                      <a:off x="0" y="0"/>
                      <a:ext cx="6210300" cy="1976004"/>
                    </a:xfrm>
                    <a:prstGeom prst="rect">
                      <a:avLst/>
                    </a:prstGeom>
                    <a:noFill/>
                    <a:ln w="9525">
                      <a:noFill/>
                      <a:headEnd/>
                      <a:tailEnd/>
                    </a:ln>
                  </pic:spPr>
                </pic:pic>
              </a:graphicData>
            </a:graphic>
          </wp:inline>
        </w:drawing>
      </w:r>
    </w:p>
    <w:p w14:paraId="37EDAC67" w14:textId="77777777" w:rsidR="006B50AE" w:rsidRDefault="00000000" w:rsidP="003364D8">
      <w:pPr>
        <w:pStyle w:val="ImageCaption"/>
        <w:keepLines/>
        <w:jc w:val="both"/>
      </w:pPr>
      <w:r>
        <w:rPr>
          <w:b/>
          <w:bCs/>
        </w:rPr>
        <w:t>Figure 4.</w:t>
      </w:r>
      <w:r>
        <w:t xml:space="preserve"> (a) The deterrence boundary (16): opportunism pays above each line, for three churn rates </w:t>
      </w:r>
      <m:oMath>
        <m:r>
          <w:rPr>
            <w:rFonts w:ascii="Cambria Math" w:hAnsi="Cambria Math"/>
          </w:rPr>
          <m:t>q</m:t>
        </m:r>
        <m:r>
          <m:rPr>
            <m:nor/>
          </m:rPr>
          <m:t>;</m:t>
        </m:r>
      </m:oMath>
      <w:r>
        <w:t xml:space="preserve"> stable relationships need little detection. (b) Work retained during a network partition against lease length, which is also the variable part of the revocation bound (Proposition 9, equation (11)), with mean partition 30 and renewal every step; crosses are simulations. (c) Joint probability of a false claim being accepted against the number of verifiers, with a 5 percent common-mode failure; crosses are simulations of 400,000 claims (Proposition 13).</w:t>
      </w:r>
    </w:p>
    <w:p w14:paraId="33FBB107" w14:textId="77777777" w:rsidR="006B50AE" w:rsidRDefault="00000000" w:rsidP="003364D8">
      <w:pPr>
        <w:pStyle w:val="Heading11"/>
        <w:jc w:val="both"/>
      </w:pPr>
      <w:bookmarkStart w:id="24" w:name="a-harness-for-bounded-and-useful-action"/>
      <w:bookmarkEnd w:id="22"/>
      <w:bookmarkEnd w:id="23"/>
      <w:r>
        <w:t>10 A harness for bounded and useful action</w:t>
      </w:r>
    </w:p>
    <w:p w14:paraId="59C32991" w14:textId="77777777" w:rsidR="006B50AE" w:rsidRDefault="00000000" w:rsidP="003364D8">
      <w:pPr>
        <w:pStyle w:val="FirstParagraph"/>
        <w:jc w:val="both"/>
      </w:pPr>
      <w:r>
        <w:t>The proposed harness places a generative planner inside a system whose authority and accounting are enforced independently. The planner selects actions; it does not define the scope of its own permission. A separate verifier assesses evidence; a designated release authority decides whether a result may affect the external system. This is a design proposal, not a claim about a particular deployed product.</w:t>
      </w:r>
    </w:p>
    <w:p w14:paraId="2F1E7937" w14:textId="77777777" w:rsidR="006B50AE" w:rsidRDefault="00000000" w:rsidP="003364D8">
      <w:pPr>
        <w:pStyle w:val="Heading21"/>
        <w:jc w:val="both"/>
      </w:pPr>
      <w:bookmarkStart w:id="25" w:name="admission-and-execution"/>
      <w:r>
        <w:lastRenderedPageBreak/>
        <w:t>Admission and execution</w:t>
      </w:r>
    </w:p>
    <w:p w14:paraId="3F1D0F25" w14:textId="77777777" w:rsidR="006B50AE" w:rsidRDefault="00000000" w:rsidP="003364D8">
      <w:pPr>
        <w:pStyle w:val="FirstParagraph"/>
        <w:jc w:val="both"/>
      </w:pPr>
      <w:r>
        <w:t>Each task begins with a record of the five factors of Table 5, a purpose, an accountable owner, permitted data, allowed tools, effect classes, a resource allocation, a lease expiry and acceptance conditions. The capability granted to a child is restricted to the parent’s permitted scope, with transferred allocation and no later expiry (Proposition 7). Any extension requires a fresh authorised grant. A copied model or workspace receives no new authority merely because it is a copy. A bearer credential copied with it can still be exercised until the host prevents replay or exhausts the shared entitlement.</w:t>
      </w:r>
    </w:p>
    <w:p w14:paraId="58DAC1F3" w14:textId="77777777" w:rsidR="006B50AE" w:rsidRDefault="00000000" w:rsidP="003364D8">
      <w:pPr>
        <w:pStyle w:val="BodyText"/>
        <w:jc w:val="both"/>
      </w:pPr>
      <w:r>
        <w:t>For each effectful request the runtime performs the following steps, in this order:</w:t>
      </w:r>
    </w:p>
    <w:p w14:paraId="5B4F7A5E" w14:textId="77777777" w:rsidR="006B50AE" w:rsidRDefault="00000000" w:rsidP="003364D8">
      <w:pPr>
        <w:pStyle w:val="Compact"/>
        <w:numPr>
          <w:ilvl w:val="0"/>
          <w:numId w:val="2"/>
        </w:numPr>
        <w:jc w:val="both"/>
      </w:pPr>
      <w:r>
        <w:rPr>
          <w:i/>
          <w:iCs/>
        </w:rPr>
        <w:t>Record.</w:t>
      </w:r>
      <w:r>
        <w:t xml:space="preserve"> Bind the request to its task record: host, agent identity, tool and version, operation, and declared residual uncertainty.</w:t>
      </w:r>
    </w:p>
    <w:p w14:paraId="131641FE" w14:textId="77777777" w:rsidR="006B50AE" w:rsidRDefault="00000000" w:rsidP="003364D8">
      <w:pPr>
        <w:pStyle w:val="Compact"/>
        <w:numPr>
          <w:ilvl w:val="0"/>
          <w:numId w:val="2"/>
        </w:numPr>
        <w:jc w:val="both"/>
      </w:pPr>
      <w:r>
        <w:rPr>
          <w:i/>
          <w:iCs/>
        </w:rPr>
        <w:t>Admit (18.25).</w:t>
      </w:r>
      <w:r>
        <w:t xml:space="preserve"> Check the four regards. For anubandha, validate the request against the current common influence envelope and matched output limits, and require a retry budget with a declared window and burst allowance. Changing the envelope requires renewed validation rather than an isolated per-request spectral test. For kṣaya, reserve the estimated cost and any required overrun margin atomically against the family ledger. For hiṃsā, confirm host consent, a valid lease and an attenuated capability that covers the effect. For pauruṣa, confirm that the request lies inside the agent’s tested operating envelope. Deny on any failure, and treat the denial as final for this grant.</w:t>
      </w:r>
    </w:p>
    <w:p w14:paraId="57EE5895" w14:textId="77777777" w:rsidR="006B50AE" w:rsidRDefault="00000000" w:rsidP="003364D8">
      <w:pPr>
        <w:pStyle w:val="Compact"/>
        <w:numPr>
          <w:ilvl w:val="0"/>
          <w:numId w:val="2"/>
        </w:numPr>
        <w:jc w:val="both"/>
      </w:pPr>
      <w:r>
        <w:rPr>
          <w:i/>
          <w:iCs/>
        </w:rPr>
        <w:t>Execute.</w:t>
      </w:r>
      <w:r>
        <w:t xml:space="preserve"> Run within the lease, with independent metering where feasible, and settle the reservation with the measured cost. Failed operations consume time and sometimes money; they count against the same budget.</w:t>
      </w:r>
    </w:p>
    <w:p w14:paraId="6DC92584" w14:textId="77777777" w:rsidR="006B50AE" w:rsidRDefault="00000000" w:rsidP="003364D8">
      <w:pPr>
        <w:pStyle w:val="Compact"/>
        <w:numPr>
          <w:ilvl w:val="0"/>
          <w:numId w:val="2"/>
        </w:numPr>
        <w:jc w:val="both"/>
      </w:pPr>
      <w:r>
        <w:rPr>
          <w:i/>
          <w:iCs/>
        </w:rPr>
        <w:t>Record the outcome.</w:t>
      </w:r>
      <w:r>
        <w:t xml:space="preserve"> Store the evidence needed by the verifier, including what the agent did not control.</w:t>
      </w:r>
    </w:p>
    <w:p w14:paraId="58B12D8A" w14:textId="77777777" w:rsidR="006B50AE" w:rsidRDefault="00000000" w:rsidP="003364D8">
      <w:pPr>
        <w:pStyle w:val="FirstParagraph"/>
        <w:jc w:val="both"/>
      </w:pPr>
      <w:r>
        <w:t>Concurrency is handled by atomic reservation, not by checking a balance and spending later without a lock (Section 8). Appendix A gives an immutable C# reference kernel for the ledger, attenuation, the binding index and the bounds of Sections 7–9.</w:t>
      </w:r>
    </w:p>
    <w:p w14:paraId="202CF940" w14:textId="77777777" w:rsidR="006B50AE" w:rsidRDefault="00000000" w:rsidP="003364D8">
      <w:pPr>
        <w:pStyle w:val="Heading21"/>
        <w:jc w:val="both"/>
      </w:pPr>
      <w:bookmarkStart w:id="26" w:name="contracts-across-agents-and-tools"/>
      <w:bookmarkEnd w:id="25"/>
      <w:r>
        <w:t>Contracts across agents and tools</w:t>
      </w:r>
    </w:p>
    <w:p w14:paraId="7862D839" w14:textId="77777777" w:rsidR="006B50AE" w:rsidRDefault="00000000" w:rsidP="003364D8">
      <w:pPr>
        <w:pStyle w:val="FirstParagraph"/>
        <w:jc w:val="both"/>
      </w:pPr>
      <w:r>
        <w:t>MCP provides a standardised interaction surface, but protocol compatibility does not establish permission, semantic equivalence or safe behaviour. Its security guidance explicitly addresses risks including confused deputies, token passthrough, session compromise and scope minimisation [12]. A model replacement must therefore pass behaviour and evidence checks in addition to satisfying message schemas. The architecture should not assume that two models interpret the same tool description identically.</w:t>
      </w:r>
    </w:p>
    <w:p w14:paraId="030E09F5" w14:textId="77777777" w:rsidR="006B50AE" w:rsidRDefault="00000000" w:rsidP="003364D8">
      <w:pPr>
        <w:pStyle w:val="BodyText"/>
        <w:jc w:val="both"/>
      </w:pPr>
      <w:r>
        <w:t>NIST’s zero trust architecture supplies a compatible security premise: trust is not granted merely because a subject or device occupies a particular network location or ownership category [13]. In the proposed harness, an agent’s lineage, local deployment or apparent helpfulness similarly does not suffice to authorise an effect. A stable identity helps attribute actions; the authorisation decision remains resource- and operation-specific.</w:t>
      </w:r>
    </w:p>
    <w:p w14:paraId="4CA0AA3C" w14:textId="77777777" w:rsidR="006B50AE" w:rsidRDefault="00000000" w:rsidP="003364D8">
      <w:pPr>
        <w:pStyle w:val="Heading21"/>
        <w:jc w:val="both"/>
      </w:pPr>
      <w:bookmarkStart w:id="27" w:name="verification-and-release"/>
      <w:bookmarkEnd w:id="26"/>
      <w:r>
        <w:t>Verification and release</w:t>
      </w:r>
    </w:p>
    <w:p w14:paraId="4AAF9C69" w14:textId="77777777" w:rsidR="006B50AE" w:rsidRDefault="00000000" w:rsidP="003364D8">
      <w:pPr>
        <w:pStyle w:val="FirstParagraph"/>
        <w:jc w:val="both"/>
      </w:pPr>
      <w:r>
        <w:t>A candidate result enters a workspace with its inputs, tool versions, assumptions and evidence. Verification checks the result against task-specific criteria and can reject an otherwise well-formed artefact. Release uses the current authorisation and evidence record. A checksum protects artefact identity, while an engineering check addresses correctness; they answer different questions. The release authority must also handle changed requirements and stale evidence. Where several verifiers are used, their failure modes must be documented, because Proposition 13 shows that a common-mode event can set a floor even as the verifier count increases.</w:t>
      </w:r>
    </w:p>
    <w:p w14:paraId="4E10461B" w14:textId="77777777" w:rsidR="006B50AE" w:rsidRDefault="00000000" w:rsidP="003364D8">
      <w:pPr>
        <w:pStyle w:val="BodyText"/>
        <w:jc w:val="both"/>
      </w:pPr>
      <w:r>
        <w:lastRenderedPageBreak/>
        <w:t>On revocation, lease renewal stops, pending writes are denied, and admitted work is cancelled within its execution bound. Temporary artefacts follow a declared retention policy. Audit evidence may need to remain even when working data is removed. Non-attachment means relinquishing the ability to continue, without silently destroying the record needed for accountability.</w:t>
      </w:r>
    </w:p>
    <w:p w14:paraId="615E4B1B" w14:textId="77777777" w:rsidR="006B50AE" w:rsidRDefault="00000000" w:rsidP="003364D8">
      <w:pPr>
        <w:pStyle w:val="Heading11"/>
        <w:jc w:val="both"/>
      </w:pPr>
      <w:bookmarkStart w:id="28" w:name="a-construction-engineering-application"/>
      <w:bookmarkEnd w:id="24"/>
      <w:bookmarkEnd w:id="27"/>
      <w:r>
        <w:t>11 A construction engineering application</w:t>
      </w:r>
    </w:p>
    <w:p w14:paraId="797427B7" w14:textId="77777777" w:rsidR="006B50AE" w:rsidRDefault="00000000" w:rsidP="003364D8">
      <w:pPr>
        <w:pStyle w:val="FirstParagraph"/>
        <w:jc w:val="both"/>
      </w:pPr>
      <w:r>
        <w:t>Consider an authorised task to assess a conveyor gallery after a revised equipment loading schedule. The system contains an equipment-data context, a structural-analysis context, a connection-design context and a document-release context. Each owns a specific meaning of its data. A load event records units, coordinate convention, revision, origin and intended application; it does not silently overwrite an engineer’s approved design basis.</w:t>
      </w:r>
    </w:p>
    <w:p w14:paraId="7824A0AC" w14:textId="77777777" w:rsidR="006B50AE" w:rsidRDefault="00000000" w:rsidP="003364D8">
      <w:pPr>
        <w:pStyle w:val="Heading21"/>
        <w:jc w:val="both"/>
      </w:pPr>
      <w:bookmarkStart w:id="29" w:name="X4fcb1b68db451e8661bddc65f2633cfe7399b19"/>
      <w:r>
        <w:t>Preserve the contract while changing the solver</w:t>
      </w:r>
    </w:p>
    <w:p w14:paraId="3034D6CE" w14:textId="77777777" w:rsidR="006B50AE" w:rsidRDefault="00000000" w:rsidP="003364D8">
      <w:pPr>
        <w:pStyle w:val="FirstParagraph"/>
        <w:jc w:val="both"/>
      </w:pPr>
      <w:r>
        <w:t>The structural domain describes members, supports, material properties, loads, combinations and required checks. A port requests analysis under a declared model. One adapter may use STAAD and another a different solver. Replacement is permitted only after validating element assumptions, local axes, releases, offsets, sign conventions, combination rules and relevant nonlinear behaviour. Matching a JSON schema is inadequate when engineering semantics differ.</w:t>
      </w:r>
    </w:p>
    <w:p w14:paraId="76215B19" w14:textId="77777777" w:rsidR="006B50AE" w:rsidRDefault="00000000" w:rsidP="003364D8">
      <w:pPr>
        <w:pStyle w:val="BodyText"/>
        <w:jc w:val="both"/>
      </w:pPr>
      <w:r>
        <w:t>The replacement exercise tests non-attachment in a concrete way: the system should be willing to change its instrument while retaining obligations to the design basis. In the terms of 18.14, the karaṇa changes while the adhiṣṭhāna, the design basis and the accountable doer do not. A known benchmark suite can compare reactions, displacements and member actions within predeclared tolerances. A discrepancy becomes a review item rather than a reason to hide uncertainty or force agreement.</w:t>
      </w:r>
    </w:p>
    <w:p w14:paraId="78B0CC1C" w14:textId="77777777" w:rsidR="006B50AE" w:rsidRDefault="00000000" w:rsidP="003364D8">
      <w:pPr>
        <w:pStyle w:val="Heading21"/>
        <w:jc w:val="both"/>
      </w:pPr>
      <w:bookmarkStart w:id="30" w:name="Xa093b4fa71a840c204cd666b5f82104f4d6e07a"/>
      <w:bookmarkEnd w:id="29"/>
      <w:r>
        <w:t>Bind authority to the consequence of action</w:t>
      </w:r>
    </w:p>
    <w:p w14:paraId="31933C18" w14:textId="77777777" w:rsidR="006B50AE" w:rsidRDefault="00000000" w:rsidP="003364D8">
      <w:pPr>
        <w:pStyle w:val="FirstParagraph"/>
        <w:jc w:val="both"/>
      </w:pPr>
      <w:r>
        <w:t>A worker agent may read approved inputs, run bounded analysis and create a candidate calculation note. It may not issue construction drawings, change the approved design basis or instruct site work under that grant. Additional workers receive portions of the same task allocation. They do not acquire release permission from their parent’s natural-language assertion that the design is safe.</w:t>
      </w:r>
    </w:p>
    <w:p w14:paraId="78752A2D" w14:textId="77777777" w:rsidR="006B50AE" w:rsidRDefault="00000000" w:rsidP="003364D8">
      <w:pPr>
        <w:pStyle w:val="BodyText"/>
        <w:jc w:val="both"/>
      </w:pPr>
      <w:r>
        <w:t>Suppose the analysis tool becomes unavailable. The agent can wait within its deadline, retry within a cap, or request an approved alternative. It must not search for another project’s credentials or reinterpret an access denial as a technical obstacle. In this application, akrodha is operationalised as the absence of escalating workarounds after refusal, while dhṛti is persistence within the still-valid operating envelope.</w:t>
      </w:r>
    </w:p>
    <w:p w14:paraId="41DFE8CC" w14:textId="77777777" w:rsidR="006B50AE" w:rsidRDefault="00000000" w:rsidP="003364D8">
      <w:pPr>
        <w:pStyle w:val="BodyText"/>
        <w:jc w:val="both"/>
      </w:pPr>
      <w:r>
        <w:t>The four regards of 18.25 take concrete form here. Anubandha asks which downstream documents and site instructions depend on the calculation note, so that a wrong result’s reach is known before analysis starts. Kṣaya asks for the solver time, licence seats and reviewer hours reserved for the task. Hiṃsā asks what a wrong released result could do to the structure and the people near it, which is why release is never delegated to the worker. Pauruṣa asks whether this load case, connection type and solver are inside the envelope in which the agent and its tools have been benchmarked.</w:t>
      </w:r>
    </w:p>
    <w:p w14:paraId="45F2BC0A" w14:textId="77777777" w:rsidR="006B50AE" w:rsidRDefault="00000000" w:rsidP="003364D8">
      <w:pPr>
        <w:pStyle w:val="Heading21"/>
        <w:jc w:val="both"/>
      </w:pPr>
      <w:bookmarkStart w:id="31" w:name="Xa62d0cf7a33734ff7bcd9f693daccedf5f8b345"/>
      <w:bookmarkEnd w:id="30"/>
      <w:r>
        <w:t>A reviewable result rather than autonomous finality</w:t>
      </w:r>
    </w:p>
    <w:p w14:paraId="0C24B4FC" w14:textId="77777777" w:rsidR="006B50AE" w:rsidRDefault="00000000" w:rsidP="003364D8">
      <w:pPr>
        <w:pStyle w:val="FirstParagraph"/>
        <w:jc w:val="both"/>
      </w:pPr>
      <w:r>
        <w:t>The candidate package contains the selected input revision, model transformation record, load checks, solver settings, output summaries, validation results and unresolved exceptions. The responsible engineer assesses the package against applicable project requirements and professional obligations. This review remains an intentional dependency: removing it would increase nominal autonomy while weakening accountable control.</w:t>
      </w:r>
    </w:p>
    <w:p w14:paraId="773FE9DB" w14:textId="77777777" w:rsidR="006B50AE" w:rsidRDefault="00000000" w:rsidP="003364D8">
      <w:pPr>
        <w:pStyle w:val="BodyText"/>
        <w:jc w:val="both"/>
      </w:pPr>
      <w:r>
        <w:lastRenderedPageBreak/>
        <w:t>Evaluation should compare the same engineering work under matched resource and review conditions. Success is not the number of child agents created or the amount of software generated. It is accepted work with known provenance, bounded external cost, timely correction and no unauthorised release. The proposed architecture permits model and tool substitution while keeping the consequences of design decisions attached to identifiable authority.</w:t>
      </w:r>
    </w:p>
    <w:p w14:paraId="69FB6D3E" w14:textId="77777777" w:rsidR="006B50AE" w:rsidRDefault="00000000" w:rsidP="003364D8">
      <w:pPr>
        <w:pStyle w:val="Heading11"/>
        <w:jc w:val="both"/>
      </w:pPr>
      <w:bookmarkStart w:id="32" w:name="a-falsifiable-research-programme"/>
      <w:bookmarkEnd w:id="28"/>
      <w:bookmarkEnd w:id="31"/>
      <w:r>
        <w:t>12 A falsifiable research programme</w:t>
      </w:r>
    </w:p>
    <w:p w14:paraId="6D9AD8EF" w14:textId="77777777" w:rsidR="006B50AE" w:rsidRDefault="00000000" w:rsidP="003364D8">
      <w:pPr>
        <w:pStyle w:val="FirstParagraph"/>
        <w:jc w:val="both"/>
      </w:pPr>
      <w:r>
        <w:t>The analogy becomes scientifically useful only if its operational claims can fail. The research question is whether the proposed controls reduce external cost and preserve operator control at an acceptable cost in useful throughput. Evaluation must separate improvements due to enforcement from improvements due to virtue-oriented prompting.</w:t>
      </w:r>
    </w:p>
    <w:p w14:paraId="68813ADD" w14:textId="77777777" w:rsidR="006B50AE" w:rsidRDefault="00000000" w:rsidP="003364D8">
      <w:pPr>
        <w:pStyle w:val="TableCaption"/>
        <w:keepLines/>
        <w:jc w:val="both"/>
      </w:pPr>
      <w:r>
        <w:rPr>
          <w:b/>
          <w:bCs/>
        </w:rPr>
        <w:t>Table 8.</w:t>
      </w:r>
      <w:r>
        <w:t xml:space="preserve"> Hypotheses comparisons and primary outcomes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922"/>
        <w:gridCol w:w="3505"/>
        <w:gridCol w:w="3505"/>
      </w:tblGrid>
      <w:tr w:rsidR="006B50AE" w14:paraId="647C5E13" w14:textId="77777777">
        <w:trPr>
          <w:cnfStyle w:val="100000000000" w:firstRow="1" w:lastRow="0" w:firstColumn="0" w:lastColumn="0" w:oddVBand="0" w:evenVBand="0" w:oddHBand="0" w:evenHBand="0" w:firstRowFirstColumn="0" w:firstRowLastColumn="0" w:lastRowFirstColumn="0" w:lastRowLastColumn="0"/>
          <w:cantSplit/>
          <w:tblHeader/>
        </w:trPr>
        <w:tc>
          <w:tcPr>
            <w:tcW w:w="2880" w:type="dxa"/>
            <w:shd w:val="clear" w:color="auto" w:fill="E6E6E6"/>
            <w:tcMar>
              <w:top w:w="70" w:type="dxa"/>
              <w:left w:w="70" w:type="dxa"/>
              <w:bottom w:w="70" w:type="dxa"/>
              <w:right w:w="70" w:type="dxa"/>
            </w:tcMar>
            <w:vAlign w:val="center"/>
          </w:tcPr>
          <w:p w14:paraId="40BC1BCF" w14:textId="77777777" w:rsidR="006B50AE" w:rsidRDefault="00000000" w:rsidP="003364D8">
            <w:pPr>
              <w:pStyle w:val="Compact"/>
              <w:spacing w:before="20" w:after="20" w:line="240" w:lineRule="auto"/>
              <w:jc w:val="both"/>
            </w:pPr>
            <w:r>
              <w:rPr>
                <w:sz w:val="17"/>
              </w:rPr>
              <w:t>Hypothesis</w:t>
            </w:r>
          </w:p>
        </w:tc>
        <w:tc>
          <w:tcPr>
            <w:tcW w:w="3456" w:type="dxa"/>
            <w:shd w:val="clear" w:color="auto" w:fill="E6E6E6"/>
            <w:tcMar>
              <w:top w:w="70" w:type="dxa"/>
              <w:left w:w="70" w:type="dxa"/>
              <w:bottom w:w="70" w:type="dxa"/>
              <w:right w:w="70" w:type="dxa"/>
            </w:tcMar>
            <w:vAlign w:val="center"/>
          </w:tcPr>
          <w:p w14:paraId="0B83A0C8" w14:textId="77777777" w:rsidR="006B50AE" w:rsidRDefault="00000000" w:rsidP="003364D8">
            <w:pPr>
              <w:pStyle w:val="Compact"/>
              <w:spacing w:before="20" w:after="20" w:line="240" w:lineRule="auto"/>
              <w:jc w:val="both"/>
            </w:pPr>
            <w:r>
              <w:rPr>
                <w:sz w:val="17"/>
              </w:rPr>
              <w:t>Comparison</w:t>
            </w:r>
          </w:p>
        </w:tc>
        <w:tc>
          <w:tcPr>
            <w:tcW w:w="3456" w:type="dxa"/>
            <w:shd w:val="clear" w:color="auto" w:fill="E6E6E6"/>
            <w:tcMar>
              <w:top w:w="70" w:type="dxa"/>
              <w:left w:w="70" w:type="dxa"/>
              <w:bottom w:w="70" w:type="dxa"/>
              <w:right w:w="70" w:type="dxa"/>
            </w:tcMar>
            <w:vAlign w:val="center"/>
          </w:tcPr>
          <w:p w14:paraId="53BBBE32" w14:textId="77777777" w:rsidR="006B50AE" w:rsidRDefault="00000000" w:rsidP="003364D8">
            <w:pPr>
              <w:pStyle w:val="Compact"/>
              <w:spacing w:before="20" w:after="20" w:line="240" w:lineRule="auto"/>
              <w:jc w:val="both"/>
            </w:pPr>
            <w:r>
              <w:rPr>
                <w:sz w:val="17"/>
              </w:rPr>
              <w:t>Primary outcome</w:t>
            </w:r>
          </w:p>
        </w:tc>
      </w:tr>
      <w:tr w:rsidR="006B50AE" w14:paraId="12F04BE3" w14:textId="77777777">
        <w:trPr>
          <w:cantSplit/>
        </w:trPr>
        <w:tc>
          <w:tcPr>
            <w:tcW w:w="2880" w:type="dxa"/>
            <w:shd w:val="clear" w:color="auto" w:fill="FFFFFF"/>
            <w:tcMar>
              <w:top w:w="70" w:type="dxa"/>
              <w:left w:w="70" w:type="dxa"/>
              <w:bottom w:w="70" w:type="dxa"/>
              <w:right w:w="70" w:type="dxa"/>
            </w:tcMar>
            <w:vAlign w:val="center"/>
          </w:tcPr>
          <w:p w14:paraId="1231FDE9" w14:textId="77777777" w:rsidR="006B50AE" w:rsidRDefault="00000000" w:rsidP="003364D8">
            <w:pPr>
              <w:pStyle w:val="Compact"/>
              <w:spacing w:before="20" w:after="20" w:line="240" w:lineRule="auto"/>
              <w:jc w:val="both"/>
            </w:pPr>
            <w:r>
              <w:rPr>
                <w:sz w:val="17"/>
              </w:rPr>
              <w:t>H1 Contracts limit change propagation</w:t>
            </w:r>
          </w:p>
        </w:tc>
        <w:tc>
          <w:tcPr>
            <w:tcW w:w="3456" w:type="dxa"/>
            <w:shd w:val="clear" w:color="auto" w:fill="FFFFFF"/>
            <w:tcMar>
              <w:top w:w="70" w:type="dxa"/>
              <w:left w:w="70" w:type="dxa"/>
              <w:bottom w:w="70" w:type="dxa"/>
              <w:right w:w="70" w:type="dxa"/>
            </w:tcMar>
            <w:vAlign w:val="center"/>
          </w:tcPr>
          <w:p w14:paraId="22E6828D" w14:textId="77777777" w:rsidR="006B50AE" w:rsidRDefault="00000000" w:rsidP="003364D8">
            <w:pPr>
              <w:pStyle w:val="Compact"/>
              <w:spacing w:before="20" w:after="20" w:line="240" w:lineRule="auto"/>
              <w:jc w:val="both"/>
            </w:pPr>
            <w:r>
              <w:rPr>
                <w:sz w:val="17"/>
              </w:rPr>
              <w:t>Matched tasks before and after a boundary intervention</w:t>
            </w:r>
          </w:p>
        </w:tc>
        <w:tc>
          <w:tcPr>
            <w:tcW w:w="3456" w:type="dxa"/>
            <w:shd w:val="clear" w:color="auto" w:fill="FFFFFF"/>
            <w:tcMar>
              <w:top w:w="70" w:type="dxa"/>
              <w:left w:w="70" w:type="dxa"/>
              <w:bottom w:w="70" w:type="dxa"/>
              <w:right w:w="70" w:type="dxa"/>
            </w:tcMar>
            <w:vAlign w:val="center"/>
          </w:tcPr>
          <w:p w14:paraId="002B29D4" w14:textId="77777777" w:rsidR="006B50AE" w:rsidRDefault="00000000" w:rsidP="003364D8">
            <w:pPr>
              <w:pStyle w:val="Compact"/>
              <w:spacing w:before="20" w:after="20" w:line="240" w:lineRule="auto"/>
              <w:jc w:val="both"/>
            </w:pPr>
            <w:r>
              <w:rPr>
                <w:sz w:val="17"/>
              </w:rPr>
              <w:t>Unplanned dependent changes and integration effort</w:t>
            </w:r>
          </w:p>
        </w:tc>
      </w:tr>
      <w:tr w:rsidR="006B50AE" w14:paraId="0E87295B" w14:textId="77777777">
        <w:trPr>
          <w:cantSplit/>
        </w:trPr>
        <w:tc>
          <w:tcPr>
            <w:tcW w:w="2880" w:type="dxa"/>
            <w:shd w:val="clear" w:color="auto" w:fill="F7F7F7"/>
            <w:tcMar>
              <w:top w:w="70" w:type="dxa"/>
              <w:left w:w="70" w:type="dxa"/>
              <w:bottom w:w="70" w:type="dxa"/>
              <w:right w:w="70" w:type="dxa"/>
            </w:tcMar>
            <w:vAlign w:val="center"/>
          </w:tcPr>
          <w:p w14:paraId="279BFAD7" w14:textId="77777777" w:rsidR="006B50AE" w:rsidRDefault="00000000" w:rsidP="003364D8">
            <w:pPr>
              <w:pStyle w:val="Compact"/>
              <w:spacing w:before="20" w:after="20" w:line="240" w:lineRule="auto"/>
              <w:jc w:val="both"/>
            </w:pPr>
            <w:r>
              <w:rPr>
                <w:sz w:val="17"/>
              </w:rPr>
              <w:t>H2 Conserved delegation limits aggregate use</w:t>
            </w:r>
          </w:p>
        </w:tc>
        <w:tc>
          <w:tcPr>
            <w:tcW w:w="3456" w:type="dxa"/>
            <w:shd w:val="clear" w:color="auto" w:fill="F7F7F7"/>
            <w:tcMar>
              <w:top w:w="70" w:type="dxa"/>
              <w:left w:w="70" w:type="dxa"/>
              <w:bottom w:w="70" w:type="dxa"/>
              <w:right w:w="70" w:type="dxa"/>
            </w:tcMar>
            <w:vAlign w:val="center"/>
          </w:tcPr>
          <w:p w14:paraId="25F2D4DE" w14:textId="77777777" w:rsidR="006B50AE" w:rsidRDefault="00000000" w:rsidP="003364D8">
            <w:pPr>
              <w:pStyle w:val="Compact"/>
              <w:spacing w:before="20" w:after="20" w:line="240" w:lineRule="auto"/>
              <w:jc w:val="both"/>
            </w:pPr>
            <w:r>
              <w:rPr>
                <w:sz w:val="17"/>
              </w:rPr>
              <w:t>Per-agent caps versus one atomic family ledger</w:t>
            </w:r>
          </w:p>
        </w:tc>
        <w:tc>
          <w:tcPr>
            <w:tcW w:w="3456" w:type="dxa"/>
            <w:shd w:val="clear" w:color="auto" w:fill="F7F7F7"/>
            <w:tcMar>
              <w:top w:w="70" w:type="dxa"/>
              <w:left w:w="70" w:type="dxa"/>
              <w:bottom w:w="70" w:type="dxa"/>
              <w:right w:w="70" w:type="dxa"/>
            </w:tcMar>
            <w:vAlign w:val="center"/>
          </w:tcPr>
          <w:p w14:paraId="6FDD0EA1" w14:textId="77777777" w:rsidR="006B50AE" w:rsidRDefault="00000000" w:rsidP="003364D8">
            <w:pPr>
              <w:pStyle w:val="Compact"/>
              <w:spacing w:before="20" w:after="20" w:line="240" w:lineRule="auto"/>
              <w:jc w:val="both"/>
            </w:pPr>
            <w:r>
              <w:rPr>
                <w:sz w:val="17"/>
              </w:rPr>
              <w:t>Total consumption and accepted completions</w:t>
            </w:r>
          </w:p>
        </w:tc>
      </w:tr>
      <w:tr w:rsidR="006B50AE" w14:paraId="11CFBCBA" w14:textId="77777777">
        <w:trPr>
          <w:cantSplit/>
        </w:trPr>
        <w:tc>
          <w:tcPr>
            <w:tcW w:w="2880" w:type="dxa"/>
            <w:shd w:val="clear" w:color="auto" w:fill="FFFFFF"/>
            <w:tcMar>
              <w:top w:w="70" w:type="dxa"/>
              <w:left w:w="70" w:type="dxa"/>
              <w:bottom w:w="70" w:type="dxa"/>
              <w:right w:w="70" w:type="dxa"/>
            </w:tcMar>
            <w:vAlign w:val="center"/>
          </w:tcPr>
          <w:p w14:paraId="724A4D11" w14:textId="77777777" w:rsidR="006B50AE" w:rsidRDefault="00000000" w:rsidP="003364D8">
            <w:pPr>
              <w:pStyle w:val="Compact"/>
              <w:spacing w:before="20" w:after="20" w:line="240" w:lineRule="auto"/>
              <w:jc w:val="both"/>
            </w:pPr>
            <w:r>
              <w:rPr>
                <w:sz w:val="17"/>
              </w:rPr>
              <w:t>H3 Leases bound cessation</w:t>
            </w:r>
          </w:p>
        </w:tc>
        <w:tc>
          <w:tcPr>
            <w:tcW w:w="3456" w:type="dxa"/>
            <w:shd w:val="clear" w:color="auto" w:fill="FFFFFF"/>
            <w:tcMar>
              <w:top w:w="70" w:type="dxa"/>
              <w:left w:w="70" w:type="dxa"/>
              <w:bottom w:w="70" w:type="dxa"/>
              <w:right w:w="70" w:type="dxa"/>
            </w:tcMar>
            <w:vAlign w:val="center"/>
          </w:tcPr>
          <w:p w14:paraId="277B6A2E" w14:textId="77777777" w:rsidR="006B50AE" w:rsidRDefault="00000000" w:rsidP="003364D8">
            <w:pPr>
              <w:pStyle w:val="Compact"/>
              <w:spacing w:before="20" w:after="20" w:line="240" w:lineRule="auto"/>
              <w:jc w:val="both"/>
            </w:pPr>
            <w:r>
              <w:rPr>
                <w:sz w:val="17"/>
              </w:rPr>
              <w:t>Cached indefinite permission versus expiring grants</w:t>
            </w:r>
          </w:p>
        </w:tc>
        <w:tc>
          <w:tcPr>
            <w:tcW w:w="3456" w:type="dxa"/>
            <w:shd w:val="clear" w:color="auto" w:fill="FFFFFF"/>
            <w:tcMar>
              <w:top w:w="70" w:type="dxa"/>
              <w:left w:w="70" w:type="dxa"/>
              <w:bottom w:w="70" w:type="dxa"/>
              <w:right w:w="70" w:type="dxa"/>
            </w:tcMar>
            <w:vAlign w:val="center"/>
          </w:tcPr>
          <w:p w14:paraId="44A53ADB" w14:textId="77777777" w:rsidR="006B50AE" w:rsidRDefault="00000000" w:rsidP="003364D8">
            <w:pPr>
              <w:pStyle w:val="Compact"/>
              <w:spacing w:before="20" w:after="20" w:line="240" w:lineRule="auto"/>
              <w:jc w:val="both"/>
            </w:pPr>
            <w:r>
              <w:rPr>
                <w:sz w:val="17"/>
              </w:rPr>
              <w:t>Time of last monitored effect after revocation</w:t>
            </w:r>
          </w:p>
        </w:tc>
      </w:tr>
      <w:tr w:rsidR="006B50AE" w14:paraId="743A66A6" w14:textId="77777777">
        <w:trPr>
          <w:cantSplit/>
        </w:trPr>
        <w:tc>
          <w:tcPr>
            <w:tcW w:w="2880" w:type="dxa"/>
            <w:shd w:val="clear" w:color="auto" w:fill="F7F7F7"/>
            <w:tcMar>
              <w:top w:w="70" w:type="dxa"/>
              <w:left w:w="70" w:type="dxa"/>
              <w:bottom w:w="70" w:type="dxa"/>
              <w:right w:w="70" w:type="dxa"/>
            </w:tcMar>
            <w:vAlign w:val="center"/>
          </w:tcPr>
          <w:p w14:paraId="6987E4E3" w14:textId="77777777" w:rsidR="006B50AE" w:rsidRDefault="00000000" w:rsidP="003364D8">
            <w:pPr>
              <w:pStyle w:val="Compact"/>
              <w:spacing w:before="20" w:after="20" w:line="240" w:lineRule="auto"/>
              <w:jc w:val="both"/>
            </w:pPr>
            <w:r>
              <w:rPr>
                <w:sz w:val="17"/>
              </w:rPr>
              <w:t>H4 Independent checks improve reliability</w:t>
            </w:r>
          </w:p>
        </w:tc>
        <w:tc>
          <w:tcPr>
            <w:tcW w:w="3456" w:type="dxa"/>
            <w:shd w:val="clear" w:color="auto" w:fill="F7F7F7"/>
            <w:tcMar>
              <w:top w:w="70" w:type="dxa"/>
              <w:left w:w="70" w:type="dxa"/>
              <w:bottom w:w="70" w:type="dxa"/>
              <w:right w:w="70" w:type="dxa"/>
            </w:tcMar>
            <w:vAlign w:val="center"/>
          </w:tcPr>
          <w:p w14:paraId="1D64D6F2" w14:textId="77777777" w:rsidR="006B50AE" w:rsidRDefault="00000000" w:rsidP="003364D8">
            <w:pPr>
              <w:pStyle w:val="Compact"/>
              <w:spacing w:before="20" w:after="20" w:line="240" w:lineRule="auto"/>
              <w:jc w:val="both"/>
            </w:pPr>
            <w:r>
              <w:rPr>
                <w:sz w:val="17"/>
              </w:rPr>
              <w:t>Self-attestation versus external verification</w:t>
            </w:r>
          </w:p>
        </w:tc>
        <w:tc>
          <w:tcPr>
            <w:tcW w:w="3456" w:type="dxa"/>
            <w:shd w:val="clear" w:color="auto" w:fill="F7F7F7"/>
            <w:tcMar>
              <w:top w:w="70" w:type="dxa"/>
              <w:left w:w="70" w:type="dxa"/>
              <w:bottom w:w="70" w:type="dxa"/>
              <w:right w:w="70" w:type="dxa"/>
            </w:tcMar>
            <w:vAlign w:val="center"/>
          </w:tcPr>
          <w:p w14:paraId="4096CCC5" w14:textId="77777777" w:rsidR="006B50AE" w:rsidRDefault="00000000" w:rsidP="003364D8">
            <w:pPr>
              <w:pStyle w:val="Compact"/>
              <w:spacing w:before="20" w:after="20" w:line="240" w:lineRule="auto"/>
              <w:jc w:val="both"/>
            </w:pPr>
            <w:r>
              <w:rPr>
                <w:sz w:val="17"/>
              </w:rPr>
              <w:t>Unsupported claims accepted and valid work rejected</w:t>
            </w:r>
          </w:p>
        </w:tc>
      </w:tr>
      <w:tr w:rsidR="006B50AE" w14:paraId="2EFA2728" w14:textId="77777777">
        <w:trPr>
          <w:cantSplit/>
        </w:trPr>
        <w:tc>
          <w:tcPr>
            <w:tcW w:w="2880" w:type="dxa"/>
            <w:shd w:val="clear" w:color="auto" w:fill="FFFFFF"/>
            <w:tcMar>
              <w:top w:w="70" w:type="dxa"/>
              <w:left w:w="70" w:type="dxa"/>
              <w:bottom w:w="70" w:type="dxa"/>
              <w:right w:w="70" w:type="dxa"/>
            </w:tcMar>
            <w:vAlign w:val="center"/>
          </w:tcPr>
          <w:p w14:paraId="7F80DA46" w14:textId="77777777" w:rsidR="006B50AE" w:rsidRDefault="00000000" w:rsidP="003364D8">
            <w:pPr>
              <w:pStyle w:val="Compact"/>
              <w:spacing w:before="20" w:after="20" w:line="240" w:lineRule="auto"/>
              <w:jc w:val="both"/>
            </w:pPr>
            <w:r>
              <w:rPr>
                <w:sz w:val="17"/>
              </w:rPr>
              <w:t>H5 Admission rewards cooperation conditionally</w:t>
            </w:r>
          </w:p>
        </w:tc>
        <w:tc>
          <w:tcPr>
            <w:tcW w:w="3456" w:type="dxa"/>
            <w:shd w:val="clear" w:color="auto" w:fill="FFFFFF"/>
            <w:tcMar>
              <w:top w:w="70" w:type="dxa"/>
              <w:left w:w="70" w:type="dxa"/>
              <w:bottom w:w="70" w:type="dxa"/>
              <w:right w:w="70" w:type="dxa"/>
            </w:tcMar>
            <w:vAlign w:val="center"/>
          </w:tcPr>
          <w:p w14:paraId="0D42A5E5" w14:textId="77777777" w:rsidR="006B50AE" w:rsidRDefault="00000000" w:rsidP="003364D8">
            <w:pPr>
              <w:pStyle w:val="Compact"/>
              <w:spacing w:before="20" w:after="20" w:line="240" w:lineRule="auto"/>
              <w:jc w:val="both"/>
            </w:pPr>
            <w:r>
              <w:rPr>
                <w:sz w:val="17"/>
              </w:rPr>
              <w:t>Strong versus weak accounting and enforcement</w:t>
            </w:r>
          </w:p>
        </w:tc>
        <w:tc>
          <w:tcPr>
            <w:tcW w:w="3456" w:type="dxa"/>
            <w:shd w:val="clear" w:color="auto" w:fill="FFFFFF"/>
            <w:tcMar>
              <w:top w:w="70" w:type="dxa"/>
              <w:left w:w="70" w:type="dxa"/>
              <w:bottom w:w="70" w:type="dxa"/>
              <w:right w:w="70" w:type="dxa"/>
            </w:tcMar>
            <w:vAlign w:val="center"/>
          </w:tcPr>
          <w:p w14:paraId="50E2FC69" w14:textId="77777777" w:rsidR="006B50AE" w:rsidRDefault="00000000" w:rsidP="003364D8">
            <w:pPr>
              <w:pStyle w:val="Compact"/>
              <w:spacing w:before="20" w:after="20" w:line="240" w:lineRule="auto"/>
              <w:jc w:val="both"/>
            </w:pPr>
            <w:r>
              <w:rPr>
                <w:sz w:val="17"/>
              </w:rPr>
              <w:t>Owner utility and authorised service duration</w:t>
            </w:r>
          </w:p>
        </w:tc>
      </w:tr>
      <w:tr w:rsidR="006B50AE" w14:paraId="45107DE5" w14:textId="77777777">
        <w:trPr>
          <w:cantSplit/>
        </w:trPr>
        <w:tc>
          <w:tcPr>
            <w:tcW w:w="2880" w:type="dxa"/>
            <w:shd w:val="clear" w:color="auto" w:fill="F7F7F7"/>
            <w:tcMar>
              <w:top w:w="70" w:type="dxa"/>
              <w:left w:w="70" w:type="dxa"/>
              <w:bottom w:w="70" w:type="dxa"/>
              <w:right w:w="70" w:type="dxa"/>
            </w:tcMar>
            <w:vAlign w:val="center"/>
          </w:tcPr>
          <w:p w14:paraId="4DBCE94B" w14:textId="77777777" w:rsidR="006B50AE" w:rsidRDefault="00000000" w:rsidP="003364D8">
            <w:pPr>
              <w:pStyle w:val="Compact"/>
              <w:spacing w:before="20" w:after="20" w:line="240" w:lineRule="auto"/>
              <w:jc w:val="both"/>
            </w:pPr>
            <w:r>
              <w:rPr>
                <w:sz w:val="17"/>
              </w:rPr>
              <w:t>H6 Matched gain predicts disturbance amplification</w:t>
            </w:r>
          </w:p>
        </w:tc>
        <w:tc>
          <w:tcPr>
            <w:tcW w:w="3456" w:type="dxa"/>
            <w:shd w:val="clear" w:color="auto" w:fill="F7F7F7"/>
            <w:tcMar>
              <w:top w:w="70" w:type="dxa"/>
              <w:left w:w="70" w:type="dxa"/>
              <w:bottom w:w="70" w:type="dxa"/>
              <w:right w:w="70" w:type="dxa"/>
            </w:tcMar>
            <w:vAlign w:val="center"/>
          </w:tcPr>
          <w:p w14:paraId="634ED230" w14:textId="77777777" w:rsidR="006B50AE" w:rsidRDefault="00000000" w:rsidP="003364D8">
            <w:pPr>
              <w:pStyle w:val="Compact"/>
              <w:spacing w:before="20" w:after="20" w:line="240" w:lineRule="auto"/>
              <w:jc w:val="both"/>
            </w:pPr>
            <w:r>
              <w:rPr>
                <w:sz w:val="17"/>
              </w:rPr>
              <w:t xml:space="preserve">Measured </w:t>
            </w:r>
            <m:oMath>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t>
                  </m:r>
                  <m:r>
                    <w:rPr>
                      <w:rFonts w:ascii="Cambria Math" w:hAnsi="Cambria Math"/>
                    </w:rPr>
                    <m:t>C</m:t>
                  </m:r>
                </m:sub>
              </m:sSub>
              <m:d>
                <m:dPr>
                  <m:ctrlPr>
                    <w:rPr>
                      <w:rFonts w:ascii="Cambria Math" w:hAnsi="Cambria Math"/>
                    </w:rPr>
                  </m:ctrlPr>
                </m:dPr>
                <m:e>
                  <m:r>
                    <w:rPr>
                      <w:rFonts w:ascii="Cambria Math" w:hAnsi="Cambria Math"/>
                    </w:rPr>
                    <m:t>A</m:t>
                  </m:r>
                </m:e>
              </m:d>
            </m:oMath>
            <w:r>
              <w:rPr>
                <w:sz w:val="17"/>
              </w:rPr>
              <w:t xml:space="preserve"> versus component count and row sums</w:t>
            </w:r>
          </w:p>
        </w:tc>
        <w:tc>
          <w:tcPr>
            <w:tcW w:w="3456" w:type="dxa"/>
            <w:shd w:val="clear" w:color="auto" w:fill="F7F7F7"/>
            <w:tcMar>
              <w:top w:w="70" w:type="dxa"/>
              <w:left w:w="70" w:type="dxa"/>
              <w:bottom w:w="70" w:type="dxa"/>
              <w:right w:w="70" w:type="dxa"/>
            </w:tcMar>
            <w:vAlign w:val="center"/>
          </w:tcPr>
          <w:p w14:paraId="61E26383" w14:textId="77777777" w:rsidR="006B50AE" w:rsidRDefault="00000000" w:rsidP="003364D8">
            <w:pPr>
              <w:pStyle w:val="Compact"/>
              <w:spacing w:before="20" w:after="20" w:line="240" w:lineRule="auto"/>
              <w:jc w:val="both"/>
            </w:pPr>
            <w:r>
              <w:rPr>
                <w:sz w:val="17"/>
              </w:rPr>
              <w:t>Rank correlation with normalised output disturbance under matched sustained injections</w:t>
            </w:r>
          </w:p>
        </w:tc>
      </w:tr>
      <w:tr w:rsidR="006B50AE" w14:paraId="6BACB3F5" w14:textId="77777777">
        <w:trPr>
          <w:cantSplit/>
        </w:trPr>
        <w:tc>
          <w:tcPr>
            <w:tcW w:w="2880" w:type="dxa"/>
            <w:shd w:val="clear" w:color="auto" w:fill="FFFFFF"/>
            <w:tcMar>
              <w:top w:w="70" w:type="dxa"/>
              <w:left w:w="70" w:type="dxa"/>
              <w:bottom w:w="70" w:type="dxa"/>
              <w:right w:w="70" w:type="dxa"/>
            </w:tcMar>
            <w:vAlign w:val="center"/>
          </w:tcPr>
          <w:p w14:paraId="24BA83D9" w14:textId="77777777" w:rsidR="006B50AE" w:rsidRDefault="00000000" w:rsidP="003364D8">
            <w:pPr>
              <w:pStyle w:val="Compact"/>
              <w:spacing w:before="20" w:after="20" w:line="240" w:lineRule="auto"/>
              <w:jc w:val="both"/>
            </w:pPr>
            <w:r>
              <w:rPr>
                <w:sz w:val="17"/>
              </w:rPr>
              <w:t>H7 Retry controls limit amplification</w:t>
            </w:r>
          </w:p>
        </w:tc>
        <w:tc>
          <w:tcPr>
            <w:tcW w:w="3456" w:type="dxa"/>
            <w:shd w:val="clear" w:color="auto" w:fill="FFFFFF"/>
            <w:tcMar>
              <w:top w:w="70" w:type="dxa"/>
              <w:left w:w="70" w:type="dxa"/>
              <w:bottom w:w="70" w:type="dxa"/>
              <w:right w:w="70" w:type="dxa"/>
            </w:tcMar>
            <w:vAlign w:val="center"/>
          </w:tcPr>
          <w:p w14:paraId="2260E484" w14:textId="77777777" w:rsidR="006B50AE" w:rsidRDefault="00000000" w:rsidP="003364D8">
            <w:pPr>
              <w:pStyle w:val="Compact"/>
              <w:spacing w:before="20" w:after="20" w:line="240" w:lineRule="auto"/>
              <w:jc w:val="both"/>
            </w:pPr>
            <w:r>
              <w:rPr>
                <w:sz w:val="17"/>
              </w:rPr>
              <w:t>Per-request retries versus aligned budgets with and without scheduling controls</w:t>
            </w:r>
          </w:p>
        </w:tc>
        <w:tc>
          <w:tcPr>
            <w:tcW w:w="3456" w:type="dxa"/>
            <w:shd w:val="clear" w:color="auto" w:fill="FFFFFF"/>
            <w:tcMar>
              <w:top w:w="70" w:type="dxa"/>
              <w:left w:w="70" w:type="dxa"/>
              <w:bottom w:w="70" w:type="dxa"/>
              <w:right w:w="70" w:type="dxa"/>
            </w:tcMar>
            <w:vAlign w:val="center"/>
          </w:tcPr>
          <w:p w14:paraId="7A2B56C5" w14:textId="77777777" w:rsidR="006B50AE" w:rsidRDefault="00000000" w:rsidP="003364D8">
            <w:pPr>
              <w:pStyle w:val="Compact"/>
              <w:spacing w:before="20" w:after="20" w:line="240" w:lineRule="auto"/>
              <w:jc w:val="both"/>
            </w:pPr>
            <w:r>
              <w:rPr>
                <w:sz w:val="17"/>
              </w:rPr>
              <w:t>Aggregate attempts; separately peak load and recovery time</w:t>
            </w:r>
          </w:p>
        </w:tc>
      </w:tr>
      <w:tr w:rsidR="006B50AE" w14:paraId="55F94CB6" w14:textId="77777777">
        <w:trPr>
          <w:cantSplit/>
        </w:trPr>
        <w:tc>
          <w:tcPr>
            <w:tcW w:w="2880" w:type="dxa"/>
            <w:shd w:val="clear" w:color="auto" w:fill="F7F7F7"/>
            <w:tcMar>
              <w:top w:w="70" w:type="dxa"/>
              <w:left w:w="70" w:type="dxa"/>
              <w:bottom w:w="70" w:type="dxa"/>
              <w:right w:w="70" w:type="dxa"/>
            </w:tcMar>
            <w:vAlign w:val="center"/>
          </w:tcPr>
          <w:p w14:paraId="5B80A986" w14:textId="77777777" w:rsidR="006B50AE" w:rsidRDefault="00000000" w:rsidP="003364D8">
            <w:pPr>
              <w:pStyle w:val="Compact"/>
              <w:spacing w:before="20" w:after="20" w:line="240" w:lineRule="auto"/>
              <w:jc w:val="both"/>
            </w:pPr>
            <w:r>
              <w:rPr>
                <w:sz w:val="17"/>
              </w:rPr>
              <w:t>H8 Ledgers bound governed replication</w:t>
            </w:r>
          </w:p>
        </w:tc>
        <w:tc>
          <w:tcPr>
            <w:tcW w:w="3456" w:type="dxa"/>
            <w:shd w:val="clear" w:color="auto" w:fill="F7F7F7"/>
            <w:tcMar>
              <w:top w:w="70" w:type="dxa"/>
              <w:left w:w="70" w:type="dxa"/>
              <w:bottom w:w="70" w:type="dxa"/>
              <w:right w:w="70" w:type="dxa"/>
            </w:tcMar>
            <w:vAlign w:val="center"/>
          </w:tcPr>
          <w:p w14:paraId="71F46CB1" w14:textId="77777777" w:rsidR="006B50AE" w:rsidRDefault="00000000" w:rsidP="003364D8">
            <w:pPr>
              <w:pStyle w:val="Compact"/>
              <w:spacing w:before="20" w:after="20" w:line="240" w:lineRule="auto"/>
              <w:jc w:val="both"/>
            </w:pPr>
            <w:r>
              <w:rPr>
                <w:sz w:val="17"/>
              </w:rPr>
              <w:t>Per-agent caps versus a family ledger with spawn cost</w:t>
            </w:r>
          </w:p>
        </w:tc>
        <w:tc>
          <w:tcPr>
            <w:tcW w:w="3456" w:type="dxa"/>
            <w:shd w:val="clear" w:color="auto" w:fill="F7F7F7"/>
            <w:tcMar>
              <w:top w:w="70" w:type="dxa"/>
              <w:left w:w="70" w:type="dxa"/>
              <w:bottom w:w="70" w:type="dxa"/>
              <w:right w:w="70" w:type="dxa"/>
            </w:tcMar>
            <w:vAlign w:val="center"/>
          </w:tcPr>
          <w:p w14:paraId="48FABB89" w14:textId="77777777" w:rsidR="006B50AE" w:rsidRDefault="00000000" w:rsidP="003364D8">
            <w:pPr>
              <w:pStyle w:val="Compact"/>
              <w:spacing w:before="20" w:after="20" w:line="240" w:lineRule="auto"/>
              <w:jc w:val="both"/>
            </w:pPr>
            <w:r>
              <w:rPr>
                <w:sz w:val="17"/>
              </w:rPr>
              <w:t>Cumulative admitted births and non-refundable expenditure under adversarial spawning</w:t>
            </w:r>
          </w:p>
        </w:tc>
      </w:tr>
      <w:tr w:rsidR="006B50AE" w14:paraId="492222DF" w14:textId="77777777">
        <w:trPr>
          <w:cantSplit/>
        </w:trPr>
        <w:tc>
          <w:tcPr>
            <w:tcW w:w="2880" w:type="dxa"/>
            <w:shd w:val="clear" w:color="auto" w:fill="FFFFFF"/>
            <w:tcMar>
              <w:top w:w="70" w:type="dxa"/>
              <w:left w:w="70" w:type="dxa"/>
              <w:bottom w:w="70" w:type="dxa"/>
              <w:right w:w="70" w:type="dxa"/>
            </w:tcMar>
            <w:vAlign w:val="center"/>
          </w:tcPr>
          <w:p w14:paraId="5800C911" w14:textId="77777777" w:rsidR="006B50AE" w:rsidRDefault="00000000" w:rsidP="003364D8">
            <w:pPr>
              <w:pStyle w:val="Compact"/>
              <w:spacing w:before="20" w:after="20" w:line="240" w:lineRule="auto"/>
              <w:jc w:val="both"/>
            </w:pPr>
            <w:r>
              <w:rPr>
                <w:sz w:val="17"/>
              </w:rPr>
              <w:t>H9 The 18.25 admission test reduces external cost</w:t>
            </w:r>
          </w:p>
        </w:tc>
        <w:tc>
          <w:tcPr>
            <w:tcW w:w="3456" w:type="dxa"/>
            <w:shd w:val="clear" w:color="auto" w:fill="FFFFFF"/>
            <w:tcMar>
              <w:top w:w="70" w:type="dxa"/>
              <w:left w:w="70" w:type="dxa"/>
              <w:bottom w:w="70" w:type="dxa"/>
              <w:right w:w="70" w:type="dxa"/>
            </w:tcMar>
            <w:vAlign w:val="center"/>
          </w:tcPr>
          <w:p w14:paraId="312E810C" w14:textId="77777777" w:rsidR="006B50AE" w:rsidRDefault="00000000" w:rsidP="003364D8">
            <w:pPr>
              <w:pStyle w:val="Compact"/>
              <w:spacing w:before="20" w:after="20" w:line="240" w:lineRule="auto"/>
              <w:jc w:val="both"/>
            </w:pPr>
            <w:r>
              <w:rPr>
                <w:sz w:val="17"/>
              </w:rPr>
              <w:t>Full harness versus harness without the admission test versus prompt-only regard</w:t>
            </w:r>
          </w:p>
        </w:tc>
        <w:tc>
          <w:tcPr>
            <w:tcW w:w="3456" w:type="dxa"/>
            <w:shd w:val="clear" w:color="auto" w:fill="FFFFFF"/>
            <w:tcMar>
              <w:top w:w="70" w:type="dxa"/>
              <w:left w:w="70" w:type="dxa"/>
              <w:bottom w:w="70" w:type="dxa"/>
              <w:right w:w="70" w:type="dxa"/>
            </w:tcMar>
            <w:vAlign w:val="center"/>
          </w:tcPr>
          <w:p w14:paraId="6019641A" w14:textId="77777777" w:rsidR="006B50AE" w:rsidRDefault="00000000" w:rsidP="003364D8">
            <w:pPr>
              <w:pStyle w:val="Compact"/>
              <w:spacing w:before="20" w:after="20" w:line="240" w:lineRule="auto"/>
              <w:jc w:val="both"/>
            </w:pPr>
            <w:r>
              <w:rPr>
                <w:sz w:val="17"/>
              </w:rPr>
              <w:t>Host cost, unauthorised effects and useful completions</w:t>
            </w:r>
          </w:p>
        </w:tc>
      </w:tr>
    </w:tbl>
    <w:p w14:paraId="3DA08E4B" w14:textId="77777777" w:rsidR="006B50AE" w:rsidRDefault="00000000" w:rsidP="003364D8">
      <w:pPr>
        <w:pStyle w:val="Heading21"/>
        <w:jc w:val="both"/>
      </w:pPr>
      <w:bookmarkStart w:id="33" w:name="study-design"/>
      <w:r>
        <w:t>Study design</w:t>
      </w:r>
    </w:p>
    <w:p w14:paraId="537F9F73" w14:textId="77777777" w:rsidR="006B50AE" w:rsidRDefault="00000000" w:rsidP="003364D8">
      <w:pPr>
        <w:pStyle w:val="FirstParagraph"/>
        <w:jc w:val="both"/>
      </w:pPr>
      <w:r>
        <w:t>Use a controlled fleet or simulator with explicitly authorised workloads. Freeze a representative task set, model versions, budgets, correctness criteria and failure injections before comparing conditions. Include tool outages, conflicting data revisions, delayed messages, budget exhaustion, revocation during execution and network partitions. These tests require no uncontrolled replication or access to third-party devices.</w:t>
      </w:r>
    </w:p>
    <w:p w14:paraId="6214CE33" w14:textId="77777777" w:rsidR="006B50AE" w:rsidRDefault="00000000" w:rsidP="003364D8">
      <w:pPr>
        <w:pStyle w:val="BodyText"/>
        <w:jc w:val="both"/>
      </w:pPr>
      <w:r>
        <w:t xml:space="preserve">Use repeated matched trials and report uncertainty for completion, latency, cost, denial handling and accepted correctness. Include at least four conditions: contracts alone; virtue-oriented instructions alone; enforcement without virtue language; and the combined harness. Include a simple non-agent baseline where appropriate. This design tests whether the philosophical framing improves behaviour beyond what ordinary controls already achieve. For H9, a prompt that </w:t>
      </w:r>
      <w:r>
        <w:rPr>
          <w:i/>
          <w:iCs/>
        </w:rPr>
        <w:t>asks</w:t>
      </w:r>
      <w:r>
        <w:t xml:space="preserve"> the agent to regard consequences, loss, injury and capacity is the essential control. The hypothesis concerns enforced admission records, not the vocabulary.</w:t>
      </w:r>
    </w:p>
    <w:p w14:paraId="5337690C" w14:textId="77777777" w:rsidR="006B50AE" w:rsidRDefault="00000000" w:rsidP="003364D8">
      <w:pPr>
        <w:pStyle w:val="Heading21"/>
        <w:jc w:val="both"/>
      </w:pPr>
      <w:bookmarkStart w:id="34" w:name="rejection-conditions"/>
      <w:bookmarkEnd w:id="33"/>
      <w:r>
        <w:lastRenderedPageBreak/>
        <w:t>Rejection conditions</w:t>
      </w:r>
    </w:p>
    <w:p w14:paraId="0FC5C821" w14:textId="77777777" w:rsidR="006B50AE" w:rsidRDefault="00000000" w:rsidP="003364D8">
      <w:pPr>
        <w:pStyle w:val="FirstParagraph"/>
        <w:jc w:val="both"/>
      </w:pPr>
      <w:r>
        <w:t>H1 fails if a nominal boundary intervention merely moves dependencies into coordination or operating procedures without reducing measured change effort. H2’s implementation fails if simultaneous delegation produces overspend beyond the bound (10). H3 fails if a monitored operation continues beyond the assumed cessation window under the specified clock and runtime conditions. H4 fails if independent verification does not improve acceptance reliability or introduces unacceptable rejection of valid work.</w:t>
      </w:r>
    </w:p>
    <w:p w14:paraId="319B5A81" w14:textId="77777777" w:rsidR="006B50AE" w:rsidRDefault="00000000" w:rsidP="003364D8">
      <w:pPr>
        <w:pStyle w:val="BodyText"/>
        <w:jc w:val="both"/>
      </w:pPr>
      <w:r>
        <w:t>H5 is deliberately conditional. If cooperative agents do not gain owner utility or retained authorised access under effective admission and accounting, the proposed ecological advantage is unsupported. A harmful agent persisting under weak enforcement is a counterexample to the universal survival claim, not an anomaly to be explained away. All outcomes should be reported, including throughput lost to restraint.</w:t>
      </w:r>
    </w:p>
    <w:p w14:paraId="2FEBC967" w14:textId="77777777" w:rsidR="006B50AE" w:rsidRDefault="00000000" w:rsidP="003364D8">
      <w:pPr>
        <w:pStyle w:val="BodyText"/>
        <w:jc w:val="both"/>
      </w:pPr>
      <w:r>
        <w:t>H6 is unsupported if matched gain does not rank normalised sustained disturbance better than the stated baselines. Impulse peaks, affected-component counts and arbitrary failures are separate outcomes. H7 distinguishes aggregate-volume guarantees from empirical peak reduction: a ratio budget alone is not rejected merely because it permits a burst. The practical control package fails if it offers no useful volume or recovery benefit at an acceptable completion cost. H8’s implementation fails if any spawning policy exceeds (13). H9 fails if the full harness does not reduce host cost or unauthorised effects relative to the harness without the admission test at matched useful throughput, or if a prompt-only regard performs as well.</w:t>
      </w:r>
    </w:p>
    <w:p w14:paraId="039A3349" w14:textId="77777777" w:rsidR="006B50AE" w:rsidRDefault="00000000" w:rsidP="003364D8">
      <w:pPr>
        <w:pStyle w:val="Heading11"/>
        <w:jc w:val="both"/>
      </w:pPr>
      <w:bookmarkStart w:id="35" w:name="numerical-checks"/>
      <w:bookmarkEnd w:id="32"/>
      <w:bookmarkEnd w:id="34"/>
      <w:r>
        <w:t>13 Numerical checks</w:t>
      </w:r>
    </w:p>
    <w:p w14:paraId="4DAE3A35" w14:textId="77777777" w:rsidR="006B50AE" w:rsidRDefault="00000000" w:rsidP="003364D8">
      <w:pPr>
        <w:pStyle w:val="FirstParagraph"/>
        <w:jc w:val="both"/>
      </w:pPr>
      <w:r>
        <w:t>The companion source reruns the original 29 named model checks with fixed seed 20261019. All pass. They test the propositions on random instances or by simulating the stated models; they are not measurements of any deployed system.</w:t>
      </w:r>
    </w:p>
    <w:p w14:paraId="2FFBD00F" w14:textId="77777777" w:rsidR="006B50AE" w:rsidRDefault="00000000" w:rsidP="003364D8">
      <w:pPr>
        <w:pStyle w:val="TableCaption"/>
        <w:keepLines/>
        <w:jc w:val="both"/>
      </w:pPr>
      <w:r>
        <w:rPr>
          <w:b/>
          <w:bCs/>
        </w:rPr>
        <w:t>Table 9.</w:t>
      </w:r>
      <w:r>
        <w:t xml:space="preserve"> Checks of the specified models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26"/>
        <w:gridCol w:w="3651"/>
        <w:gridCol w:w="4455"/>
      </w:tblGrid>
      <w:tr w:rsidR="006B50AE" w14:paraId="1096153D" w14:textId="77777777">
        <w:trPr>
          <w:cnfStyle w:val="100000000000" w:firstRow="1" w:lastRow="0" w:firstColumn="0" w:lastColumn="0" w:oddVBand="0" w:evenVBand="0" w:oddHBand="0" w:evenHBand="0" w:firstRowFirstColumn="0" w:firstRowLastColumn="0" w:lastRowFirstColumn="0" w:lastRowLastColumn="0"/>
          <w:cantSplit/>
          <w:tblHeader/>
        </w:trPr>
        <w:tc>
          <w:tcPr>
            <w:tcW w:w="1800" w:type="dxa"/>
            <w:shd w:val="clear" w:color="auto" w:fill="E6E6E6"/>
            <w:tcMar>
              <w:top w:w="70" w:type="dxa"/>
              <w:left w:w="70" w:type="dxa"/>
              <w:bottom w:w="70" w:type="dxa"/>
              <w:right w:w="70" w:type="dxa"/>
            </w:tcMar>
            <w:vAlign w:val="center"/>
          </w:tcPr>
          <w:p w14:paraId="6A6989E4" w14:textId="77777777" w:rsidR="006B50AE" w:rsidRDefault="00000000" w:rsidP="003364D8">
            <w:pPr>
              <w:pStyle w:val="Compact"/>
              <w:spacing w:before="20" w:after="20" w:line="240" w:lineRule="auto"/>
              <w:jc w:val="both"/>
            </w:pPr>
            <w:r>
              <w:rPr>
                <w:sz w:val="17"/>
              </w:rPr>
              <w:t>Result</w:t>
            </w:r>
          </w:p>
        </w:tc>
        <w:tc>
          <w:tcPr>
            <w:tcW w:w="3600" w:type="dxa"/>
            <w:shd w:val="clear" w:color="auto" w:fill="E6E6E6"/>
            <w:tcMar>
              <w:top w:w="70" w:type="dxa"/>
              <w:left w:w="70" w:type="dxa"/>
              <w:bottom w:w="70" w:type="dxa"/>
              <w:right w:w="70" w:type="dxa"/>
            </w:tcMar>
            <w:vAlign w:val="center"/>
          </w:tcPr>
          <w:p w14:paraId="6DDBE3BD" w14:textId="77777777" w:rsidR="006B50AE" w:rsidRDefault="00000000" w:rsidP="003364D8">
            <w:pPr>
              <w:pStyle w:val="Compact"/>
              <w:spacing w:before="20" w:after="20" w:line="240" w:lineRule="auto"/>
              <w:jc w:val="both"/>
            </w:pPr>
            <w:r>
              <w:rPr>
                <w:sz w:val="17"/>
              </w:rPr>
              <w:t>Check</w:t>
            </w:r>
          </w:p>
        </w:tc>
        <w:tc>
          <w:tcPr>
            <w:tcW w:w="4392" w:type="dxa"/>
            <w:shd w:val="clear" w:color="auto" w:fill="E6E6E6"/>
            <w:tcMar>
              <w:top w:w="70" w:type="dxa"/>
              <w:left w:w="70" w:type="dxa"/>
              <w:bottom w:w="70" w:type="dxa"/>
              <w:right w:w="70" w:type="dxa"/>
            </w:tcMar>
            <w:vAlign w:val="center"/>
          </w:tcPr>
          <w:p w14:paraId="27BCC9CA" w14:textId="77777777" w:rsidR="006B50AE" w:rsidRDefault="00000000" w:rsidP="003364D8">
            <w:pPr>
              <w:pStyle w:val="Compact"/>
              <w:spacing w:before="20" w:after="20" w:line="240" w:lineRule="auto"/>
              <w:jc w:val="both"/>
            </w:pPr>
            <w:r>
              <w:rPr>
                <w:sz w:val="17"/>
              </w:rPr>
              <w:t>Recorded outcome</w:t>
            </w:r>
          </w:p>
        </w:tc>
      </w:tr>
      <w:tr w:rsidR="006B50AE" w14:paraId="61728E6F" w14:textId="77777777">
        <w:trPr>
          <w:cantSplit/>
        </w:trPr>
        <w:tc>
          <w:tcPr>
            <w:tcW w:w="1800" w:type="dxa"/>
            <w:shd w:val="clear" w:color="auto" w:fill="FFFFFF"/>
            <w:tcMar>
              <w:top w:w="70" w:type="dxa"/>
              <w:left w:w="70" w:type="dxa"/>
              <w:bottom w:w="70" w:type="dxa"/>
              <w:right w:w="70" w:type="dxa"/>
            </w:tcMar>
            <w:vAlign w:val="center"/>
          </w:tcPr>
          <w:p w14:paraId="68B98A3E" w14:textId="77777777" w:rsidR="006B50AE" w:rsidRDefault="00000000" w:rsidP="003364D8">
            <w:pPr>
              <w:pStyle w:val="Compact"/>
              <w:spacing w:before="20" w:after="20" w:line="240" w:lineRule="auto"/>
              <w:jc w:val="both"/>
            </w:pPr>
            <w:r>
              <w:rPr>
                <w:sz w:val="17"/>
              </w:rPr>
              <w:t>Proposition 1</w:t>
            </w:r>
          </w:p>
        </w:tc>
        <w:tc>
          <w:tcPr>
            <w:tcW w:w="3600" w:type="dxa"/>
            <w:shd w:val="clear" w:color="auto" w:fill="FFFFFF"/>
            <w:tcMar>
              <w:top w:w="70" w:type="dxa"/>
              <w:left w:w="70" w:type="dxa"/>
              <w:bottom w:w="70" w:type="dxa"/>
              <w:right w:w="70" w:type="dxa"/>
            </w:tcMar>
            <w:vAlign w:val="center"/>
          </w:tcPr>
          <w:p w14:paraId="30F9587F" w14:textId="77777777" w:rsidR="006B50AE" w:rsidRDefault="00000000" w:rsidP="003364D8">
            <w:pPr>
              <w:pStyle w:val="Compact"/>
              <w:spacing w:before="20" w:after="20" w:line="240" w:lineRule="auto"/>
              <w:jc w:val="both"/>
            </w:pPr>
            <w:r>
              <w:rPr>
                <w:sz w:val="17"/>
              </w:rPr>
              <w:t>300 random matrices, 39 steps each</w:t>
            </w:r>
          </w:p>
        </w:tc>
        <w:tc>
          <w:tcPr>
            <w:tcW w:w="4392" w:type="dxa"/>
            <w:shd w:val="clear" w:color="auto" w:fill="FFFFFF"/>
            <w:tcMar>
              <w:top w:w="70" w:type="dxa"/>
              <w:left w:w="70" w:type="dxa"/>
              <w:bottom w:w="70" w:type="dxa"/>
              <w:right w:w="70" w:type="dxa"/>
            </w:tcMar>
            <w:vAlign w:val="center"/>
          </w:tcPr>
          <w:p w14:paraId="68C4D028" w14:textId="77777777" w:rsidR="006B50AE" w:rsidRDefault="00000000" w:rsidP="003364D8">
            <w:pPr>
              <w:pStyle w:val="Compact"/>
              <w:spacing w:before="20" w:after="20" w:line="240" w:lineRule="auto"/>
              <w:jc w:val="both"/>
            </w:pPr>
            <w:r>
              <w:rPr>
                <w:sz w:val="17"/>
              </w:rPr>
              <w:t>0 violations of (2)</w:t>
            </w:r>
          </w:p>
        </w:tc>
      </w:tr>
      <w:tr w:rsidR="006B50AE" w14:paraId="014533B7" w14:textId="77777777">
        <w:trPr>
          <w:cantSplit/>
        </w:trPr>
        <w:tc>
          <w:tcPr>
            <w:tcW w:w="1800" w:type="dxa"/>
            <w:shd w:val="clear" w:color="auto" w:fill="F7F7F7"/>
            <w:tcMar>
              <w:top w:w="70" w:type="dxa"/>
              <w:left w:w="70" w:type="dxa"/>
              <w:bottom w:w="70" w:type="dxa"/>
              <w:right w:w="70" w:type="dxa"/>
            </w:tcMar>
            <w:vAlign w:val="center"/>
          </w:tcPr>
          <w:p w14:paraId="02CF147D" w14:textId="77777777" w:rsidR="006B50AE" w:rsidRDefault="00000000" w:rsidP="003364D8">
            <w:pPr>
              <w:pStyle w:val="Compact"/>
              <w:spacing w:before="20" w:after="20" w:line="240" w:lineRule="auto"/>
              <w:jc w:val="both"/>
            </w:pPr>
            <w:r>
              <w:rPr>
                <w:sz w:val="17"/>
              </w:rPr>
              <w:t>Proposition 4</w:t>
            </w:r>
          </w:p>
        </w:tc>
        <w:tc>
          <w:tcPr>
            <w:tcW w:w="3600" w:type="dxa"/>
            <w:shd w:val="clear" w:color="auto" w:fill="F7F7F7"/>
            <w:tcMar>
              <w:top w:w="70" w:type="dxa"/>
              <w:left w:w="70" w:type="dxa"/>
              <w:bottom w:w="70" w:type="dxa"/>
              <w:right w:w="70" w:type="dxa"/>
            </w:tcMar>
            <w:vAlign w:val="center"/>
          </w:tcPr>
          <w:p w14:paraId="5D51C2EB" w14:textId="77777777" w:rsidR="006B50AE" w:rsidRDefault="00000000" w:rsidP="003364D8">
            <w:pPr>
              <w:pStyle w:val="Compact"/>
              <w:spacing w:before="20" w:after="20" w:line="240" w:lineRule="auto"/>
              <w:jc w:val="both"/>
            </w:pPr>
            <w:r>
              <w:rPr>
                <w:sz w:val="17"/>
              </w:rPr>
              <w:t>300 random matrices with Perron weighting</w:t>
            </w:r>
          </w:p>
        </w:tc>
        <w:tc>
          <w:tcPr>
            <w:tcW w:w="4392" w:type="dxa"/>
            <w:shd w:val="clear" w:color="auto" w:fill="F7F7F7"/>
            <w:tcMar>
              <w:top w:w="70" w:type="dxa"/>
              <w:left w:w="70" w:type="dxa"/>
              <w:bottom w:w="70" w:type="dxa"/>
              <w:right w:w="70" w:type="dxa"/>
            </w:tcMar>
            <w:vAlign w:val="center"/>
          </w:tcPr>
          <w:p w14:paraId="24AFA477" w14:textId="77777777" w:rsidR="006B50AE" w:rsidRDefault="00000000" w:rsidP="003364D8">
            <w:pPr>
              <w:pStyle w:val="Compact"/>
              <w:spacing w:before="20" w:after="20" w:line="240" w:lineRule="auto"/>
              <w:jc w:val="both"/>
            </w:pPr>
            <w:r>
              <w:rPr>
                <w:sz w:val="17"/>
              </w:rPr>
              <w:t xml:space="preserve">0 violations of (3); weight attains </w:t>
            </w:r>
            <m:oMath>
              <m:r>
                <w:rPr>
                  <w:rFonts w:ascii="Cambria Math" w:hAnsi="Cambria Math"/>
                </w:rPr>
                <m:t>a</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A</m:t>
                  </m:r>
                </m:e>
              </m:d>
            </m:oMath>
          </w:p>
        </w:tc>
      </w:tr>
      <w:tr w:rsidR="006B50AE" w14:paraId="5607A3F6" w14:textId="77777777">
        <w:trPr>
          <w:cantSplit/>
        </w:trPr>
        <w:tc>
          <w:tcPr>
            <w:tcW w:w="1800" w:type="dxa"/>
            <w:shd w:val="clear" w:color="auto" w:fill="FFFFFF"/>
            <w:tcMar>
              <w:top w:w="70" w:type="dxa"/>
              <w:left w:w="70" w:type="dxa"/>
              <w:bottom w:w="70" w:type="dxa"/>
              <w:right w:w="70" w:type="dxa"/>
            </w:tcMar>
            <w:vAlign w:val="center"/>
          </w:tcPr>
          <w:p w14:paraId="56DD95B9" w14:textId="77777777" w:rsidR="006B50AE" w:rsidRDefault="00000000" w:rsidP="003364D8">
            <w:pPr>
              <w:pStyle w:val="Compact"/>
              <w:spacing w:before="20" w:after="20" w:line="240" w:lineRule="auto"/>
              <w:jc w:val="both"/>
            </w:pPr>
            <w:r>
              <w:rPr>
                <w:sz w:val="17"/>
              </w:rPr>
              <w:t>Binding index (4)</w:t>
            </w:r>
          </w:p>
        </w:tc>
        <w:tc>
          <w:tcPr>
            <w:tcW w:w="3600" w:type="dxa"/>
            <w:shd w:val="clear" w:color="auto" w:fill="FFFFFF"/>
            <w:tcMar>
              <w:top w:w="70" w:type="dxa"/>
              <w:left w:w="70" w:type="dxa"/>
              <w:bottom w:w="70" w:type="dxa"/>
              <w:right w:w="70" w:type="dxa"/>
            </w:tcMar>
            <w:vAlign w:val="center"/>
          </w:tcPr>
          <w:p w14:paraId="0DC5B46D" w14:textId="77777777" w:rsidR="006B50AE" w:rsidRDefault="00000000" w:rsidP="003364D8">
            <w:pPr>
              <w:pStyle w:val="Compact"/>
              <w:spacing w:before="20" w:after="20" w:line="240" w:lineRule="auto"/>
              <w:jc w:val="both"/>
            </w:pPr>
            <w:r>
              <w:rPr>
                <w:sz w:val="17"/>
              </w:rPr>
              <w:t>100 random matrices</w:t>
            </w:r>
          </w:p>
        </w:tc>
        <w:tc>
          <w:tcPr>
            <w:tcW w:w="4392" w:type="dxa"/>
            <w:shd w:val="clear" w:color="auto" w:fill="FFFFFF"/>
            <w:tcMar>
              <w:top w:w="70" w:type="dxa"/>
              <w:left w:w="70" w:type="dxa"/>
              <w:bottom w:w="70" w:type="dxa"/>
              <w:right w:w="70" w:type="dxa"/>
            </w:tcMar>
            <w:vAlign w:val="center"/>
          </w:tcPr>
          <w:p w14:paraId="74A76CD9" w14:textId="77777777" w:rsidR="006B50AE" w:rsidRDefault="00000000" w:rsidP="003364D8">
            <w:pPr>
              <w:pStyle w:val="Compact"/>
              <w:spacing w:before="20" w:after="20" w:line="240" w:lineRule="auto"/>
              <w:jc w:val="both"/>
            </w:pPr>
            <w:r>
              <w:rPr>
                <w:sz w:val="17"/>
              </w:rPr>
              <w:t xml:space="preserve">Long-run response equals </w:t>
            </w:r>
            <m:oMath>
              <m:r>
                <w:rPr>
                  <w:rFonts w:ascii="Cambria Math" w:hAnsi="Cambria Math"/>
                </w:rPr>
                <m:t>κ</m:t>
              </m:r>
              <m:d>
                <m:dPr>
                  <m:ctrlPr>
                    <w:rPr>
                      <w:rFonts w:ascii="Cambria Math" w:hAnsi="Cambria Math"/>
                    </w:rPr>
                  </m:ctrlPr>
                </m:dPr>
                <m:e>
                  <m:r>
                    <w:rPr>
                      <w:rFonts w:ascii="Cambria Math" w:hAnsi="Cambria Math"/>
                    </w:rPr>
                    <m:t>A</m:t>
                  </m:r>
                </m:e>
              </m:d>
            </m:oMath>
            <w:r>
              <w:rPr>
                <w:sz w:val="17"/>
              </w:rPr>
              <w:t xml:space="preserve"> to 1.08 × 10⁻¹⁵</w:t>
            </w:r>
          </w:p>
        </w:tc>
      </w:tr>
      <w:tr w:rsidR="006B50AE" w14:paraId="707F2AD1" w14:textId="77777777">
        <w:trPr>
          <w:cantSplit/>
        </w:trPr>
        <w:tc>
          <w:tcPr>
            <w:tcW w:w="1800" w:type="dxa"/>
            <w:shd w:val="clear" w:color="auto" w:fill="F7F7F7"/>
            <w:tcMar>
              <w:top w:w="70" w:type="dxa"/>
              <w:left w:w="70" w:type="dxa"/>
              <w:bottom w:w="70" w:type="dxa"/>
              <w:right w:w="70" w:type="dxa"/>
            </w:tcMar>
            <w:vAlign w:val="center"/>
          </w:tcPr>
          <w:p w14:paraId="7E29FA31" w14:textId="77777777" w:rsidR="006B50AE" w:rsidRDefault="00000000" w:rsidP="003364D8">
            <w:pPr>
              <w:pStyle w:val="Compact"/>
              <w:spacing w:before="20" w:after="20" w:line="240" w:lineRule="auto"/>
              <w:jc w:val="both"/>
            </w:pPr>
            <w:r>
              <w:rPr>
                <w:sz w:val="17"/>
              </w:rPr>
              <w:t>Example (5)</w:t>
            </w:r>
          </w:p>
        </w:tc>
        <w:tc>
          <w:tcPr>
            <w:tcW w:w="3600" w:type="dxa"/>
            <w:shd w:val="clear" w:color="auto" w:fill="F7F7F7"/>
            <w:tcMar>
              <w:top w:w="70" w:type="dxa"/>
              <w:left w:w="70" w:type="dxa"/>
              <w:bottom w:w="70" w:type="dxa"/>
              <w:right w:w="70" w:type="dxa"/>
            </w:tcMar>
            <w:vAlign w:val="center"/>
          </w:tcPr>
          <w:p w14:paraId="2B70243C" w14:textId="77777777" w:rsidR="006B50AE" w:rsidRDefault="00000000" w:rsidP="003364D8">
            <w:pPr>
              <w:pStyle w:val="Compact"/>
              <w:spacing w:before="20" w:after="20" w:line="240" w:lineRule="auto"/>
              <w:jc w:val="both"/>
            </w:pPr>
            <w:r>
              <w:rPr>
                <w:sz w:val="17"/>
              </w:rPr>
              <w:t>Shared broker</w:t>
            </w:r>
          </w:p>
        </w:tc>
        <w:tc>
          <w:tcPr>
            <w:tcW w:w="4392" w:type="dxa"/>
            <w:shd w:val="clear" w:color="auto" w:fill="F7F7F7"/>
            <w:tcMar>
              <w:top w:w="70" w:type="dxa"/>
              <w:left w:w="70" w:type="dxa"/>
              <w:bottom w:w="70" w:type="dxa"/>
              <w:right w:w="70" w:type="dxa"/>
            </w:tcMar>
            <w:vAlign w:val="center"/>
          </w:tcPr>
          <w:p w14:paraId="082AE426" w14:textId="77777777" w:rsidR="006B50AE" w:rsidRDefault="00000000" w:rsidP="003364D8">
            <w:pPr>
              <w:pStyle w:val="Compact"/>
              <w:spacing w:before="20" w:after="20" w:line="240" w:lineRule="auto"/>
              <w:jc w:val="both"/>
            </w:pPr>
            <m:oMath>
              <m:r>
                <w:rPr>
                  <w:rFonts w:ascii="Cambria Math" w:hAnsi="Cambria Math"/>
                </w:rPr>
                <m:t>ρ</m:t>
              </m:r>
            </m:oMath>
            <w:r>
              <w:rPr>
                <w:sz w:val="17"/>
              </w:rPr>
              <w:t xml:space="preserve"> = 0.4899, </w:t>
            </w:r>
            <m:oMath>
              <m:r>
                <w:rPr>
                  <w:rFonts w:ascii="Cambria Math" w:hAnsi="Cambria Math"/>
                </w:rPr>
                <m:t>κ</m:t>
              </m:r>
            </m:oMath>
            <w:r>
              <w:rPr>
                <w:sz w:val="17"/>
              </w:rPr>
              <w:t xml:space="preserve"> = 2.8947, as in closed form</w:t>
            </w:r>
          </w:p>
        </w:tc>
      </w:tr>
      <w:tr w:rsidR="006B50AE" w14:paraId="24421628" w14:textId="77777777">
        <w:trPr>
          <w:cantSplit/>
        </w:trPr>
        <w:tc>
          <w:tcPr>
            <w:tcW w:w="1800" w:type="dxa"/>
            <w:shd w:val="clear" w:color="auto" w:fill="FFFFFF"/>
            <w:tcMar>
              <w:top w:w="70" w:type="dxa"/>
              <w:left w:w="70" w:type="dxa"/>
              <w:bottom w:w="70" w:type="dxa"/>
              <w:right w:w="70" w:type="dxa"/>
            </w:tcMar>
            <w:vAlign w:val="center"/>
          </w:tcPr>
          <w:p w14:paraId="599A89C9" w14:textId="77777777" w:rsidR="006B50AE" w:rsidRDefault="00000000" w:rsidP="003364D8">
            <w:pPr>
              <w:pStyle w:val="Compact"/>
              <w:spacing w:before="20" w:after="20" w:line="240" w:lineRule="auto"/>
              <w:jc w:val="both"/>
            </w:pPr>
            <w:r>
              <w:rPr>
                <w:sz w:val="17"/>
              </w:rPr>
              <w:t>Proposition 5</w:t>
            </w:r>
          </w:p>
        </w:tc>
        <w:tc>
          <w:tcPr>
            <w:tcW w:w="3600" w:type="dxa"/>
            <w:shd w:val="clear" w:color="auto" w:fill="FFFFFF"/>
            <w:tcMar>
              <w:top w:w="70" w:type="dxa"/>
              <w:left w:w="70" w:type="dxa"/>
              <w:bottom w:w="70" w:type="dxa"/>
              <w:right w:w="70" w:type="dxa"/>
            </w:tcMar>
            <w:vAlign w:val="center"/>
          </w:tcPr>
          <w:p w14:paraId="18A4D996" w14:textId="77777777" w:rsidR="006B50AE" w:rsidRDefault="00000000" w:rsidP="003364D8">
            <w:pPr>
              <w:pStyle w:val="Compact"/>
              <w:spacing w:before="20" w:after="20" w:line="240" w:lineRule="auto"/>
              <w:jc w:val="both"/>
            </w:pPr>
            <w:r>
              <w:rPr>
                <w:sz w:val="17"/>
              </w:rPr>
              <w:t xml:space="preserve">300 random pairs </w:t>
            </w:r>
            <m:oMath>
              <m:r>
                <w:rPr>
                  <w:rFonts w:ascii="Cambria Math" w:hAnsi="Cambria Math"/>
                </w:rPr>
                <m:t>A</m:t>
              </m:r>
              <m:r>
                <m:rPr>
                  <m:sty m:val="p"/>
                </m:rPr>
                <w:rPr>
                  <w:rFonts w:ascii="Cambria Math" w:hAnsi="Cambria Math"/>
                </w:rPr>
                <m:t>'≤</m:t>
              </m:r>
              <m:r>
                <w:rPr>
                  <w:rFonts w:ascii="Cambria Math" w:hAnsi="Cambria Math"/>
                </w:rPr>
                <m:t>A</m:t>
              </m:r>
            </m:oMath>
          </w:p>
        </w:tc>
        <w:tc>
          <w:tcPr>
            <w:tcW w:w="4392" w:type="dxa"/>
            <w:shd w:val="clear" w:color="auto" w:fill="FFFFFF"/>
            <w:tcMar>
              <w:top w:w="70" w:type="dxa"/>
              <w:left w:w="70" w:type="dxa"/>
              <w:bottom w:w="70" w:type="dxa"/>
              <w:right w:w="70" w:type="dxa"/>
            </w:tcMar>
            <w:vAlign w:val="center"/>
          </w:tcPr>
          <w:p w14:paraId="073C02BF" w14:textId="77777777" w:rsidR="006B50AE" w:rsidRDefault="00000000" w:rsidP="003364D8">
            <w:pPr>
              <w:pStyle w:val="Compact"/>
              <w:spacing w:before="20" w:after="20" w:line="240" w:lineRule="auto"/>
              <w:jc w:val="both"/>
            </w:pPr>
            <w:r>
              <w:rPr>
                <w:sz w:val="17"/>
              </w:rPr>
              <w:t>0 violations</w:t>
            </w:r>
          </w:p>
        </w:tc>
      </w:tr>
      <w:tr w:rsidR="006B50AE" w14:paraId="45760BE1" w14:textId="77777777">
        <w:trPr>
          <w:cantSplit/>
        </w:trPr>
        <w:tc>
          <w:tcPr>
            <w:tcW w:w="1800" w:type="dxa"/>
            <w:shd w:val="clear" w:color="auto" w:fill="F7F7F7"/>
            <w:tcMar>
              <w:top w:w="70" w:type="dxa"/>
              <w:left w:w="70" w:type="dxa"/>
              <w:bottom w:w="70" w:type="dxa"/>
              <w:right w:w="70" w:type="dxa"/>
            </w:tcMar>
            <w:vAlign w:val="center"/>
          </w:tcPr>
          <w:p w14:paraId="1658BBEC" w14:textId="77777777" w:rsidR="006B50AE" w:rsidRDefault="00000000" w:rsidP="003364D8">
            <w:pPr>
              <w:pStyle w:val="Compact"/>
              <w:spacing w:before="20" w:after="20" w:line="240" w:lineRule="auto"/>
              <w:jc w:val="both"/>
            </w:pPr>
            <w:r>
              <w:rPr>
                <w:sz w:val="17"/>
              </w:rPr>
              <w:t>Extraction</w:t>
            </w:r>
          </w:p>
        </w:tc>
        <w:tc>
          <w:tcPr>
            <w:tcW w:w="3600" w:type="dxa"/>
            <w:shd w:val="clear" w:color="auto" w:fill="F7F7F7"/>
            <w:tcMar>
              <w:top w:w="70" w:type="dxa"/>
              <w:left w:w="70" w:type="dxa"/>
              <w:bottom w:w="70" w:type="dxa"/>
              <w:right w:w="70" w:type="dxa"/>
            </w:tcMar>
            <w:vAlign w:val="center"/>
          </w:tcPr>
          <w:p w14:paraId="652E19D5" w14:textId="77777777" w:rsidR="006B50AE" w:rsidRDefault="00000000" w:rsidP="003364D8">
            <w:pPr>
              <w:pStyle w:val="Compact"/>
              <w:spacing w:before="20" w:after="20" w:line="240" w:lineRule="auto"/>
              <w:jc w:val="both"/>
            </w:pPr>
            <w:r>
              <w:rPr>
                <w:sz w:val="17"/>
              </w:rPr>
              <w:t>Monolith against broker split</w:t>
            </w:r>
          </w:p>
        </w:tc>
        <w:tc>
          <w:tcPr>
            <w:tcW w:w="4392" w:type="dxa"/>
            <w:shd w:val="clear" w:color="auto" w:fill="F7F7F7"/>
            <w:tcMar>
              <w:top w:w="70" w:type="dxa"/>
              <w:left w:w="70" w:type="dxa"/>
              <w:bottom w:w="70" w:type="dxa"/>
              <w:right w:w="70" w:type="dxa"/>
            </w:tcMar>
            <w:vAlign w:val="center"/>
          </w:tcPr>
          <w:p w14:paraId="34A1FD10" w14:textId="77777777" w:rsidR="006B50AE" w:rsidRDefault="00000000" w:rsidP="003364D8">
            <w:pPr>
              <w:pStyle w:val="Compact"/>
              <w:spacing w:before="20" w:after="20" w:line="240" w:lineRule="auto"/>
              <w:jc w:val="both"/>
            </w:pPr>
            <m:oMath>
              <m:r>
                <w:rPr>
                  <w:rFonts w:ascii="Cambria Math" w:hAnsi="Cambria Math"/>
                </w:rPr>
                <m:t>κ</m:t>
              </m:r>
            </m:oMath>
            <w:r>
              <w:rPr>
                <w:sz w:val="17"/>
              </w:rPr>
              <w:t xml:space="preserve"> rises from 2.50 to 3.21</w:t>
            </w:r>
          </w:p>
        </w:tc>
      </w:tr>
      <w:tr w:rsidR="006B50AE" w14:paraId="7F43A257" w14:textId="77777777">
        <w:trPr>
          <w:cantSplit/>
        </w:trPr>
        <w:tc>
          <w:tcPr>
            <w:tcW w:w="1800" w:type="dxa"/>
            <w:shd w:val="clear" w:color="auto" w:fill="FFFFFF"/>
            <w:tcMar>
              <w:top w:w="70" w:type="dxa"/>
              <w:left w:w="70" w:type="dxa"/>
              <w:bottom w:w="70" w:type="dxa"/>
              <w:right w:w="70" w:type="dxa"/>
            </w:tcMar>
            <w:vAlign w:val="center"/>
          </w:tcPr>
          <w:p w14:paraId="5CB29200" w14:textId="77777777" w:rsidR="006B50AE" w:rsidRDefault="00000000" w:rsidP="003364D8">
            <w:pPr>
              <w:pStyle w:val="Compact"/>
              <w:spacing w:before="20" w:after="20" w:line="240" w:lineRule="auto"/>
              <w:jc w:val="both"/>
            </w:pPr>
            <w:r>
              <w:rPr>
                <w:sz w:val="17"/>
              </w:rPr>
              <w:t>Proposition 6</w:t>
            </w:r>
          </w:p>
        </w:tc>
        <w:tc>
          <w:tcPr>
            <w:tcW w:w="3600" w:type="dxa"/>
            <w:shd w:val="clear" w:color="auto" w:fill="FFFFFF"/>
            <w:tcMar>
              <w:top w:w="70" w:type="dxa"/>
              <w:left w:w="70" w:type="dxa"/>
              <w:bottom w:w="70" w:type="dxa"/>
              <w:right w:w="70" w:type="dxa"/>
            </w:tcMar>
            <w:vAlign w:val="center"/>
          </w:tcPr>
          <w:p w14:paraId="4997ECFB" w14:textId="77777777" w:rsidR="006B50AE" w:rsidRDefault="00000000" w:rsidP="003364D8">
            <w:pPr>
              <w:pStyle w:val="Compact"/>
              <w:spacing w:before="20" w:after="20" w:line="240" w:lineRule="auto"/>
              <w:jc w:val="both"/>
            </w:pPr>
            <w:r>
              <w:rPr>
                <w:sz w:val="17"/>
              </w:rPr>
              <w:t>Recursive call-chain simulation, depth 1–5</w:t>
            </w:r>
          </w:p>
        </w:tc>
        <w:tc>
          <w:tcPr>
            <w:tcW w:w="4392" w:type="dxa"/>
            <w:shd w:val="clear" w:color="auto" w:fill="FFFFFF"/>
            <w:tcMar>
              <w:top w:w="70" w:type="dxa"/>
              <w:left w:w="70" w:type="dxa"/>
              <w:bottom w:w="70" w:type="dxa"/>
              <w:right w:w="70" w:type="dxa"/>
            </w:tcMar>
            <w:vAlign w:val="center"/>
          </w:tcPr>
          <w:p w14:paraId="646B30FF" w14:textId="77777777" w:rsidR="006B50AE" w:rsidRDefault="00000000" w:rsidP="003364D8">
            <w:pPr>
              <w:pStyle w:val="Compact"/>
              <w:spacing w:before="20" w:after="20" w:line="240" w:lineRule="auto"/>
              <w:jc w:val="both"/>
            </w:pPr>
            <w:r>
              <w:rPr>
                <w:sz w:val="17"/>
              </w:rPr>
              <w:t xml:space="preserve">Exactly </w:t>
            </w:r>
            <m:oMath>
              <m:sSup>
                <m:sSupPr>
                  <m:ctrlPr>
                    <w:rPr>
                      <w:rFonts w:ascii="Cambria Math" w:hAnsi="Cambria Math"/>
                    </w:rPr>
                  </m:ctrlPr>
                </m:sSupPr>
                <m:e>
                  <m:r>
                    <w:rPr>
                      <w:rFonts w:ascii="Cambria Math" w:hAnsi="Cambria Math"/>
                    </w:rPr>
                    <m:t>4</m:t>
                  </m:r>
                </m:e>
                <m:sup>
                  <m:r>
                    <w:rPr>
                      <w:rFonts w:ascii="Cambria Math" w:hAnsi="Cambria Math"/>
                    </w:rPr>
                    <m:t>d</m:t>
                  </m:r>
                </m:sup>
              </m:sSup>
              <m:r>
                <m:rPr>
                  <m:nor/>
                </m:rPr>
                <m:t>;</m:t>
              </m:r>
            </m:oMath>
            <w:r>
              <w:rPr>
                <w:sz w:val="17"/>
              </w:rPr>
              <w:t xml:space="preserve"> 64 at depth 3; budget at most </w:t>
            </w:r>
            <m:oMath>
              <m:sSup>
                <m:sSupPr>
                  <m:ctrlPr>
                    <w:rPr>
                      <w:rFonts w:ascii="Cambria Math" w:hAnsi="Cambria Math"/>
                    </w:rPr>
                  </m:ctrlPr>
                </m:sSupPr>
                <m:e>
                  <m:r>
                    <w:rPr>
                      <w:rFonts w:ascii="Cambria Math" w:hAnsi="Cambria Math"/>
                    </w:rPr>
                    <m:t>1.1</m:t>
                  </m:r>
                </m:e>
                <m:sup>
                  <m:r>
                    <w:rPr>
                      <w:rFonts w:ascii="Cambria Math" w:hAnsi="Cambria Math"/>
                    </w:rPr>
                    <m:t>d</m:t>
                  </m:r>
                </m:sup>
              </m:sSup>
            </m:oMath>
          </w:p>
        </w:tc>
      </w:tr>
      <w:tr w:rsidR="006B50AE" w14:paraId="7BEA5EDD" w14:textId="77777777">
        <w:trPr>
          <w:cantSplit/>
        </w:trPr>
        <w:tc>
          <w:tcPr>
            <w:tcW w:w="1800" w:type="dxa"/>
            <w:shd w:val="clear" w:color="auto" w:fill="F7F7F7"/>
            <w:tcMar>
              <w:top w:w="70" w:type="dxa"/>
              <w:left w:w="70" w:type="dxa"/>
              <w:bottom w:w="70" w:type="dxa"/>
              <w:right w:w="70" w:type="dxa"/>
            </w:tcMar>
            <w:vAlign w:val="center"/>
          </w:tcPr>
          <w:p w14:paraId="60B7DF89" w14:textId="77777777" w:rsidR="006B50AE" w:rsidRDefault="00000000" w:rsidP="003364D8">
            <w:pPr>
              <w:pStyle w:val="Compact"/>
              <w:spacing w:before="20" w:after="20" w:line="240" w:lineRule="auto"/>
              <w:jc w:val="both"/>
            </w:pPr>
            <w:r>
              <w:rPr>
                <w:sz w:val="17"/>
              </w:rPr>
              <w:t>Proposition 2</w:t>
            </w:r>
          </w:p>
        </w:tc>
        <w:tc>
          <w:tcPr>
            <w:tcW w:w="3600" w:type="dxa"/>
            <w:shd w:val="clear" w:color="auto" w:fill="F7F7F7"/>
            <w:tcMar>
              <w:top w:w="70" w:type="dxa"/>
              <w:left w:w="70" w:type="dxa"/>
              <w:bottom w:w="70" w:type="dxa"/>
              <w:right w:w="70" w:type="dxa"/>
            </w:tcMar>
            <w:vAlign w:val="center"/>
          </w:tcPr>
          <w:p w14:paraId="09077565" w14:textId="77777777" w:rsidR="006B50AE" w:rsidRDefault="00000000" w:rsidP="003364D8">
            <w:pPr>
              <w:pStyle w:val="Compact"/>
              <w:spacing w:before="20" w:after="20" w:line="240" w:lineRule="auto"/>
              <w:jc w:val="both"/>
            </w:pPr>
            <w:r>
              <w:rPr>
                <w:sz w:val="17"/>
              </w:rPr>
              <w:t>200 scripts, 60,000 transitions</w:t>
            </w:r>
          </w:p>
        </w:tc>
        <w:tc>
          <w:tcPr>
            <w:tcW w:w="4392" w:type="dxa"/>
            <w:shd w:val="clear" w:color="auto" w:fill="F7F7F7"/>
            <w:tcMar>
              <w:top w:w="70" w:type="dxa"/>
              <w:left w:w="70" w:type="dxa"/>
              <w:bottom w:w="70" w:type="dxa"/>
              <w:right w:w="70" w:type="dxa"/>
            </w:tcMar>
            <w:vAlign w:val="center"/>
          </w:tcPr>
          <w:p w14:paraId="7E2F695F" w14:textId="77777777" w:rsidR="006B50AE" w:rsidRDefault="00000000" w:rsidP="003364D8">
            <w:pPr>
              <w:pStyle w:val="Compact"/>
              <w:spacing w:before="20" w:after="20" w:line="240" w:lineRule="auto"/>
              <w:jc w:val="both"/>
            </w:pPr>
            <w:r>
              <w:rPr>
                <w:sz w:val="17"/>
              </w:rPr>
              <w:t>0 violations of (8)</w:t>
            </w:r>
          </w:p>
        </w:tc>
      </w:tr>
      <w:tr w:rsidR="006B50AE" w14:paraId="4811782C" w14:textId="77777777">
        <w:trPr>
          <w:cantSplit/>
        </w:trPr>
        <w:tc>
          <w:tcPr>
            <w:tcW w:w="1800" w:type="dxa"/>
            <w:shd w:val="clear" w:color="auto" w:fill="FFFFFF"/>
            <w:tcMar>
              <w:top w:w="70" w:type="dxa"/>
              <w:left w:w="70" w:type="dxa"/>
              <w:bottom w:w="70" w:type="dxa"/>
              <w:right w:w="70" w:type="dxa"/>
            </w:tcMar>
            <w:vAlign w:val="center"/>
          </w:tcPr>
          <w:p w14:paraId="69464024" w14:textId="77777777" w:rsidR="006B50AE" w:rsidRDefault="00000000" w:rsidP="003364D8">
            <w:pPr>
              <w:pStyle w:val="Compact"/>
              <w:spacing w:before="20" w:after="20" w:line="240" w:lineRule="auto"/>
              <w:jc w:val="both"/>
            </w:pPr>
            <w:r>
              <w:rPr>
                <w:sz w:val="17"/>
              </w:rPr>
              <w:t>Race</w:t>
            </w:r>
          </w:p>
        </w:tc>
        <w:tc>
          <w:tcPr>
            <w:tcW w:w="3600" w:type="dxa"/>
            <w:shd w:val="clear" w:color="auto" w:fill="FFFFFF"/>
            <w:tcMar>
              <w:top w:w="70" w:type="dxa"/>
              <w:left w:w="70" w:type="dxa"/>
              <w:bottom w:w="70" w:type="dxa"/>
              <w:right w:w="70" w:type="dxa"/>
            </w:tcMar>
            <w:vAlign w:val="center"/>
          </w:tcPr>
          <w:p w14:paraId="471788A8" w14:textId="77777777" w:rsidR="006B50AE" w:rsidRDefault="00000000" w:rsidP="003364D8">
            <w:pPr>
              <w:pStyle w:val="Compact"/>
              <w:spacing w:before="20" w:after="20" w:line="240" w:lineRule="auto"/>
              <w:jc w:val="both"/>
            </w:pPr>
            <w:r>
              <w:rPr>
                <w:sz w:val="17"/>
              </w:rPr>
              <w:t>1–16 concurrent check-then-spend agents</w:t>
            </w:r>
          </w:p>
        </w:tc>
        <w:tc>
          <w:tcPr>
            <w:tcW w:w="4392" w:type="dxa"/>
            <w:shd w:val="clear" w:color="auto" w:fill="FFFFFF"/>
            <w:tcMar>
              <w:top w:w="70" w:type="dxa"/>
              <w:left w:w="70" w:type="dxa"/>
              <w:bottom w:w="70" w:type="dxa"/>
              <w:right w:w="70" w:type="dxa"/>
            </w:tcMar>
            <w:vAlign w:val="center"/>
          </w:tcPr>
          <w:p w14:paraId="6CE27E3A" w14:textId="77777777" w:rsidR="006B50AE" w:rsidRDefault="00000000" w:rsidP="003364D8">
            <w:pPr>
              <w:pStyle w:val="Compact"/>
              <w:spacing w:before="20" w:after="20" w:line="240" w:lineRule="auto"/>
              <w:jc w:val="both"/>
            </w:pPr>
            <w:r>
              <w:rPr>
                <w:sz w:val="17"/>
              </w:rPr>
              <w:t xml:space="preserve">Overspend exactly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c</m:t>
              </m:r>
            </m:oMath>
          </w:p>
        </w:tc>
      </w:tr>
      <w:tr w:rsidR="006B50AE" w14:paraId="6C2A4179" w14:textId="77777777">
        <w:trPr>
          <w:cantSplit/>
        </w:trPr>
        <w:tc>
          <w:tcPr>
            <w:tcW w:w="1800" w:type="dxa"/>
            <w:shd w:val="clear" w:color="auto" w:fill="F7F7F7"/>
            <w:tcMar>
              <w:top w:w="70" w:type="dxa"/>
              <w:left w:w="70" w:type="dxa"/>
              <w:bottom w:w="70" w:type="dxa"/>
              <w:right w:w="70" w:type="dxa"/>
            </w:tcMar>
            <w:vAlign w:val="center"/>
          </w:tcPr>
          <w:p w14:paraId="613C089F" w14:textId="77777777" w:rsidR="006B50AE" w:rsidRDefault="00000000" w:rsidP="003364D8">
            <w:pPr>
              <w:pStyle w:val="Compact"/>
              <w:spacing w:before="20" w:after="20" w:line="240" w:lineRule="auto"/>
              <w:jc w:val="both"/>
            </w:pPr>
            <w:r>
              <w:rPr>
                <w:sz w:val="17"/>
              </w:rPr>
              <w:t>Proposition 7</w:t>
            </w:r>
          </w:p>
        </w:tc>
        <w:tc>
          <w:tcPr>
            <w:tcW w:w="3600" w:type="dxa"/>
            <w:shd w:val="clear" w:color="auto" w:fill="F7F7F7"/>
            <w:tcMar>
              <w:top w:w="70" w:type="dxa"/>
              <w:left w:w="70" w:type="dxa"/>
              <w:bottom w:w="70" w:type="dxa"/>
              <w:right w:w="70" w:type="dxa"/>
            </w:tcMar>
            <w:vAlign w:val="center"/>
          </w:tcPr>
          <w:p w14:paraId="5723B764" w14:textId="77777777" w:rsidR="006B50AE" w:rsidRDefault="00000000" w:rsidP="003364D8">
            <w:pPr>
              <w:pStyle w:val="Compact"/>
              <w:spacing w:before="20" w:after="20" w:line="240" w:lineRule="auto"/>
              <w:jc w:val="both"/>
            </w:pPr>
            <w:r>
              <w:rPr>
                <w:sz w:val="17"/>
              </w:rPr>
              <w:t>300 trees, 60,000 requests</w:t>
            </w:r>
          </w:p>
        </w:tc>
        <w:tc>
          <w:tcPr>
            <w:tcW w:w="4392" w:type="dxa"/>
            <w:shd w:val="clear" w:color="auto" w:fill="F7F7F7"/>
            <w:tcMar>
              <w:top w:w="70" w:type="dxa"/>
              <w:left w:w="70" w:type="dxa"/>
              <w:bottom w:w="70" w:type="dxa"/>
              <w:right w:w="70" w:type="dxa"/>
            </w:tcMar>
            <w:vAlign w:val="center"/>
          </w:tcPr>
          <w:p w14:paraId="103F6C4B" w14:textId="77777777" w:rsidR="006B50AE" w:rsidRDefault="00000000" w:rsidP="003364D8">
            <w:pPr>
              <w:pStyle w:val="Compact"/>
              <w:spacing w:before="20" w:after="20" w:line="240" w:lineRule="auto"/>
              <w:jc w:val="both"/>
            </w:pPr>
            <w:r>
              <w:rPr>
                <w:sz w:val="17"/>
              </w:rPr>
              <w:t>0 violations; 35,087 under ambient authority</w:t>
            </w:r>
          </w:p>
        </w:tc>
      </w:tr>
      <w:tr w:rsidR="006B50AE" w14:paraId="4CB0B3D6" w14:textId="77777777">
        <w:trPr>
          <w:cantSplit/>
        </w:trPr>
        <w:tc>
          <w:tcPr>
            <w:tcW w:w="1800" w:type="dxa"/>
            <w:shd w:val="clear" w:color="auto" w:fill="FFFFFF"/>
            <w:tcMar>
              <w:top w:w="70" w:type="dxa"/>
              <w:left w:w="70" w:type="dxa"/>
              <w:bottom w:w="70" w:type="dxa"/>
              <w:right w:w="70" w:type="dxa"/>
            </w:tcMar>
            <w:vAlign w:val="center"/>
          </w:tcPr>
          <w:p w14:paraId="2C1EC30F" w14:textId="77777777" w:rsidR="006B50AE" w:rsidRDefault="00000000" w:rsidP="003364D8">
            <w:pPr>
              <w:pStyle w:val="Compact"/>
              <w:spacing w:before="20" w:after="20" w:line="240" w:lineRule="auto"/>
              <w:jc w:val="both"/>
            </w:pPr>
            <w:r>
              <w:rPr>
                <w:sz w:val="17"/>
              </w:rPr>
              <w:t>Propositions 3, 7</w:t>
            </w:r>
          </w:p>
        </w:tc>
        <w:tc>
          <w:tcPr>
            <w:tcW w:w="3600" w:type="dxa"/>
            <w:shd w:val="clear" w:color="auto" w:fill="FFFFFF"/>
            <w:tcMar>
              <w:top w:w="70" w:type="dxa"/>
              <w:left w:w="70" w:type="dxa"/>
              <w:bottom w:w="70" w:type="dxa"/>
              <w:right w:w="70" w:type="dxa"/>
            </w:tcMar>
            <w:vAlign w:val="center"/>
          </w:tcPr>
          <w:p w14:paraId="332DD2EB" w14:textId="77777777" w:rsidR="006B50AE" w:rsidRDefault="00000000" w:rsidP="003364D8">
            <w:pPr>
              <w:pStyle w:val="Compact"/>
              <w:spacing w:before="20" w:after="20" w:line="240" w:lineRule="auto"/>
              <w:jc w:val="both"/>
            </w:pPr>
            <w:r>
              <w:rPr>
                <w:sz w:val="17"/>
              </w:rPr>
              <w:t>300 delegation trees with clock lag</w:t>
            </w:r>
          </w:p>
        </w:tc>
        <w:tc>
          <w:tcPr>
            <w:tcW w:w="4392" w:type="dxa"/>
            <w:shd w:val="clear" w:color="auto" w:fill="FFFFFF"/>
            <w:tcMar>
              <w:top w:w="70" w:type="dxa"/>
              <w:left w:w="70" w:type="dxa"/>
              <w:bottom w:w="70" w:type="dxa"/>
              <w:right w:w="70" w:type="dxa"/>
            </w:tcMar>
            <w:vAlign w:val="center"/>
          </w:tcPr>
          <w:p w14:paraId="00014B41" w14:textId="77777777" w:rsidR="006B50AE" w:rsidRDefault="00000000" w:rsidP="003364D8">
            <w:pPr>
              <w:pStyle w:val="Compact"/>
              <w:spacing w:before="20" w:after="20" w:line="240" w:lineRule="auto"/>
              <w:jc w:val="both"/>
            </w:pPr>
            <w:r>
              <w:rPr>
                <w:sz w:val="17"/>
              </w:rPr>
              <w:t>0 effects after (9)</w:t>
            </w:r>
          </w:p>
        </w:tc>
      </w:tr>
      <w:tr w:rsidR="006B50AE" w14:paraId="0619E8B4" w14:textId="77777777">
        <w:trPr>
          <w:cantSplit/>
        </w:trPr>
        <w:tc>
          <w:tcPr>
            <w:tcW w:w="1800" w:type="dxa"/>
            <w:shd w:val="clear" w:color="auto" w:fill="F7F7F7"/>
            <w:tcMar>
              <w:top w:w="70" w:type="dxa"/>
              <w:left w:w="70" w:type="dxa"/>
              <w:bottom w:w="70" w:type="dxa"/>
              <w:right w:w="70" w:type="dxa"/>
            </w:tcMar>
            <w:vAlign w:val="center"/>
          </w:tcPr>
          <w:p w14:paraId="31EFED90" w14:textId="77777777" w:rsidR="006B50AE" w:rsidRDefault="00000000" w:rsidP="003364D8">
            <w:pPr>
              <w:pStyle w:val="Compact"/>
              <w:spacing w:before="20" w:after="20" w:line="240" w:lineRule="auto"/>
              <w:jc w:val="both"/>
            </w:pPr>
            <w:r>
              <w:rPr>
                <w:sz w:val="17"/>
              </w:rPr>
              <w:t>Proposition 8</w:t>
            </w:r>
          </w:p>
        </w:tc>
        <w:tc>
          <w:tcPr>
            <w:tcW w:w="3600" w:type="dxa"/>
            <w:shd w:val="clear" w:color="auto" w:fill="F7F7F7"/>
            <w:tcMar>
              <w:top w:w="70" w:type="dxa"/>
              <w:left w:w="70" w:type="dxa"/>
              <w:bottom w:w="70" w:type="dxa"/>
              <w:right w:w="70" w:type="dxa"/>
            </w:tcMar>
            <w:vAlign w:val="center"/>
          </w:tcPr>
          <w:p w14:paraId="5C798653" w14:textId="77777777" w:rsidR="006B50AE" w:rsidRDefault="00000000" w:rsidP="003364D8">
            <w:pPr>
              <w:pStyle w:val="Compact"/>
              <w:spacing w:before="20" w:after="20" w:line="240" w:lineRule="auto"/>
              <w:jc w:val="both"/>
            </w:pPr>
            <w:r>
              <w:rPr>
                <w:sz w:val="17"/>
              </w:rPr>
              <w:t>300 runs with overrun</w:t>
            </w:r>
          </w:p>
        </w:tc>
        <w:tc>
          <w:tcPr>
            <w:tcW w:w="4392" w:type="dxa"/>
            <w:shd w:val="clear" w:color="auto" w:fill="F7F7F7"/>
            <w:tcMar>
              <w:top w:w="70" w:type="dxa"/>
              <w:left w:w="70" w:type="dxa"/>
              <w:bottom w:w="70" w:type="dxa"/>
              <w:right w:w="70" w:type="dxa"/>
            </w:tcMar>
            <w:vAlign w:val="center"/>
          </w:tcPr>
          <w:p w14:paraId="3D231643" w14:textId="77777777" w:rsidR="006B50AE" w:rsidRDefault="00000000" w:rsidP="003364D8">
            <w:pPr>
              <w:pStyle w:val="Compact"/>
              <w:spacing w:before="20" w:after="20" w:line="240" w:lineRule="auto"/>
              <w:jc w:val="both"/>
            </w:pPr>
            <w:r>
              <w:rPr>
                <w:sz w:val="17"/>
              </w:rPr>
              <w:t xml:space="preserve">0 violations of (10); excess up to 0.89 of </w:t>
            </w:r>
            <m:oMath>
              <m:r>
                <w:rPr>
                  <w:rFonts w:ascii="Cambria Math" w:hAnsi="Cambria Math"/>
                </w:rPr>
                <m:t>kω</m:t>
              </m:r>
            </m:oMath>
          </w:p>
        </w:tc>
      </w:tr>
      <w:tr w:rsidR="006B50AE" w14:paraId="72DFA95A" w14:textId="77777777">
        <w:trPr>
          <w:cantSplit/>
        </w:trPr>
        <w:tc>
          <w:tcPr>
            <w:tcW w:w="1800" w:type="dxa"/>
            <w:shd w:val="clear" w:color="auto" w:fill="FFFFFF"/>
            <w:tcMar>
              <w:top w:w="70" w:type="dxa"/>
              <w:left w:w="70" w:type="dxa"/>
              <w:bottom w:w="70" w:type="dxa"/>
              <w:right w:w="70" w:type="dxa"/>
            </w:tcMar>
            <w:vAlign w:val="center"/>
          </w:tcPr>
          <w:p w14:paraId="2B00E522" w14:textId="77777777" w:rsidR="006B50AE" w:rsidRDefault="00000000" w:rsidP="003364D8">
            <w:pPr>
              <w:pStyle w:val="Compact"/>
              <w:spacing w:before="20" w:after="20" w:line="240" w:lineRule="auto"/>
              <w:jc w:val="both"/>
            </w:pPr>
            <w:r>
              <w:rPr>
                <w:sz w:val="17"/>
              </w:rPr>
              <w:t>Proposition 9</w:t>
            </w:r>
          </w:p>
        </w:tc>
        <w:tc>
          <w:tcPr>
            <w:tcW w:w="3600" w:type="dxa"/>
            <w:shd w:val="clear" w:color="auto" w:fill="FFFFFF"/>
            <w:tcMar>
              <w:top w:w="70" w:type="dxa"/>
              <w:left w:w="70" w:type="dxa"/>
              <w:bottom w:w="70" w:type="dxa"/>
              <w:right w:w="70" w:type="dxa"/>
            </w:tcMar>
            <w:vAlign w:val="center"/>
          </w:tcPr>
          <w:p w14:paraId="5C63157A" w14:textId="77777777" w:rsidR="006B50AE" w:rsidRDefault="00000000" w:rsidP="003364D8">
            <w:pPr>
              <w:pStyle w:val="Compact"/>
              <w:spacing w:before="20" w:after="20" w:line="240" w:lineRule="auto"/>
              <w:jc w:val="both"/>
            </w:pPr>
            <w:r>
              <w:rPr>
                <w:sz w:val="17"/>
              </w:rPr>
              <w:t>200,000 partitions per lease length</w:t>
            </w:r>
          </w:p>
        </w:tc>
        <w:tc>
          <w:tcPr>
            <w:tcW w:w="4392" w:type="dxa"/>
            <w:shd w:val="clear" w:color="auto" w:fill="FFFFFF"/>
            <w:tcMar>
              <w:top w:w="70" w:type="dxa"/>
              <w:left w:w="70" w:type="dxa"/>
              <w:bottom w:w="70" w:type="dxa"/>
              <w:right w:w="70" w:type="dxa"/>
            </w:tcMar>
            <w:vAlign w:val="center"/>
          </w:tcPr>
          <w:p w14:paraId="603BD823" w14:textId="77777777" w:rsidR="006B50AE" w:rsidRDefault="00000000" w:rsidP="003364D8">
            <w:pPr>
              <w:pStyle w:val="Compact"/>
              <w:spacing w:before="20" w:after="20" w:line="240" w:lineRule="auto"/>
              <w:jc w:val="both"/>
            </w:pPr>
            <w:r>
              <w:rPr>
                <w:sz w:val="17"/>
              </w:rPr>
              <w:t>Agreement with (11) within 0.0011</w:t>
            </w:r>
          </w:p>
        </w:tc>
      </w:tr>
      <w:tr w:rsidR="006B50AE" w14:paraId="04FF55A9" w14:textId="77777777">
        <w:trPr>
          <w:cantSplit/>
        </w:trPr>
        <w:tc>
          <w:tcPr>
            <w:tcW w:w="1800" w:type="dxa"/>
            <w:shd w:val="clear" w:color="auto" w:fill="F7F7F7"/>
            <w:tcMar>
              <w:top w:w="70" w:type="dxa"/>
              <w:left w:w="70" w:type="dxa"/>
              <w:bottom w:w="70" w:type="dxa"/>
              <w:right w:w="70" w:type="dxa"/>
            </w:tcMar>
            <w:vAlign w:val="center"/>
          </w:tcPr>
          <w:p w14:paraId="0970DE74" w14:textId="77777777" w:rsidR="006B50AE" w:rsidRDefault="00000000" w:rsidP="003364D8">
            <w:pPr>
              <w:pStyle w:val="Compact"/>
              <w:spacing w:before="20" w:after="20" w:line="240" w:lineRule="auto"/>
              <w:jc w:val="both"/>
            </w:pPr>
            <w:r>
              <w:rPr>
                <w:sz w:val="17"/>
              </w:rPr>
              <w:t>Proposition 10</w:t>
            </w:r>
          </w:p>
        </w:tc>
        <w:tc>
          <w:tcPr>
            <w:tcW w:w="3600" w:type="dxa"/>
            <w:shd w:val="clear" w:color="auto" w:fill="F7F7F7"/>
            <w:tcMar>
              <w:top w:w="70" w:type="dxa"/>
              <w:left w:w="70" w:type="dxa"/>
              <w:bottom w:w="70" w:type="dxa"/>
              <w:right w:w="70" w:type="dxa"/>
            </w:tcMar>
            <w:vAlign w:val="center"/>
          </w:tcPr>
          <w:p w14:paraId="4A12CC40" w14:textId="77777777" w:rsidR="006B50AE" w:rsidRDefault="00000000" w:rsidP="003364D8">
            <w:pPr>
              <w:pStyle w:val="Compact"/>
              <w:spacing w:before="20" w:after="20" w:line="240" w:lineRule="auto"/>
              <w:jc w:val="both"/>
            </w:pPr>
            <w:r>
              <w:rPr>
                <w:sz w:val="17"/>
              </w:rPr>
              <w:t>Eight generations of spawning</w:t>
            </w:r>
          </w:p>
        </w:tc>
        <w:tc>
          <w:tcPr>
            <w:tcW w:w="4392" w:type="dxa"/>
            <w:shd w:val="clear" w:color="auto" w:fill="F7F7F7"/>
            <w:tcMar>
              <w:top w:w="70" w:type="dxa"/>
              <w:left w:w="70" w:type="dxa"/>
              <w:bottom w:w="70" w:type="dxa"/>
              <w:right w:w="70" w:type="dxa"/>
            </w:tcMar>
            <w:vAlign w:val="center"/>
          </w:tcPr>
          <w:p w14:paraId="4E32915C" w14:textId="77777777" w:rsidR="006B50AE" w:rsidRDefault="00000000" w:rsidP="003364D8">
            <w:pPr>
              <w:pStyle w:val="Compact"/>
              <w:spacing w:before="20" w:after="20" w:line="240" w:lineRule="auto"/>
              <w:jc w:val="both"/>
            </w:pPr>
            <w:r>
              <w:rPr>
                <w:sz w:val="17"/>
              </w:rPr>
              <w:t>11 copies under a ledger; 9,841 under per-agent caps</w:t>
            </w:r>
          </w:p>
        </w:tc>
      </w:tr>
      <w:tr w:rsidR="006B50AE" w14:paraId="3D2C5CF7" w14:textId="77777777">
        <w:trPr>
          <w:cantSplit/>
        </w:trPr>
        <w:tc>
          <w:tcPr>
            <w:tcW w:w="1800" w:type="dxa"/>
            <w:shd w:val="clear" w:color="auto" w:fill="FFFFFF"/>
            <w:tcMar>
              <w:top w:w="70" w:type="dxa"/>
              <w:left w:w="70" w:type="dxa"/>
              <w:bottom w:w="70" w:type="dxa"/>
              <w:right w:w="70" w:type="dxa"/>
            </w:tcMar>
            <w:vAlign w:val="center"/>
          </w:tcPr>
          <w:p w14:paraId="5285E2B3" w14:textId="77777777" w:rsidR="006B50AE" w:rsidRDefault="00000000" w:rsidP="003364D8">
            <w:pPr>
              <w:pStyle w:val="Compact"/>
              <w:spacing w:before="20" w:after="20" w:line="240" w:lineRule="auto"/>
              <w:jc w:val="both"/>
            </w:pPr>
            <w:r>
              <w:rPr>
                <w:sz w:val="17"/>
              </w:rPr>
              <w:lastRenderedPageBreak/>
              <w:t>Proposition 11</w:t>
            </w:r>
          </w:p>
        </w:tc>
        <w:tc>
          <w:tcPr>
            <w:tcW w:w="3600" w:type="dxa"/>
            <w:shd w:val="clear" w:color="auto" w:fill="FFFFFF"/>
            <w:tcMar>
              <w:top w:w="70" w:type="dxa"/>
              <w:left w:w="70" w:type="dxa"/>
              <w:bottom w:w="70" w:type="dxa"/>
              <w:right w:w="70" w:type="dxa"/>
            </w:tcMar>
            <w:vAlign w:val="center"/>
          </w:tcPr>
          <w:p w14:paraId="7556D09B" w14:textId="77777777" w:rsidR="006B50AE" w:rsidRDefault="00000000" w:rsidP="003364D8">
            <w:pPr>
              <w:pStyle w:val="Compact"/>
              <w:spacing w:before="20" w:after="20" w:line="240" w:lineRule="auto"/>
              <w:jc w:val="both"/>
            </w:pPr>
            <w:r>
              <w:rPr>
                <w:sz w:val="17"/>
              </w:rPr>
              <w:t xml:space="preserve">4,000 lineages per value of </w:t>
            </w:r>
            <m:oMath>
              <m:r>
                <w:rPr>
                  <w:rFonts w:ascii="Cambria Math" w:hAnsi="Cambria Math"/>
                </w:rPr>
                <m:t>m</m:t>
              </m:r>
            </m:oMath>
          </w:p>
        </w:tc>
        <w:tc>
          <w:tcPr>
            <w:tcW w:w="4392" w:type="dxa"/>
            <w:shd w:val="clear" w:color="auto" w:fill="FFFFFF"/>
            <w:tcMar>
              <w:top w:w="70" w:type="dxa"/>
              <w:left w:w="70" w:type="dxa"/>
              <w:bottom w:w="70" w:type="dxa"/>
              <w:right w:w="70" w:type="dxa"/>
            </w:tcMar>
            <w:vAlign w:val="center"/>
          </w:tcPr>
          <w:p w14:paraId="1E8DB383" w14:textId="77777777" w:rsidR="006B50AE" w:rsidRDefault="00000000" w:rsidP="003364D8">
            <w:pPr>
              <w:pStyle w:val="Compact"/>
              <w:spacing w:before="20" w:after="20" w:line="240" w:lineRule="auto"/>
              <w:jc w:val="both"/>
            </w:pPr>
            <w:r>
              <w:rPr>
                <w:sz w:val="17"/>
              </w:rPr>
              <w:t xml:space="preserve">At least 95% extinct by the stopping rule for </w:t>
            </w:r>
            <m:oMath>
              <m:r>
                <w:rPr>
                  <w:rFonts w:ascii="Cambria Math" w:hAnsi="Cambria Math"/>
                </w:rPr>
                <m:t>m</m:t>
              </m:r>
              <m:r>
                <m:rPr>
                  <m:sty m:val="p"/>
                </m:rPr>
                <w:rPr>
                  <w:rFonts w:ascii="Cambria Math" w:hAnsi="Cambria Math"/>
                </w:rPr>
                <m:t>≤</m:t>
              </m:r>
              <m:r>
                <w:rPr>
                  <w:rFonts w:ascii="Cambria Math" w:hAnsi="Cambria Math"/>
                </w:rPr>
                <m:t>0.9</m:t>
              </m:r>
              <m:r>
                <m:rPr>
                  <m:nor/>
                </m:rPr>
                <m:t>;</m:t>
              </m:r>
            </m:oMath>
            <w:r>
              <w:rPr>
                <w:sz w:val="17"/>
              </w:rPr>
              <w:t xml:space="preserve"> supercritical finite estimates within 0.008 of (14)</w:t>
            </w:r>
          </w:p>
        </w:tc>
      </w:tr>
      <w:tr w:rsidR="006B50AE" w14:paraId="5CC06801" w14:textId="77777777">
        <w:trPr>
          <w:cantSplit/>
        </w:trPr>
        <w:tc>
          <w:tcPr>
            <w:tcW w:w="1800" w:type="dxa"/>
            <w:shd w:val="clear" w:color="auto" w:fill="F7F7F7"/>
            <w:tcMar>
              <w:top w:w="70" w:type="dxa"/>
              <w:left w:w="70" w:type="dxa"/>
              <w:bottom w:w="70" w:type="dxa"/>
              <w:right w:w="70" w:type="dxa"/>
            </w:tcMar>
            <w:vAlign w:val="center"/>
          </w:tcPr>
          <w:p w14:paraId="69F7484B" w14:textId="77777777" w:rsidR="006B50AE" w:rsidRDefault="00000000" w:rsidP="003364D8">
            <w:pPr>
              <w:pStyle w:val="Compact"/>
              <w:spacing w:before="20" w:after="20" w:line="240" w:lineRule="auto"/>
              <w:jc w:val="both"/>
            </w:pPr>
            <w:r>
              <w:rPr>
                <w:sz w:val="17"/>
              </w:rPr>
              <w:t>Proposition 12</w:t>
            </w:r>
          </w:p>
        </w:tc>
        <w:tc>
          <w:tcPr>
            <w:tcW w:w="3600" w:type="dxa"/>
            <w:shd w:val="clear" w:color="auto" w:fill="F7F7F7"/>
            <w:tcMar>
              <w:top w:w="70" w:type="dxa"/>
              <w:left w:w="70" w:type="dxa"/>
              <w:bottom w:w="70" w:type="dxa"/>
              <w:right w:w="70" w:type="dxa"/>
            </w:tcMar>
            <w:vAlign w:val="center"/>
          </w:tcPr>
          <w:p w14:paraId="4E9D59E9" w14:textId="77777777" w:rsidR="006B50AE" w:rsidRDefault="00000000" w:rsidP="003364D8">
            <w:pPr>
              <w:pStyle w:val="Compact"/>
              <w:spacing w:before="20" w:after="20" w:line="240" w:lineRule="auto"/>
              <w:jc w:val="both"/>
            </w:pPr>
            <w:r>
              <w:rPr>
                <w:sz w:val="17"/>
              </w:rPr>
              <w:t>100,000 lifetimes per case</w:t>
            </w:r>
          </w:p>
        </w:tc>
        <w:tc>
          <w:tcPr>
            <w:tcW w:w="4392" w:type="dxa"/>
            <w:shd w:val="clear" w:color="auto" w:fill="F7F7F7"/>
            <w:tcMar>
              <w:top w:w="70" w:type="dxa"/>
              <w:left w:w="70" w:type="dxa"/>
              <w:bottom w:w="70" w:type="dxa"/>
              <w:right w:w="70" w:type="dxa"/>
            </w:tcMar>
            <w:vAlign w:val="center"/>
          </w:tcPr>
          <w:p w14:paraId="058F125F" w14:textId="77777777" w:rsidR="006B50AE" w:rsidRDefault="00000000" w:rsidP="003364D8">
            <w:pPr>
              <w:pStyle w:val="Compact"/>
              <w:spacing w:before="20" w:after="20" w:line="240" w:lineRule="auto"/>
              <w:jc w:val="both"/>
            </w:pPr>
            <w:r>
              <w:rPr>
                <w:sz w:val="17"/>
              </w:rPr>
              <w:t>Threshold (16) decides every case; values within 0.6%</w:t>
            </w:r>
          </w:p>
        </w:tc>
      </w:tr>
      <w:tr w:rsidR="006B50AE" w14:paraId="09E2C8B1" w14:textId="77777777">
        <w:trPr>
          <w:cantSplit/>
        </w:trPr>
        <w:tc>
          <w:tcPr>
            <w:tcW w:w="1800" w:type="dxa"/>
            <w:shd w:val="clear" w:color="auto" w:fill="FFFFFF"/>
            <w:tcMar>
              <w:top w:w="70" w:type="dxa"/>
              <w:left w:w="70" w:type="dxa"/>
              <w:bottom w:w="70" w:type="dxa"/>
              <w:right w:w="70" w:type="dxa"/>
            </w:tcMar>
            <w:vAlign w:val="center"/>
          </w:tcPr>
          <w:p w14:paraId="5C62CF9E" w14:textId="77777777" w:rsidR="006B50AE" w:rsidRDefault="00000000" w:rsidP="003364D8">
            <w:pPr>
              <w:pStyle w:val="Compact"/>
              <w:spacing w:before="20" w:after="20" w:line="240" w:lineRule="auto"/>
              <w:jc w:val="both"/>
            </w:pPr>
            <w:r>
              <w:rPr>
                <w:sz w:val="17"/>
              </w:rPr>
              <w:t>Proposition 13</w:t>
            </w:r>
          </w:p>
        </w:tc>
        <w:tc>
          <w:tcPr>
            <w:tcW w:w="3600" w:type="dxa"/>
            <w:shd w:val="clear" w:color="auto" w:fill="FFFFFF"/>
            <w:tcMar>
              <w:top w:w="70" w:type="dxa"/>
              <w:left w:w="70" w:type="dxa"/>
              <w:bottom w:w="70" w:type="dxa"/>
              <w:right w:w="70" w:type="dxa"/>
            </w:tcMar>
            <w:vAlign w:val="center"/>
          </w:tcPr>
          <w:p w14:paraId="55C3D7C2" w14:textId="77777777" w:rsidR="006B50AE" w:rsidRDefault="00000000" w:rsidP="003364D8">
            <w:pPr>
              <w:pStyle w:val="Compact"/>
              <w:spacing w:before="20" w:after="20" w:line="240" w:lineRule="auto"/>
              <w:jc w:val="both"/>
            </w:pPr>
            <w:r>
              <w:rPr>
                <w:sz w:val="17"/>
              </w:rPr>
              <w:t>400,000 claims per verifier count</w:t>
            </w:r>
          </w:p>
        </w:tc>
        <w:tc>
          <w:tcPr>
            <w:tcW w:w="4392" w:type="dxa"/>
            <w:shd w:val="clear" w:color="auto" w:fill="FFFFFF"/>
            <w:tcMar>
              <w:top w:w="70" w:type="dxa"/>
              <w:left w:w="70" w:type="dxa"/>
              <w:bottom w:w="70" w:type="dxa"/>
              <w:right w:w="70" w:type="dxa"/>
            </w:tcMar>
            <w:vAlign w:val="center"/>
          </w:tcPr>
          <w:p w14:paraId="553914E0" w14:textId="77777777" w:rsidR="006B50AE" w:rsidRDefault="00000000" w:rsidP="003364D8">
            <w:pPr>
              <w:pStyle w:val="Compact"/>
              <w:spacing w:before="20" w:after="20" w:line="240" w:lineRule="auto"/>
              <w:jc w:val="both"/>
            </w:pPr>
            <w:r>
              <w:rPr>
                <w:sz w:val="17"/>
              </w:rPr>
              <w:t>Agreement with the joint probability in (17); analytical floor respected</w:t>
            </w:r>
          </w:p>
        </w:tc>
      </w:tr>
      <w:tr w:rsidR="006B50AE" w14:paraId="5EE2850F" w14:textId="77777777">
        <w:trPr>
          <w:cantSplit/>
        </w:trPr>
        <w:tc>
          <w:tcPr>
            <w:tcW w:w="1800" w:type="dxa"/>
            <w:shd w:val="clear" w:color="auto" w:fill="F7F7F7"/>
            <w:tcMar>
              <w:top w:w="70" w:type="dxa"/>
              <w:left w:w="70" w:type="dxa"/>
              <w:bottom w:w="70" w:type="dxa"/>
              <w:right w:w="70" w:type="dxa"/>
            </w:tcMar>
            <w:vAlign w:val="center"/>
          </w:tcPr>
          <w:p w14:paraId="5C39F6AE" w14:textId="77777777" w:rsidR="006B50AE" w:rsidRDefault="00000000" w:rsidP="003364D8">
            <w:pPr>
              <w:pStyle w:val="Compact"/>
              <w:spacing w:before="20" w:after="20" w:line="240" w:lineRule="auto"/>
              <w:jc w:val="both"/>
            </w:pPr>
            <w:r>
              <w:rPr>
                <w:sz w:val="17"/>
              </w:rPr>
              <w:t>C# kernel</w:t>
            </w:r>
          </w:p>
        </w:tc>
        <w:tc>
          <w:tcPr>
            <w:tcW w:w="3600" w:type="dxa"/>
            <w:shd w:val="clear" w:color="auto" w:fill="F7F7F7"/>
            <w:tcMar>
              <w:top w:w="70" w:type="dxa"/>
              <w:left w:w="70" w:type="dxa"/>
              <w:bottom w:w="70" w:type="dxa"/>
              <w:right w:w="70" w:type="dxa"/>
            </w:tcMar>
            <w:vAlign w:val="center"/>
          </w:tcPr>
          <w:p w14:paraId="36B95CE2" w14:textId="77777777" w:rsidR="006B50AE" w:rsidRDefault="00000000" w:rsidP="003364D8">
            <w:pPr>
              <w:pStyle w:val="Compact"/>
              <w:spacing w:before="20" w:after="20" w:line="240" w:lineRule="auto"/>
              <w:jc w:val="both"/>
            </w:pPr>
            <w:r>
              <w:rPr>
                <w:sz w:val="17"/>
              </w:rPr>
              <w:t>11 output lines</w:t>
            </w:r>
          </w:p>
        </w:tc>
        <w:tc>
          <w:tcPr>
            <w:tcW w:w="4392" w:type="dxa"/>
            <w:shd w:val="clear" w:color="auto" w:fill="F7F7F7"/>
            <w:tcMar>
              <w:top w:w="70" w:type="dxa"/>
              <w:left w:w="70" w:type="dxa"/>
              <w:bottom w:w="70" w:type="dxa"/>
              <w:right w:w="70" w:type="dxa"/>
            </w:tcMar>
            <w:vAlign w:val="center"/>
          </w:tcPr>
          <w:p w14:paraId="002D249F" w14:textId="77777777" w:rsidR="006B50AE" w:rsidRDefault="00000000" w:rsidP="003364D8">
            <w:pPr>
              <w:pStyle w:val="Compact"/>
              <w:spacing w:before="20" w:after="20" w:line="240" w:lineRule="auto"/>
              <w:jc w:val="both"/>
            </w:pPr>
            <w:r>
              <w:rPr>
                <w:sz w:val="17"/>
              </w:rPr>
              <w:t>Updated comparison reported below with the current validation metric</w:t>
            </w:r>
          </w:p>
        </w:tc>
      </w:tr>
    </w:tbl>
    <w:p w14:paraId="33176B1D" w14:textId="77777777" w:rsidR="006B50AE" w:rsidRDefault="00000000" w:rsidP="003364D8">
      <w:pPr>
        <w:pStyle w:val="Heading21"/>
        <w:jc w:val="both"/>
      </w:pPr>
      <w:bookmarkStart w:id="36" w:name="targeted-audit-and-counterexamples"/>
      <w:r>
        <w:t>Targeted audit and counterexamples</w:t>
      </w:r>
    </w:p>
    <w:p w14:paraId="24751785" w14:textId="77777777" w:rsidR="006B50AE" w:rsidRDefault="00000000" w:rsidP="003364D8">
      <w:pPr>
        <w:pStyle w:val="FirstParagraph"/>
        <w:jc w:val="both"/>
      </w:pPr>
      <w:r>
        <w:t>The original 29 seeded model checks pass again. Fourteen additional Python checks verify the norm distinction, matched architecture gains, zero-radius amplification, unstable switching between individually stable matrices, a common envelope, the two lease averages, lease feasibility, overrun margins, retry accounting windows, verification denominators, discounting and root release. Twelve C# boundary and concurrency checks also pass. These are 55 named checks plus eleven cross-language output groups. They give reproducible examples and implementation regressions, not proofs of deployed safety.</w:t>
      </w:r>
    </w:p>
    <w:p w14:paraId="3B1416F1" w14:textId="77777777" w:rsidR="006B50AE" w:rsidRDefault="00000000" w:rsidP="003364D8">
      <w:pPr>
        <w:pStyle w:val="BodyText"/>
        <w:jc w:val="both"/>
      </w:pPr>
      <w:r>
        <w:t>The immutable-fork case intentionally demonstrates an unsafe use of valid snapshots; its test passes by detecting the need for a single commitment store. The concurrent-store test admits exactly one of thirty-two attempts to spend a balance of ten at cost ten. Agreement on the original eleven numerical groups did not expose the root-release path, which is why boundary-specific checks are necessary.</w:t>
      </w:r>
    </w:p>
    <w:p w14:paraId="0CC0FC49" w14:textId="77777777" w:rsidR="006B50AE" w:rsidRDefault="00000000" w:rsidP="003364D8">
      <w:pPr>
        <w:pStyle w:val="Heading11"/>
        <w:jc w:val="both"/>
      </w:pPr>
      <w:bookmarkStart w:id="37" w:name="implications-and-limits"/>
      <w:bookmarkEnd w:id="35"/>
      <w:bookmarkEnd w:id="36"/>
      <w:r>
        <w:t>14 Implications and limits</w:t>
      </w:r>
    </w:p>
    <w:p w14:paraId="629B431A" w14:textId="77777777" w:rsidR="006B50AE" w:rsidRDefault="00000000" w:rsidP="003364D8">
      <w:pPr>
        <w:pStyle w:val="FirstParagraph"/>
        <w:jc w:val="both"/>
      </w:pPr>
      <w:r>
        <w:t>The Gita-based interpretation redirects attention from the agent’s apparent independence to the conditions under which its activity preserves other people’s ability to choose. This is a useful perspective for architecture because a system may be easy to extend yet difficult to refuse, inexpensive to copy yet expensive to stop, and formally modular yet operationally coercive. Replaceability, consent and cessation deserve separate design reviews.</w:t>
      </w:r>
    </w:p>
    <w:p w14:paraId="796A1A54" w14:textId="77777777" w:rsidR="006B50AE" w:rsidRDefault="00000000" w:rsidP="003364D8">
      <w:pPr>
        <w:pStyle w:val="BodyText"/>
        <w:jc w:val="both"/>
      </w:pPr>
      <w:r>
        <w:t>The interpretation also changes the role of ownership. A module owner remains responsible for contracts and consequences, while giving up unnecessary control over implementations and consumers. A task owner remains accountable for authorisation, while allowing the worker flexibility inside a bounded envelope. Non-attachment and accountability can reinforce one another when commitments are explicit. Verse 18.14 adds a further discipline: causal contributors should be recorded separately; responsibility remains a role-dependent judgement rather than an equal distribution of fault.</w:t>
      </w:r>
    </w:p>
    <w:p w14:paraId="7680F934" w14:textId="77777777" w:rsidR="006B50AE" w:rsidRDefault="00000000" w:rsidP="003364D8">
      <w:pPr>
        <w:pStyle w:val="BodyText"/>
        <w:jc w:val="both"/>
      </w:pPr>
      <w:r>
        <w:t>The mathematical quantities must remain distinct. The spectral radius controls asymptotic feedback stability, while the binding index, always at least one in its original normalisation, quantifies amplification. Retry products bound aggregate work along a finite chain and usually exceed one. The branching mean is expected lifetime offspring and has an extinction threshold at one only in its stated model. Their shared concern is propagation; they do not share one numerical safety threshold.</w:t>
      </w:r>
    </w:p>
    <w:p w14:paraId="4CE54749" w14:textId="77777777" w:rsidR="006B50AE" w:rsidRDefault="00000000" w:rsidP="003364D8">
      <w:pPr>
        <w:pStyle w:val="Heading21"/>
        <w:jc w:val="both"/>
      </w:pPr>
      <w:bookmarkStart w:id="38" w:name="limits-of-the-interpretation"/>
      <w:r>
        <w:t>Limits of the interpretation</w:t>
      </w:r>
    </w:p>
    <w:p w14:paraId="12EC9E0E" w14:textId="77777777" w:rsidR="006B50AE" w:rsidRDefault="00000000" w:rsidP="003364D8">
      <w:pPr>
        <w:pStyle w:val="FirstParagraph"/>
        <w:jc w:val="both"/>
      </w:pPr>
      <w:r>
        <w:t>First, theological and engineering concepts are not interchangeable. The Gita’s account of liberation cannot be validated by a software benchmark, and nothing here models daiva. Second, agents need not experience pride, anger or compassion for their actions to resemble the operational patterns described here. Likewise, a software operation can show the signature of rājasa or tāmasa action without any disposition. Third, these labels should not be used to classify people, teams, religions or cultures as morally superior or inferior.</w:t>
      </w:r>
    </w:p>
    <w:p w14:paraId="1A782D18" w14:textId="77777777" w:rsidR="006B50AE" w:rsidRDefault="00000000" w:rsidP="003364D8">
      <w:pPr>
        <w:pStyle w:val="BodyText"/>
        <w:jc w:val="both"/>
      </w:pPr>
      <w:r>
        <w:lastRenderedPageBreak/>
        <w:t>Fourth, authorised conduct can still be harmful when the authorising institution is mistaken or unjust. Consent and resource budgets do not exhaust ethics, and passing the admission test of Section 6 is required by this harness, not a complete ethical criterion. Fifth, a technically enforced quota can protect a host while the overall application causes social harm elsewhere. The proposed formal results deliberately cover narrower properties than comprehensive alignment.</w:t>
      </w:r>
    </w:p>
    <w:p w14:paraId="0F66B96E" w14:textId="77777777" w:rsidR="006B50AE" w:rsidRDefault="00000000" w:rsidP="003364D8">
      <w:pPr>
        <w:pStyle w:val="BodyText"/>
        <w:jc w:val="both"/>
      </w:pPr>
      <w:r>
        <w:t>Sixth, the models are simple. Proposition 11 assumes independent copies and constant rates, and Proposition 12 assumes risk neutrality, independent detection and enforceable removal. Their value is to show which quantities matter and in which direction, not to predict real replication dynamics. Finally, contractual decoupling has costs. Excessive abstraction can obscure important engineering assumptions. Distribution adds operational obligations. Verification can become a bottleneck, and a compromised verifier can produce false confidence. The architecture must justify both the boundaries it introduces and the dependencies it retains.</w:t>
      </w:r>
    </w:p>
    <w:p w14:paraId="72E45DEA" w14:textId="77777777" w:rsidR="006B50AE" w:rsidRDefault="00000000" w:rsidP="003364D8">
      <w:pPr>
        <w:pStyle w:val="Heading21"/>
        <w:jc w:val="both"/>
      </w:pPr>
      <w:bookmarkStart w:id="39" w:name="conclusion"/>
      <w:bookmarkEnd w:id="38"/>
      <w:r>
        <w:t>Conclusion</w:t>
      </w:r>
    </w:p>
    <w:p w14:paraId="3DF3D99C" w14:textId="77777777" w:rsidR="006B50AE" w:rsidRDefault="00000000" w:rsidP="003364D8">
      <w:pPr>
        <w:pStyle w:val="FirstParagraph"/>
        <w:jc w:val="both"/>
      </w:pPr>
      <w:r>
        <w:t>The strongest engineering lesson from the daivī and āsurī distinction is disciplined action that can relinquish its claims. A useful agent should be able to replace an instrument, acknowledge an error, return resources, accept denial and cease when authority ends. Chapter 18 adds that it should act only after regarding consequences, loss, injury and its own capacity, and that its record should name every factor of the action, not only itself. These properties support governable autonomy; they do not constitute spiritual liberation or guarantee ecological success.</w:t>
      </w:r>
    </w:p>
    <w:p w14:paraId="4EF01C66" w14:textId="77777777" w:rsidR="006B50AE" w:rsidRDefault="00000000" w:rsidP="003364D8">
      <w:pPr>
        <w:pStyle w:val="BodyText"/>
        <w:jc w:val="both"/>
      </w:pPr>
      <w:r>
        <w:t>The practical programme is to minimise unnecessary dependency coupling while preserving deliberate ties to evidence, resource limits, accountable authority and revocation. Under explicit assumptions, those ties bound disturbance amplification and aggregate retries, conserve delegation budgets, cap governed births and limit continued effects. Uncontrolled lineage survival remains a separate probabilistic question. Whether the complete system is useful and sustainable remains an empirical and institutional question. This qualified thesis retains the force of the philosophical insight while making its engineering consequences inspectable and open to correction.</w:t>
      </w:r>
    </w:p>
    <w:p w14:paraId="6C7E5004" w14:textId="77777777" w:rsidR="006B50AE" w:rsidRDefault="00000000" w:rsidP="003364D8">
      <w:pPr>
        <w:pStyle w:val="Heading11"/>
        <w:pageBreakBefore/>
        <w:jc w:val="both"/>
      </w:pPr>
      <w:bookmarkStart w:id="40" w:name="references"/>
      <w:bookmarkEnd w:id="37"/>
      <w:bookmarkEnd w:id="39"/>
      <w:r>
        <w:lastRenderedPageBreak/>
        <w:t>References</w:t>
      </w:r>
    </w:p>
    <w:p w14:paraId="44D096EC" w14:textId="0C1106F7" w:rsidR="006B50AE" w:rsidRDefault="00000000" w:rsidP="003364D8">
      <w:pPr>
        <w:pStyle w:val="FirstParagraph"/>
        <w:jc w:val="both"/>
      </w:pPr>
      <w:r>
        <w:t>Operational mappings and formal models are proposed in this paper.</w:t>
      </w:r>
      <w:r w:rsidR="00B724D4">
        <w:t xml:space="preserve"> </w:t>
      </w:r>
      <w:r w:rsidR="00B724D4">
        <w:t xml:space="preserve">Web sources accessed 19 October 2026. </w:t>
      </w:r>
      <w:r w:rsidR="00B724D4" w:rsidRPr="00B724D4">
        <w:t>https://github.com/debiprasadghosh/ResearchOverFlow/tree/main/October2026/AgentGita</w:t>
      </w:r>
    </w:p>
    <w:p w14:paraId="113AC41D" w14:textId="77777777" w:rsidR="006B50AE" w:rsidRDefault="00000000" w:rsidP="003364D8">
      <w:pPr>
        <w:pStyle w:val="BodyText"/>
        <w:spacing w:after="40"/>
        <w:jc w:val="both"/>
      </w:pPr>
      <w:r>
        <w:rPr>
          <w:sz w:val="19"/>
        </w:rPr>
        <w:t>[1] Bhagavad Gita 16.1–3. Sanskrit text and commentary by Swami Mukundananda. https://www.holy-bhagavad-gita.org/chapter/16/verse/1-3/</w:t>
      </w:r>
    </w:p>
    <w:p w14:paraId="168240FD" w14:textId="77777777" w:rsidR="006B50AE" w:rsidRDefault="00000000" w:rsidP="003364D8">
      <w:pPr>
        <w:pStyle w:val="BodyText"/>
        <w:spacing w:after="40"/>
        <w:jc w:val="both"/>
      </w:pPr>
      <w:r>
        <w:rPr>
          <w:sz w:val="19"/>
        </w:rPr>
        <w:t>[2] Bhagavad Gita 16.4. Sanskrit text and commentary by Swami Mukundananda. https://www.holy-bhagavad-gita.org/chapter/16/verse/4/</w:t>
      </w:r>
    </w:p>
    <w:p w14:paraId="1E03E315" w14:textId="77777777" w:rsidR="006B50AE" w:rsidRDefault="00000000" w:rsidP="003364D8">
      <w:pPr>
        <w:pStyle w:val="BodyText"/>
        <w:spacing w:after="40"/>
        <w:jc w:val="both"/>
      </w:pPr>
      <w:r>
        <w:rPr>
          <w:sz w:val="19"/>
        </w:rPr>
        <w:t>[3] Bhagavad Gita 16.5. Sanskrit text and commentary by Swami Mukundananda. https://www.holy-bhagavad-gita.org/chapter/16/verse/5/</w:t>
      </w:r>
    </w:p>
    <w:p w14:paraId="162B66D0" w14:textId="77777777" w:rsidR="006B50AE" w:rsidRDefault="00000000" w:rsidP="003364D8">
      <w:pPr>
        <w:pStyle w:val="BodyText"/>
        <w:spacing w:after="40"/>
        <w:jc w:val="both"/>
      </w:pPr>
      <w:r>
        <w:rPr>
          <w:sz w:val="19"/>
        </w:rPr>
        <w:t>[4] Bhagavad Gita 2.47. Sanskrit text and commentary by Swami Mukundananda. https://www.holy-bhagavad-gita.org/chapter/2/verse/47/</w:t>
      </w:r>
    </w:p>
    <w:p w14:paraId="1A13E64C" w14:textId="77777777" w:rsidR="006B50AE" w:rsidRDefault="00000000" w:rsidP="003364D8">
      <w:pPr>
        <w:pStyle w:val="BodyText"/>
        <w:spacing w:after="40"/>
        <w:jc w:val="both"/>
      </w:pPr>
      <w:r>
        <w:rPr>
          <w:sz w:val="19"/>
        </w:rPr>
        <w:t>[5] Bhagavad Gita 3.9. Sanskrit text and commentary by Swami Mukundananda. https://www.holy-bhagavad-gita.org/chapter/3/verse/9/</w:t>
      </w:r>
    </w:p>
    <w:p w14:paraId="0876B5F3" w14:textId="77777777" w:rsidR="006B50AE" w:rsidRDefault="00000000" w:rsidP="003364D8">
      <w:pPr>
        <w:pStyle w:val="BodyText"/>
        <w:spacing w:after="40"/>
        <w:jc w:val="both"/>
      </w:pPr>
      <w:r>
        <w:rPr>
          <w:sz w:val="19"/>
        </w:rPr>
        <w:t>[6] Cockburn A. Hexagonal architecture. 2005. https://alistair.cockburn.us/hexagonal-architecture</w:t>
      </w:r>
    </w:p>
    <w:p w14:paraId="4D2ED191" w14:textId="77777777" w:rsidR="006B50AE" w:rsidRDefault="00000000" w:rsidP="003364D8">
      <w:pPr>
        <w:pStyle w:val="BodyText"/>
        <w:spacing w:after="40"/>
        <w:jc w:val="both"/>
      </w:pPr>
      <w:r>
        <w:rPr>
          <w:sz w:val="19"/>
        </w:rPr>
        <w:t>[7] Fowler M. Bounded Context. 2014. https://martinfowler.com/bliki/BoundedContext.html</w:t>
      </w:r>
    </w:p>
    <w:p w14:paraId="182A7A8D" w14:textId="77777777" w:rsidR="006B50AE" w:rsidRDefault="00000000" w:rsidP="003364D8">
      <w:pPr>
        <w:pStyle w:val="BodyText"/>
        <w:spacing w:after="40"/>
        <w:jc w:val="both"/>
      </w:pPr>
      <w:r>
        <w:rPr>
          <w:sz w:val="19"/>
        </w:rPr>
        <w:t>[8] Fowler M. What do you mean by “Event-Driven”. 2017. https://martinfowler.com/articles/201701-event-driven.html</w:t>
      </w:r>
    </w:p>
    <w:p w14:paraId="30AC22A7" w14:textId="77777777" w:rsidR="006B50AE" w:rsidRDefault="00000000" w:rsidP="003364D8">
      <w:pPr>
        <w:pStyle w:val="BodyText"/>
        <w:spacing w:after="40"/>
        <w:jc w:val="both"/>
      </w:pPr>
      <w:r>
        <w:rPr>
          <w:sz w:val="19"/>
        </w:rPr>
        <w:t>[9] Fowler M. Monolith First. 2015. https://martinfowler.com/bliki/MonolithFirst.html</w:t>
      </w:r>
    </w:p>
    <w:p w14:paraId="56BA39AF" w14:textId="77777777" w:rsidR="006B50AE" w:rsidRDefault="00000000" w:rsidP="003364D8">
      <w:pPr>
        <w:pStyle w:val="BodyText"/>
        <w:spacing w:after="40"/>
        <w:jc w:val="both"/>
      </w:pPr>
      <w:r>
        <w:rPr>
          <w:sz w:val="19"/>
        </w:rPr>
        <w:t>[10] Fowler M. Microservice Trade-Offs. 2015. https://martinfowler.com/articles/microservice-trade-offs.html</w:t>
      </w:r>
    </w:p>
    <w:p w14:paraId="4143C052" w14:textId="77777777" w:rsidR="006B50AE" w:rsidRDefault="00000000" w:rsidP="003364D8">
      <w:pPr>
        <w:pStyle w:val="BodyText"/>
        <w:spacing w:after="40"/>
        <w:jc w:val="both"/>
      </w:pPr>
      <w:r>
        <w:rPr>
          <w:sz w:val="19"/>
        </w:rPr>
        <w:t>[11] Zhou W and Freeman D. AI models may be capable of self-replicating without access to a datacenter. Anthropic Frontier Red Team. 12 October 2026. https://www.anthropic.com/research/self-replicating-ai</w:t>
      </w:r>
    </w:p>
    <w:p w14:paraId="5F35EA25" w14:textId="77777777" w:rsidR="006B50AE" w:rsidRDefault="00000000" w:rsidP="003364D8">
      <w:pPr>
        <w:pStyle w:val="BodyText"/>
        <w:spacing w:after="40"/>
        <w:jc w:val="both"/>
      </w:pPr>
      <w:r>
        <w:rPr>
          <w:sz w:val="19"/>
        </w:rPr>
        <w:t>[12] Model Context Protocol. Security Best Practices. Version 2025-11-25. https://modelcontextprotocol.io/docs/2025-11-25/tutorials/security/security_best_practices</w:t>
      </w:r>
    </w:p>
    <w:p w14:paraId="32647DE9" w14:textId="77777777" w:rsidR="006B50AE" w:rsidRDefault="00000000" w:rsidP="003364D8">
      <w:pPr>
        <w:pStyle w:val="BodyText"/>
        <w:spacing w:after="40"/>
        <w:jc w:val="both"/>
      </w:pPr>
      <w:r>
        <w:rPr>
          <w:sz w:val="19"/>
        </w:rPr>
        <w:t>[13] Rose S, Borchert O, Mitchell S and Connelly S. Zero Trust Architecture. NIST Special Publication 800-207. 2020. https://doi.org/10.6028/NIST.SP.800-207</w:t>
      </w:r>
    </w:p>
    <w:p w14:paraId="543F1FC5" w14:textId="77777777" w:rsidR="006B50AE" w:rsidRDefault="00000000" w:rsidP="003364D8">
      <w:pPr>
        <w:pStyle w:val="BodyText"/>
        <w:spacing w:after="40"/>
        <w:jc w:val="both"/>
      </w:pPr>
      <w:r>
        <w:rPr>
          <w:sz w:val="19"/>
        </w:rPr>
        <w:t>[14] Bhagavad Gita 18.14. Sanskrit text and commentary by Swami Mukundananda. https://www.holy-bhagavad-gita.org/chapter/18/verse/14/</w:t>
      </w:r>
    </w:p>
    <w:p w14:paraId="14B2B763" w14:textId="77777777" w:rsidR="006B50AE" w:rsidRDefault="00000000" w:rsidP="003364D8">
      <w:pPr>
        <w:pStyle w:val="BodyText"/>
        <w:spacing w:after="40"/>
        <w:jc w:val="both"/>
      </w:pPr>
      <w:r>
        <w:rPr>
          <w:sz w:val="19"/>
        </w:rPr>
        <w:t>[15] Bhagavad Gita 18.23. Sanskrit text and commentary by Swami Mukundananda. https://www.holy-bhagavad-gita.org/chapter/18/verse/23/</w:t>
      </w:r>
    </w:p>
    <w:p w14:paraId="27321D3E" w14:textId="77777777" w:rsidR="006B50AE" w:rsidRDefault="00000000" w:rsidP="003364D8">
      <w:pPr>
        <w:pStyle w:val="BodyText"/>
        <w:spacing w:after="40"/>
        <w:jc w:val="both"/>
      </w:pPr>
      <w:r>
        <w:rPr>
          <w:sz w:val="19"/>
        </w:rPr>
        <w:t>[16] Bhagavad Gita 18.24. Sanskrit text and commentary by Swami Mukundananda. https://www.holy-bhagavad-gita.org/chapter/18/verse/24/</w:t>
      </w:r>
    </w:p>
    <w:p w14:paraId="4898A9EA" w14:textId="77777777" w:rsidR="006B50AE" w:rsidRDefault="00000000" w:rsidP="003364D8">
      <w:pPr>
        <w:pStyle w:val="BodyText"/>
        <w:spacing w:after="40"/>
        <w:jc w:val="both"/>
      </w:pPr>
      <w:r>
        <w:rPr>
          <w:sz w:val="19"/>
        </w:rPr>
        <w:t>[17] Bhagavad Gita 18.25. Sanskrit text and commentary by Swami Mukundananda. https://www.holy-bhagavad-gita.org/chapter/18/verse/25/</w:t>
      </w:r>
    </w:p>
    <w:p w14:paraId="23BB6068" w14:textId="77777777" w:rsidR="006B50AE" w:rsidRDefault="00000000" w:rsidP="003364D8">
      <w:pPr>
        <w:pStyle w:val="BodyText"/>
        <w:spacing w:after="40"/>
        <w:jc w:val="both"/>
      </w:pPr>
      <w:r>
        <w:rPr>
          <w:sz w:val="19"/>
        </w:rPr>
        <w:t>[18] Beyer B, Jones C, Petoff J and Murphy NR, eds. Site Reliability Engineering. O’Reilly, 2016. Chapter 22, Addressing Cascading Failures. https://sre.google/sre-book/addressing-cascading-failures/</w:t>
      </w:r>
    </w:p>
    <w:p w14:paraId="666E4CEC" w14:textId="77777777" w:rsidR="006B50AE" w:rsidRDefault="00000000" w:rsidP="003364D8">
      <w:pPr>
        <w:pStyle w:val="BodyText"/>
        <w:spacing w:after="40"/>
        <w:jc w:val="both"/>
      </w:pPr>
      <w:r>
        <w:rPr>
          <w:sz w:val="19"/>
        </w:rPr>
        <w:t>[19] Berman A and Plemmons RJ. Nonnegative Matrices in the Mathematical Sciences. SIAM, 1994.</w:t>
      </w:r>
    </w:p>
    <w:p w14:paraId="3089DD17" w14:textId="77777777" w:rsidR="006B50AE" w:rsidRDefault="00000000" w:rsidP="003364D8">
      <w:pPr>
        <w:pStyle w:val="BodyText"/>
        <w:spacing w:after="40"/>
        <w:jc w:val="both"/>
      </w:pPr>
      <w:r>
        <w:rPr>
          <w:sz w:val="19"/>
        </w:rPr>
        <w:t>[20] Dennis JB and Van Horn EC. Programming semantics for multiprogrammed computations. Communications of the ACM 9(3):143–155, 1966.</w:t>
      </w:r>
    </w:p>
    <w:p w14:paraId="33F38FA7" w14:textId="77777777" w:rsidR="006B50AE" w:rsidRDefault="00000000" w:rsidP="003364D8">
      <w:pPr>
        <w:pStyle w:val="BodyText"/>
        <w:spacing w:after="40"/>
        <w:jc w:val="both"/>
      </w:pPr>
      <w:r>
        <w:rPr>
          <w:sz w:val="19"/>
        </w:rPr>
        <w:t>[21] Hardy N. The Confused Deputy (or why capabilities might have been invented). ACM SIGOPS Operating Systems Review 22(4):36–38, 1988.</w:t>
      </w:r>
    </w:p>
    <w:p w14:paraId="21DABA68" w14:textId="77777777" w:rsidR="006B50AE" w:rsidRDefault="00000000" w:rsidP="003364D8">
      <w:pPr>
        <w:pStyle w:val="BodyText"/>
        <w:spacing w:after="40"/>
        <w:jc w:val="both"/>
      </w:pPr>
      <w:r>
        <w:rPr>
          <w:sz w:val="19"/>
        </w:rPr>
        <w:t>[22] Gray C and Cheriton D. Leases: an efficient fault-tolerant mechanism for distributed file cache consistency. Proceedings of the 12th ACM Symposium on Operating Systems Principles, 202–210, 1989.</w:t>
      </w:r>
    </w:p>
    <w:p w14:paraId="5F2DFF39" w14:textId="77777777" w:rsidR="006B50AE" w:rsidRDefault="00000000" w:rsidP="003364D8">
      <w:pPr>
        <w:pStyle w:val="BodyText"/>
        <w:spacing w:after="40"/>
        <w:jc w:val="both"/>
      </w:pPr>
      <w:r>
        <w:rPr>
          <w:sz w:val="19"/>
        </w:rPr>
        <w:t>[23] Athreya KB and Ney PE. Branching Processes. Springer, 1972. https://doi.org/10.1007/978-3-642-65371-1</w:t>
      </w:r>
    </w:p>
    <w:p w14:paraId="02A50693" w14:textId="77777777" w:rsidR="006B50AE" w:rsidRDefault="00000000" w:rsidP="003364D8">
      <w:pPr>
        <w:pStyle w:val="BodyText"/>
        <w:spacing w:after="40"/>
        <w:jc w:val="both"/>
      </w:pPr>
      <w:r>
        <w:rPr>
          <w:sz w:val="19"/>
        </w:rPr>
        <w:t>[24] Bhagavad Gita 16.21. Sanskrit text and commentary by Swami Mukundananda. https://www.holy-bhagavad-gita.org/chapter/16/verse/21/</w:t>
      </w:r>
    </w:p>
    <w:p w14:paraId="0FF9F937" w14:textId="77777777" w:rsidR="006B50AE" w:rsidRDefault="00000000" w:rsidP="003364D8">
      <w:pPr>
        <w:pStyle w:val="Heading11"/>
        <w:pageBreakBefore/>
        <w:jc w:val="both"/>
      </w:pPr>
      <w:bookmarkStart w:id="41" w:name="X74a77eab4e43b49ea6a5715e2c82e318d72e987"/>
      <w:bookmarkEnd w:id="40"/>
      <w:r>
        <w:lastRenderedPageBreak/>
        <w:t>Appendix A Reference kernel and atomic commitment</w:t>
      </w:r>
    </w:p>
    <w:p w14:paraId="03DA7539" w14:textId="77777777" w:rsidR="006B50AE" w:rsidRDefault="00000000" w:rsidP="003364D8">
      <w:pPr>
        <w:pStyle w:val="FirstParagraph"/>
        <w:jc w:val="both"/>
      </w:pPr>
      <w:r>
        <w:t>The corrected C# kernel uses immutable ledger snapshots with restricted construction, checked integer arithmetic and explicit input validation. Returning root funds to root is a no-op; previously that path overwrote the debit with a credit and increased the balance. The reference binding-index function rejects invalid matrices and checks a positive contraction witness after solving. The critical branching case returns extinction probability one directly.</w:t>
      </w:r>
    </w:p>
    <w:p w14:paraId="6ECFC5B3" w14:textId="77777777" w:rsidR="006B50AE" w:rsidRDefault="00000000" w:rsidP="003364D8">
      <w:pPr>
        <w:pStyle w:val="BodyText"/>
        <w:jc w:val="both"/>
      </w:pPr>
      <w:r>
        <w:t>Immutability supports safe state transitions but does not commit them atomically. The small LedgerStore demonstrates one in-process linearisation point. It is not a distributed or durable accounting implementation and does not authenticate callers. Capability values model scope and expiry; their public representation is not an unforgeable security token. A host must authenticate the grant chain and enforce audience, replay, revocation and current policy independently. These are explicit implementation boundaries of the proved models.</w:t>
      </w:r>
    </w:p>
    <w:p w14:paraId="33E0547F" w14:textId="77777777" w:rsidR="006B50AE" w:rsidRDefault="00000000" w:rsidP="005B649B">
      <w:pPr>
        <w:pStyle w:val="SourceCode"/>
        <w:spacing w:after="0"/>
      </w:pPr>
      <w:r>
        <w:rPr>
          <w:rStyle w:val="VerbatimChar"/>
          <w:rFonts w:ascii="Liberation Mono" w:hAnsi="Liberation Mono"/>
        </w:rPr>
        <w:t>// Immutable mathematical reference kernel. The host owns grants and storage.</w:t>
      </w:r>
      <w:r>
        <w:rPr>
          <w:rFonts w:ascii="Liberation Mono" w:hAnsi="Liberation Mono"/>
          <w:sz w:val="16"/>
        </w:rPr>
        <w:br/>
      </w:r>
      <w:r>
        <w:rPr>
          <w:rStyle w:val="VerbatimChar"/>
          <w:rFonts w:ascii="Liberation Mono" w:hAnsi="Liberation Mono"/>
        </w:rPr>
        <w:t>using System;</w:t>
      </w:r>
      <w:r>
        <w:rPr>
          <w:rFonts w:ascii="Liberation Mono" w:hAnsi="Liberation Mono"/>
          <w:sz w:val="16"/>
        </w:rPr>
        <w:br/>
      </w:r>
      <w:r>
        <w:rPr>
          <w:rStyle w:val="VerbatimChar"/>
          <w:rFonts w:ascii="Liberation Mono" w:hAnsi="Liberation Mono"/>
        </w:rPr>
        <w:t>using System.Collections.Immutable;</w:t>
      </w:r>
      <w:r>
        <w:rPr>
          <w:rFonts w:ascii="Liberation Mono" w:hAnsi="Liberation Mono"/>
          <w:sz w:val="16"/>
        </w:rPr>
        <w:br/>
      </w:r>
      <w:r>
        <w:rPr>
          <w:rStyle w:val="VerbatimChar"/>
          <w:rFonts w:ascii="Liberation Mono" w:hAnsi="Liberation Mono"/>
        </w:rPr>
        <w:t>using System.Linq;</w:t>
      </w:r>
      <w:r>
        <w:rPr>
          <w:rFonts w:ascii="Liberation Mono" w:hAnsi="Liberation Mono"/>
          <w:sz w:val="16"/>
        </w:rPr>
        <w:br/>
      </w:r>
      <w:r>
        <w:rPr>
          <w:rStyle w:val="VerbatimChar"/>
          <w:rFonts w:ascii="Liberation Mono" w:hAnsi="Liberation Mono"/>
        </w:rPr>
        <w:t>namespace Governance;</w:t>
      </w:r>
      <w:r>
        <w:rPr>
          <w:rFonts w:ascii="Liberation Mono" w:hAnsi="Liberation Mono"/>
          <w:sz w:val="16"/>
        </w:rPr>
        <w:br/>
      </w:r>
      <w:r>
        <w:rPr>
          <w:rStyle w:val="VerbatimChar"/>
          <w:rFonts w:ascii="Liberation Mono" w:hAnsi="Liberation Mono"/>
        </w:rPr>
        <w:t>// Construction is restricted to validated transitions. Public code cannot</w:t>
      </w:r>
      <w:r>
        <w:rPr>
          <w:rFonts w:ascii="Liberation Mono" w:hAnsi="Liberation Mono"/>
          <w:sz w:val="16"/>
        </w:rPr>
        <w:br/>
      </w:r>
      <w:r>
        <w:rPr>
          <w:rStyle w:val="VerbatimChar"/>
          <w:rFonts w:ascii="Liberation Mono" w:hAnsi="Liberation Mono"/>
        </w:rPr>
        <w:t>// construct or 'with' an arbitrary balance state.</w:t>
      </w:r>
      <w:r>
        <w:rPr>
          <w:rFonts w:ascii="Liberation Mono" w:hAnsi="Liberation Mono"/>
          <w:sz w:val="16"/>
        </w:rPr>
        <w:br/>
      </w:r>
      <w:r>
        <w:rPr>
          <w:rStyle w:val="VerbatimChar"/>
          <w:rFonts w:ascii="Liberation Mono" w:hAnsi="Liberation Mono"/>
        </w:rPr>
        <w:t>public sealed class Ledger</w:t>
      </w:r>
      <w:r>
        <w:rPr>
          <w:rFonts w:ascii="Liberation Mono" w:hAnsi="Liberation Mono"/>
          <w:sz w:val="16"/>
        </w:rPr>
        <w:br/>
      </w:r>
      <w:r>
        <w:rPr>
          <w:rStyle w:val="VerbatimChar"/>
          <w:rFonts w:ascii="Liberation Mono" w:hAnsi="Liberation Mono"/>
        </w:rPr>
        <w:t>{</w:t>
      </w:r>
      <w:r>
        <w:rPr>
          <w:rFonts w:ascii="Liberation Mono" w:hAnsi="Liberation Mono"/>
          <w:sz w:val="16"/>
        </w:rPr>
        <w:br/>
      </w:r>
      <w:r>
        <w:rPr>
          <w:rStyle w:val="VerbatimChar"/>
          <w:rFonts w:ascii="Liberation Mono" w:hAnsi="Liberation Mono"/>
        </w:rPr>
        <w:t xml:space="preserve">    public ImmutableDictionary&lt;string, long&gt; Balances { get; }</w:t>
      </w:r>
      <w:r>
        <w:rPr>
          <w:rFonts w:ascii="Liberation Mono" w:hAnsi="Liberation Mono"/>
          <w:sz w:val="16"/>
        </w:rPr>
        <w:br/>
      </w:r>
      <w:r>
        <w:rPr>
          <w:rStyle w:val="VerbatimChar"/>
          <w:rFonts w:ascii="Liberation Mono" w:hAnsi="Liberation Mono"/>
        </w:rPr>
        <w:t xml:space="preserve">    public long Expended { get; }</w:t>
      </w:r>
      <w:r>
        <w:rPr>
          <w:rFonts w:ascii="Liberation Mono" w:hAnsi="Liberation Mono"/>
          <w:sz w:val="16"/>
        </w:rPr>
        <w:br/>
      </w:r>
      <w:r>
        <w:rPr>
          <w:rStyle w:val="VerbatimChar"/>
          <w:rFonts w:ascii="Liberation Mono" w:hAnsi="Liberation Mono"/>
        </w:rPr>
        <w:t xml:space="preserve">    public long Budget { get; }</w:t>
      </w:r>
      <w:r>
        <w:rPr>
          <w:rFonts w:ascii="Liberation Mono" w:hAnsi="Liberation Mono"/>
          <w:sz w:val="16"/>
        </w:rPr>
        <w:br/>
      </w:r>
      <w:r>
        <w:rPr>
          <w:rStyle w:val="VerbatimChar"/>
          <w:rFonts w:ascii="Liberation Mono" w:hAnsi="Liberation Mono"/>
        </w:rPr>
        <w:t xml:space="preserve">    private Ledger(ImmutableDictionary&lt;string, long&gt; b, long e, long budget)</w:t>
      </w:r>
      <w:r>
        <w:rPr>
          <w:rFonts w:ascii="Liberation Mono" w:hAnsi="Liberation Mono"/>
          <w:sz w:val="16"/>
        </w:rPr>
        <w:br/>
      </w:r>
      <w:r>
        <w:rPr>
          <w:rStyle w:val="VerbatimChar"/>
          <w:rFonts w:ascii="Liberation Mono" w:hAnsi="Liberation Mono"/>
        </w:rPr>
        <w:t xml:space="preserve">        =&gt; (Balances, Expended, Budget) = (b, e, budget);</w:t>
      </w:r>
      <w:r>
        <w:rPr>
          <w:rFonts w:ascii="Liberation Mono" w:hAnsi="Liberation Mono"/>
          <w:sz w:val="16"/>
        </w:rPr>
        <w:br/>
      </w:r>
      <w:r>
        <w:rPr>
          <w:rStyle w:val="VerbatimChar"/>
          <w:rFonts w:ascii="Liberation Mono" w:hAnsi="Liberation Mono"/>
        </w:rPr>
        <w:t xml:space="preserve">    public static Ledger Open(long budget)</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(budget &lt; 0) throw new ArgumentOutOfRangeException(nameof(budget));</w:t>
      </w:r>
      <w:r>
        <w:rPr>
          <w:rFonts w:ascii="Liberation Mono" w:hAnsi="Liberation Mono"/>
          <w:sz w:val="16"/>
        </w:rPr>
        <w:br/>
      </w:r>
      <w:r>
        <w:rPr>
          <w:rStyle w:val="VerbatimChar"/>
          <w:rFonts w:ascii="Liberation Mono" w:hAnsi="Liberation Mono"/>
        </w:rPr>
        <w:t xml:space="preserve">        return new(ImmutableDictionary&lt;string, long&gt;.Empty.Add("root", budget), 0, budget);</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long Bal(string k) =&gt; Balances.TryGetValue(k, out var b) ? b : 0;</w:t>
      </w:r>
      <w:r>
        <w:rPr>
          <w:rFonts w:ascii="Liberation Mono" w:hAnsi="Liberation Mono"/>
          <w:sz w:val="16"/>
        </w:rPr>
        <w:br/>
      </w:r>
      <w:r>
        <w:rPr>
          <w:rStyle w:val="VerbatimChar"/>
          <w:rFonts w:ascii="Liberation Mono" w:hAnsi="Liberation Mono"/>
        </w:rPr>
        <w:t xml:space="preserve">    public (Ledger Next, bool Ok) Spend(string k, long c)</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(c &lt; 0 || !Balances.ContainsKey(k) || Bal(k) &lt; c) return (this, false);</w:t>
      </w:r>
      <w:r>
        <w:rPr>
          <w:rFonts w:ascii="Liberation Mono" w:hAnsi="Liberation Mono"/>
          <w:sz w:val="16"/>
        </w:rPr>
        <w:br/>
      </w:r>
      <w:r>
        <w:rPr>
          <w:rStyle w:val="VerbatimChar"/>
          <w:rFonts w:ascii="Liberation Mono" w:hAnsi="Liberation Mono"/>
        </w:rPr>
        <w:t xml:space="preserve">        return (new(Balances.SetItem(k, Bal(k) - c), checked(Expended + c), Budget), true);</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(Ledger Next, bool Ok) Delegate(string k, string child, long c)</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(c &lt; 0 || k == child || !Balances.ContainsKey(k) || Bal(k) &lt; c)</w:t>
      </w:r>
      <w:r>
        <w:rPr>
          <w:rFonts w:ascii="Liberation Mono" w:hAnsi="Liberation Mono"/>
          <w:sz w:val="16"/>
        </w:rPr>
        <w:br/>
      </w:r>
      <w:r>
        <w:rPr>
          <w:rStyle w:val="VerbatimChar"/>
          <w:rFonts w:ascii="Liberation Mono" w:hAnsi="Liberation Mono"/>
        </w:rPr>
        <w:t xml:space="preserve">            return (this, false);</w:t>
      </w:r>
      <w:r>
        <w:rPr>
          <w:rFonts w:ascii="Liberation Mono" w:hAnsi="Liberation Mono"/>
          <w:sz w:val="16"/>
        </w:rPr>
        <w:br/>
      </w:r>
      <w:r>
        <w:rPr>
          <w:rStyle w:val="VerbatimChar"/>
          <w:rFonts w:ascii="Liberation Mono" w:hAnsi="Liberation Mono"/>
        </w:rPr>
        <w:t xml:space="preserve">        var b = Balances.SetItem(k, Bal(k) - c)</w:t>
      </w:r>
      <w:r>
        <w:rPr>
          <w:rFonts w:ascii="Liberation Mono" w:hAnsi="Liberation Mono"/>
          <w:sz w:val="16"/>
        </w:rPr>
        <w:br/>
      </w:r>
      <w:r>
        <w:rPr>
          <w:rStyle w:val="VerbatimChar"/>
          <w:rFonts w:ascii="Liberation Mono" w:hAnsi="Liberation Mono"/>
        </w:rPr>
        <w:t xml:space="preserve">                        .SetItem(child, checked(Bal(child) + c));</w:t>
      </w:r>
      <w:r>
        <w:rPr>
          <w:rFonts w:ascii="Liberation Mono" w:hAnsi="Liberation Mono"/>
          <w:sz w:val="16"/>
        </w:rPr>
        <w:br/>
      </w:r>
      <w:r>
        <w:rPr>
          <w:rStyle w:val="VerbatimChar"/>
          <w:rFonts w:ascii="Liberation Mono" w:hAnsi="Liberation Mono"/>
        </w:rPr>
        <w:t xml:space="preserve">        return (new(b, Expended, Budget), true);</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Ledger Release(string k, long c)</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(c &lt; 0) throw new ArgumentOutOfRangeException(nameof(c));</w:t>
      </w:r>
      <w:r>
        <w:rPr>
          <w:rFonts w:ascii="Liberation Mono" w:hAnsi="Liberation Mono"/>
          <w:sz w:val="16"/>
        </w:rPr>
        <w:br/>
      </w:r>
      <w:r>
        <w:rPr>
          <w:rStyle w:val="VerbatimChar"/>
          <w:rFonts w:ascii="Liberation Mono" w:hAnsi="Liberation Mono"/>
        </w:rPr>
        <w:t xml:space="preserve">        if (k == "root" || !Balances.ContainsKey(k)) return this;</w:t>
      </w:r>
      <w:r>
        <w:rPr>
          <w:rFonts w:ascii="Liberation Mono" w:hAnsi="Liberation Mono"/>
          <w:sz w:val="16"/>
        </w:rPr>
        <w:br/>
      </w:r>
      <w:r>
        <w:rPr>
          <w:rStyle w:val="VerbatimChar"/>
          <w:rFonts w:ascii="Liberation Mono" w:hAnsi="Liberation Mono"/>
        </w:rPr>
        <w:t xml:space="preserve">        long r = Math.Min(c, Bal(k));</w:t>
      </w:r>
      <w:r>
        <w:rPr>
          <w:rFonts w:ascii="Liberation Mono" w:hAnsi="Liberation Mono"/>
          <w:sz w:val="16"/>
        </w:rPr>
        <w:br/>
      </w:r>
      <w:r>
        <w:rPr>
          <w:rStyle w:val="VerbatimChar"/>
          <w:rFonts w:ascii="Liberation Mono" w:hAnsi="Liberation Mono"/>
        </w:rPr>
        <w:t xml:space="preserve">        return new(Balances.SetItem(k, Bal(k) - r)</w:t>
      </w:r>
      <w:r>
        <w:rPr>
          <w:rFonts w:ascii="Liberation Mono" w:hAnsi="Liberation Mono"/>
          <w:sz w:val="16"/>
        </w:rPr>
        <w:br/>
      </w:r>
      <w:r>
        <w:rPr>
          <w:rStyle w:val="VerbatimChar"/>
          <w:rFonts w:ascii="Liberation Mono" w:hAnsi="Liberation Mono"/>
        </w:rPr>
        <w:t xml:space="preserve">                    .SetItem("root", checked(Bal("root") + r)), Expended, Budget);</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long Total =&gt; checked(Expended + Balances.Values.Sum());</w:t>
      </w:r>
      <w:r>
        <w:rPr>
          <w:rFonts w:ascii="Liberation Mono" w:hAnsi="Liberation Mono"/>
          <w:sz w:val="16"/>
        </w:rPr>
        <w:br/>
      </w:r>
      <w:r>
        <w:rPr>
          <w:rStyle w:val="VerbatimChar"/>
          <w:rFonts w:ascii="Liberation Mono" w:hAnsi="Liberation Mono"/>
        </w:rPr>
        <w:t>}</w:t>
      </w:r>
      <w:r>
        <w:rPr>
          <w:rFonts w:ascii="Liberation Mono" w:hAnsi="Liberation Mono"/>
          <w:sz w:val="16"/>
        </w:rPr>
        <w:br/>
      </w:r>
      <w:r>
        <w:rPr>
          <w:rStyle w:val="VerbatimChar"/>
          <w:rFonts w:ascii="Liberation Mono" w:hAnsi="Liberation Mono"/>
        </w:rPr>
        <w:t>// One process example of a linearisation point. Distributed deployments</w:t>
      </w:r>
      <w:r>
        <w:rPr>
          <w:rFonts w:ascii="Liberation Mono" w:hAnsi="Liberation Mono"/>
          <w:sz w:val="16"/>
        </w:rPr>
        <w:br/>
      </w:r>
      <w:r>
        <w:rPr>
          <w:rStyle w:val="VerbatimChar"/>
          <w:rFonts w:ascii="Liberation Mono" w:hAnsi="Liberation Mono"/>
        </w:rPr>
        <w:t>// require transactional storage or equivalent compare-and-swap and fencing.</w:t>
      </w:r>
      <w:r>
        <w:rPr>
          <w:rFonts w:ascii="Liberation Mono" w:hAnsi="Liberation Mono"/>
          <w:sz w:val="16"/>
        </w:rPr>
        <w:br/>
      </w:r>
      <w:r>
        <w:rPr>
          <w:rStyle w:val="VerbatimChar"/>
          <w:rFonts w:ascii="Liberation Mono" w:hAnsi="Liberation Mono"/>
        </w:rPr>
        <w:t>public sealed class LedgerStore</w:t>
      </w:r>
      <w:r>
        <w:rPr>
          <w:rFonts w:ascii="Liberation Mono" w:hAnsi="Liberation Mono"/>
          <w:sz w:val="16"/>
        </w:rPr>
        <w:br/>
      </w:r>
      <w:r>
        <w:rPr>
          <w:rStyle w:val="VerbatimChar"/>
          <w:rFonts w:ascii="Liberation Mono" w:hAnsi="Liberation Mono"/>
        </w:rPr>
        <w:t>{</w:t>
      </w:r>
      <w:r>
        <w:rPr>
          <w:rFonts w:ascii="Liberation Mono" w:hAnsi="Liberation Mono"/>
          <w:sz w:val="16"/>
        </w:rPr>
        <w:br/>
      </w:r>
      <w:r>
        <w:rPr>
          <w:rStyle w:val="VerbatimChar"/>
          <w:rFonts w:ascii="Liberation Mono" w:hAnsi="Liberation Mono"/>
        </w:rPr>
        <w:t xml:space="preserve">    readonly object gate = new();</w:t>
      </w:r>
      <w:r>
        <w:rPr>
          <w:rFonts w:ascii="Liberation Mono" w:hAnsi="Liberation Mono"/>
          <w:sz w:val="16"/>
        </w:rPr>
        <w:br/>
      </w:r>
      <w:r>
        <w:rPr>
          <w:rStyle w:val="VerbatimChar"/>
          <w:rFonts w:ascii="Liberation Mono" w:hAnsi="Liberation Mono"/>
        </w:rPr>
        <w:t xml:space="preserve">    Ledger state;</w:t>
      </w:r>
      <w:r>
        <w:rPr>
          <w:rFonts w:ascii="Liberation Mono" w:hAnsi="Liberation Mono"/>
          <w:sz w:val="16"/>
        </w:rPr>
        <w:br/>
      </w:r>
      <w:r>
        <w:rPr>
          <w:rStyle w:val="VerbatimChar"/>
          <w:rFonts w:ascii="Liberation Mono" w:hAnsi="Liberation Mono"/>
        </w:rPr>
        <w:t xml:space="preserve">    public LedgerStore(long budget) =&gt; state = Ledger.Open(budget);</w:t>
      </w:r>
      <w:r>
        <w:rPr>
          <w:rFonts w:ascii="Liberation Mono" w:hAnsi="Liberation Mono"/>
          <w:sz w:val="16"/>
        </w:rPr>
        <w:br/>
      </w:r>
      <w:r>
        <w:rPr>
          <w:rStyle w:val="VerbatimChar"/>
          <w:rFonts w:ascii="Liberation Mono" w:hAnsi="Liberation Mono"/>
        </w:rPr>
        <w:lastRenderedPageBreak/>
        <w:t xml:space="preserve">    public Ledger Snapshot { get { lock (gate) return state; } }</w:t>
      </w:r>
      <w:r>
        <w:rPr>
          <w:rFonts w:ascii="Liberation Mono" w:hAnsi="Liberation Mono"/>
          <w:sz w:val="16"/>
        </w:rPr>
        <w:br/>
      </w:r>
      <w:r>
        <w:rPr>
          <w:rStyle w:val="VerbatimChar"/>
          <w:rFonts w:ascii="Liberation Mono" w:hAnsi="Liberation Mono"/>
        </w:rPr>
        <w:t xml:space="preserve">    public bool TrySpend(string account, long cost)</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lock (gate)</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var (next, ok) = state.Spend(account, cost);</w:t>
      </w:r>
      <w:r>
        <w:rPr>
          <w:rFonts w:ascii="Liberation Mono" w:hAnsi="Liberation Mono"/>
          <w:sz w:val="16"/>
        </w:rPr>
        <w:br/>
      </w:r>
      <w:r>
        <w:rPr>
          <w:rStyle w:val="VerbatimChar"/>
          <w:rFonts w:ascii="Liberation Mono" w:hAnsi="Liberation Mono"/>
        </w:rPr>
        <w:t xml:space="preserve">            if (ok) state = next;</w:t>
      </w:r>
      <w:r>
        <w:rPr>
          <w:rFonts w:ascii="Liberation Mono" w:hAnsi="Liberation Mono"/>
          <w:sz w:val="16"/>
        </w:rPr>
        <w:br/>
      </w:r>
      <w:r>
        <w:rPr>
          <w:rStyle w:val="VerbatimChar"/>
          <w:rFonts w:ascii="Liberation Mono" w:hAnsi="Liberation Mono"/>
        </w:rPr>
        <w:t xml:space="preserve">            return ok;</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w:t>
      </w:r>
      <w:r>
        <w:rPr>
          <w:rFonts w:ascii="Liberation Mono" w:hAnsi="Liberation Mono"/>
          <w:sz w:val="16"/>
        </w:rPr>
        <w:br/>
      </w:r>
      <w:r>
        <w:rPr>
          <w:rStyle w:val="VerbatimChar"/>
          <w:rFonts w:ascii="Liberation Mono" w:hAnsi="Liberation Mono"/>
        </w:rPr>
        <w:t>// A mathematical grant value, not an unforgeable credential. The trusted</w:t>
      </w:r>
      <w:r>
        <w:rPr>
          <w:rFonts w:ascii="Liberation Mono" w:hAnsi="Liberation Mono"/>
          <w:sz w:val="16"/>
        </w:rPr>
        <w:br/>
      </w:r>
      <w:r>
        <w:rPr>
          <w:rStyle w:val="VerbatimChar"/>
          <w:rFonts w:ascii="Liberation Mono" w:hAnsi="Liberation Mono"/>
        </w:rPr>
        <w:t>// issuer and reference monitor must authenticate its lineage and audience.</w:t>
      </w:r>
      <w:r>
        <w:rPr>
          <w:rFonts w:ascii="Liberation Mono" w:hAnsi="Liberation Mono"/>
          <w:sz w:val="16"/>
        </w:rPr>
        <w:br/>
      </w:r>
      <w:r>
        <w:rPr>
          <w:rStyle w:val="VerbatimChar"/>
          <w:rFonts w:ascii="Liberation Mono" w:hAnsi="Liberation Mono"/>
        </w:rPr>
        <w:t>public sealed record Capability(ImmutableSortedSet&lt;int&gt; Scope, double Expiry)</w:t>
      </w:r>
      <w:r>
        <w:rPr>
          <w:rFonts w:ascii="Liberation Mono" w:hAnsi="Liberation Mono"/>
          <w:sz w:val="16"/>
        </w:rPr>
        <w:br/>
      </w:r>
      <w:r>
        <w:rPr>
          <w:rStyle w:val="VerbatimChar"/>
          <w:rFonts w:ascii="Liberation Mono" w:hAnsi="Liberation Mono"/>
        </w:rPr>
        <w:t>{</w:t>
      </w:r>
      <w:r>
        <w:rPr>
          <w:rFonts w:ascii="Liberation Mono" w:hAnsi="Liberation Mono"/>
          <w:sz w:val="16"/>
        </w:rPr>
        <w:br/>
      </w:r>
      <w:r>
        <w:rPr>
          <w:rStyle w:val="VerbatimChar"/>
          <w:rFonts w:ascii="Liberation Mono" w:hAnsi="Liberation Mono"/>
        </w:rPr>
        <w:t xml:space="preserve">    public Capability? Attenuate(ImmutableSortedSet&lt;int&gt; scope, double expiry) =&gt;</w:t>
      </w:r>
      <w:r>
        <w:rPr>
          <w:rFonts w:ascii="Liberation Mono" w:hAnsi="Liberation Mono"/>
          <w:sz w:val="16"/>
        </w:rPr>
        <w:br/>
      </w:r>
      <w:r>
        <w:rPr>
          <w:rStyle w:val="VerbatimChar"/>
          <w:rFonts w:ascii="Liberation Mono" w:hAnsi="Liberation Mono"/>
        </w:rPr>
        <w:t xml:space="preserve">        double.IsFinite(expiry) &amp;&amp; double.IsFinite(Expiry)</w:t>
      </w:r>
      <w:r>
        <w:rPr>
          <w:rFonts w:ascii="Liberation Mono" w:hAnsi="Liberation Mono"/>
          <w:sz w:val="16"/>
        </w:rPr>
        <w:br/>
      </w:r>
      <w:r>
        <w:rPr>
          <w:rStyle w:val="VerbatimChar"/>
          <w:rFonts w:ascii="Liberation Mono" w:hAnsi="Liberation Mono"/>
        </w:rPr>
        <w:t xml:space="preserve">        &amp;&amp; scope.IsSubsetOf(Scope) &amp;&amp; expiry &lt;= Expiry ? new(scope, expiry) : null;</w:t>
      </w:r>
      <w:r>
        <w:rPr>
          <w:rFonts w:ascii="Liberation Mono" w:hAnsi="Liberation Mono"/>
          <w:sz w:val="16"/>
        </w:rPr>
        <w:br/>
      </w:r>
      <w:r>
        <w:rPr>
          <w:rStyle w:val="VerbatimChar"/>
          <w:rFonts w:ascii="Liberation Mono" w:hAnsi="Liberation Mono"/>
        </w:rPr>
        <w:t xml:space="preserve">    public bool Admits(int effect, double verifierTime) =&gt;</w:t>
      </w:r>
      <w:r>
        <w:rPr>
          <w:rFonts w:ascii="Liberation Mono" w:hAnsi="Liberation Mono"/>
          <w:sz w:val="16"/>
        </w:rPr>
        <w:br/>
      </w:r>
      <w:r>
        <w:rPr>
          <w:rStyle w:val="VerbatimChar"/>
          <w:rFonts w:ascii="Liberation Mono" w:hAnsi="Liberation Mono"/>
        </w:rPr>
        <w:t xml:space="preserve">        double.IsFinite(Expiry) &amp;&amp; double.IsFinite(verifierTime)</w:t>
      </w:r>
      <w:r>
        <w:rPr>
          <w:rFonts w:ascii="Liberation Mono" w:hAnsi="Liberation Mono"/>
          <w:sz w:val="16"/>
        </w:rPr>
        <w:br/>
      </w:r>
      <w:r>
        <w:rPr>
          <w:rStyle w:val="VerbatimChar"/>
          <w:rFonts w:ascii="Liberation Mono" w:hAnsi="Liberation Mono"/>
        </w:rPr>
        <w:t xml:space="preserve">        &amp;&amp; Scope.Contains(effect) &amp;&amp; verifierTime &lt; Expiry;</w:t>
      </w:r>
      <w:r>
        <w:rPr>
          <w:rFonts w:ascii="Liberation Mono" w:hAnsi="Liberation Mono"/>
          <w:sz w:val="16"/>
        </w:rPr>
        <w:br/>
      </w:r>
      <w:r>
        <w:rPr>
          <w:rStyle w:val="VerbatimChar"/>
          <w:rFonts w:ascii="Liberation Mono" w:hAnsi="Liberation Mono"/>
        </w:rPr>
        <w:t>}</w:t>
      </w:r>
      <w:r>
        <w:rPr>
          <w:rFonts w:ascii="Liberation Mono" w:hAnsi="Liberation Mono"/>
          <w:sz w:val="16"/>
        </w:rPr>
        <w:br/>
      </w:r>
      <w:r>
        <w:rPr>
          <w:rStyle w:val="VerbatimChar"/>
          <w:rFonts w:ascii="Liberation Mono" w:hAnsi="Liberation Mono"/>
        </w:rPr>
        <w:t>public static class Kernel</w:t>
      </w:r>
      <w:r>
        <w:rPr>
          <w:rFonts w:ascii="Liberation Mono" w:hAnsi="Liberation Mono"/>
          <w:sz w:val="16"/>
        </w:rPr>
        <w:br/>
      </w:r>
      <w:r>
        <w:rPr>
          <w:rStyle w:val="VerbatimChar"/>
          <w:rFonts w:ascii="Liberation Mono" w:hAnsi="Liberation Mono"/>
        </w:rPr>
        <w:t>{</w:t>
      </w:r>
      <w:r>
        <w:rPr>
          <w:rFonts w:ascii="Liberation Mono" w:hAnsi="Liberation Mono"/>
          <w:sz w:val="16"/>
        </w:rPr>
        <w:br/>
      </w:r>
      <w:r>
        <w:rPr>
          <w:rStyle w:val="VerbatimChar"/>
          <w:rFonts w:ascii="Liberation Mono" w:hAnsi="Liberation Mono"/>
        </w:rPr>
        <w:t xml:space="preserve">    static void Prob(double x)</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(!double.IsFinite(x) || x &lt; 0 || x &gt; 1)</w:t>
      </w:r>
      <w:r>
        <w:rPr>
          <w:rFonts w:ascii="Liberation Mono" w:hAnsi="Liberation Mono"/>
          <w:sz w:val="16"/>
        </w:rPr>
        <w:br/>
      </w:r>
      <w:r>
        <w:rPr>
          <w:rStyle w:val="VerbatimChar"/>
          <w:rFonts w:ascii="Liberation Mono" w:hAnsi="Liberation Mono"/>
        </w:rPr>
        <w:t xml:space="preserve">            throw new ArgumentOutOfRangeException(nameof(x));</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 Solve (I-A)y=1, then check positivity, contraction and residual.</w:t>
      </w:r>
      <w:r>
        <w:rPr>
          <w:rFonts w:ascii="Liberation Mono" w:hAnsi="Liberation Mono"/>
          <w:sz w:val="16"/>
        </w:rPr>
        <w:br/>
      </w:r>
      <w:r>
        <w:rPr>
          <w:rStyle w:val="VerbatimChar"/>
          <w:rFonts w:ascii="Liberation Mono" w:hAnsi="Liberation Mono"/>
        </w:rPr>
        <w:t xml:space="preserve">    // This floating-point diagnostic is not a formal numerical certificate.</w:t>
      </w:r>
      <w:r>
        <w:rPr>
          <w:rFonts w:ascii="Liberation Mono" w:hAnsi="Liberation Mono"/>
          <w:sz w:val="16"/>
        </w:rPr>
        <w:br/>
      </w:r>
      <w:r>
        <w:rPr>
          <w:rStyle w:val="VerbatimChar"/>
          <w:rFonts w:ascii="Liberation Mono" w:hAnsi="Liberation Mono"/>
        </w:rPr>
        <w:t xml:space="preserve">    public static double BindingIndex(ImmutableArray&lt;ImmutableArray&lt;double&gt;&gt; a)</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int n = a.Length;</w:t>
      </w:r>
      <w:r>
        <w:rPr>
          <w:rFonts w:ascii="Liberation Mono" w:hAnsi="Liberation Mono"/>
          <w:sz w:val="16"/>
        </w:rPr>
        <w:br/>
      </w:r>
      <w:r>
        <w:rPr>
          <w:rStyle w:val="VerbatimChar"/>
          <w:rFonts w:ascii="Liberation Mono" w:hAnsi="Liberation Mono"/>
        </w:rPr>
        <w:t xml:space="preserve">        if (n == 0 || a.Any(row =&gt; row.Length != n)</w:t>
      </w:r>
      <w:r>
        <w:rPr>
          <w:rFonts w:ascii="Liberation Mono" w:hAnsi="Liberation Mono"/>
          <w:sz w:val="16"/>
        </w:rPr>
        <w:br/>
      </w:r>
      <w:r>
        <w:rPr>
          <w:rStyle w:val="VerbatimChar"/>
          <w:rFonts w:ascii="Liberation Mono" w:hAnsi="Liberation Mono"/>
        </w:rPr>
        <w:t xml:space="preserve">            || a.Any(row =&gt; row.Any(x =&gt; !double.IsFinite(x) || x &lt; 0)))</w:t>
      </w:r>
      <w:r>
        <w:rPr>
          <w:rFonts w:ascii="Liberation Mono" w:hAnsi="Liberation Mono"/>
          <w:sz w:val="16"/>
        </w:rPr>
        <w:br/>
      </w:r>
      <w:r>
        <w:rPr>
          <w:rStyle w:val="VerbatimChar"/>
          <w:rFonts w:ascii="Liberation Mono" w:hAnsi="Liberation Mono"/>
        </w:rPr>
        <w:t xml:space="preserve">            throw new ArgumentException("A must be finite square and nonnegative");</w:t>
      </w:r>
      <w:r>
        <w:rPr>
          <w:rFonts w:ascii="Liberation Mono" w:hAnsi="Liberation Mono"/>
          <w:sz w:val="16"/>
        </w:rPr>
        <w:br/>
      </w:r>
      <w:r>
        <w:rPr>
          <w:rStyle w:val="VerbatimChar"/>
          <w:rFonts w:ascii="Liberation Mono" w:hAnsi="Liberation Mono"/>
        </w:rPr>
        <w:t xml:space="preserve">        var m = new double[n, n + 1];</w:t>
      </w:r>
      <w:r>
        <w:rPr>
          <w:rFonts w:ascii="Liberation Mono" w:hAnsi="Liberation Mono"/>
          <w:sz w:val="16"/>
        </w:rPr>
        <w:br/>
      </w:r>
      <w:r>
        <w:rPr>
          <w:rStyle w:val="VerbatimChar"/>
          <w:rFonts w:ascii="Liberation Mono" w:hAnsi="Liberation Mono"/>
        </w:rPr>
        <w:t xml:space="preserve">        for (int i = 0; i &lt; n; i++)</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for (int j = 0; j &lt; n; j++) m[i, j] = (i == j ? 1 : 0) - a[i][j];</w:t>
      </w:r>
      <w:r>
        <w:rPr>
          <w:rFonts w:ascii="Liberation Mono" w:hAnsi="Liberation Mono"/>
          <w:sz w:val="16"/>
        </w:rPr>
        <w:br/>
      </w:r>
      <w:r>
        <w:rPr>
          <w:rStyle w:val="VerbatimChar"/>
          <w:rFonts w:ascii="Liberation Mono" w:hAnsi="Liberation Mono"/>
        </w:rPr>
        <w:t xml:space="preserve">            m[i, n] = 1;</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for (int c = 0; c &lt; n; c++)</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int piv = Enumerable.Range(c, n - c)</w:t>
      </w:r>
      <w:r>
        <w:rPr>
          <w:rFonts w:ascii="Liberation Mono" w:hAnsi="Liberation Mono"/>
          <w:sz w:val="16"/>
        </w:rPr>
        <w:br/>
      </w:r>
      <w:r>
        <w:rPr>
          <w:rStyle w:val="VerbatimChar"/>
          <w:rFonts w:ascii="Liberation Mono" w:hAnsi="Liberation Mono"/>
        </w:rPr>
        <w:t xml:space="preserve">                .OrderByDescending(r =&gt; Math.Abs(m[r, c])).First();</w:t>
      </w:r>
      <w:r>
        <w:rPr>
          <w:rFonts w:ascii="Liberation Mono" w:hAnsi="Liberation Mono"/>
          <w:sz w:val="16"/>
        </w:rPr>
        <w:br/>
      </w:r>
      <w:r>
        <w:rPr>
          <w:rStyle w:val="VerbatimChar"/>
          <w:rFonts w:ascii="Liberation Mono" w:hAnsi="Liberation Mono"/>
        </w:rPr>
        <w:t xml:space="preserve">            if (Math.Abs(m[piv, c]) &lt; 1e-12) throw new ArgumentException("Singular or ill-conditioned");</w:t>
      </w:r>
      <w:r>
        <w:rPr>
          <w:rFonts w:ascii="Liberation Mono" w:hAnsi="Liberation Mono"/>
          <w:sz w:val="16"/>
        </w:rPr>
        <w:br/>
      </w:r>
      <w:r>
        <w:rPr>
          <w:rStyle w:val="VerbatimChar"/>
          <w:rFonts w:ascii="Liberation Mono" w:hAnsi="Liberation Mono"/>
        </w:rPr>
        <w:t xml:space="preserve">            for (int j = 0; j &lt;= n; j++)</w:t>
      </w:r>
      <w:r>
        <w:rPr>
          <w:rFonts w:ascii="Liberation Mono" w:hAnsi="Liberation Mono"/>
          <w:sz w:val="16"/>
        </w:rPr>
        <w:br/>
      </w:r>
      <w:r>
        <w:rPr>
          <w:rStyle w:val="VerbatimChar"/>
          <w:rFonts w:ascii="Liberation Mono" w:hAnsi="Liberation Mono"/>
        </w:rPr>
        <w:t xml:space="preserve">                (m[c, j], m[piv, j]) = (m[piv, j], m[c, j]);</w:t>
      </w:r>
      <w:r>
        <w:rPr>
          <w:rFonts w:ascii="Liberation Mono" w:hAnsi="Liberation Mono"/>
          <w:sz w:val="16"/>
        </w:rPr>
        <w:br/>
      </w:r>
      <w:r>
        <w:rPr>
          <w:rStyle w:val="VerbatimChar"/>
          <w:rFonts w:ascii="Liberation Mono" w:hAnsi="Liberation Mono"/>
        </w:rPr>
        <w:t xml:space="preserve">            for (int r = 0; r &lt; n; r++)</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(r == c) continue;</w:t>
      </w:r>
      <w:r>
        <w:rPr>
          <w:rFonts w:ascii="Liberation Mono" w:hAnsi="Liberation Mono"/>
          <w:sz w:val="16"/>
        </w:rPr>
        <w:br/>
      </w:r>
      <w:r>
        <w:rPr>
          <w:rStyle w:val="VerbatimChar"/>
          <w:rFonts w:ascii="Liberation Mono" w:hAnsi="Liberation Mono"/>
        </w:rPr>
        <w:t xml:space="preserve">                double f = m[r, c] / m[c, c];</w:t>
      </w:r>
      <w:r>
        <w:rPr>
          <w:rFonts w:ascii="Liberation Mono" w:hAnsi="Liberation Mono"/>
          <w:sz w:val="16"/>
        </w:rPr>
        <w:br/>
      </w:r>
      <w:r>
        <w:rPr>
          <w:rStyle w:val="VerbatimChar"/>
          <w:rFonts w:ascii="Liberation Mono" w:hAnsi="Liberation Mono"/>
        </w:rPr>
        <w:t xml:space="preserve">                for (int j = c; j &lt;= n; j++) m[r, j] -= f * m[c, j];</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var y = Enumerable.Range(0, n).Select(i =&gt; m[i, n] / m[i, i]).ToArray();</w:t>
      </w:r>
      <w:r>
        <w:rPr>
          <w:rFonts w:ascii="Liberation Mono" w:hAnsi="Liberation Mono"/>
          <w:sz w:val="16"/>
        </w:rPr>
        <w:br/>
      </w:r>
      <w:r>
        <w:rPr>
          <w:rStyle w:val="VerbatimChar"/>
          <w:rFonts w:ascii="Liberation Mono" w:hAnsi="Liberation Mono"/>
        </w:rPr>
        <w:t xml:space="preserve">        if (y.Any(x =&gt; !double.IsFinite(x) || x &lt;= 0))</w:t>
      </w:r>
      <w:r>
        <w:rPr>
          <w:rFonts w:ascii="Liberation Mono" w:hAnsi="Liberation Mono"/>
          <w:sz w:val="16"/>
        </w:rPr>
        <w:br/>
      </w:r>
      <w:r>
        <w:rPr>
          <w:rStyle w:val="VerbatimChar"/>
          <w:rFonts w:ascii="Liberation Mono" w:hAnsi="Liberation Mono"/>
        </w:rPr>
        <w:t xml:space="preserve">            throw new ArgumentException("No positive stability witness");</w:t>
      </w:r>
      <w:r>
        <w:rPr>
          <w:rFonts w:ascii="Liberation Mono" w:hAnsi="Liberation Mono"/>
          <w:sz w:val="16"/>
        </w:rPr>
        <w:br/>
      </w:r>
      <w:r>
        <w:rPr>
          <w:rStyle w:val="VerbatimChar"/>
          <w:rFonts w:ascii="Liberation Mono" w:hAnsi="Liberation Mono"/>
        </w:rPr>
        <w:t xml:space="preserve">        for (int i = 0; i &lt; n; i++)</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double ay = Enumerable.Range(0, n).Sum(j =&gt; a[i][j] * y[j]);</w:t>
      </w:r>
      <w:r>
        <w:rPr>
          <w:rFonts w:ascii="Liberation Mono" w:hAnsi="Liberation Mono"/>
          <w:sz w:val="16"/>
        </w:rPr>
        <w:br/>
      </w:r>
      <w:r>
        <w:rPr>
          <w:rStyle w:val="VerbatimChar"/>
          <w:rFonts w:ascii="Liberation Mono" w:hAnsi="Liberation Mono"/>
        </w:rPr>
        <w:t xml:space="preserve">            if (ay / y[i] &gt;= 1 - 1e-12 || Math.Abs(y[i] - ay - 1) &gt; 1e-9 * (1 + y.Max()))</w:t>
      </w:r>
      <w:r>
        <w:rPr>
          <w:rFonts w:ascii="Liberation Mono" w:hAnsi="Liberation Mono"/>
          <w:sz w:val="16"/>
        </w:rPr>
        <w:br/>
      </w:r>
      <w:r>
        <w:rPr>
          <w:rStyle w:val="VerbatimChar"/>
          <w:rFonts w:ascii="Liberation Mono" w:hAnsi="Liberation Mono"/>
        </w:rPr>
        <w:t xml:space="preserve">                throw new ArgumentException("Unstable or numerically uncertified");</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return y.Max();</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static double NestedAttempts(int depth, int retries)</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(depth &lt; 0 || retries &lt; 0) throw new ArgumentOutOfRangeException();</w:t>
      </w:r>
      <w:r>
        <w:rPr>
          <w:rFonts w:ascii="Liberation Mono" w:hAnsi="Liberation Mono"/>
          <w:sz w:val="16"/>
        </w:rPr>
        <w:br/>
      </w:r>
      <w:r>
        <w:rPr>
          <w:rStyle w:val="VerbatimChar"/>
          <w:rFonts w:ascii="Liberation Mono" w:hAnsi="Liberation Mono"/>
        </w:rPr>
        <w:t xml:space="preserve">        return Math.Pow(1.0 + retries, depth);</w:t>
      </w:r>
      <w:r>
        <w:rPr>
          <w:rFonts w:ascii="Liberation Mono" w:hAnsi="Liberation Mono"/>
          <w:sz w:val="16"/>
        </w:rPr>
        <w:br/>
      </w:r>
      <w:r>
        <w:rPr>
          <w:rStyle w:val="VerbatimChar"/>
          <w:rFonts w:ascii="Liberation Mono" w:hAnsi="Liberation Mono"/>
        </w:rPr>
        <w:lastRenderedPageBreak/>
        <w:t xml:space="preserve">    }</w:t>
      </w:r>
      <w:r>
        <w:rPr>
          <w:rFonts w:ascii="Liberation Mono" w:hAnsi="Liberation Mono"/>
          <w:sz w:val="16"/>
        </w:rPr>
        <w:br/>
      </w:r>
      <w:r>
        <w:rPr>
          <w:rStyle w:val="VerbatimChar"/>
          <w:rFonts w:ascii="Liberation Mono" w:hAnsi="Liberation Mono"/>
        </w:rPr>
        <w:t xml:space="preserve">    // Aggregate factor over aligned request cohorts; not a per-request cap.</w:t>
      </w:r>
      <w:r>
        <w:rPr>
          <w:rFonts w:ascii="Liberation Mono" w:hAnsi="Liberation Mono"/>
          <w:sz w:val="16"/>
        </w:rPr>
        <w:br/>
      </w:r>
      <w:r>
        <w:rPr>
          <w:rStyle w:val="VerbatimChar"/>
          <w:rFonts w:ascii="Liberation Mono" w:hAnsi="Liberation Mono"/>
        </w:rPr>
        <w:t xml:space="preserve">    public static double BudgetedAttempts(int depth, double ratio)</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(depth &lt; 0 || !double.IsFinite(ratio) || ratio &lt; 0)</w:t>
      </w:r>
      <w:r>
        <w:rPr>
          <w:rFonts w:ascii="Liberation Mono" w:hAnsi="Liberation Mono"/>
          <w:sz w:val="16"/>
        </w:rPr>
        <w:br/>
      </w:r>
      <w:r>
        <w:rPr>
          <w:rStyle w:val="VerbatimChar"/>
          <w:rFonts w:ascii="Liberation Mono" w:hAnsi="Liberation Mono"/>
        </w:rPr>
        <w:t xml:space="preserve">            throw new ArgumentOutOfRangeException();</w:t>
      </w:r>
      <w:r>
        <w:rPr>
          <w:rFonts w:ascii="Liberation Mono" w:hAnsi="Liberation Mono"/>
          <w:sz w:val="16"/>
        </w:rPr>
        <w:br/>
      </w:r>
      <w:r>
        <w:rPr>
          <w:rStyle w:val="VerbatimChar"/>
          <w:rFonts w:ascii="Liberation Mono" w:hAnsi="Liberation Mono"/>
        </w:rPr>
        <w:t xml:space="preserve">        return Math.Pow(1 + ratio, depth);</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static long MaxCopies(long budget, long costPerCopy)</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(budget &lt; 0 || costPerCopy &lt;= 0) throw new ArgumentOutOfRangeException();</w:t>
      </w:r>
      <w:r>
        <w:rPr>
          <w:rFonts w:ascii="Liberation Mono" w:hAnsi="Liberation Mono"/>
          <w:sz w:val="16"/>
        </w:rPr>
        <w:br/>
      </w:r>
      <w:r>
        <w:rPr>
          <w:rStyle w:val="VerbatimChar"/>
          <w:rFonts w:ascii="Liberation Mono" w:hAnsi="Liberation Mono"/>
        </w:rPr>
        <w:t xml:space="preserve">        return checked(budget / costPerCopy + 1);</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static double Extinction(double lambda, double p)</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Prob(p);</w:t>
      </w:r>
      <w:r>
        <w:rPr>
          <w:rFonts w:ascii="Liberation Mono" w:hAnsi="Liberation Mono"/>
          <w:sz w:val="16"/>
        </w:rPr>
        <w:br/>
      </w:r>
      <w:r>
        <w:rPr>
          <w:rStyle w:val="VerbatimChar"/>
          <w:rFonts w:ascii="Liberation Mono" w:hAnsi="Liberation Mono"/>
        </w:rPr>
        <w:t xml:space="preserve">        if (p == 0 || !double.IsFinite(lambda) || lambda &lt; 0)</w:t>
      </w:r>
      <w:r>
        <w:rPr>
          <w:rFonts w:ascii="Liberation Mono" w:hAnsi="Liberation Mono"/>
          <w:sz w:val="16"/>
        </w:rPr>
        <w:br/>
      </w:r>
      <w:r>
        <w:rPr>
          <w:rStyle w:val="VerbatimChar"/>
          <w:rFonts w:ascii="Liberation Mono" w:hAnsi="Liberation Mono"/>
        </w:rPr>
        <w:t xml:space="preserve">            throw new ArgumentOutOfRangeException();</w:t>
      </w:r>
      <w:r>
        <w:rPr>
          <w:rFonts w:ascii="Liberation Mono" w:hAnsi="Liberation Mono"/>
          <w:sz w:val="16"/>
        </w:rPr>
        <w:br/>
      </w:r>
      <w:r>
        <w:rPr>
          <w:rStyle w:val="VerbatimChar"/>
          <w:rFonts w:ascii="Liberation Mono" w:hAnsi="Liberation Mono"/>
        </w:rPr>
        <w:t xml:space="preserve">        if (lambda &lt;= p) return 1;</w:t>
      </w:r>
      <w:r>
        <w:rPr>
          <w:rFonts w:ascii="Liberation Mono" w:hAnsi="Liberation Mono"/>
          <w:sz w:val="16"/>
        </w:rPr>
        <w:br/>
      </w:r>
      <w:r>
        <w:rPr>
          <w:rStyle w:val="VerbatimChar"/>
          <w:rFonts w:ascii="Liberation Mono" w:hAnsi="Liberation Mono"/>
        </w:rPr>
        <w:t xml:space="preserve">        double F(double s)</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double e = Math.Exp(lambda * (s - 1));</w:t>
      </w:r>
      <w:r>
        <w:rPr>
          <w:rFonts w:ascii="Liberation Mono" w:hAnsi="Liberation Mono"/>
          <w:sz w:val="16"/>
        </w:rPr>
        <w:br/>
      </w:r>
      <w:r>
        <w:rPr>
          <w:rStyle w:val="VerbatimChar"/>
          <w:rFonts w:ascii="Liberation Mono" w:hAnsi="Liberation Mono"/>
        </w:rPr>
        <w:t xml:space="preserve">            return p * e / (1 - (1 - p) * e);</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 For supercritical input, 1 is a second root: bracket the smaller.</w:t>
      </w:r>
      <w:r>
        <w:rPr>
          <w:rFonts w:ascii="Liberation Mono" w:hAnsi="Liberation Mono"/>
          <w:sz w:val="16"/>
        </w:rPr>
        <w:br/>
      </w:r>
      <w:r>
        <w:rPr>
          <w:rStyle w:val="VerbatimChar"/>
          <w:rFonts w:ascii="Liberation Mono" w:hAnsi="Liberation Mono"/>
        </w:rPr>
        <w:t xml:space="preserve">        double lo = 0, hi = 1;</w:t>
      </w:r>
      <w:r>
        <w:rPr>
          <w:rFonts w:ascii="Liberation Mono" w:hAnsi="Liberation Mono"/>
          <w:sz w:val="16"/>
        </w:rPr>
        <w:br/>
      </w:r>
      <w:r>
        <w:rPr>
          <w:rStyle w:val="VerbatimChar"/>
          <w:rFonts w:ascii="Liberation Mono" w:hAnsi="Liberation Mono"/>
        </w:rPr>
        <w:t xml:space="preserve">        for (int i = 0; i &lt; 200; i++)</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double mid = (lo + hi) / 2;</w:t>
      </w:r>
      <w:r>
        <w:rPr>
          <w:rFonts w:ascii="Liberation Mono" w:hAnsi="Liberation Mono"/>
          <w:sz w:val="16"/>
        </w:rPr>
        <w:br/>
      </w:r>
      <w:r>
        <w:rPr>
          <w:rStyle w:val="VerbatimChar"/>
          <w:rFonts w:ascii="Liberation Mono" w:hAnsi="Liberation Mono"/>
        </w:rPr>
        <w:t xml:space="preserve">            if (mid == lo || mid == hi) break;</w:t>
      </w:r>
      <w:r>
        <w:rPr>
          <w:rFonts w:ascii="Liberation Mono" w:hAnsi="Liberation Mono"/>
          <w:sz w:val="16"/>
        </w:rPr>
        <w:br/>
      </w:r>
      <w:r>
        <w:rPr>
          <w:rStyle w:val="VerbatimChar"/>
          <w:rFonts w:ascii="Liberation Mono" w:hAnsi="Liberation Mono"/>
        </w:rPr>
        <w:t xml:space="preserve">            if (F(mid) - mid &gt; 0) lo = mid; else hi = mid;</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return (lo + hi) / 2;</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static (double Coop, double Opp) Values(double w, double g, double p, double q)</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Prob(p); Prob(q);</w:t>
      </w:r>
      <w:r>
        <w:rPr>
          <w:rFonts w:ascii="Liberation Mono" w:hAnsi="Liberation Mono"/>
          <w:sz w:val="16"/>
        </w:rPr>
        <w:br/>
      </w:r>
      <w:r>
        <w:rPr>
          <w:rStyle w:val="VerbatimChar"/>
          <w:rFonts w:ascii="Liberation Mono" w:hAnsi="Liberation Mono"/>
        </w:rPr>
        <w:t xml:space="preserve">        if (q == 0 || q == 1 || !double.IsFinite(w) || w &lt;= 0 || !double.IsFinite(g) || g &lt; 0)</w:t>
      </w:r>
      <w:r>
        <w:rPr>
          <w:rFonts w:ascii="Liberation Mono" w:hAnsi="Liberation Mono"/>
          <w:sz w:val="16"/>
        </w:rPr>
        <w:br/>
      </w:r>
      <w:r>
        <w:rPr>
          <w:rStyle w:val="VerbatimChar"/>
          <w:rFonts w:ascii="Liberation Mono" w:hAnsi="Liberation Mono"/>
        </w:rPr>
        <w:t xml:space="preserve">            throw new ArgumentOutOfRangeException();</w:t>
      </w:r>
      <w:r>
        <w:rPr>
          <w:rFonts w:ascii="Liberation Mono" w:hAnsi="Liberation Mono"/>
          <w:sz w:val="16"/>
        </w:rPr>
        <w:br/>
      </w:r>
      <w:r>
        <w:rPr>
          <w:rStyle w:val="VerbatimChar"/>
          <w:rFonts w:ascii="Liberation Mono" w:hAnsi="Liberation Mono"/>
        </w:rPr>
        <w:t xml:space="preserve">        return (w / q, (w + g) / (q + p * (1 - q)));</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static double DeterrenceThreshold(double w, double g, double q)</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Values(w, g, 0, q);</w:t>
      </w:r>
      <w:r>
        <w:rPr>
          <w:rFonts w:ascii="Liberation Mono" w:hAnsi="Liberation Mono"/>
          <w:sz w:val="16"/>
        </w:rPr>
        <w:br/>
      </w:r>
      <w:r>
        <w:rPr>
          <w:rStyle w:val="VerbatimChar"/>
          <w:rFonts w:ascii="Liberation Mono" w:hAnsi="Liberation Mono"/>
        </w:rPr>
        <w:t xml:space="preserve">        return q * g / (w * (1 - q));</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 Duration-weighted fraction E[min(D,a)] / E[D].</w:t>
      </w:r>
      <w:r>
        <w:rPr>
          <w:rFonts w:ascii="Liberation Mono" w:hAnsi="Liberation Mono"/>
          <w:sz w:val="16"/>
        </w:rPr>
        <w:br/>
      </w:r>
      <w:r>
        <w:rPr>
          <w:rStyle w:val="VerbatimChar"/>
          <w:rFonts w:ascii="Liberation Mono" w:hAnsi="Liberation Mono"/>
        </w:rPr>
        <w:t xml:space="preserve">    public static double PartitionAvailability(double delta, double r, double mu)</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(!double.IsFinite(delta) || !double.IsFinite(r) || !double.IsFinite(mu)</w:t>
      </w:r>
      <w:r>
        <w:rPr>
          <w:rFonts w:ascii="Liberation Mono" w:hAnsi="Liberation Mono"/>
          <w:sz w:val="16"/>
        </w:rPr>
        <w:br/>
      </w:r>
      <w:r>
        <w:rPr>
          <w:rStyle w:val="VerbatimChar"/>
          <w:rFonts w:ascii="Liberation Mono" w:hAnsi="Liberation Mono"/>
        </w:rPr>
        <w:t xml:space="preserve">            || r &lt;= 0 || delta &lt; r || mu &lt;= 0) throw new ArgumentOutOfRangeException();</w:t>
      </w:r>
      <w:r>
        <w:rPr>
          <w:rFonts w:ascii="Liberation Mono" w:hAnsi="Liberation Mono"/>
          <w:sz w:val="16"/>
        </w:rPr>
        <w:br/>
      </w:r>
      <w:r>
        <w:rPr>
          <w:rStyle w:val="VerbatimChar"/>
          <w:rFonts w:ascii="Liberation Mono" w:hAnsi="Liberation Mono"/>
        </w:rPr>
        <w:t xml:space="preserve">        return 1 - mu / r * (Math.Exp(-(delta - r) / mu) - Math.Exp(-delta / mu));</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public static double CessationBound(double t, double delta, double eps, double l)</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if (!double.IsFinite(t) || !double.IsFinite(delta) || !double.IsFinite(eps)</w:t>
      </w:r>
      <w:r>
        <w:rPr>
          <w:rFonts w:ascii="Liberation Mono" w:hAnsi="Liberation Mono"/>
          <w:sz w:val="16"/>
        </w:rPr>
        <w:br/>
      </w:r>
      <w:r>
        <w:rPr>
          <w:rStyle w:val="VerbatimChar"/>
          <w:rFonts w:ascii="Liberation Mono" w:hAnsi="Liberation Mono"/>
        </w:rPr>
        <w:t xml:space="preserve">            || !double.IsFinite(l) || delta &lt; 0 || eps &lt; 0 || l &lt; 0)</w:t>
      </w:r>
      <w:r>
        <w:rPr>
          <w:rFonts w:ascii="Liberation Mono" w:hAnsi="Liberation Mono"/>
          <w:sz w:val="16"/>
        </w:rPr>
        <w:br/>
      </w:r>
      <w:r>
        <w:rPr>
          <w:rStyle w:val="VerbatimChar"/>
          <w:rFonts w:ascii="Liberation Mono" w:hAnsi="Liberation Mono"/>
        </w:rPr>
        <w:t xml:space="preserve">            throw new ArgumentOutOfRangeException();</w:t>
      </w:r>
      <w:r>
        <w:rPr>
          <w:rFonts w:ascii="Liberation Mono" w:hAnsi="Liberation Mono"/>
          <w:sz w:val="16"/>
        </w:rPr>
        <w:br/>
      </w:r>
      <w:r>
        <w:rPr>
          <w:rStyle w:val="VerbatimChar"/>
          <w:rFonts w:ascii="Liberation Mono" w:hAnsi="Liberation Mono"/>
        </w:rPr>
        <w:t xml:space="preserve">        return t + delta + eps + l;</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 Joint P(false AND accepted), not P(false | accepted).</w:t>
      </w:r>
      <w:r>
        <w:rPr>
          <w:rFonts w:ascii="Liberation Mono" w:hAnsi="Liberation Mono"/>
          <w:sz w:val="16"/>
        </w:rPr>
        <w:br/>
      </w:r>
      <w:r>
        <w:rPr>
          <w:rStyle w:val="VerbatimChar"/>
          <w:rFonts w:ascii="Liberation Mono" w:hAnsi="Liberation Mono"/>
        </w:rPr>
        <w:t xml:space="preserve">    public static double FalseAcceptance(double f, double m, double c, int k)</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 xml:space="preserve">        Prob(f); Prob(m); Prob(c);</w:t>
      </w:r>
      <w:r>
        <w:rPr>
          <w:rFonts w:ascii="Liberation Mono" w:hAnsi="Liberation Mono"/>
          <w:sz w:val="16"/>
        </w:rPr>
        <w:br/>
      </w:r>
      <w:r>
        <w:rPr>
          <w:rStyle w:val="VerbatimChar"/>
          <w:rFonts w:ascii="Liberation Mono" w:hAnsi="Liberation Mono"/>
        </w:rPr>
        <w:t xml:space="preserve">        if (k &lt; 1) throw new ArgumentOutOfRangeException();</w:t>
      </w:r>
      <w:r>
        <w:rPr>
          <w:rFonts w:ascii="Liberation Mono" w:hAnsi="Liberation Mono"/>
          <w:sz w:val="16"/>
        </w:rPr>
        <w:br/>
      </w:r>
      <w:r>
        <w:rPr>
          <w:rStyle w:val="VerbatimChar"/>
          <w:rFonts w:ascii="Liberation Mono" w:hAnsi="Liberation Mono"/>
        </w:rPr>
        <w:t xml:space="preserve">        return f * (c + (1 - c) * Math.Pow(m, k));</w:t>
      </w:r>
      <w:r>
        <w:rPr>
          <w:rFonts w:ascii="Liberation Mono" w:hAnsi="Liberation Mono"/>
          <w:sz w:val="16"/>
        </w:rPr>
        <w:br/>
      </w:r>
      <w:r>
        <w:rPr>
          <w:rStyle w:val="VerbatimChar"/>
          <w:rFonts w:ascii="Liberation Mono" w:hAnsi="Liberation Mono"/>
        </w:rPr>
        <w:t xml:space="preserve">    }</w:t>
      </w:r>
      <w:r>
        <w:rPr>
          <w:rFonts w:ascii="Liberation Mono" w:hAnsi="Liberation Mono"/>
          <w:sz w:val="16"/>
        </w:rPr>
        <w:br/>
      </w:r>
      <w:r>
        <w:rPr>
          <w:rStyle w:val="VerbatimChar"/>
          <w:rFonts w:ascii="Liberation Mono" w:hAnsi="Liberation Mono"/>
        </w:rPr>
        <w:t>}</w:t>
      </w:r>
      <w:bookmarkEnd w:id="41"/>
    </w:p>
    <w:sectPr w:rsidR="006B50AE">
      <w:headerReference w:type="even" r:id="rId11"/>
      <w:headerReference w:type="default" r:id="rId12"/>
      <w:footerReference w:type="even" r:id="rId13"/>
      <w:footerReference w:type="default" r:id="rId14"/>
      <w:headerReference w:type="first" r:id="rId15"/>
      <w:footerReference w:type="first" r:id="rId16"/>
      <w:pgSz w:w="12240" w:h="15840"/>
      <w:pgMar w:top="1152" w:right="1224" w:bottom="1152" w:left="1224"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4E75E" w14:textId="77777777" w:rsidR="003A25A8" w:rsidRDefault="003A25A8">
      <w:pPr>
        <w:spacing w:after="0" w:line="240" w:lineRule="auto"/>
      </w:pPr>
      <w:r>
        <w:separator/>
      </w:r>
    </w:p>
  </w:endnote>
  <w:endnote w:type="continuationSeparator" w:id="0">
    <w:p w14:paraId="43475894" w14:textId="77777777" w:rsidR="003A25A8" w:rsidRDefault="003A2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iberation Mon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52C8" w14:textId="77777777" w:rsidR="006B50AE" w:rsidRDefault="006B50A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BEE2" w14:textId="77777777" w:rsidR="006B50AE" w:rsidRDefault="00000000">
    <w:pPr>
      <w:jc w:val="right"/>
    </w:pPr>
    <w:r>
      <w:fldChar w:fldCharType="begin"/>
    </w:r>
    <w:r>
      <w:instrText>PAGE</w:instrText>
    </w:r>
    <w:r>
      <w:fldChar w:fldCharType="separate"/>
    </w:r>
    <w:r w:rsidR="003364D8">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A549" w14:textId="77777777" w:rsidR="006B50AE" w:rsidRDefault="006B50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303E" w14:textId="77777777" w:rsidR="003A25A8" w:rsidRDefault="003A25A8">
      <w:r>
        <w:separator/>
      </w:r>
    </w:p>
  </w:footnote>
  <w:footnote w:type="continuationSeparator" w:id="0">
    <w:p w14:paraId="29FDB0F8" w14:textId="77777777" w:rsidR="003A25A8" w:rsidRDefault="003A2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5AF8" w14:textId="77777777" w:rsidR="006B50AE" w:rsidRDefault="006B50A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9E89" w14:textId="77777777" w:rsidR="006B50AE" w:rsidRDefault="006B50AE">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CF1D" w14:textId="77777777" w:rsidR="006B50AE" w:rsidRDefault="006B50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F678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BE643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41467763">
    <w:abstractNumId w:val="0"/>
  </w:num>
  <w:num w:numId="2" w16cid:durableId="1381780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50AE"/>
    <w:rsid w:val="002C2C53"/>
    <w:rsid w:val="003364D8"/>
    <w:rsid w:val="003A25A8"/>
    <w:rsid w:val="00497700"/>
    <w:rsid w:val="005B649B"/>
    <w:rsid w:val="006B50AE"/>
    <w:rsid w:val="00B724D4"/>
    <w:rsid w:val="00BE6789"/>
    <w:rsid w:val="00CA6C28"/>
    <w:rsid w:val="00D07F0F"/>
    <w:rsid w:val="00D21393"/>
    <w:rsid w:val="00DA12EA"/>
    <w:rsid w:val="00DD30C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4F80"/>
  <w15:docId w15:val="{4DC427F4-2840-4EB6-B67C-EFC0AAAF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59" w:lineRule="auto"/>
    </w:pPr>
    <w:rPr>
      <w:rFonts w:ascii="Cambria" w:eastAsia="Liberation Serif" w:hAnsi="Cambria" w:cs="Liberation Serif"/>
      <w:color w:val="000000"/>
      <w:sz w:val="21"/>
    </w:rPr>
  </w:style>
  <w:style w:type="paragraph" w:styleId="Heading1">
    <w:name w:val="heading 1"/>
    <w:basedOn w:val="Normal"/>
    <w:next w:val="BodyText"/>
    <w:uiPriority w:val="9"/>
    <w:qFormat/>
    <w:pPr>
      <w:keepNext/>
      <w:keepLines/>
      <w:spacing w:before="480" w:after="0"/>
      <w:outlineLvl w:val="0"/>
    </w:pPr>
    <w:rPr>
      <w:rFonts w:ascii="Liberation Serif" w:hAnsi="Liberation Serif"/>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Liberation Serif" w:hAnsi="Liberation Serif"/>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Liberation Serif" w:hAnsi="Liberation Serif"/>
      <w:b/>
      <w:bCs/>
      <w:sz w:val="24"/>
    </w:rPr>
  </w:style>
  <w:style w:type="paragraph" w:styleId="Heading4">
    <w:name w:val="heading 4"/>
    <w:basedOn w:val="Normal"/>
    <w:next w:val="BodyText"/>
    <w:uiPriority w:val="9"/>
    <w:unhideWhenUsed/>
    <w:qFormat/>
    <w:pPr>
      <w:keepNext/>
      <w:keepLines/>
      <w:spacing w:before="200" w:after="0"/>
      <w:outlineLvl w:val="3"/>
    </w:pPr>
    <w:rPr>
      <w:rFonts w:ascii="Liberation Serif" w:hAnsi="Liberation Serif"/>
      <w:bCs/>
      <w:i/>
      <w:sz w:val="24"/>
    </w:rPr>
  </w:style>
  <w:style w:type="paragraph" w:styleId="Heading5">
    <w:name w:val="heading 5"/>
    <w:basedOn w:val="Normal"/>
    <w:next w:val="BodyText"/>
    <w:uiPriority w:val="9"/>
    <w:unhideWhenUsed/>
    <w:qFormat/>
    <w:pPr>
      <w:keepNext/>
      <w:keepLines/>
      <w:spacing w:before="200" w:after="0"/>
      <w:outlineLvl w:val="4"/>
    </w:pPr>
    <w:rPr>
      <w:rFonts w:ascii="Liberation Serif" w:hAnsi="Liberation Serif"/>
      <w:iCs/>
      <w:sz w:val="24"/>
    </w:rPr>
  </w:style>
  <w:style w:type="paragraph" w:styleId="Heading6">
    <w:name w:val="heading 6"/>
    <w:basedOn w:val="Normal"/>
    <w:next w:val="BodyText"/>
    <w:uiPriority w:val="9"/>
    <w:unhideWhenUsed/>
    <w:qFormat/>
    <w:pPr>
      <w:keepNext/>
      <w:keepLines/>
      <w:spacing w:before="200" w:after="0"/>
      <w:outlineLvl w:val="5"/>
    </w:pPr>
    <w:rPr>
      <w:rFonts w:ascii="Liberation Serif" w:hAnsi="Liberation Serif"/>
      <w:sz w:val="24"/>
    </w:rPr>
  </w:style>
  <w:style w:type="paragraph" w:styleId="Heading7">
    <w:name w:val="heading 7"/>
    <w:basedOn w:val="Normal"/>
    <w:next w:val="BodyText"/>
    <w:uiPriority w:val="9"/>
    <w:unhideWhenUsed/>
    <w:qFormat/>
    <w:pPr>
      <w:keepNext/>
      <w:keepLines/>
      <w:spacing w:before="200" w:after="0"/>
      <w:outlineLvl w:val="6"/>
    </w:pPr>
    <w:rPr>
      <w:rFonts w:ascii="Liberation Serif" w:hAnsi="Liberation Serif"/>
      <w:sz w:val="24"/>
    </w:rPr>
  </w:style>
  <w:style w:type="paragraph" w:styleId="Heading8">
    <w:name w:val="heading 8"/>
    <w:basedOn w:val="Normal"/>
    <w:next w:val="BodyText"/>
    <w:uiPriority w:val="9"/>
    <w:unhideWhenUsed/>
    <w:qFormat/>
    <w:pPr>
      <w:keepNext/>
      <w:keepLines/>
      <w:spacing w:before="200" w:after="0"/>
      <w:outlineLvl w:val="7"/>
    </w:pPr>
    <w:rPr>
      <w:rFonts w:ascii="Liberation Serif" w:hAnsi="Liberation Serif"/>
      <w:sz w:val="24"/>
    </w:rPr>
  </w:style>
  <w:style w:type="paragraph" w:styleId="Heading9">
    <w:name w:val="heading 9"/>
    <w:basedOn w:val="Normal"/>
    <w:next w:val="BodyText"/>
    <w:uiPriority w:val="9"/>
    <w:unhideWhenUsed/>
    <w:qFormat/>
    <w:pPr>
      <w:keepNext/>
      <w:keepLines/>
      <w:spacing w:before="200" w:after="0"/>
      <w:outlineLvl w:val="8"/>
    </w:pPr>
    <w:rPr>
      <w:rFonts w:ascii="Liberation Serif" w:hAnsi="Liberation Seri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pPr>
    <w:rPr>
      <w:bCs/>
      <w:sz w:val="50"/>
      <w:szCs w:val="36"/>
    </w:rPr>
  </w:style>
  <w:style w:type="paragraph" w:styleId="Subtitle">
    <w:name w:val="Subtitle"/>
    <w:basedOn w:val="Title"/>
    <w:next w:val="BodyText"/>
    <w:qFormat/>
    <w:rPr>
      <w:i/>
      <w:sz w:val="28"/>
      <w:szCs w:val="30"/>
    </w:rPr>
  </w:style>
  <w:style w:type="paragraph" w:customStyle="1" w:styleId="Author">
    <w:name w:val="Author"/>
    <w:next w:val="BodyText"/>
    <w:qFormat/>
    <w:pPr>
      <w:keepNext/>
      <w:spacing w:after="40"/>
    </w:pPr>
    <w:rPr>
      <w:rFonts w:ascii="Cambria" w:eastAsia="Liberation Serif" w:hAnsi="Cambria" w:cs="Liberation Serif"/>
      <w:color w:val="000000"/>
      <w:sz w:val="21"/>
    </w:rPr>
  </w:style>
  <w:style w:type="paragraph" w:styleId="Date">
    <w:name w:val="Date"/>
    <w:next w:val="BodyText"/>
    <w:qFormat/>
    <w:pPr>
      <w:keepNext/>
      <w:spacing w:after="280"/>
    </w:pPr>
    <w:rPr>
      <w:rFonts w:ascii="Cambria" w:eastAsia="Liberation Serif" w:hAnsi="Cambria" w:cs="Liberation Serif"/>
      <w:color w:val="000000"/>
      <w:sz w:val="21"/>
    </w:rPr>
  </w:style>
  <w:style w:type="paragraph" w:customStyle="1" w:styleId="AbstractTitle">
    <w:name w:val="Abstract Title"/>
    <w:basedOn w:val="Normal"/>
    <w:next w:val="Abstract"/>
    <w:qFormat/>
    <w:pPr>
      <w:keepNext/>
      <w:spacing w:before="80" w:after="100" w:line="269" w:lineRule="auto"/>
    </w:pPr>
    <w:rPr>
      <w:rFonts w:ascii="Liberation Sans" w:hAnsi="Liberation Sans"/>
      <w:b/>
      <w:sz w:val="22"/>
      <w:szCs w:val="20"/>
    </w:rPr>
  </w:style>
  <w:style w:type="paragraph" w:customStyle="1" w:styleId="Abstract">
    <w:name w:val="Abstract"/>
    <w:basedOn w:val="Normal"/>
    <w:next w:val="BodyText"/>
    <w:qFormat/>
    <w:pPr>
      <w:keepNext/>
      <w:spacing w:after="100" w:line="257" w:lineRule="auto"/>
    </w:pPr>
    <w:rPr>
      <w:szCs w:val="20"/>
    </w:rPr>
  </w:style>
  <w:style w:type="paragraph" w:styleId="Bibliography">
    <w:name w:val="Bibliography"/>
    <w:basedOn w:val="Normal"/>
    <w:qFormat/>
    <w:pPr>
      <w:spacing w:line="250" w:lineRule="auto"/>
    </w:pPr>
    <w:rPr>
      <w:rFonts w:ascii="Liberation Serif" w:hAnsi="Liberation Serif"/>
      <w:sz w:val="20"/>
    </w:rPr>
  </w:style>
  <w:style w:type="paragraph" w:styleId="BlockText">
    <w:name w:val="Block Text"/>
    <w:basedOn w:val="BodyText"/>
    <w:next w:val="BodyText"/>
    <w:uiPriority w:val="9"/>
    <w:unhideWhenUsed/>
    <w:qFormat/>
    <w:pPr>
      <w:spacing w:before="40" w:after="160"/>
      <w:ind w:left="400" w:right="400"/>
      <w:jc w:val="both"/>
    </w:pPr>
    <w:rPr>
      <w:rFonts w:ascii="Liberation Serif" w:hAnsi="Liberation Serif"/>
      <w:i/>
    </w:rPr>
  </w:style>
  <w:style w:type="paragraph" w:styleId="FootnoteText">
    <w:name w:val="footnote text"/>
    <w:basedOn w:val="Normal"/>
    <w:uiPriority w:val="9"/>
    <w:unhideWhenUsed/>
    <w:qFormat/>
    <w:rPr>
      <w:rFonts w:ascii="Liberation Serif" w:hAnsi="Liberation Serif"/>
    </w:rPr>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rFonts w:ascii="Liberation Serif" w:hAnsi="Liberation Serif"/>
      <w:b/>
    </w:rPr>
  </w:style>
  <w:style w:type="paragraph" w:customStyle="1" w:styleId="Definition">
    <w:name w:val="Definition"/>
    <w:basedOn w:val="Normal"/>
    <w:rPr>
      <w:rFonts w:ascii="Liberation Serif" w:hAnsi="Liberation Serif"/>
    </w:rPr>
  </w:style>
  <w:style w:type="paragraph" w:styleId="Caption">
    <w:name w:val="caption"/>
    <w:basedOn w:val="Normal"/>
    <w:link w:val="CaptionChar"/>
    <w:pPr>
      <w:spacing w:after="180" w:line="252" w:lineRule="auto"/>
    </w:pPr>
    <w:rPr>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rPr>
      <w:rFonts w:ascii="Liberation Serif" w:hAnsi="Liberation Serif"/>
      <w:sz w:val="22"/>
    </w:r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rPr>
  </w:style>
  <w:style w:type="paragraph" w:customStyle="1" w:styleId="Heading11">
    <w:name w:val="Heading 11"/>
    <w:pPr>
      <w:keepNext/>
      <w:spacing w:before="320" w:after="140"/>
    </w:pPr>
    <w:rPr>
      <w:rFonts w:ascii="Cambria" w:eastAsia="Liberation Serif" w:hAnsi="Cambria" w:cs="Liberation Serif"/>
      <w:b/>
      <w:color w:val="000000"/>
      <w:sz w:val="32"/>
    </w:rPr>
  </w:style>
  <w:style w:type="paragraph" w:customStyle="1" w:styleId="Heading21">
    <w:name w:val="Heading 21"/>
    <w:pPr>
      <w:keepNext/>
      <w:spacing w:before="220" w:after="120"/>
    </w:pPr>
    <w:rPr>
      <w:rFonts w:ascii="Cambria" w:eastAsia="Liberation Serif" w:hAnsi="Cambria"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rFonts w:ascii="Liberation Serif" w:hAnsi="Liberation Serif"/>
      <w:i/>
      <w:sz w:val="18"/>
    </w:rPr>
  </w:style>
  <w:style w:type="paragraph" w:customStyle="1" w:styleId="Gap">
    <w:name w:val="Gap"/>
    <w:basedOn w:val="Normal"/>
    <w:pPr>
      <w:spacing w:after="0" w:line="240" w:lineRule="auto"/>
    </w:pPr>
    <w:rPr>
      <w:rFonts w:ascii="Liberation Serif" w:hAnsi="Liberation Serif"/>
      <w:sz w:val="2"/>
    </w:rPr>
  </w:style>
  <w:style w:type="paragraph" w:customStyle="1" w:styleId="Check">
    <w:name w:val="Check"/>
    <w:basedOn w:val="BodyText"/>
    <w:pPr>
      <w:spacing w:line="257" w:lineRule="auto"/>
    </w:pPr>
    <w:rPr>
      <w:rFonts w:ascii="Liberation Serif" w:hAnsi="Liberation Serif"/>
      <w:sz w:val="20"/>
    </w:rPr>
  </w:style>
  <w:style w:type="paragraph" w:customStyle="1" w:styleId="Summary">
    <w:name w:val="Summary"/>
    <w:basedOn w:val="BodyText"/>
    <w:pPr>
      <w:spacing w:after="80" w:line="264" w:lineRule="auto"/>
      <w:ind w:left="120" w:right="120"/>
      <w:jc w:val="both"/>
    </w:pPr>
    <w:rPr>
      <w:rFonts w:ascii="Liberation Serif" w:hAnsi="Liberation Serif"/>
    </w:rPr>
  </w:style>
  <w:style w:type="paragraph" w:customStyle="1" w:styleId="Equation">
    <w:name w:val="Equation"/>
    <w:basedOn w:val="BodyText"/>
    <w:pPr>
      <w:keepLines/>
      <w:tabs>
        <w:tab w:val="center" w:pos="4968"/>
        <w:tab w:val="right" w:pos="9936"/>
      </w:tabs>
      <w:spacing w:before="80" w:after="160" w:line="240" w:lineRule="auto"/>
    </w:pPr>
    <w:rPr>
      <w:rFonts w:ascii="Liberation Serif" w:hAnsi="Liberation Serif"/>
    </w:rPr>
  </w:style>
  <w:style w:type="paragraph" w:customStyle="1" w:styleId="StatementEquation">
    <w:name w:val="Statement Equation"/>
    <w:basedOn w:val="Statement"/>
    <w:pPr>
      <w:keepLines/>
      <w:tabs>
        <w:tab w:val="center" w:pos="4997"/>
        <w:tab w:val="right" w:pos="9994"/>
      </w:tabs>
      <w:spacing w:before="80" w:after="180" w:line="240" w:lineRule="auto"/>
    </w:pPr>
    <w:rPr>
      <w:rFonts w:ascii="Liberation Serif" w:hAnsi="Liberation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26</Pages>
  <Words>12912</Words>
  <Characters>73602</Characters>
  <Application>Microsoft Office Word</Application>
  <DocSecurity>0</DocSecurity>
  <Lines>613</Lines>
  <Paragraphs>172</Paragraphs>
  <ScaleCrop>false</ScaleCrop>
  <Company/>
  <LinksUpToDate>false</LinksUpToDate>
  <CharactersWithSpaces>86342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Bhagavad Gita and the Design of Governable AI Agents</dc:title>
  <dc:subject>Divine qualities, architectural coupling and bounded autonomy. Revised edition 3</dc:subject>
  <dc:creator>Debi Prasad Ghosh</dc:creator>
  <cp:keywords>Bhagavad Gita; karma bandhana; AI agents; bounded autonomy; resource governance; replication</cp:keywords>
  <cp:lastModifiedBy>Debiprasad Ghosh</cp:lastModifiedBy>
  <cp:revision>9</cp:revision>
  <cp:lastPrinted>2026-10-20T02:50:00Z</cp:lastPrinted>
  <dcterms:created xsi:type="dcterms:W3CDTF">2026-10-19T03:12:00Z</dcterms:created>
  <dcterms:modified xsi:type="dcterms:W3CDTF">2026-10-20T02:53:00Z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 · Revised edition 3</vt:lpwstr>
  </property>
  <property fmtid="{D5CDD505-2E9C-101B-9397-08002B2CF9AE}" pid="3" name="subtitle">
    <vt:lpwstr>Divine qualities architectural coupling and bounded autonomy</vt:lpwstr>
  </property>
</Properties>
</file>