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4A61E" w14:textId="77777777" w:rsidR="00C94D8E" w:rsidRPr="005E536D" w:rsidRDefault="00000000" w:rsidP="005E536D">
      <w:pPr>
        <w:pStyle w:val="Title"/>
        <w:rPr>
          <w:sz w:val="28"/>
          <w:szCs w:val="22"/>
        </w:rPr>
      </w:pPr>
      <w:r w:rsidRPr="005E536D">
        <w:rPr>
          <w:sz w:val="28"/>
          <w:szCs w:val="22"/>
        </w:rPr>
        <w:t>Evidence Preserving Deliberation with Adaptive KV Counter Memory</w:t>
      </w:r>
    </w:p>
    <w:p w14:paraId="49B58EC3" w14:textId="77777777" w:rsidR="00C94D8E" w:rsidRPr="00B5059C" w:rsidRDefault="00000000" w:rsidP="005E536D">
      <w:pPr>
        <w:pStyle w:val="Subtitle"/>
        <w:rPr>
          <w:color w:val="00B0F0"/>
        </w:rPr>
      </w:pPr>
      <w:r w:rsidRPr="00B5059C">
        <w:rPr>
          <w:color w:val="00B0F0"/>
        </w:rPr>
        <w:t>A formal architecture for Attentionlet and continual CVVC RAG</w:t>
      </w:r>
    </w:p>
    <w:p w14:paraId="0EB2BC5B" w14:textId="77777777" w:rsidR="007A2E88" w:rsidRPr="007A2E88" w:rsidRDefault="007A2E88" w:rsidP="007A2E88">
      <w:pPr>
        <w:pStyle w:val="Date"/>
      </w:pPr>
      <w:r w:rsidRPr="007A2E88">
        <w:t>Debi Prasad Ghosh</w:t>
      </w:r>
    </w:p>
    <w:p w14:paraId="79F09545" w14:textId="77777777" w:rsidR="007A2E88" w:rsidRPr="007A2E88" w:rsidRDefault="007A2E88" w:rsidP="007A2E88">
      <w:pPr>
        <w:pStyle w:val="Date"/>
      </w:pPr>
      <w:r w:rsidRPr="007A2E88">
        <w:t>Founder and Principal Engineer, Debias Parametric Guru, Kolkata, India</w:t>
      </w:r>
      <w:r w:rsidRPr="007A2E88">
        <w:br/>
      </w:r>
      <w:hyperlink r:id="rId7" w:history="1">
        <w:r w:rsidRPr="007A2E88">
          <w:rPr>
            <w:rStyle w:val="Hyperlink"/>
          </w:rPr>
          <w:t>debiprasadghosh@gmail.com</w:t>
        </w:r>
      </w:hyperlink>
    </w:p>
    <w:p w14:paraId="55329BB7" w14:textId="3D2F2FF1" w:rsidR="00C94D8E" w:rsidRDefault="008851BF" w:rsidP="005E536D">
      <w:pPr>
        <w:pStyle w:val="Date"/>
      </w:pPr>
      <w:hyperlink r:id="rId8" w:history="1">
        <w:r w:rsidRPr="009352AE">
          <w:rPr>
            <w:rStyle w:val="Hyperlink"/>
          </w:rPr>
          <w:t>https://doi.org/10.13140/RG.2.2.15410.77768</w:t>
        </w:r>
      </w:hyperlink>
      <w:r>
        <w:t xml:space="preserve"> </w:t>
      </w:r>
      <w:r w:rsidR="00000000">
        <w:t>• 6 October 2026</w:t>
      </w:r>
    </w:p>
    <w:p w14:paraId="118CA342" w14:textId="77777777" w:rsidR="00C94D8E" w:rsidRDefault="00000000" w:rsidP="005E536D">
      <w:pPr>
        <w:pStyle w:val="Heading1"/>
        <w:jc w:val="both"/>
      </w:pPr>
      <w:bookmarkStart w:id="0" w:name="abstract"/>
      <w:r>
        <w:t>Abstract</w:t>
      </w:r>
    </w:p>
    <w:p w14:paraId="5B5FE468" w14:textId="77777777" w:rsidR="00C94D8E" w:rsidRDefault="00000000" w:rsidP="005E536D">
      <w:pPr>
        <w:pStyle w:val="FirstParagraph"/>
        <w:jc w:val="both"/>
      </w:pPr>
      <w:r>
        <w:t>Counted attention can preserve a numerical memory read while discarding the source identity or revision needed to justify a decision. We develop an architecture that treats memory resolution as an action of deliberation. Attentionlet supplies a narrow addressing interface, a hierarchy of KV Counters supplies aggregate reads, and an evidence archive retains recoverable Okazaki fragments. The Value Context controller refines disjoint parts of the hierarchy in response to numerical uncertainty and unmet evidence requirements. We establish mass-preserving refinement, derive a local attention-error bound that uses both key dispersion and within-bin value variation, and give a stopping rule whose certified error cannot increase for a fixed query. A three-record counterexample shows that refinement can nevertheless increase realized error. A separate indistinguishability argument proves that exact attention fidelity cannot certify source-dependent answers. Reverse validation is therefore specified as a demand for missing premises, with provenance checks distinct from numerical certificates. Versioned consolidation updates representations and policies without silently mixing model epochs. Numerical checks cover 3,000 random partitions, 1,000 grouping cases, 1,000 reopening cases, and 2,000 omission cases. They support the implementation of the stated algebra, not language-model performance. We conclude with an implementable controller and a falsifiable protocol for evaluating accuracy, evidence support, latency, and total memory cost.</w:t>
      </w:r>
    </w:p>
    <w:p w14:paraId="08CA43EC" w14:textId="77777777" w:rsidR="00C94D8E" w:rsidRDefault="00000000" w:rsidP="005E536D">
      <w:pPr>
        <w:pStyle w:val="BodyText"/>
        <w:jc w:val="both"/>
      </w:pPr>
      <w:r>
        <w:rPr>
          <w:b/>
          <w:bCs/>
        </w:rPr>
        <w:t>Keywords:</w:t>
      </w:r>
      <w:r>
        <w:t xml:space="preserve"> Attentionlet; KV Counter; CVVC-RAG; Okazaki-RAG; adaptive memory; retrieval; reverse validation; continual learning.</w:t>
      </w:r>
    </w:p>
    <w:p w14:paraId="529C7BEA" w14:textId="77777777" w:rsidR="00C94D8E" w:rsidRDefault="00000000" w:rsidP="005E536D">
      <w:pPr>
        <w:pStyle w:val="Heading1"/>
        <w:jc w:val="both"/>
      </w:pPr>
      <w:bookmarkStart w:id="1" w:name="introduction"/>
      <w:bookmarkEnd w:id="0"/>
      <w:r>
        <w:t>1 Introduction</w:t>
      </w:r>
    </w:p>
    <w:p w14:paraId="584AAF46" w14:textId="77777777" w:rsidR="00C94D8E" w:rsidRDefault="00000000" w:rsidP="005E536D">
      <w:pPr>
        <w:pStyle w:val="FirstParagraph"/>
        <w:jc w:val="both"/>
      </w:pPr>
      <w:r>
        <w:t>A useful long-term memory system must decide which details to bring back into active computation. Retaining every token at full resolution is expensive. Compressing every past observation into a fixed summary can remove the identity, order, or exceptional revision that a future question requires. The research problem is therefore to control resolution while preserving a route to task-relevant evidence.</w:t>
      </w:r>
    </w:p>
    <w:p w14:paraId="44330684" w14:textId="77777777" w:rsidR="00C94D8E" w:rsidRDefault="00000000" w:rsidP="005E536D">
      <w:pPr>
        <w:pStyle w:val="BodyText"/>
        <w:jc w:val="both"/>
      </w:pPr>
      <w:r>
        <w:t>The Attentionlet and KV Counter line provides an algebraic starting point [6, 7]. Narrow query/key channels separate addressing from a wider value payload. Repeated effective keys can be represented by counts and value sums; approximate grouping can be assessed through a local attention-error bound. Those results concern a declared attention operator. They do not establish that a summary remains sufficient for every future question.</w:t>
      </w:r>
    </w:p>
    <w:p w14:paraId="748DD9FB" w14:textId="77777777" w:rsidR="00C94D8E" w:rsidRDefault="00000000" w:rsidP="005E536D">
      <w:pPr>
        <w:pStyle w:val="BodyText"/>
        <w:jc w:val="both"/>
      </w:pPr>
      <w:r>
        <w:t>Our Okazaki and CVVC work supplies the complementary control structure [1–5]. Fragment retrieval makes detailed representations available when needed. The Inline Manipulation Engine organizes a bounded active set. A dedicated Value Context strand mediates the reader and planner. Online ingestion and offline consolidation separate freshness from slower restructuring, while reverse validation motivates working backward from a conclusion to its supporting premises.</w:t>
      </w:r>
    </w:p>
    <w:p w14:paraId="00F05ED5" w14:textId="77777777" w:rsidR="00C94D8E" w:rsidRDefault="00000000" w:rsidP="005E536D">
      <w:pPr>
        <w:pStyle w:val="BodyText"/>
        <w:jc w:val="both"/>
      </w:pPr>
      <w:r>
        <w:lastRenderedPageBreak/>
        <w:t>This paper turns their combination into a specific architecture. A query starts with a coarse read over a complete, declared memory population. The controller may replace a summary with disjoint children, materialize selected records, or inspect a source-dependent premise. Each action preserves the accounting of what is represented. A numerical certificate measures fidelity to the declared read; an evidence record tracks support for the task. The two judgments remain separate.</w:t>
      </w:r>
    </w:p>
    <w:p w14:paraId="2072D38B" w14:textId="77777777" w:rsidR="00C94D8E" w:rsidRDefault="00000000" w:rsidP="005E536D">
      <w:pPr>
        <w:pStyle w:val="BodyText"/>
        <w:jc w:val="both"/>
      </w:pPr>
      <w:r>
        <w:t>The scientific hypothesis is that a learned policy can choose these actions more efficiently than a fixed retrieval budget or a fixed compression level, particularly when rare exceptions and revision-sensitive facts matter. This hypothesis has not yet been tested on a trained language model. The present contribution consists of a formal interface, implementable control semantics, proofs of its local guarantees, completed numerical checks, and an evaluation protocol.</w:t>
      </w:r>
    </w:p>
    <w:p w14:paraId="702A3DE2" w14:textId="77777777" w:rsidR="00C94D8E" w:rsidRDefault="00000000" w:rsidP="005E536D">
      <w:pPr>
        <w:pStyle w:val="BodyText"/>
        <w:jc w:val="both"/>
      </w:pPr>
      <w:r>
        <w:t>Four results organize the paper. First, disjoint replacement gives a precise meaning to reopening counted memory. Second, a dispersion-sensitive bound uses value variation to avoid treating every key approximation as equally harmful. Third, an incumbent rule makes the reported numerical guarantee monotone even when the successive read outputs are not. Fourth, a source-identity counterexample establishes why a separate evidence path is necessary. These results extend the earlier research agenda [8] into a testable mathematical and architectural specification.</w:t>
      </w:r>
    </w:p>
    <w:p w14:paraId="1F94E9E6" w14:textId="77777777" w:rsidR="00C94D8E" w:rsidRDefault="00000000" w:rsidP="005E536D">
      <w:pPr>
        <w:pStyle w:val="Heading1"/>
        <w:jc w:val="both"/>
      </w:pPr>
      <w:bookmarkStart w:id="2" w:name="relationship-to-the-earlier-research"/>
      <w:bookmarkEnd w:id="1"/>
      <w:r>
        <w:t>2 Relationship to the earlier research</w:t>
      </w:r>
    </w:p>
    <w:p w14:paraId="2EDDCFE2" w14:textId="77777777" w:rsidR="00C94D8E" w:rsidRDefault="00000000" w:rsidP="005E536D">
      <w:pPr>
        <w:pStyle w:val="FirstParagraph"/>
        <w:jc w:val="both"/>
      </w:pPr>
      <w:r>
        <w:t>The original Okazaki-RAG introduces continuous context processing and selective access to precomputed fragment representations [4]. The System 2 extension makes fragment operations and working capacity explicit [3]. CVVC-RAG assigns orchestration to the Value Context strand [2]. Continual CVVC-RAG proposes recent and consolidated stores with representation versioning [1]. The asymmetric cognition framework adds a forward proposer, reverse validation, and differentiated replay [5]. We retain those roles while specifying the memory population, update semantics, and limits of numerical guarantees.</w:t>
      </w:r>
    </w:p>
    <w:p w14:paraId="0E7CD4D7" w14:textId="77777777" w:rsidR="00C94D8E" w:rsidRDefault="00000000" w:rsidP="005E536D">
      <w:pPr>
        <w:pStyle w:val="BodyText"/>
        <w:jc w:val="both"/>
      </w:pPr>
      <w:r>
        <w:t>Transformer-VQ already demonstrates attention based on quantized keys and a compressive cache [9]. Count-aware aggregation is therefore a foundation and baseline, not a novelty claim of this paper. Self-RAG makes retrieval and critique adaptive [10]; the present question concerns adaptation of the resolution of a counted representation, including its relation to recoverable source evidence. An empirical comparison must isolate that distinction from gains due merely to additional retrieval or verification calls.</w:t>
      </w:r>
    </w:p>
    <w:p w14:paraId="65FDF75F" w14:textId="77777777" w:rsidR="00C94D8E" w:rsidRDefault="00000000" w:rsidP="005E536D">
      <w:pPr>
        <w:pStyle w:val="BodyText"/>
        <w:jc w:val="both"/>
      </w:pPr>
      <w:r>
        <w:t>CacheBlend and EPIC address context-cache reuse with recomputation or linking mechanisms [11, 12]. Their results motivate a later native-cache implementation. They do not establish that arbitrarily concatenated final-layer tensors equal the states produced by full prefill of the concatenated text. Our first implementation instead uses an explicit retrieval-attention interface, giving every theorem a fixed and reproducible reference.</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62"/>
        <w:gridCol w:w="3008"/>
        <w:gridCol w:w="4256"/>
      </w:tblGrid>
      <w:tr w:rsidR="00C94D8E" w14:paraId="768158B7" w14:textId="77777777" w:rsidTr="00C94D8E">
        <w:trPr>
          <w:cnfStyle w:val="100000000000" w:firstRow="1" w:lastRow="0" w:firstColumn="0" w:lastColumn="0" w:oddVBand="0" w:evenVBand="0" w:oddHBand="0" w:evenHBand="0" w:firstRowFirstColumn="0" w:firstRowLastColumn="0" w:lastRowFirstColumn="0" w:lastRowLastColumn="0"/>
          <w:cantSplit/>
          <w:tblHeader/>
          <w:jc w:val="center"/>
        </w:trPr>
        <w:tc>
          <w:tcPr>
            <w:tcW w:w="2808" w:type="dxa"/>
            <w:shd w:val="clear" w:color="auto" w:fill="24364B"/>
            <w:tcMar>
              <w:top w:w="90" w:type="dxa"/>
              <w:left w:w="95" w:type="dxa"/>
              <w:bottom w:w="90" w:type="dxa"/>
              <w:right w:w="95" w:type="dxa"/>
            </w:tcMar>
            <w:vAlign w:val="center"/>
          </w:tcPr>
          <w:p w14:paraId="5B07EB59" w14:textId="77777777" w:rsidR="00C94D8E" w:rsidRDefault="00000000" w:rsidP="005E536D">
            <w:pPr>
              <w:pStyle w:val="Compact"/>
              <w:spacing w:before="0" w:after="0" w:line="252" w:lineRule="auto"/>
              <w:jc w:val="both"/>
            </w:pPr>
            <w:r>
              <w:rPr>
                <w:rFonts w:ascii="Arial" w:hAnsi="Arial"/>
                <w:b/>
                <w:color w:val="FFFFFF"/>
                <w:sz w:val="19"/>
              </w:rPr>
              <w:t>Component</w:t>
            </w:r>
          </w:p>
        </w:tc>
        <w:tc>
          <w:tcPr>
            <w:tcW w:w="2952" w:type="dxa"/>
            <w:shd w:val="clear" w:color="auto" w:fill="24364B"/>
            <w:tcMar>
              <w:top w:w="90" w:type="dxa"/>
              <w:left w:w="95" w:type="dxa"/>
              <w:bottom w:w="90" w:type="dxa"/>
              <w:right w:w="95" w:type="dxa"/>
            </w:tcMar>
            <w:vAlign w:val="center"/>
          </w:tcPr>
          <w:p w14:paraId="59DCAE7D" w14:textId="77777777" w:rsidR="00C94D8E" w:rsidRDefault="00000000" w:rsidP="005E536D">
            <w:pPr>
              <w:pStyle w:val="Compact"/>
              <w:spacing w:before="0" w:after="0" w:line="252" w:lineRule="auto"/>
              <w:jc w:val="both"/>
            </w:pPr>
            <w:r>
              <w:rPr>
                <w:rFonts w:ascii="Arial" w:hAnsi="Arial"/>
                <w:b/>
                <w:color w:val="FFFFFF"/>
                <w:sz w:val="19"/>
              </w:rPr>
              <w:t>Retained idea</w:t>
            </w:r>
          </w:p>
        </w:tc>
        <w:tc>
          <w:tcPr>
            <w:tcW w:w="4176" w:type="dxa"/>
            <w:shd w:val="clear" w:color="auto" w:fill="24364B"/>
            <w:tcMar>
              <w:top w:w="90" w:type="dxa"/>
              <w:left w:w="95" w:type="dxa"/>
              <w:bottom w:w="90" w:type="dxa"/>
              <w:right w:w="95" w:type="dxa"/>
            </w:tcMar>
            <w:vAlign w:val="center"/>
          </w:tcPr>
          <w:p w14:paraId="021EE69A" w14:textId="77777777" w:rsidR="00C94D8E" w:rsidRDefault="00000000" w:rsidP="005E536D">
            <w:pPr>
              <w:pStyle w:val="Compact"/>
              <w:spacing w:before="0" w:after="0" w:line="252" w:lineRule="auto"/>
              <w:jc w:val="both"/>
            </w:pPr>
            <w:r>
              <w:rPr>
                <w:rFonts w:ascii="Arial" w:hAnsi="Arial"/>
                <w:b/>
                <w:color w:val="FFFFFF"/>
                <w:sz w:val="19"/>
              </w:rPr>
              <w:t>Specification added here</w:t>
            </w:r>
          </w:p>
        </w:tc>
      </w:tr>
      <w:tr w:rsidR="00C94D8E" w14:paraId="3D25EA6E" w14:textId="77777777" w:rsidTr="00C94D8E">
        <w:trPr>
          <w:cantSplit/>
          <w:jc w:val="center"/>
        </w:trPr>
        <w:tc>
          <w:tcPr>
            <w:tcW w:w="2808" w:type="dxa"/>
            <w:shd w:val="clear" w:color="auto" w:fill="F1F4F7"/>
            <w:tcMar>
              <w:top w:w="90" w:type="dxa"/>
              <w:left w:w="95" w:type="dxa"/>
              <w:bottom w:w="90" w:type="dxa"/>
              <w:right w:w="95" w:type="dxa"/>
            </w:tcMar>
            <w:vAlign w:val="center"/>
          </w:tcPr>
          <w:p w14:paraId="5B355C38" w14:textId="77777777" w:rsidR="00C94D8E" w:rsidRDefault="00000000" w:rsidP="005E536D">
            <w:pPr>
              <w:pStyle w:val="Compact"/>
              <w:spacing w:before="0" w:after="0" w:line="252" w:lineRule="auto"/>
              <w:jc w:val="both"/>
            </w:pPr>
            <w:r>
              <w:rPr>
                <w:rFonts w:ascii="Arial" w:hAnsi="Arial"/>
                <w:sz w:val="19"/>
              </w:rPr>
              <w:t>Attentionlet and KV Counter [6, 7]</w:t>
            </w:r>
          </w:p>
        </w:tc>
        <w:tc>
          <w:tcPr>
            <w:tcW w:w="2952" w:type="dxa"/>
            <w:shd w:val="clear" w:color="auto" w:fill="F1F4F7"/>
            <w:tcMar>
              <w:top w:w="90" w:type="dxa"/>
              <w:left w:w="95" w:type="dxa"/>
              <w:bottom w:w="90" w:type="dxa"/>
              <w:right w:w="95" w:type="dxa"/>
            </w:tcMar>
            <w:vAlign w:val="center"/>
          </w:tcPr>
          <w:p w14:paraId="291FA4F1" w14:textId="77777777" w:rsidR="00C94D8E" w:rsidRDefault="00000000" w:rsidP="005E536D">
            <w:pPr>
              <w:pStyle w:val="Compact"/>
              <w:spacing w:before="0" w:after="0" w:line="252" w:lineRule="auto"/>
              <w:jc w:val="both"/>
            </w:pPr>
            <w:r>
              <w:rPr>
                <w:rFonts w:ascii="Arial" w:hAnsi="Arial"/>
                <w:sz w:val="19"/>
              </w:rPr>
              <w:t>Narrow addresses and aggregate reads</w:t>
            </w:r>
          </w:p>
        </w:tc>
        <w:tc>
          <w:tcPr>
            <w:tcW w:w="4176" w:type="dxa"/>
            <w:shd w:val="clear" w:color="auto" w:fill="F1F4F7"/>
            <w:tcMar>
              <w:top w:w="90" w:type="dxa"/>
              <w:left w:w="95" w:type="dxa"/>
              <w:bottom w:w="90" w:type="dxa"/>
              <w:right w:w="95" w:type="dxa"/>
            </w:tcMar>
            <w:vAlign w:val="center"/>
          </w:tcPr>
          <w:p w14:paraId="3E0767CD" w14:textId="77777777" w:rsidR="00C94D8E" w:rsidRDefault="00000000" w:rsidP="005E536D">
            <w:pPr>
              <w:pStyle w:val="Compact"/>
              <w:spacing w:before="0" w:after="0" w:line="252" w:lineRule="auto"/>
              <w:jc w:val="both"/>
            </w:pPr>
            <w:r>
              <w:rPr>
                <w:rFonts w:ascii="Arial" w:hAnsi="Arial"/>
                <w:sz w:val="19"/>
              </w:rPr>
              <w:t>A hierarchy with local dispersion statistics</w:t>
            </w:r>
          </w:p>
        </w:tc>
      </w:tr>
      <w:tr w:rsidR="00C94D8E" w14:paraId="20F22BE5" w14:textId="77777777" w:rsidTr="00C94D8E">
        <w:trPr>
          <w:cantSplit/>
          <w:jc w:val="center"/>
        </w:trPr>
        <w:tc>
          <w:tcPr>
            <w:tcW w:w="2808" w:type="dxa"/>
            <w:shd w:val="clear" w:color="auto" w:fill="FFFFFF"/>
            <w:tcMar>
              <w:top w:w="90" w:type="dxa"/>
              <w:left w:w="95" w:type="dxa"/>
              <w:bottom w:w="90" w:type="dxa"/>
              <w:right w:w="95" w:type="dxa"/>
            </w:tcMar>
            <w:vAlign w:val="center"/>
          </w:tcPr>
          <w:p w14:paraId="729F5852" w14:textId="77777777" w:rsidR="00C94D8E" w:rsidRDefault="00000000" w:rsidP="005E536D">
            <w:pPr>
              <w:pStyle w:val="Compact"/>
              <w:spacing w:before="0" w:after="0" w:line="252" w:lineRule="auto"/>
              <w:jc w:val="both"/>
            </w:pPr>
            <w:r>
              <w:rPr>
                <w:rFonts w:ascii="Arial" w:hAnsi="Arial"/>
                <w:sz w:val="19"/>
              </w:rPr>
              <w:t>Okazaki fragments [3, 4]</w:t>
            </w:r>
          </w:p>
        </w:tc>
        <w:tc>
          <w:tcPr>
            <w:tcW w:w="2952" w:type="dxa"/>
            <w:shd w:val="clear" w:color="auto" w:fill="FFFFFF"/>
            <w:tcMar>
              <w:top w:w="90" w:type="dxa"/>
              <w:left w:w="95" w:type="dxa"/>
              <w:bottom w:w="90" w:type="dxa"/>
              <w:right w:w="95" w:type="dxa"/>
            </w:tcMar>
            <w:vAlign w:val="center"/>
          </w:tcPr>
          <w:p w14:paraId="660C443D" w14:textId="77777777" w:rsidR="00C94D8E" w:rsidRDefault="00000000" w:rsidP="005E536D">
            <w:pPr>
              <w:pStyle w:val="Compact"/>
              <w:spacing w:before="0" w:after="0" w:line="252" w:lineRule="auto"/>
              <w:jc w:val="both"/>
            </w:pPr>
            <w:r>
              <w:rPr>
                <w:rFonts w:ascii="Arial" w:hAnsi="Arial"/>
                <w:sz w:val="19"/>
              </w:rPr>
              <w:t>Reusable detailed memory</w:t>
            </w:r>
          </w:p>
        </w:tc>
        <w:tc>
          <w:tcPr>
            <w:tcW w:w="4176" w:type="dxa"/>
            <w:shd w:val="clear" w:color="auto" w:fill="FFFFFF"/>
            <w:tcMar>
              <w:top w:w="90" w:type="dxa"/>
              <w:left w:w="95" w:type="dxa"/>
              <w:bottom w:w="90" w:type="dxa"/>
              <w:right w:w="95" w:type="dxa"/>
            </w:tcMar>
            <w:vAlign w:val="center"/>
          </w:tcPr>
          <w:p w14:paraId="7FA2BB23" w14:textId="77777777" w:rsidR="00C94D8E" w:rsidRDefault="00000000" w:rsidP="005E536D">
            <w:pPr>
              <w:pStyle w:val="Compact"/>
              <w:spacing w:before="0" w:after="0" w:line="252" w:lineRule="auto"/>
              <w:jc w:val="both"/>
            </w:pPr>
            <w:r>
              <w:rPr>
                <w:rFonts w:ascii="Arial" w:hAnsi="Arial"/>
                <w:sz w:val="19"/>
              </w:rPr>
              <w:t>Identity-preserving materialization and disjoint replacement</w:t>
            </w:r>
          </w:p>
        </w:tc>
      </w:tr>
      <w:tr w:rsidR="00C94D8E" w14:paraId="7E6EA196" w14:textId="77777777" w:rsidTr="00C94D8E">
        <w:trPr>
          <w:cantSplit/>
          <w:jc w:val="center"/>
        </w:trPr>
        <w:tc>
          <w:tcPr>
            <w:tcW w:w="2808" w:type="dxa"/>
            <w:shd w:val="clear" w:color="auto" w:fill="F1F4F7"/>
            <w:tcMar>
              <w:top w:w="90" w:type="dxa"/>
              <w:left w:w="95" w:type="dxa"/>
              <w:bottom w:w="90" w:type="dxa"/>
              <w:right w:w="95" w:type="dxa"/>
            </w:tcMar>
            <w:vAlign w:val="center"/>
          </w:tcPr>
          <w:p w14:paraId="058AC58A" w14:textId="77777777" w:rsidR="00C94D8E" w:rsidRDefault="00000000" w:rsidP="005E536D">
            <w:pPr>
              <w:pStyle w:val="Compact"/>
              <w:spacing w:before="0" w:after="0" w:line="252" w:lineRule="auto"/>
              <w:jc w:val="both"/>
            </w:pPr>
            <w:r>
              <w:rPr>
                <w:rFonts w:ascii="Arial" w:hAnsi="Arial"/>
                <w:sz w:val="19"/>
              </w:rPr>
              <w:t>CVVC orchestration [2]</w:t>
            </w:r>
          </w:p>
        </w:tc>
        <w:tc>
          <w:tcPr>
            <w:tcW w:w="2952" w:type="dxa"/>
            <w:shd w:val="clear" w:color="auto" w:fill="F1F4F7"/>
            <w:tcMar>
              <w:top w:w="90" w:type="dxa"/>
              <w:left w:w="95" w:type="dxa"/>
              <w:bottom w:w="90" w:type="dxa"/>
              <w:right w:w="95" w:type="dxa"/>
            </w:tcMar>
            <w:vAlign w:val="center"/>
          </w:tcPr>
          <w:p w14:paraId="37C8EE57" w14:textId="77777777" w:rsidR="00C94D8E" w:rsidRDefault="00000000" w:rsidP="005E536D">
            <w:pPr>
              <w:pStyle w:val="Compact"/>
              <w:spacing w:before="0" w:after="0" w:line="252" w:lineRule="auto"/>
              <w:jc w:val="both"/>
            </w:pPr>
            <w:r>
              <w:rPr>
                <w:rFonts w:ascii="Arial" w:hAnsi="Arial"/>
                <w:sz w:val="19"/>
              </w:rPr>
              <w:t>A dedicated mediation policy</w:t>
            </w:r>
          </w:p>
        </w:tc>
        <w:tc>
          <w:tcPr>
            <w:tcW w:w="4176" w:type="dxa"/>
            <w:shd w:val="clear" w:color="auto" w:fill="F1F4F7"/>
            <w:tcMar>
              <w:top w:w="90" w:type="dxa"/>
              <w:left w:w="95" w:type="dxa"/>
              <w:bottom w:w="90" w:type="dxa"/>
              <w:right w:w="95" w:type="dxa"/>
            </w:tcMar>
            <w:vAlign w:val="center"/>
          </w:tcPr>
          <w:p w14:paraId="326C43B7" w14:textId="77777777" w:rsidR="00C94D8E" w:rsidRDefault="00000000" w:rsidP="005E536D">
            <w:pPr>
              <w:pStyle w:val="Compact"/>
              <w:spacing w:before="0" w:after="0" w:line="252" w:lineRule="auto"/>
              <w:jc w:val="both"/>
            </w:pPr>
            <w:r>
              <w:rPr>
                <w:rFonts w:ascii="Arial" w:hAnsi="Arial"/>
                <w:sz w:val="19"/>
              </w:rPr>
              <w:t>Separate numerical and evidence obligations</w:t>
            </w:r>
          </w:p>
        </w:tc>
      </w:tr>
      <w:tr w:rsidR="00C94D8E" w14:paraId="4547FA70" w14:textId="77777777" w:rsidTr="00C94D8E">
        <w:trPr>
          <w:cantSplit/>
          <w:jc w:val="center"/>
        </w:trPr>
        <w:tc>
          <w:tcPr>
            <w:tcW w:w="2808" w:type="dxa"/>
            <w:shd w:val="clear" w:color="auto" w:fill="FFFFFF"/>
            <w:tcMar>
              <w:top w:w="90" w:type="dxa"/>
              <w:left w:w="95" w:type="dxa"/>
              <w:bottom w:w="90" w:type="dxa"/>
              <w:right w:w="95" w:type="dxa"/>
            </w:tcMar>
            <w:vAlign w:val="center"/>
          </w:tcPr>
          <w:p w14:paraId="7539FD16" w14:textId="77777777" w:rsidR="00C94D8E" w:rsidRDefault="00000000" w:rsidP="005E536D">
            <w:pPr>
              <w:pStyle w:val="Compact"/>
              <w:spacing w:before="0" w:after="0" w:line="252" w:lineRule="auto"/>
              <w:jc w:val="both"/>
            </w:pPr>
            <w:r>
              <w:rPr>
                <w:rFonts w:ascii="Arial" w:hAnsi="Arial"/>
                <w:sz w:val="19"/>
              </w:rPr>
              <w:t>Continual CVVC [1]</w:t>
            </w:r>
          </w:p>
        </w:tc>
        <w:tc>
          <w:tcPr>
            <w:tcW w:w="2952" w:type="dxa"/>
            <w:shd w:val="clear" w:color="auto" w:fill="FFFFFF"/>
            <w:tcMar>
              <w:top w:w="90" w:type="dxa"/>
              <w:left w:w="95" w:type="dxa"/>
              <w:bottom w:w="90" w:type="dxa"/>
              <w:right w:w="95" w:type="dxa"/>
            </w:tcMar>
            <w:vAlign w:val="center"/>
          </w:tcPr>
          <w:p w14:paraId="4CAF3019" w14:textId="77777777" w:rsidR="00C94D8E" w:rsidRDefault="00000000" w:rsidP="005E536D">
            <w:pPr>
              <w:pStyle w:val="Compact"/>
              <w:spacing w:before="0" w:after="0" w:line="252" w:lineRule="auto"/>
              <w:jc w:val="both"/>
            </w:pPr>
            <w:r>
              <w:rPr>
                <w:rFonts w:ascii="Arial" w:hAnsi="Arial"/>
                <w:sz w:val="19"/>
              </w:rPr>
              <w:t>Hot and consolidated stores</w:t>
            </w:r>
          </w:p>
        </w:tc>
        <w:tc>
          <w:tcPr>
            <w:tcW w:w="4176" w:type="dxa"/>
            <w:shd w:val="clear" w:color="auto" w:fill="FFFFFF"/>
            <w:tcMar>
              <w:top w:w="90" w:type="dxa"/>
              <w:left w:w="95" w:type="dxa"/>
              <w:bottom w:w="90" w:type="dxa"/>
              <w:right w:w="95" w:type="dxa"/>
            </w:tcMar>
            <w:vAlign w:val="center"/>
          </w:tcPr>
          <w:p w14:paraId="77D519B4" w14:textId="77777777" w:rsidR="00C94D8E" w:rsidRDefault="00000000" w:rsidP="005E536D">
            <w:pPr>
              <w:pStyle w:val="Compact"/>
              <w:spacing w:before="0" w:after="0" w:line="252" w:lineRule="auto"/>
              <w:jc w:val="both"/>
            </w:pPr>
            <w:r>
              <w:rPr>
                <w:rFonts w:ascii="Arial" w:hAnsi="Arial"/>
                <w:sz w:val="19"/>
              </w:rPr>
              <w:t>Snapshot isolation and representation-epoch migration</w:t>
            </w:r>
          </w:p>
        </w:tc>
      </w:tr>
      <w:tr w:rsidR="00C94D8E" w14:paraId="1CA372AE" w14:textId="77777777" w:rsidTr="00C94D8E">
        <w:trPr>
          <w:cantSplit/>
          <w:jc w:val="center"/>
        </w:trPr>
        <w:tc>
          <w:tcPr>
            <w:tcW w:w="2808" w:type="dxa"/>
            <w:shd w:val="clear" w:color="auto" w:fill="F1F4F7"/>
            <w:tcMar>
              <w:top w:w="90" w:type="dxa"/>
              <w:left w:w="95" w:type="dxa"/>
              <w:bottom w:w="90" w:type="dxa"/>
              <w:right w:w="95" w:type="dxa"/>
            </w:tcMar>
            <w:vAlign w:val="center"/>
          </w:tcPr>
          <w:p w14:paraId="755F71D4" w14:textId="77777777" w:rsidR="00C94D8E" w:rsidRDefault="00000000" w:rsidP="005E536D">
            <w:pPr>
              <w:pStyle w:val="Compact"/>
              <w:spacing w:before="0" w:after="0" w:line="252" w:lineRule="auto"/>
              <w:jc w:val="both"/>
            </w:pPr>
            <w:r>
              <w:rPr>
                <w:rFonts w:ascii="Arial" w:hAnsi="Arial"/>
                <w:sz w:val="19"/>
              </w:rPr>
              <w:lastRenderedPageBreak/>
              <w:t>Reverse validation and replay [5]</w:t>
            </w:r>
          </w:p>
        </w:tc>
        <w:tc>
          <w:tcPr>
            <w:tcW w:w="2952" w:type="dxa"/>
            <w:shd w:val="clear" w:color="auto" w:fill="F1F4F7"/>
            <w:tcMar>
              <w:top w:w="90" w:type="dxa"/>
              <w:left w:w="95" w:type="dxa"/>
              <w:bottom w:w="90" w:type="dxa"/>
              <w:right w:w="95" w:type="dxa"/>
            </w:tcMar>
            <w:vAlign w:val="center"/>
          </w:tcPr>
          <w:p w14:paraId="699EB55E" w14:textId="77777777" w:rsidR="00C94D8E" w:rsidRDefault="00000000" w:rsidP="005E536D">
            <w:pPr>
              <w:pStyle w:val="Compact"/>
              <w:spacing w:before="0" w:after="0" w:line="252" w:lineRule="auto"/>
              <w:jc w:val="both"/>
            </w:pPr>
            <w:r>
              <w:rPr>
                <w:rFonts w:ascii="Arial" w:hAnsi="Arial"/>
                <w:sz w:val="19"/>
              </w:rPr>
              <w:t>Conclusion-to-premise checking</w:t>
            </w:r>
          </w:p>
        </w:tc>
        <w:tc>
          <w:tcPr>
            <w:tcW w:w="4176" w:type="dxa"/>
            <w:shd w:val="clear" w:color="auto" w:fill="F1F4F7"/>
            <w:tcMar>
              <w:top w:w="90" w:type="dxa"/>
              <w:left w:w="95" w:type="dxa"/>
              <w:bottom w:w="90" w:type="dxa"/>
              <w:right w:w="95" w:type="dxa"/>
            </w:tcMar>
            <w:vAlign w:val="center"/>
          </w:tcPr>
          <w:p w14:paraId="08A0D1F6" w14:textId="77777777" w:rsidR="00C94D8E" w:rsidRDefault="00000000" w:rsidP="005E536D">
            <w:pPr>
              <w:pStyle w:val="Compact"/>
              <w:spacing w:before="0" w:after="0" w:line="252" w:lineRule="auto"/>
              <w:jc w:val="both"/>
            </w:pPr>
            <w:r>
              <w:rPr>
                <w:rFonts w:ascii="Arial" w:hAnsi="Arial"/>
                <w:sz w:val="19"/>
              </w:rPr>
              <w:t>Explicit premise requests and counterfactual evidence tests</w:t>
            </w:r>
          </w:p>
        </w:tc>
      </w:tr>
    </w:tbl>
    <w:p w14:paraId="45734C69" w14:textId="77777777" w:rsidR="00C94D8E" w:rsidRDefault="00000000" w:rsidP="005E536D">
      <w:pPr>
        <w:pStyle w:val="BodyText"/>
        <w:jc w:val="both"/>
      </w:pPr>
      <w:r>
        <w:t>This is a focused synthesis. Hierarchical search, coarse-to-fine computation, and adaptive retrieval have wider literatures than the comparison above. The novelty claim is limited to the proposed combination and its specified behavior; any efficiency advantage must be established against strong implementations of the component alternatives.</w:t>
      </w:r>
    </w:p>
    <w:p w14:paraId="734731C2" w14:textId="77777777" w:rsidR="00C94D8E" w:rsidRDefault="00000000" w:rsidP="005E536D">
      <w:pPr>
        <w:pStyle w:val="Heading1"/>
        <w:jc w:val="both"/>
      </w:pPr>
      <w:bookmarkStart w:id="3" w:name="architecture-and-memory-semantics"/>
      <w:bookmarkEnd w:id="2"/>
      <w:r>
        <w:t>3 Architecture and memory semantics</w:t>
      </w:r>
    </w:p>
    <w:p w14:paraId="0D4CC29C" w14:textId="77777777" w:rsidR="00C94D8E" w:rsidRDefault="00000000" w:rsidP="005E536D">
      <w:pPr>
        <w:pStyle w:val="Heading2"/>
        <w:jc w:val="both"/>
      </w:pPr>
      <w:bookmarkStart w:id="4" w:name="the-three-strands"/>
      <w:r>
        <w:t>The three strands</w:t>
      </w:r>
    </w:p>
    <w:p w14:paraId="54D29A23" w14:textId="77777777" w:rsidR="00C94D8E" w:rsidRDefault="00000000" w:rsidP="005E536D">
      <w:pPr>
        <w:pStyle w:val="FirstParagraph"/>
        <w:jc w:val="both"/>
      </w:pPr>
      <w:r>
        <w:t>The Context strand maintains task state and produces a query. Its hidden width need not equal Attentionlet’s addressing width. The Value strand consumes selected evidence and proposes or checks an answer. The Value Context strand controls resolution, assembly, validation, and stopping. A reverse validator is a functional role within this loop; it need not initially be a separately trained right-to-left decoder.</w:t>
      </w:r>
    </w:p>
    <w:p w14:paraId="2E7004C9" w14:textId="77777777" w:rsidR="00C94D8E" w:rsidRDefault="00000000" w:rsidP="005E536D">
      <w:pPr>
        <w:pStyle w:val="BodyText"/>
        <w:jc w:val="both"/>
      </w:pPr>
      <w:r>
        <w:t>The system maintains an evidence archive, a summary hierarchy, a hot ingestion store, an active fragment set, and the generation cache needed for continued decoding. These are logical roles rather than a requirement for five physical databases. The evidence archive preserves text or other source records, revision relationships, and enough information to rebuild their representations. The hierarchy provides economical reads and a route to those records. A bounded active set does not imply a bounded archive.</w:t>
      </w:r>
    </w:p>
    <w:p w14:paraId="1A746538" w14:textId="77777777" w:rsidR="00C94D8E" w:rsidRDefault="00000000" w:rsidP="005E536D">
      <w:pPr>
        <w:pStyle w:val="BodyText"/>
        <w:keepNext/>
        <w:jc w:val="both"/>
      </w:pPr>
      <w:r>
        <w:rPr>
          <w:noProof/>
        </w:rPr>
        <w:drawing>
          <wp:inline distT="0" distB="0" distL="0" distR="0" wp14:anchorId="11A9FB45" wp14:editId="411952A5">
            <wp:extent cx="5334000" cy="2967413"/>
            <wp:effectExtent l="0" t="0" r="0" b="0"/>
            <wp:docPr id="24" name="Picture" descr="Architecture"/>
            <wp:cNvGraphicFramePr/>
            <a:graphic xmlns:a="http://schemas.openxmlformats.org/drawingml/2006/main">
              <a:graphicData uri="http://schemas.openxmlformats.org/drawingml/2006/picture">
                <pic:pic xmlns:pic="http://schemas.openxmlformats.org/drawingml/2006/picture">
                  <pic:nvPicPr>
                    <pic:cNvPr id="25" name="Picture" descr="architecture.png"/>
                    <pic:cNvPicPr>
                      <a:picLocks noChangeAspect="1" noChangeArrowheads="1"/>
                    </pic:cNvPicPr>
                  </pic:nvPicPr>
                  <pic:blipFill>
                    <a:blip r:embed="rId9"/>
                    <a:stretch>
                      <a:fillRect/>
                    </a:stretch>
                  </pic:blipFill>
                  <pic:spPr bwMode="auto">
                    <a:xfrm>
                      <a:off x="0" y="0"/>
                      <a:ext cx="5334000" cy="2967413"/>
                    </a:xfrm>
                    <a:prstGeom prst="rect">
                      <a:avLst/>
                    </a:prstGeom>
                    <a:noFill/>
                    <a:ln w="9525">
                      <a:noFill/>
                      <a:headEnd/>
                      <a:tailEnd/>
                    </a:ln>
                  </pic:spPr>
                </pic:pic>
              </a:graphicData>
            </a:graphic>
          </wp:inline>
        </w:drawing>
      </w:r>
    </w:p>
    <w:p w14:paraId="7E5BD2C8" w14:textId="77777777" w:rsidR="00C94D8E" w:rsidRDefault="00000000" w:rsidP="005E536D">
      <w:pPr>
        <w:pStyle w:val="BodyText"/>
        <w:spacing w:after="160" w:line="252" w:lineRule="auto"/>
        <w:jc w:val="both"/>
      </w:pPr>
      <w:r>
        <w:rPr>
          <w:sz w:val="19"/>
        </w:rPr>
        <w:t>Figure 1. The proposed control loop. Value Context selects the resolution of memory and receives missing-premise requests from the reader. Offline consolidation rebuilds a new representation epoch from retained evidence and checked traces. Arrows denote declared interfaces, not claims of unrestricted KV-cache interchangeability.</w:t>
      </w:r>
    </w:p>
    <w:p w14:paraId="23B240C3" w14:textId="77777777" w:rsidR="00C94D8E" w:rsidRDefault="00000000" w:rsidP="005E536D">
      <w:pPr>
        <w:pStyle w:val="Heading2"/>
        <w:jc w:val="both"/>
      </w:pPr>
      <w:bookmarkStart w:id="5" w:name="population-and-identity"/>
      <w:bookmarkEnd w:id="4"/>
      <w:r>
        <w:t>Population and identity</w:t>
      </w:r>
    </w:p>
    <w:p w14:paraId="086B474B" w14:textId="77777777" w:rsidR="00C94D8E" w:rsidRDefault="00000000" w:rsidP="005E536D">
      <w:pPr>
        <w:pStyle w:val="FirstParagraph"/>
        <w:jc w:val="both"/>
      </w:pPr>
      <w:r>
        <w:t xml:space="preserve">An attention record is an occurrence with a key and value at a declared reader interface. A source fragment may contain many such records. Each occurrence belongs to exactly one archived fragment and one representation </w:t>
      </w:r>
      <w:r>
        <w:lastRenderedPageBreak/>
        <w:t>epoch. A hierarchy node covers a declared set of occurrences; child nodes partition that set. Overlapping source chunks must use an explicit occurrence convention so that duplication is intentional and auditable.</w:t>
      </w:r>
    </w:p>
    <w:p w14:paraId="169AC28B" w14:textId="77777777" w:rsidR="00C94D8E" w:rsidRDefault="00000000" w:rsidP="005E536D">
      <w:pPr>
        <w:pStyle w:val="BodyText"/>
        <w:jc w:val="both"/>
      </w:pPr>
      <w:r>
        <w:t>A fragment record contains a stable identifier, content hash, source location, creation time, applicable validity interval, revision or supersession relations, and a representation signature. The signature includes the tokenizer, encoder, layer, positional convention, projection parameters, and codebook epoch. A byte-identical cache with an incompatible signature is not an eligible substitute.</w:t>
      </w:r>
    </w:p>
    <w:p w14:paraId="4A260E1C" w14:textId="77777777" w:rsidR="00C94D8E" w:rsidRDefault="00000000" w:rsidP="005E536D">
      <w:pPr>
        <w:pStyle w:val="BodyText"/>
        <w:jc w:val="both"/>
      </w:pPr>
      <w:r>
        <w:t>The task defines eligibility before the reference attention population is fixed. A historical question and a current-specification question can select different revisions. A node can implement a filter directly only when its statistics support that filter exactly. Otherwise filtering requires descent or reconstruction. Semantic similarity does not authorize averaging mutually exclusive revisions.</w:t>
      </w:r>
    </w:p>
    <w:p w14:paraId="30F82A2E" w14:textId="77777777" w:rsidR="00C94D8E" w:rsidRDefault="00000000" w:rsidP="005E536D">
      <w:pPr>
        <w:pStyle w:val="BodyText"/>
        <w:jc w:val="both"/>
      </w:pPr>
      <w:r>
        <w:t>Occurrence counts, independent-source counts, and replay counts have different meanings. Only the declared occurrence measure enters the counted attention identity. Repeated deliberative reads do not add occurrences. A derived claim remains marked as derived and linked to its premises. Rehearsal or synthetic replay does not create independent corroboration.</w:t>
      </w:r>
    </w:p>
    <w:p w14:paraId="3B76F0AA" w14:textId="77777777" w:rsidR="00C94D8E" w:rsidRDefault="00000000" w:rsidP="005E536D">
      <w:pPr>
        <w:pStyle w:val="Heading2"/>
        <w:jc w:val="both"/>
      </w:pPr>
      <w:bookmarkStart w:id="6" w:name="scope-of-the-formal-reference"/>
      <w:bookmarkEnd w:id="5"/>
      <w:r>
        <w:t>Scope of the formal reference</w:t>
      </w:r>
    </w:p>
    <w:p w14:paraId="5CFB8E4F" w14:textId="77777777" w:rsidR="00C94D8E" w:rsidRDefault="00000000" w:rsidP="005E536D">
      <w:pPr>
        <w:pStyle w:val="FirstParagraph"/>
        <w:jc w:val="both"/>
      </w:pPr>
      <w:r>
        <w:t>The results below concern one head, one fixed query, and a nonempty finite set of eligible records at one epoch. Keys already include every positional transformation required by the chosen interface, and no unrepresented bias is added to the scores. Values and keys remain fixed during a certified read. The initial implementation uses a position-independent external retrieval interface. Extensions to native self-attention, rotating positions, or head-dependent temporal decay require their own compatible statistics.</w:t>
      </w:r>
    </w:p>
    <w:p w14:paraId="398F63C3" w14:textId="77777777" w:rsidR="00C94D8E" w:rsidRDefault="00000000" w:rsidP="005E536D">
      <w:pPr>
        <w:pStyle w:val="Heading1"/>
        <w:jc w:val="both"/>
      </w:pPr>
      <w:bookmarkStart w:id="7" w:name="counted-reads-and-disjoint-refinement"/>
      <w:bookmarkEnd w:id="3"/>
      <w:bookmarkEnd w:id="6"/>
      <w:r>
        <w:t>4 Counted reads and disjoint refinement</w:t>
      </w:r>
    </w:p>
    <w:p w14:paraId="4CF2FB5E" w14:textId="77777777" w:rsidR="00C94D8E" w:rsidRDefault="00000000" w:rsidP="005E536D">
      <w:pPr>
        <w:pStyle w:val="FirstParagraph"/>
        <w:jc w:val="both"/>
      </w:pPr>
      <w:r>
        <w:t xml:space="preserve">Let the eligible records be indexed by </w:t>
      </w:r>
      <m:oMath>
        <m:r>
          <w:rPr>
            <w:rFonts w:ascii="Cambria Math" w:hAnsi="Cambria Math"/>
          </w:rPr>
          <m:t>i</m:t>
        </m:r>
      </m:oMath>
      <w:r>
        <w:t xml:space="preserve">, with effective keys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values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and query </w:t>
      </w:r>
      <m:oMath>
        <m:r>
          <w:rPr>
            <w:rFonts w:ascii="Cambria Math" w:hAnsi="Cambria Math"/>
          </w:rPr>
          <m:t>q</m:t>
        </m:r>
      </m:oMath>
      <w:r>
        <w:t xml:space="preserve">. Absorb the usual score scale into </w:t>
      </w:r>
      <m:oMath>
        <m:r>
          <w:rPr>
            <w:rFonts w:ascii="Cambria Math" w:hAnsi="Cambria Math"/>
          </w:rPr>
          <m:t>q</m:t>
        </m:r>
      </m:oMath>
      <w:r>
        <w:t>. The reference output is</w:t>
      </w:r>
    </w:p>
    <w:p w14:paraId="20A22296" w14:textId="77777777" w:rsidR="00C94D8E" w:rsidRDefault="00000000" w:rsidP="005E536D">
      <w:pPr>
        <w:pStyle w:val="BodyText"/>
        <w:keepLines/>
        <w:tabs>
          <w:tab w:val="center" w:pos="4968"/>
          <w:tab w:val="right" w:pos="9936"/>
        </w:tabs>
        <w:spacing w:before="80" w:after="160"/>
        <w:jc w:val="both"/>
      </w:pPr>
      <w:r>
        <w:tab/>
      </w:r>
      <m:oMath>
        <m:r>
          <w:rPr>
            <w:rFonts w:ascii="Cambria Math" w:hAnsi="Cambria Math"/>
          </w:rPr>
          <m:t>o</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i</m:t>
                        </m:r>
                      </m:sub>
                    </m:sSub>
                  </m:sup>
                </m:sSup>
              </m:e>
            </m:nary>
            <m:sSub>
              <m:sSubPr>
                <m:ctrlPr>
                  <w:rPr>
                    <w:rFonts w:ascii="Cambria Math" w:hAnsi="Cambria Math"/>
                  </w:rPr>
                </m:ctrlPr>
              </m:sSubPr>
              <m:e>
                <m:r>
                  <w:rPr>
                    <w:rFonts w:ascii="Cambria Math" w:hAnsi="Cambria Math"/>
                  </w:rPr>
                  <m:t>v</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i</m:t>
                        </m:r>
                      </m:sub>
                    </m:sSub>
                  </m:sup>
                </m:sSup>
              </m:e>
            </m:nary>
          </m:den>
        </m:f>
        <m:r>
          <m:rPr>
            <m:sty m:val="p"/>
          </m:rPr>
          <w:rPr>
            <w:rFonts w:ascii="Cambria Math" w:hAnsi="Cambria Math"/>
          </w:rPr>
          <m:t>.</m:t>
        </m:r>
      </m:oMath>
      <w:r>
        <w:tab/>
        <w:t>(1)</w:t>
      </w:r>
    </w:p>
    <w:p w14:paraId="07159B61" w14:textId="77777777" w:rsidR="00C94D8E" w:rsidRDefault="00000000" w:rsidP="005E536D">
      <w:pPr>
        <w:pStyle w:val="FirstParagraph"/>
        <w:jc w:val="both"/>
      </w:pPr>
      <w:r>
        <w:t xml:space="preserve">A frontier </w:t>
      </w:r>
      <m:oMath>
        <m:r>
          <m:rPr>
            <m:scr m:val="script"/>
            <m:sty m:val="p"/>
          </m:rPr>
          <w:rPr>
            <w:rFonts w:ascii="Cambria Math" w:hAnsi="Cambria Math"/>
          </w:rPr>
          <m:t>F</m:t>
        </m:r>
      </m:oMath>
      <w:r>
        <w:t xml:space="preserve"> is a collection of nonempty, pairwise disjoint nodes whose records cover this population. Node </w:t>
      </w:r>
      <m:oMath>
        <m:r>
          <w:rPr>
            <w:rFonts w:ascii="Cambria Math" w:hAnsi="Cambria Math"/>
          </w:rPr>
          <m:t>b</m:t>
        </m:r>
      </m:oMath>
      <w:r>
        <w:t xml:space="preserve"> stores a representative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count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value sum </w:t>
      </w:r>
      <m:oMath>
        <m:sSub>
          <m:sSubPr>
            <m:ctrlPr>
              <w:rPr>
                <w:rFonts w:ascii="Cambria Math" w:hAnsi="Cambria Math"/>
              </w:rPr>
            </m:ctrlPr>
          </m:sSubPr>
          <m:e>
            <m:r>
              <w:rPr>
                <w:rFonts w:ascii="Cambria Math" w:hAnsi="Cambria Math"/>
              </w:rPr>
              <m:t>S</m:t>
            </m:r>
          </m:e>
          <m:sub>
            <m:r>
              <w:rPr>
                <w:rFonts w:ascii="Cambria Math" w:hAnsi="Cambria Math"/>
              </w:rPr>
              <m:t>b</m:t>
            </m:r>
          </m:sub>
        </m:sSub>
      </m:oMath>
      <w:r>
        <w:t xml:space="preserve">, and mean </w:t>
      </w:r>
      <m:oMath>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oMath>
      <w:r>
        <w:t>. Its counted read is</w:t>
      </w:r>
    </w:p>
    <w:p w14:paraId="62F68545" w14:textId="77777777" w:rsidR="00C94D8E" w:rsidRDefault="00000000" w:rsidP="005E536D">
      <w:pPr>
        <w:pStyle w:val="BodyText"/>
        <w:keepLines/>
        <w:tabs>
          <w:tab w:val="center" w:pos="4968"/>
          <w:tab w:val="right" w:pos="9936"/>
        </w:tabs>
        <w:spacing w:before="80" w:after="160"/>
        <w:jc w:val="both"/>
      </w:pPr>
      <w:r>
        <w:tab/>
      </w:r>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m:rPr>
                <m:scr m:val="script"/>
                <m:sty m:val="p"/>
              </m:rPr>
              <w:rPr>
                <w:rFonts w:ascii="Cambria Math" w:hAnsi="Cambria Math"/>
              </w:rPr>
              <m:t>F</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b</m:t>
                </m:r>
                <m:r>
                  <m:rPr>
                    <m:scr m:val="script"/>
                    <m:sty m:val="p"/>
                  </m:rP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b</m:t>
                    </m:r>
                  </m:sub>
                </m:sSub>
              </m:e>
            </m:nary>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sup>
            </m:sSup>
            <m:sSub>
              <m:sSubPr>
                <m:ctrlPr>
                  <w:rPr>
                    <w:rFonts w:ascii="Cambria Math" w:hAnsi="Cambria Math"/>
                  </w:rPr>
                </m:ctrlPr>
              </m:sSubPr>
              <m:e>
                <m:r>
                  <w:rPr>
                    <w:rFonts w:ascii="Cambria Math" w:hAnsi="Cambria Math"/>
                  </w:rPr>
                  <m:t>μ</m:t>
                </m:r>
              </m:e>
              <m:sub>
                <m:r>
                  <w:rPr>
                    <w:rFonts w:ascii="Cambria Math" w:hAnsi="Cambria Math"/>
                  </w:rPr>
                  <m:t>b</m:t>
                </m:r>
              </m:sub>
            </m:sSub>
          </m:num>
          <m:den>
            <m:nary>
              <m:naryPr>
                <m:chr m:val="∑"/>
                <m:limLoc m:val="undOvr"/>
                <m:supHide m:val="1"/>
                <m:ctrlPr>
                  <w:rPr>
                    <w:rFonts w:ascii="Cambria Math" w:hAnsi="Cambria Math"/>
                  </w:rPr>
                </m:ctrlPr>
              </m:naryPr>
              <m:sub>
                <m:r>
                  <w:rPr>
                    <w:rFonts w:ascii="Cambria Math" w:hAnsi="Cambria Math"/>
                  </w:rPr>
                  <m:t>b</m:t>
                </m:r>
                <m:r>
                  <m:rPr>
                    <m:scr m:val="script"/>
                    <m:sty m:val="p"/>
                  </m:rP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b</m:t>
                    </m:r>
                  </m:sub>
                </m:sSub>
              </m:e>
            </m:nary>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sup>
            </m:sSup>
          </m:den>
        </m:f>
        <m:r>
          <m:rPr>
            <m:sty m:val="p"/>
          </m:rPr>
          <w:rPr>
            <w:rFonts w:ascii="Cambria Math" w:hAnsi="Cambria Math"/>
          </w:rPr>
          <m:t>.</m:t>
        </m:r>
      </m:oMath>
      <w:r>
        <w:tab/>
        <w:t>(2)</w:t>
      </w:r>
    </w:p>
    <w:p w14:paraId="26638847" w14:textId="77777777" w:rsidR="00C94D8E" w:rsidRDefault="00000000" w:rsidP="005E536D">
      <w:pPr>
        <w:pStyle w:val="FirstParagraph"/>
        <w:jc w:val="both"/>
      </w:pPr>
      <w:r>
        <w:rPr>
          <w:b/>
          <w:bCs/>
        </w:rPr>
        <w:t>Proposition 1.</w:t>
      </w:r>
      <w:r>
        <w:t xml:space="preserve"> If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for every record in every node, Equation (2) equals Equation (1). Replacing a parent with disjoint children that retain its representative, preserve its total count, and preserve its total value sum leaves Equation (2) unchanged.</w:t>
      </w:r>
    </w:p>
    <w:p w14:paraId="536FC7F6" w14:textId="77777777" w:rsidR="00C94D8E" w:rsidRDefault="00000000" w:rsidP="005E536D">
      <w:pPr>
        <w:pStyle w:val="BodyText"/>
        <w:jc w:val="both"/>
      </w:pPr>
      <w:r>
        <w:rPr>
          <w:b/>
          <w:bCs/>
        </w:rPr>
        <w:t>Proof.</w:t>
      </w:r>
      <w:r>
        <w:t xml:space="preserve"> Within an equal-score node, factor the shared exponential out of its numerator and denominator. The remaining terms are its value sum and count. For replacement, sum the children’s counts and sums before applying the same factor. Both the numerator and denominator equal those of the parent. This is an algebraic identity in exact arithmetic.</w:t>
      </w:r>
    </w:p>
    <w:p w14:paraId="0256FCBE" w14:textId="77777777" w:rsidR="00C94D8E" w:rsidRDefault="00000000" w:rsidP="005E536D">
      <w:pPr>
        <w:pStyle w:val="BodyText"/>
        <w:jc w:val="both"/>
      </w:pPr>
      <w:r>
        <w:t xml:space="preserve">Exact equal-score aggregation is query dependent. For a family of queries, a representative must reproduce every member score throughout that family. Orthogonality to the span of those queries is sufficient for the </w:t>
      </w:r>
      <w:r>
        <w:lastRenderedPageBreak/>
        <w:t>corresponding key differences. Narrow addressing may make useful approximate grouping easier, but it supplies no universal guarantee of a small codebook at a given task quality.</w:t>
      </w:r>
    </w:p>
    <w:p w14:paraId="5E2AA65D" w14:textId="77777777" w:rsidR="00C94D8E" w:rsidRDefault="00000000" w:rsidP="005E536D">
      <w:pPr>
        <w:pStyle w:val="BodyText"/>
        <w:jc w:val="both"/>
      </w:pPr>
      <w:r>
        <w:t>Define Replace to remove a node and insert its disjoint children. A refinement action is</w:t>
      </w:r>
    </w:p>
    <w:p w14:paraId="253D3779" w14:textId="77777777" w:rsidR="00C94D8E" w:rsidRDefault="00000000" w:rsidP="005E536D">
      <w:pPr>
        <w:pStyle w:val="BodyText"/>
        <w:keepLines/>
        <w:tabs>
          <w:tab w:val="center" w:pos="4968"/>
          <w:tab w:val="right" w:pos="9936"/>
        </w:tabs>
        <w:spacing w:before="80" w:after="160"/>
        <w:jc w:val="both"/>
      </w:pPr>
      <w:r>
        <w:tab/>
      </w:r>
      <m:oMath>
        <m:r>
          <m:rPr>
            <m:scr m:val="script"/>
            <m:sty m:val="p"/>
          </m:rPr>
          <w:rPr>
            <w:rFonts w:ascii="Cambria Math" w:hAnsi="Cambria Math"/>
          </w:rPr>
          <m:t>F'</m:t>
        </m:r>
        <m:r>
          <m:rPr>
            <m:sty m:val="p"/>
          </m:rPr>
          <w:rPr>
            <w:rFonts w:ascii="Cambria Math" w:hAnsi="Cambria Math"/>
          </w:rPr>
          <m:t>=Replace</m:t>
        </m:r>
        <m:d>
          <m:dPr>
            <m:ctrlPr>
              <w:rPr>
                <w:rFonts w:ascii="Cambria Math" w:hAnsi="Cambria Math"/>
              </w:rPr>
            </m:ctrlPr>
          </m:dPr>
          <m:e>
            <m:r>
              <m:rPr>
                <m:scr m:val="script"/>
                <m:sty m:val="p"/>
              </m:rPr>
              <w:rPr>
                <w:rFonts w:ascii="Cambria Math" w:hAnsi="Cambria Math"/>
              </w:rPr>
              <m:t>F,</m:t>
            </m:r>
            <m:r>
              <w:rPr>
                <w:rFonts w:ascii="Cambria Math" w:hAnsi="Cambria Math"/>
              </w:rPr>
              <m:t>b</m:t>
            </m:r>
            <m:r>
              <m:rPr>
                <m:sty m:val="p"/>
              </m:rPr>
              <w:rPr>
                <w:rFonts w:ascii="Cambria Math" w:hAnsi="Cambria Math"/>
              </w:rPr>
              <m:t>,children</m:t>
            </m:r>
            <m:d>
              <m:dPr>
                <m:ctrlPr>
                  <w:rPr>
                    <w:rFonts w:ascii="Cambria Math" w:hAnsi="Cambria Math"/>
                  </w:rPr>
                </m:ctrlPr>
              </m:dPr>
              <m:e>
                <m:r>
                  <w:rPr>
                    <w:rFonts w:ascii="Cambria Math" w:hAnsi="Cambria Math"/>
                  </w:rPr>
                  <m:t>b</m:t>
                </m:r>
              </m:e>
            </m:d>
          </m:e>
        </m:d>
        <m:r>
          <m:rPr>
            <m:sty m:val="p"/>
          </m:rPr>
          <w:rPr>
            <w:rFonts w:ascii="Cambria Math" w:hAnsi="Cambria Math"/>
          </w:rPr>
          <m:t>.</m:t>
        </m:r>
      </m:oMath>
      <w:r>
        <w:tab/>
        <w:t>(3)</w:t>
      </w:r>
    </w:p>
    <w:p w14:paraId="3885E6D6" w14:textId="77777777" w:rsidR="00C94D8E" w:rsidRDefault="00000000" w:rsidP="005E536D">
      <w:pPr>
        <w:pStyle w:val="FirstParagraph"/>
        <w:jc w:val="both"/>
      </w:pPr>
      <w:r>
        <w:t xml:space="preserve">Parent and descendants must not appear together in a normalized read. When reopening only records </w:t>
      </w:r>
      <m:oMath>
        <m:r>
          <w:rPr>
            <w:rFonts w:ascii="Cambria Math" w:hAnsi="Cambria Math"/>
          </w:rPr>
          <m:t>J</m:t>
        </m:r>
      </m:oMath>
      <w:r>
        <w:t xml:space="preserve"> from a parent, remove their contributions from the residual:</w:t>
      </w:r>
    </w:p>
    <w:p w14:paraId="03F57D55" w14:textId="77777777" w:rsidR="00C94D8E" w:rsidRDefault="00000000" w:rsidP="005E536D">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n</m:t>
            </m:r>
          </m:e>
          <m:sub>
            <m:r>
              <m:rPr>
                <m:sty m:val="p"/>
              </m:rPr>
              <w:rPr>
                <w:rFonts w:ascii="Cambria Math" w:hAnsi="Cambria Math"/>
              </w:rPr>
              <m:t>res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m:rPr>
                <m:sty m:val="p"/>
              </m:rPr>
              <w:rPr>
                <w:rFonts w:ascii="Cambria Math" w:hAnsi="Cambria Math"/>
              </w:rPr>
              <m:t>res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r>
          <m:rPr>
            <m:sty m:val="p"/>
          </m:rPr>
          <w:rPr>
            <w:rFonts w:ascii="Cambria Math" w:hAnsi="Cambria Math"/>
          </w:rPr>
          <m:t>.</m:t>
        </m:r>
      </m:oMath>
      <w:r>
        <w:tab/>
        <w:t>(4)</w:t>
      </w:r>
    </w:p>
    <w:p w14:paraId="7BD5D455" w14:textId="77777777" w:rsidR="00C94D8E" w:rsidRDefault="00000000" w:rsidP="005E536D">
      <w:pPr>
        <w:pStyle w:val="FirstParagraph"/>
        <w:jc w:val="both"/>
      </w:pPr>
      <w:r>
        <w:t>The residual and the opened records replace the parent. Membership and the original contributions must be known. Empty residuals are removed. The old key radius remains conservative around the old representative; value-dispersion statistics require an appropriate updated bound. Count and mean alone cannot recover an arbitrary member or undo an irreversible merge.</w:t>
      </w:r>
    </w:p>
    <w:p w14:paraId="553FB265" w14:textId="77777777" w:rsidR="00C94D8E" w:rsidRDefault="00000000" w:rsidP="005E536D">
      <w:pPr>
        <w:pStyle w:val="BodyText"/>
        <w:jc w:val="both"/>
      </w:pPr>
      <w:r>
        <w:t xml:space="preserve">For illustration, a count-ten node with sum twenty contains a selected value of eight. Reopening it leaves count nine and sum twelve. At a shared score, the combined read remains two. Retaining the parent and appending the selected record instead gives </w:t>
      </w:r>
      <m:oMath>
        <m:r>
          <w:rPr>
            <w:rFonts w:ascii="Cambria Math" w:hAnsi="Cambria Math"/>
          </w:rPr>
          <m:t>28</m:t>
        </m:r>
        <m:r>
          <m:rPr>
            <m:sty m:val="p"/>
          </m:rPr>
          <w:rPr>
            <w:rFonts w:ascii="Cambria Math" w:hAnsi="Cambria Math"/>
          </w:rPr>
          <m:t>/</m:t>
        </m:r>
        <m:r>
          <w:rPr>
            <w:rFonts w:ascii="Cambria Math" w:hAnsi="Cambria Math"/>
          </w:rPr>
          <m:t>11</m:t>
        </m:r>
      </m:oMath>
      <w:r>
        <w:t>, about 2.55. This error is a change in the represented population, not a consequence of key approximation.</w:t>
      </w:r>
    </w:p>
    <w:p w14:paraId="07ABADBA" w14:textId="77777777" w:rsidR="00C94D8E" w:rsidRDefault="00000000" w:rsidP="005E536D">
      <w:pPr>
        <w:pStyle w:val="Heading1"/>
        <w:jc w:val="both"/>
      </w:pPr>
      <w:bookmarkStart w:id="8" w:name="X3c0b592a073b5be6874644ff7726bf72828fc39"/>
      <w:bookmarkEnd w:id="7"/>
      <w:r>
        <w:t>5 A dispersion sensitive attention certificate</w:t>
      </w:r>
    </w:p>
    <w:p w14:paraId="603474A9" w14:textId="77777777" w:rsidR="00C94D8E" w:rsidRDefault="00000000" w:rsidP="005E536D">
      <w:pPr>
        <w:pStyle w:val="Heading2"/>
        <w:jc w:val="both"/>
      </w:pPr>
      <w:bookmarkStart w:id="9" w:name="node-statistics-and-mass-intervals"/>
      <w:r>
        <w:t>Node statistics and mass intervals</w:t>
      </w:r>
    </w:p>
    <w:p w14:paraId="576C6B28" w14:textId="77777777" w:rsidR="00C94D8E" w:rsidRDefault="00000000" w:rsidP="005E536D">
      <w:pPr>
        <w:pStyle w:val="FirstParagraph"/>
        <w:jc w:val="both"/>
      </w:pPr>
      <w:r>
        <w:t xml:space="preserve">Use the Euclidean norm for the new bound. Store a valid key radius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and an upper bound </w:t>
      </w:r>
      <m:oMath>
        <m:sSub>
          <m:sSubPr>
            <m:ctrlPr>
              <w:rPr>
                <w:rFonts w:ascii="Cambria Math" w:hAnsi="Cambria Math"/>
              </w:rPr>
            </m:ctrlPr>
          </m:sSubPr>
          <m:e>
            <m:r>
              <w:rPr>
                <w:rFonts w:ascii="Cambria Math" w:hAnsi="Cambria Math"/>
              </w:rPr>
              <m:t>A</m:t>
            </m:r>
          </m:e>
          <m:sub>
            <m:r>
              <w:rPr>
                <w:rFonts w:ascii="Cambria Math" w:hAnsi="Cambria Math"/>
              </w:rPr>
              <m:t>b</m:t>
            </m:r>
          </m:sub>
        </m:sSub>
      </m:oMath>
      <w:r>
        <w:t xml:space="preserve"> on total centered value variation:</w:t>
      </w:r>
    </w:p>
    <w:p w14:paraId="7557CFB8" w14:textId="77777777" w:rsidR="00C94D8E" w:rsidRDefault="00000000" w:rsidP="005E536D">
      <w:pPr>
        <w:pStyle w:val="BodyText"/>
        <w:keepLines/>
        <w:tabs>
          <w:tab w:val="center" w:pos="4968"/>
          <w:tab w:val="right" w:pos="9936"/>
        </w:tabs>
        <w:spacing w:before="80" w:after="160"/>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b</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ab/>
        <w:t>(5)</w:t>
      </w:r>
    </w:p>
    <w:p w14:paraId="44C8BF27" w14:textId="77777777" w:rsidR="00C94D8E" w:rsidRDefault="00000000" w:rsidP="005E536D">
      <w:pPr>
        <w:pStyle w:val="FirstParagraph"/>
        <w:jc w:val="both"/>
      </w:pPr>
      <w:r>
        <w:t xml:space="preserve">For </w:t>
      </w:r>
      <m:oMath>
        <m:sSub>
          <m:sSubPr>
            <m:ctrlPr>
              <w:rPr>
                <w:rFonts w:ascii="Cambria Math" w:hAnsi="Cambria Math"/>
              </w:rPr>
            </m:ctrlPr>
          </m:sSubPr>
          <m:e>
            <m:r>
              <w:rPr>
                <w:rFonts w:ascii="Cambria Math" w:hAnsi="Cambria Math"/>
              </w:rPr>
              <m:t>ϵ</m:t>
            </m:r>
          </m:e>
          <m:sub>
            <m:r>
              <w:rPr>
                <w:rFonts w:ascii="Cambria Math" w:hAnsi="Cambria Math"/>
              </w:rPr>
              <m:t>b</m:t>
            </m:r>
          </m:sub>
        </m:sSub>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define the approximate mass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sup>
        </m:sSup>
      </m:oMath>
      <w:r>
        <w:t xml:space="preserve">. The exact mass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lies in</w:t>
      </w:r>
    </w:p>
    <w:p w14:paraId="645A1801" w14:textId="77777777" w:rsidR="00C94D8E" w:rsidRDefault="00000000" w:rsidP="005E536D">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b</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b</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ϵ</m:t>
                </m:r>
              </m:e>
              <m:sub>
                <m:r>
                  <w:rPr>
                    <w:rFonts w:ascii="Cambria Math" w:hAnsi="Cambria Math"/>
                  </w:rPr>
                  <m:t>b</m:t>
                </m:r>
              </m:sub>
            </m:sSub>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oMath>
      <w:r>
        <w:tab/>
        <w:t>(6)</w:t>
      </w:r>
    </w:p>
    <w:p w14:paraId="6F57BA39" w14:textId="77777777" w:rsidR="00C94D8E" w:rsidRDefault="00000000" w:rsidP="005E536D">
      <w:pPr>
        <w:pStyle w:val="FirstParagraph"/>
        <w:jc w:val="both"/>
      </w:pPr>
      <w:r>
        <w:t>The radius may be replaced by a tighter valid directional score interval. Compute exponentials after a common shift, or in log space, to prevent overflow. All ratios below are invariant to a common positive rescaling of the masses and their bounds.</w:t>
      </w:r>
    </w:p>
    <w:p w14:paraId="13901113" w14:textId="77777777" w:rsidR="00C94D8E" w:rsidRDefault="00000000" w:rsidP="005E536D">
      <w:pPr>
        <w:pStyle w:val="BodyText"/>
        <w:jc w:val="both"/>
      </w:pPr>
      <w:r>
        <w:t xml:space="preserve">An offline pass can compute </w:t>
      </w:r>
      <m:oMath>
        <m:sSub>
          <m:sSubPr>
            <m:ctrlPr>
              <w:rPr>
                <w:rFonts w:ascii="Cambria Math" w:hAnsi="Cambria Math"/>
              </w:rPr>
            </m:ctrlPr>
          </m:sSubPr>
          <m:e>
            <m:r>
              <w:rPr>
                <w:rFonts w:ascii="Cambria Math" w:hAnsi="Cambria Math"/>
              </w:rPr>
              <m:t>A</m:t>
            </m:r>
          </m:e>
          <m:sub>
            <m:r>
              <w:rPr>
                <w:rFonts w:ascii="Cambria Math" w:hAnsi="Cambria Math"/>
              </w:rPr>
              <m:t>b</m:t>
            </m:r>
          </m:sub>
        </m:sSub>
      </m:oMath>
      <w:r>
        <w:t xml:space="preserve"> directly. An additive second moment </w:t>
      </w:r>
      <m:oMath>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b</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 xml:space="preserve"> also gives the upper bound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rad>
      </m:oMath>
      <w:r>
        <w:t xml:space="preserve"> by Cauchy–Schwarz. This formula is vulnerable to cancellation in finite precision. Clamping a rounded negative radicand to zero is not, by itself, a rigorous upper-bound construction. A certified implementation needs outward error margins or a validated stable accumulation method.</w:t>
      </w:r>
    </w:p>
    <w:p w14:paraId="18EBBCD4" w14:textId="77777777" w:rsidR="00C94D8E" w:rsidRDefault="00000000" w:rsidP="005E536D">
      <w:pPr>
        <w:pStyle w:val="Heading2"/>
        <w:jc w:val="both"/>
      </w:pPr>
      <w:bookmarkStart w:id="10" w:name="a-bound-using-value-variation"/>
      <w:bookmarkEnd w:id="9"/>
      <w:r>
        <w:t>A bound using value variation</w:t>
      </w:r>
    </w:p>
    <w:p w14:paraId="26B7C9F7" w14:textId="77777777" w:rsidR="00C94D8E" w:rsidRDefault="00000000" w:rsidP="005E536D">
      <w:pPr>
        <w:pStyle w:val="FirstParagraph"/>
        <w:jc w:val="both"/>
      </w:pPr>
      <w:r>
        <w:t xml:space="preserve">Write the exact numerator of a node as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Because the centered values sum to zero, subtracting any scalar weight from all weights does not change </w:t>
      </w:r>
      <m:oMath>
        <m:sSub>
          <m:sSubPr>
            <m:ctrlPr>
              <w:rPr>
                <w:rFonts w:ascii="Cambria Math" w:hAnsi="Cambria Math"/>
              </w:rPr>
            </m:ctrlPr>
          </m:sSubPr>
          <m:e>
            <m:r>
              <w:rPr>
                <w:rFonts w:ascii="Cambria Math" w:hAnsi="Cambria Math"/>
              </w:rPr>
              <m:t>r</m:t>
            </m:r>
          </m:e>
          <m:sub>
            <m:r>
              <w:rPr>
                <w:rFonts w:ascii="Cambria Math" w:hAnsi="Cambria Math"/>
              </w:rPr>
              <m:t>b</m:t>
            </m:r>
          </m:sub>
        </m:sSub>
      </m:oMath>
      <w:r>
        <w:t>. The midpoint of the admissible exponential-weight interval gives</w:t>
      </w:r>
    </w:p>
    <w:p w14:paraId="73CBBE00" w14:textId="77777777" w:rsidR="00C94D8E" w:rsidRDefault="00000000" w:rsidP="005E536D">
      <w:pPr>
        <w:pStyle w:val="BodyText"/>
        <w:keepLines/>
        <w:tabs>
          <w:tab w:val="center" w:pos="4968"/>
          <w:tab w:val="right" w:pos="9936"/>
        </w:tabs>
        <w:spacing w:before="80" w:after="160"/>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sup>
        </m:sSup>
        <m:r>
          <m:rPr>
            <m:sty m:val="p"/>
          </m:rPr>
          <w:rPr>
            <w:rFonts w:ascii="Cambria Math" w:hAnsi="Cambria Math"/>
          </w:rPr>
          <m:t>sinh</m:t>
        </m:r>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b</m:t>
                </m:r>
              </m:sub>
            </m:sSub>
          </m:e>
        </m:d>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oMath>
      <w:r>
        <w:tab/>
        <w:t>(7)</w:t>
      </w:r>
    </w:p>
    <w:p w14:paraId="6A450BD2" w14:textId="77777777" w:rsidR="00C94D8E" w:rsidRDefault="00000000" w:rsidP="005E536D">
      <w:pPr>
        <w:pStyle w:val="FirstParagraph"/>
        <w:jc w:val="both"/>
      </w:pPr>
      <w:r>
        <w:rPr>
          <w:b/>
          <w:bCs/>
        </w:rPr>
        <w:t>Theorem 1.</w:t>
      </w:r>
      <w:r>
        <w:t xml:space="preserve"> For a complete disjoint frontier, set </w:t>
      </w:r>
      <m:oMath>
        <m:sSub>
          <m:sSubPr>
            <m:ctrlPr>
              <w:rPr>
                <w:rFonts w:ascii="Cambria Math" w:hAnsi="Cambria Math"/>
              </w:rPr>
            </m:ctrlPr>
          </m:sSubPr>
          <m:e>
            <m:r>
              <w:rPr>
                <w:rFonts w:ascii="Cambria Math" w:hAnsi="Cambria Math"/>
              </w:rPr>
              <m:t>γ</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b</m:t>
            </m:r>
          </m:sub>
        </m:sSub>
      </m:oMath>
      <w:r>
        <w:t xml:space="preserve"> and let </w:t>
      </w:r>
      <m:oMath>
        <m:acc>
          <m:accPr>
            <m:ctrlPr>
              <w:rPr>
                <w:rFonts w:ascii="Cambria Math" w:hAnsi="Cambria Math"/>
              </w:rPr>
            </m:ctrlPr>
          </m:accPr>
          <m:e>
            <m:r>
              <w:rPr>
                <w:rFonts w:ascii="Cambria Math" w:hAnsi="Cambria Math"/>
              </w:rPr>
              <m:t>o</m:t>
            </m:r>
          </m:e>
        </m:acc>
      </m:oMath>
      <w:r>
        <w:t xml:space="preserve"> denote Equation (2). Then</w:t>
      </w:r>
    </w:p>
    <w:p w14:paraId="75E36103" w14:textId="77777777" w:rsidR="00C94D8E" w:rsidRDefault="00000000" w:rsidP="005E536D">
      <w:pPr>
        <w:pStyle w:val="BodyText"/>
        <w:keepLines/>
        <w:tabs>
          <w:tab w:val="center" w:pos="4968"/>
          <w:tab w:val="right" w:pos="9936"/>
        </w:tabs>
        <w:spacing w:before="80" w:after="160"/>
        <w:jc w:val="both"/>
      </w:pPr>
      <w:r>
        <w:lastRenderedPageBreak/>
        <w:tab/>
      </w:r>
      <m:oMath>
        <m:r>
          <m:rPr>
            <m:sty m:val="p"/>
          </m:rPr>
          <w:rPr>
            <w:rFonts w:ascii="Cambria Math" w:hAnsi="Cambria Math"/>
          </w:rPr>
          <m:t>∥</m:t>
        </m:r>
        <m:r>
          <w:rPr>
            <w:rFonts w:ascii="Cambria Math" w:hAnsi="Cambria Math"/>
          </w:rPr>
          <m:t>o</m:t>
        </m:r>
        <m:r>
          <m:rPr>
            <m:sty m:val="p"/>
          </m:rPr>
          <w:rPr>
            <w:rFonts w:ascii="Cambria Math" w:hAnsi="Cambria Math"/>
          </w:rPr>
          <m:t>-</m:t>
        </m:r>
        <m:acc>
          <m:accPr>
            <m:ctrlPr>
              <w:rPr>
                <w:rFonts w:ascii="Cambria Math" w:hAnsi="Cambria Math"/>
              </w:rPr>
            </m:ctrlPr>
          </m:accPr>
          <m:e>
            <m:r>
              <w:rPr>
                <w:rFonts w:ascii="Cambria Math" w:hAnsi="Cambria Math"/>
              </w:rPr>
              <m:t>o</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local</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b</m:t>
                    </m:r>
                  </m:sub>
                </m:sSub>
              </m:e>
            </m:nary>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acc>
              <m:accPr>
                <m:ctrlPr>
                  <w:rPr>
                    <w:rFonts w:ascii="Cambria Math" w:hAnsi="Cambria Math"/>
                  </w:rPr>
                </m:ctrlPr>
              </m:accPr>
              <m:e>
                <m:r>
                  <w:rPr>
                    <w:rFonts w:ascii="Cambria Math" w:hAnsi="Cambria Math"/>
                  </w:rPr>
                  <m:t>o</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b</m:t>
                    </m:r>
                  </m:sub>
                </m:sSub>
              </m:e>
            </m:nary>
          </m:num>
          <m:den>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b</m:t>
                    </m:r>
                  </m:sub>
                </m:sSub>
              </m:e>
            </m:nary>
          </m:den>
        </m:f>
        <m:r>
          <m:rPr>
            <m:sty m:val="p"/>
          </m:rPr>
          <w:rPr>
            <w:rFonts w:ascii="Cambria Math" w:hAnsi="Cambria Math"/>
          </w:rPr>
          <m:t>.</m:t>
        </m:r>
      </m:oMath>
      <w:r>
        <w:tab/>
        <w:t>(8)</w:t>
      </w:r>
    </w:p>
    <w:p w14:paraId="2F0D953F" w14:textId="77777777" w:rsidR="00C94D8E" w:rsidRDefault="00000000" w:rsidP="005E536D">
      <w:pPr>
        <w:pStyle w:val="FirstParagraph"/>
        <w:jc w:val="both"/>
      </w:pPr>
      <w:r>
        <w:rPr>
          <w:b/>
          <w:bCs/>
        </w:rPr>
        <w:t>Proof.</w:t>
      </w:r>
      <w:r>
        <w:t xml:space="preserve">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i</m:t>
                </m:r>
              </m:sub>
            </m:sSub>
          </m:sup>
        </m:sSup>
      </m:oMath>
      <w:r>
        <w:t xml:space="preserve">. These weights lie between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sup>
        </m:sSup>
      </m:oMath>
      <w:r>
        <w:t xml:space="preserve"> and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sup>
        </m:sSup>
      </m:oMath>
      <w:r>
        <w:t xml:space="preserve">. Their interval midpoint is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sup>
        </m:sSup>
        <m:r>
          <m:rPr>
            <m:sty m:val="p"/>
          </m:rPr>
          <w:rPr>
            <w:rFonts w:ascii="Cambria Math" w:hAnsi="Cambria Math"/>
          </w:rPr>
          <m:t>cosh</m:t>
        </m:r>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b</m:t>
                </m:r>
              </m:sub>
            </m:sSub>
          </m:e>
        </m:d>
      </m:oMath>
      <w:r>
        <w:t>. Subtract this midpoint in the centered-value sum, apply the triangle inequality, and use Equation (5) to obtain Equation (7).</w:t>
      </w:r>
    </w:p>
    <w:p w14:paraId="37234DC1" w14:textId="77777777" w:rsidR="00C94D8E" w:rsidRDefault="00000000" w:rsidP="005E536D">
      <w:pPr>
        <w:pStyle w:val="BodyText"/>
        <w:jc w:val="both"/>
      </w:pPr>
      <w:r>
        <w:t xml:space="preserve">Next,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b</m:t>
                </m:r>
              </m:sub>
            </m:sSub>
          </m:e>
        </m:nary>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acc>
              <m:accPr>
                <m:ctrlPr>
                  <w:rPr>
                    <w:rFonts w:ascii="Cambria Math" w:hAnsi="Cambria Math"/>
                  </w:rPr>
                </m:ctrlPr>
              </m:accPr>
              <m:e>
                <m:r>
                  <w:rPr>
                    <w:rFonts w:ascii="Cambria Math" w:hAnsi="Cambria Math"/>
                  </w:rPr>
                  <m:t>o</m:t>
                </m:r>
              </m:e>
            </m:acc>
          </m:e>
        </m:d>
        <m:r>
          <m:rPr>
            <m:sty m:val="p"/>
          </m:rPr>
          <w:rPr>
            <w:rFonts w:ascii="Cambria Math" w:hAnsi="Cambria Math"/>
          </w:rPr>
          <m:t>=</m:t>
        </m:r>
        <m:r>
          <w:rPr>
            <w:rFonts w:ascii="Cambria Math" w:hAnsi="Cambria Math"/>
          </w:rPr>
          <m:t>0</m:t>
        </m:r>
      </m:oMath>
      <w:r>
        <w:t xml:space="preserve"> by the definition of the counted read. Subtracting the read from the exact output therefore gives</w:t>
      </w:r>
    </w:p>
    <w:p w14:paraId="606AC3F9" w14:textId="77777777" w:rsidR="00C94D8E" w:rsidRDefault="00000000" w:rsidP="005E536D">
      <w:pPr>
        <w:pStyle w:val="BodyText"/>
        <w:keepLines/>
        <w:tabs>
          <w:tab w:val="center" w:pos="4968"/>
          <w:tab w:val="right" w:pos="9936"/>
        </w:tabs>
        <w:spacing w:before="80" w:after="160"/>
        <w:jc w:val="both"/>
      </w:pPr>
      <w:r>
        <w:tab/>
      </w:r>
      <m:oMath>
        <m:r>
          <w:rPr>
            <w:rFonts w:ascii="Cambria Math" w:hAnsi="Cambria Math"/>
          </w:rPr>
          <m:t>o</m:t>
        </m:r>
        <m:r>
          <m:rPr>
            <m:sty m:val="p"/>
          </m:rPr>
          <w:rPr>
            <w:rFonts w:ascii="Cambria Math" w:hAnsi="Cambria Math"/>
          </w:rPr>
          <m:t>-</m:t>
        </m:r>
        <m:acc>
          <m:accPr>
            <m:ctrlPr>
              <w:rPr>
                <w:rFonts w:ascii="Cambria Math" w:hAnsi="Cambria Math"/>
              </w:rPr>
            </m:ctrlPr>
          </m:accPr>
          <m:e>
            <m:r>
              <w:rPr>
                <w:rFonts w:ascii="Cambria Math" w:hAnsi="Cambria Math"/>
              </w:rPr>
              <m:t>o</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b</m:t>
                        </m:r>
                      </m:sub>
                    </m:sSub>
                  </m:e>
                </m:d>
              </m:e>
            </m:nary>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acc>
                  <m:accPr>
                    <m:ctrlPr>
                      <w:rPr>
                        <w:rFonts w:ascii="Cambria Math" w:hAnsi="Cambria Math"/>
                      </w:rPr>
                    </m:ctrlPr>
                  </m:accPr>
                  <m:e>
                    <m:r>
                      <w:rPr>
                        <w:rFonts w:ascii="Cambria Math" w:hAnsi="Cambria Math"/>
                      </w:rPr>
                      <m:t>o</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b</m:t>
                    </m:r>
                  </m:sub>
                </m:sSub>
              </m:e>
            </m:nary>
          </m:num>
          <m:den>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b</m:t>
                    </m:r>
                  </m:sub>
                </m:sSub>
              </m:e>
            </m:nary>
          </m:den>
        </m:f>
        <m:r>
          <m:rPr>
            <m:sty m:val="p"/>
          </m:rPr>
          <w:rPr>
            <w:rFonts w:ascii="Cambria Math" w:hAnsi="Cambria Math"/>
          </w:rPr>
          <m:t>.</m:t>
        </m:r>
      </m:oMath>
      <w:r>
        <w:tab/>
        <w:t>(9)</w:t>
      </w:r>
    </w:p>
    <w:p w14:paraId="7AECFFA5" w14:textId="77777777" w:rsidR="00C94D8E" w:rsidRDefault="00000000" w:rsidP="005E536D">
      <w:pPr>
        <w:pStyle w:val="FirstParagraph"/>
        <w:jc w:val="both"/>
      </w:pPr>
      <w:r>
        <w:t xml:space="preserve">For a symmetric log-score interval,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b</m:t>
            </m:r>
          </m:sub>
        </m:sSub>
      </m:oMath>
      <w:r>
        <w:t xml:space="preserve">. Apply the triangle inequality to Equation (9), use Equation (7), and lower-bound the positive denominator by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b</m:t>
                </m:r>
              </m:sub>
            </m:sSub>
          </m:e>
        </m:nary>
      </m:oMath>
      <w:r>
        <w:t>.</w:t>
      </w:r>
    </w:p>
    <w:p w14:paraId="71185520" w14:textId="77777777" w:rsidR="00C94D8E" w:rsidRDefault="00000000" w:rsidP="005E536D">
      <w:pPr>
        <w:pStyle w:val="BodyText"/>
        <w:jc w:val="both"/>
      </w:pPr>
      <w:r>
        <w:t>The theorem distinguishes two effects: uncertain mass allocation between node means, and uncertain weighting of values within a node. If all eligible values are identical, both effects vanish even when the keys vary. Conversely, small key radii alone do not establish source identity or preserve a rare exception as an individually accessible fact. The bound is not claimed to be sharp.</w:t>
      </w:r>
    </w:p>
    <w:p w14:paraId="4D8693F3" w14:textId="77777777" w:rsidR="00C94D8E" w:rsidRDefault="00000000" w:rsidP="005E536D">
      <w:pPr>
        <w:pStyle w:val="BodyText"/>
        <w:jc w:val="both"/>
      </w:pPr>
      <w:r>
        <w:t xml:space="preserve">Valid </w:t>
      </w:r>
      <m:oMath>
        <m:sSub>
          <m:sSubPr>
            <m:ctrlPr>
              <w:rPr>
                <w:rFonts w:ascii="Cambria Math" w:hAnsi="Cambria Math"/>
              </w:rPr>
            </m:ctrlPr>
          </m:sSubPr>
          <m:e>
            <m:r>
              <w:rPr>
                <w:rFonts w:ascii="Cambria Math" w:hAnsi="Cambria Math"/>
              </w:rPr>
              <m:t>A</m:t>
            </m:r>
          </m:e>
          <m:sub>
            <m:r>
              <w:rPr>
                <w:rFonts w:ascii="Cambria Math" w:hAnsi="Cambria Math"/>
              </w:rPr>
              <m:t>b</m:t>
            </m:r>
          </m:sub>
        </m:sSub>
      </m:oMath>
      <w:r>
        <w:t xml:space="preserve"> bounds can be maintained conservatively. When merging children, the triangle inequality yields an upper bound equal to the sum of their existing </w:t>
      </w:r>
      <m:oMath>
        <m:sSub>
          <m:sSubPr>
            <m:ctrlPr>
              <w:rPr>
                <w:rFonts w:ascii="Cambria Math" w:hAnsi="Cambria Math"/>
              </w:rPr>
            </m:ctrlPr>
          </m:sSubPr>
          <m:e>
            <m:r>
              <w:rPr>
                <w:rFonts w:ascii="Cambria Math" w:hAnsi="Cambria Math"/>
              </w:rPr>
              <m:t>A</m:t>
            </m:r>
          </m:e>
          <m:sub>
            <m:r>
              <w:rPr>
                <w:rFonts w:ascii="Cambria Math" w:hAnsi="Cambria Math"/>
              </w:rPr>
              <m:t>b</m:t>
            </m:r>
          </m:sub>
        </m:sSub>
      </m:oMath>
      <w:r>
        <w:t xml:space="preserve"> values plus their counts times the displacement of their means from the parent mean. After selective reopening, one may recompute the residual spread or set </w:t>
      </w:r>
      <m:oMath>
        <m:sSub>
          <m:sSubPr>
            <m:ctrlPr>
              <w:rPr>
                <w:rFonts w:ascii="Cambria Math" w:hAnsi="Cambria Math"/>
              </w:rPr>
            </m:ctrlPr>
          </m:sSubPr>
          <m:e>
            <m:r>
              <w:rPr>
                <w:rFonts w:ascii="Cambria Math" w:hAnsi="Cambria Math"/>
              </w:rPr>
              <m:t>A</m:t>
            </m:r>
          </m:e>
          <m:sub>
            <m:r>
              <m:rPr>
                <m:sty m:val="p"/>
              </m:rPr>
              <w:rPr>
                <w:rFonts w:ascii="Cambria Math" w:hAnsi="Cambria Math"/>
              </w:rPr>
              <m:t>res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res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res</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as a conservative upper bound. Repeated loose updates can destroy usefulness without destroying validity, motivating periodic rebuilds.</w:t>
      </w:r>
    </w:p>
    <w:p w14:paraId="3EE6BDB3" w14:textId="77777777" w:rsidR="00C94D8E" w:rsidRDefault="00000000" w:rsidP="005E536D">
      <w:pPr>
        <w:pStyle w:val="Heading2"/>
        <w:jc w:val="both"/>
      </w:pPr>
      <w:bookmarkStart w:id="11" w:name="combining-local-and-global-bounds"/>
      <w:bookmarkEnd w:id="10"/>
      <w:r>
        <w:t>Combining local and global bounds</w:t>
      </w:r>
    </w:p>
    <w:p w14:paraId="35084F80" w14:textId="77777777" w:rsidR="00C94D8E" w:rsidRDefault="00000000" w:rsidP="005E536D">
      <w:pPr>
        <w:pStyle w:val="FirstParagraph"/>
        <w:jc w:val="both"/>
      </w:pPr>
      <w:r>
        <w:t xml:space="preserve">Let </w:t>
      </w:r>
      <m:oMath>
        <m:r>
          <w:rPr>
            <w:rFonts w:ascii="Cambria Math" w:hAnsi="Cambria Math"/>
          </w:rPr>
          <m:t>D</m:t>
        </m:r>
      </m:oMath>
      <w:r>
        <w:t xml:space="preserve"> upper-bound the diameter of all eligible values. Both exact and counted outputs lie in their convex hull, giving an error bound of </w:t>
      </w:r>
      <m:oMath>
        <m:r>
          <w:rPr>
            <w:rFonts w:ascii="Cambria Math" w:hAnsi="Cambria Math"/>
          </w:rPr>
          <m:t>D</m:t>
        </m:r>
      </m:oMath>
      <w:r>
        <w:t xml:space="preserve">. The logit-oscillation result developed in KV Counter memory [7] gives another bound, whose proof is included in Appendix A. With </w:t>
      </w:r>
      <m:oMath>
        <m:sSub>
          <m:sSubPr>
            <m:ctrlPr>
              <w:rPr>
                <w:rFonts w:ascii="Cambria Math" w:hAnsi="Cambria Math"/>
              </w:rPr>
            </m:ctrlPr>
          </m:sSubPr>
          <m:e>
            <m:r>
              <w:rPr>
                <w:rFonts w:ascii="Cambria Math" w:hAnsi="Cambria Math"/>
              </w:rPr>
              <m:t>ϵ</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b</m:t>
            </m:r>
          </m:sub>
        </m:sSub>
        <m:sSub>
          <m:sSubPr>
            <m:ctrlPr>
              <w:rPr>
                <w:rFonts w:ascii="Cambria Math" w:hAnsi="Cambria Math"/>
              </w:rPr>
            </m:ctrlPr>
          </m:sSubPr>
          <m:e>
            <m:r>
              <w:rPr>
                <w:rFonts w:ascii="Cambria Math" w:hAnsi="Cambria Math"/>
              </w:rPr>
              <m:t>ϵ</m:t>
            </m:r>
          </m:e>
          <m:sub>
            <m:r>
              <w:rPr>
                <w:rFonts w:ascii="Cambria Math" w:hAnsi="Cambria Math"/>
              </w:rPr>
              <m:t>b</m:t>
            </m:r>
          </m:sub>
        </m:sSub>
      </m:oMath>
      <w:r>
        <w:t>, a usable certificate is</w:t>
      </w:r>
    </w:p>
    <w:p w14:paraId="1ADEA251" w14:textId="77777777" w:rsidR="00C94D8E" w:rsidRDefault="00000000" w:rsidP="005E536D">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B</m:t>
            </m:r>
          </m:e>
          <m:sub>
            <m:r>
              <m:rPr>
                <m:scr m:val="script"/>
                <m:sty m:val="p"/>
              </m:rPr>
              <w:rPr>
                <w:rFonts w:ascii="Cambria Math" w:hAnsi="Cambria Math"/>
              </w:rPr>
              <m:t>F</m:t>
            </m:r>
          </m:sub>
        </m:sSub>
        <m:r>
          <m:rPr>
            <m:sty m:val="p"/>
          </m:rPr>
          <w:rPr>
            <w:rFonts w:ascii="Cambria Math" w:hAnsi="Cambria Math"/>
          </w:rPr>
          <m:t>=min{</m:t>
        </m:r>
        <m:r>
          <w:rPr>
            <w:rFonts w:ascii="Cambria Math" w:hAnsi="Cambria Math"/>
          </w:rPr>
          <m:t>D</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m:rPr>
                <m:sty m:val="p"/>
              </m:rPr>
              <w:rPr>
                <w:rFonts w:ascii="Cambria Math" w:hAnsi="Cambria Math"/>
              </w:rPr>
              <m:t>local</m:t>
            </m:r>
          </m:sub>
        </m:sSub>
        <m:r>
          <m:rPr>
            <m:sty m:val="p"/>
          </m:rPr>
          <w:rPr>
            <w:rFonts w:ascii="Cambria Math" w:hAnsi="Cambria Math"/>
          </w:rPr>
          <m:t>,</m:t>
        </m:r>
        <m:r>
          <w:rPr>
            <w:rFonts w:ascii="Cambria Math" w:hAnsi="Cambria Math"/>
          </w:rPr>
          <m:t> D</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ϵ</m:t>
                </m:r>
              </m:e>
              <m:sub>
                <m:r>
                  <m:rPr>
                    <m:sty m:val="p"/>
                  </m:rPr>
                  <w:rPr>
                    <w:rFonts w:ascii="Cambria Math" w:hAnsi="Cambria Math"/>
                  </w:rPr>
                  <m:t>max</m:t>
                </m:r>
              </m:sub>
            </m:sSub>
            <m:r>
              <m:rPr>
                <m:sty m:val="p"/>
              </m:rPr>
              <w:rPr>
                <w:rFonts w:ascii="Cambria Math" w:hAnsi="Cambria Math"/>
              </w:rPr>
              <m:t>/</m:t>
            </m:r>
            <m:r>
              <w:rPr>
                <w:rFonts w:ascii="Cambria Math" w:hAnsi="Cambria Math"/>
              </w:rPr>
              <m:t>2</m:t>
            </m:r>
          </m:e>
        </m:d>
        <m:r>
          <m:rPr>
            <m:sty m:val="p"/>
          </m:rPr>
          <w:rPr>
            <w:rFonts w:ascii="Cambria Math" w:hAnsi="Cambria Math"/>
          </w:rPr>
          <m:t>}.</m:t>
        </m:r>
      </m:oMath>
      <w:r>
        <w:tab/>
        <w:t>(10)</w:t>
      </w:r>
    </w:p>
    <w:p w14:paraId="6A05B578" w14:textId="77777777" w:rsidR="00C94D8E" w:rsidRDefault="00000000" w:rsidP="005E536D">
      <w:pPr>
        <w:pStyle w:val="FirstParagraph"/>
        <w:jc w:val="both"/>
      </w:pPr>
      <w:r>
        <w:t xml:space="preserve">The norm–radius bound places all token logit errors in an interval of width at most </w:t>
      </w:r>
      <m:oMath>
        <m:r>
          <w:rPr>
            <w:rFonts w:ascii="Cambria Math" w:hAnsi="Cambria Math"/>
          </w:rPr>
          <m:t>2</m:t>
        </m:r>
        <m:sSub>
          <m:sSubPr>
            <m:ctrlPr>
              <w:rPr>
                <w:rFonts w:ascii="Cambria Math" w:hAnsi="Cambria Math"/>
              </w:rPr>
            </m:ctrlPr>
          </m:sSubPr>
          <m:e>
            <m:r>
              <w:rPr>
                <w:rFonts w:ascii="Cambria Math" w:hAnsi="Cambria Math"/>
              </w:rPr>
              <m:t>ϵ</m:t>
            </m:r>
          </m:e>
          <m:sub>
            <m:r>
              <m:rPr>
                <m:sty m:val="p"/>
              </m:rPr>
              <w:rPr>
                <w:rFonts w:ascii="Cambria Math" w:hAnsi="Cambria Math"/>
              </w:rPr>
              <m:t>max</m:t>
            </m:r>
          </m:sub>
        </m:sSub>
      </m:oMath>
      <w:r>
        <w:t>. A tighter certified oscillation can improve the last term. Computing the exact diameter is unnecessary; for example, twice a valid maximum value norm is conservative. The certificate concerns one read at fixed query, keys, values, and eligibility. It does not automatically propagate through a recurrent decoder.</w:t>
      </w:r>
    </w:p>
    <w:p w14:paraId="780FB7B3" w14:textId="77777777" w:rsidR="00C94D8E" w:rsidRDefault="00000000" w:rsidP="005E536D">
      <w:pPr>
        <w:pStyle w:val="Heading2"/>
        <w:jc w:val="both"/>
      </w:pPr>
      <w:bookmarkStart w:id="12" w:name="omitted-records"/>
      <w:bookmarkEnd w:id="11"/>
      <w:r>
        <w:t>Omitted records</w:t>
      </w:r>
    </w:p>
    <w:p w14:paraId="0E073894" w14:textId="77777777" w:rsidR="00C94D8E" w:rsidRDefault="00000000" w:rsidP="005E536D">
      <w:pPr>
        <w:pStyle w:val="FirstParagraph"/>
        <w:jc w:val="both"/>
      </w:pPr>
      <w:r>
        <w:t xml:space="preserve">A complete hierarchy can remain represented by coarse nodes even when few records are materialized. If the read actually omits a subset, that omission needs separate accounting. Let </w:t>
      </w:r>
      <m:oMath>
        <m:r>
          <w:rPr>
            <w:rFonts w:ascii="Cambria Math" w:hAnsi="Cambria Math"/>
          </w:rPr>
          <m:t>S</m:t>
        </m:r>
      </m:oMath>
      <w:r>
        <w:t xml:space="preserve"> be a nonempty selected population, </w:t>
      </w:r>
      <m:oMath>
        <m:r>
          <w:rPr>
            <w:rFonts w:ascii="Cambria Math" w:hAnsi="Cambria Math"/>
          </w:rPr>
          <m:t>τ</m:t>
        </m:r>
      </m:oMath>
      <w:r>
        <w:t xml:space="preserve"> the exact attention probability outside it, and </w:t>
      </w:r>
      <m:oMath>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D</m:t>
        </m:r>
      </m:oMath>
      <w:r>
        <w:t xml:space="preserve"> a valid error bound for the read normalized over </w:t>
      </w:r>
      <m:oMath>
        <m:r>
          <w:rPr>
            <w:rFonts w:ascii="Cambria Math" w:hAnsi="Cambria Math"/>
          </w:rPr>
          <m:t>S</m:t>
        </m:r>
      </m:oMath>
      <w:r>
        <w:t>. Then</w:t>
      </w:r>
    </w:p>
    <w:p w14:paraId="461244A1" w14:textId="77777777" w:rsidR="00C94D8E" w:rsidRDefault="00000000" w:rsidP="005E536D">
      <w:pPr>
        <w:pStyle w:val="BodyText"/>
        <w:keepLines/>
        <w:tabs>
          <w:tab w:val="center" w:pos="4968"/>
          <w:tab w:val="right" w:pos="9936"/>
        </w:tabs>
        <w:spacing w:before="80" w:after="160"/>
        <w:jc w:val="both"/>
      </w:pPr>
      <w:r>
        <w:tab/>
      </w:r>
      <m:oMath>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S</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Dτ</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oMath>
      <w:r>
        <w:tab/>
        <w:t>(11)</w:t>
      </w:r>
    </w:p>
    <w:p w14:paraId="45DFBD8A" w14:textId="77777777" w:rsidR="00C94D8E" w:rsidRDefault="00000000" w:rsidP="005E536D">
      <w:pPr>
        <w:pStyle w:val="FirstParagraph"/>
        <w:jc w:val="both"/>
      </w:pPr>
      <w:r>
        <w:rPr>
          <w:b/>
          <w:bCs/>
        </w:rPr>
        <w:t>Proof.</w:t>
      </w:r>
      <w:r>
        <w:t xml:space="preserve"> Decompose </w:t>
      </w:r>
      <m:oMath>
        <m:r>
          <w:rPr>
            <w:rFonts w:ascii="Cambria Math" w:hAnsi="Cambria Math"/>
          </w:rPr>
          <m:t>o</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sSub>
          <m:sSubPr>
            <m:ctrlPr>
              <w:rPr>
                <w:rFonts w:ascii="Cambria Math" w:hAnsi="Cambria Math"/>
              </w:rPr>
            </m:ctrlPr>
          </m:sSubPr>
          <m:e>
            <m:r>
              <w:rPr>
                <w:rFonts w:ascii="Cambria Math" w:hAnsi="Cambria Math"/>
              </w:rPr>
              <m:t>o</m:t>
            </m:r>
          </m:e>
          <m:sub>
            <m:r>
              <w:rPr>
                <w:rFonts w:ascii="Cambria Math" w:hAnsi="Cambria Math"/>
              </w:rPr>
              <m:t>S</m:t>
            </m:r>
          </m:sub>
        </m:sSub>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o</m:t>
            </m:r>
          </m:e>
          <m:sub>
            <m:r>
              <w:rPr>
                <w:rFonts w:ascii="Cambria Math" w:hAnsi="Cambria Math"/>
              </w:rPr>
              <m:t>O</m:t>
            </m:r>
          </m:sub>
        </m:sSub>
      </m:oMath>
      <w:r>
        <w:t xml:space="preserve">, subtract </w:t>
      </w:r>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S</m:t>
            </m:r>
          </m:sub>
        </m:sSub>
      </m:oMath>
      <w:r>
        <w:t xml:space="preserve">, and apply the triangle inequality. The selected term is bounded by </w:t>
      </w:r>
      <m:oMath>
        <m:sSub>
          <m:sSubPr>
            <m:ctrlPr>
              <w:rPr>
                <w:rFonts w:ascii="Cambria Math" w:hAnsi="Cambria Math"/>
              </w:rPr>
            </m:ctrlPr>
          </m:sSubPr>
          <m:e>
            <m:r>
              <w:rPr>
                <w:rFonts w:ascii="Cambria Math" w:hAnsi="Cambria Math"/>
              </w:rPr>
              <m:t>B</m:t>
            </m:r>
          </m:e>
          <m:sub>
            <m:r>
              <w:rPr>
                <w:rFonts w:ascii="Cambria Math" w:hAnsi="Cambria Math"/>
              </w:rPr>
              <m:t>S</m:t>
            </m:r>
          </m:sub>
        </m:sSub>
      </m:oMath>
      <w:r>
        <w:t xml:space="preserve">; the omitted output and approximate selected output lie in the same value convex hull and differ by at most </w:t>
      </w:r>
      <m:oMath>
        <m:r>
          <w:rPr>
            <w:rFonts w:ascii="Cambria Math" w:hAnsi="Cambria Math"/>
          </w:rPr>
          <m:t>D</m:t>
        </m:r>
      </m:oMath>
      <w:r>
        <w:t>.</w:t>
      </w:r>
    </w:p>
    <w:p w14:paraId="337723EF" w14:textId="77777777" w:rsidR="00C94D8E" w:rsidRDefault="00000000" w:rsidP="005E536D">
      <w:pPr>
        <w:pStyle w:val="BodyText"/>
        <w:jc w:val="both"/>
      </w:pPr>
      <w:r>
        <w:t>If selected and omitted nodes partition the eligible population, their mass bounds imply</w:t>
      </w:r>
    </w:p>
    <w:p w14:paraId="7CAA68A1" w14:textId="77777777" w:rsidR="00C94D8E" w:rsidRDefault="00000000" w:rsidP="005E536D">
      <w:pPr>
        <w:pStyle w:val="BodyText"/>
        <w:keepLines/>
        <w:tabs>
          <w:tab w:val="center" w:pos="4968"/>
          <w:tab w:val="right" w:pos="9936"/>
        </w:tabs>
        <w:spacing w:before="80" w:after="160"/>
        <w:jc w:val="both"/>
      </w:pPr>
      <w:r>
        <w:lastRenderedPageBreak/>
        <w:tab/>
      </w:r>
      <m:oMath>
        <m:r>
          <w:rPr>
            <w:rFonts w:ascii="Cambria Math" w:hAnsi="Cambria Math"/>
          </w:rPr>
          <m:t>τ</m:t>
        </m:r>
        <m:r>
          <m:rPr>
            <m:sty m:val="p"/>
          </m:rPr>
          <w:rPr>
            <w:rFonts w:ascii="Cambria Math" w:hAnsi="Cambria Math"/>
          </w:rPr>
          <m:t>≤</m:t>
        </m:r>
        <m:bar>
          <m:barPr>
            <m:pos m:val="top"/>
            <m:ctrlPr>
              <w:rPr>
                <w:rFonts w:ascii="Cambria Math" w:hAnsi="Cambria Math"/>
              </w:rPr>
            </m:ctrlPr>
          </m:barPr>
          <m:e>
            <m:r>
              <w:rPr>
                <w:rFonts w:ascii="Cambria Math" w:hAnsi="Cambria Math"/>
              </w:rPr>
              <m:t>τ</m:t>
            </m:r>
          </m:e>
        </m:ba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O</m:t>
                    </m:r>
                  </m:sub>
                </m:sSub>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b</m:t>
                    </m:r>
                  </m:sub>
                </m:sSub>
              </m:e>
            </m:nary>
          </m:num>
          <m:den>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b</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O</m:t>
                    </m:r>
                  </m:sub>
                </m:sSub>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b</m:t>
                    </m:r>
                  </m:sub>
                </m:sSub>
              </m:e>
            </m:nary>
          </m:den>
        </m:f>
        <m:r>
          <m:rPr>
            <m:sty m:val="p"/>
          </m:rPr>
          <w:rPr>
            <w:rFonts w:ascii="Cambria Math" w:hAnsi="Cambria Math"/>
          </w:rPr>
          <m:t>.</m:t>
        </m:r>
      </m:oMath>
      <w:r>
        <w:tab/>
        <w:t>(12)</w:t>
      </w:r>
    </w:p>
    <w:p w14:paraId="307CDC67" w14:textId="77777777" w:rsidR="00C94D8E" w:rsidRDefault="00000000" w:rsidP="005E536D">
      <w:pPr>
        <w:pStyle w:val="FirstParagraph"/>
        <w:jc w:val="both"/>
      </w:pPr>
      <w:r>
        <w:t xml:space="preserve">Because </w:t>
      </w:r>
      <m:oMath>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D</m:t>
        </m:r>
      </m:oMath>
      <w:r>
        <w:t>, substituting this upper bound in Equation (11) is conservative. A top-k retrieval result alone does not bound everything it missed. Complete index coverage, a valid omitted-subtree bound, or a full scan is necessary. The latency and memory required to obtain this coverage belong in the system cost.</w:t>
      </w:r>
    </w:p>
    <w:p w14:paraId="41203542" w14:textId="77777777" w:rsidR="00C94D8E" w:rsidRDefault="00000000" w:rsidP="005E536D">
      <w:pPr>
        <w:pStyle w:val="Heading1"/>
        <w:jc w:val="both"/>
      </w:pPr>
      <w:bookmarkStart w:id="13" w:name="refinement-control-and-stopping"/>
      <w:bookmarkEnd w:id="8"/>
      <w:bookmarkEnd w:id="12"/>
      <w:r>
        <w:t>6 Refinement control and stopping</w:t>
      </w:r>
    </w:p>
    <w:p w14:paraId="0BA7F6A7" w14:textId="77777777" w:rsidR="00C94D8E" w:rsidRDefault="00000000" w:rsidP="005E536D">
      <w:pPr>
        <w:pStyle w:val="Heading2"/>
        <w:jc w:val="both"/>
      </w:pPr>
      <w:bookmarkStart w:id="14" w:name="Xc53723613641bcea191d75ce894bc5e56811098"/>
      <w:r>
        <w:t>A monotone guarantee for the returned read</w:t>
      </w:r>
    </w:p>
    <w:p w14:paraId="45AE17B2" w14:textId="77777777" w:rsidR="00C94D8E" w:rsidRDefault="00000000" w:rsidP="005E536D">
      <w:pPr>
        <w:pStyle w:val="FirstParagraph"/>
        <w:jc w:val="both"/>
      </w:pPr>
      <w:r>
        <w:t xml:space="preserve">Refinement may reduce approximation uncertainty while moving the read away from the exact answer through cancellation effects. Take scalar keys </w:t>
      </w:r>
      <m:oMath>
        <m:r>
          <w:rPr>
            <w:rFonts w:ascii="Cambria Math" w:hAnsi="Cambria Math"/>
          </w:rPr>
          <m:t>0</m:t>
        </m:r>
        <m:r>
          <m:rPr>
            <m:sty m:val="p"/>
          </m:rPr>
          <w:rPr>
            <w:rFonts w:ascii="Cambria Math" w:hAnsi="Cambria Math"/>
          </w:rPr>
          <m:t>,log</m:t>
        </m:r>
        <m:r>
          <w:rPr>
            <w:rFonts w:ascii="Cambria Math" w:hAnsi="Cambria Math"/>
          </w:rPr>
          <m:t>2</m:t>
        </m:r>
        <m:r>
          <m:rPr>
            <m:sty m:val="p"/>
          </m:rPr>
          <w:rPr>
            <w:rFonts w:ascii="Cambria Math" w:hAnsi="Cambria Math"/>
          </w:rPr>
          <m:t>,log</m:t>
        </m:r>
        <m:r>
          <w:rPr>
            <w:rFonts w:ascii="Cambria Math" w:hAnsi="Cambria Math"/>
          </w:rPr>
          <m:t>3</m:t>
        </m:r>
      </m:oMath>
      <w:r>
        <w:t xml:space="preserve">, scalar values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and query one. Both the exact read and a single mean-valued node return one third. Splitting off the first record and giving the remaining pair its mean key produces</w:t>
      </w:r>
    </w:p>
    <w:p w14:paraId="42CFD5E4" w14:textId="77777777" w:rsidR="00C94D8E" w:rsidRDefault="00000000" w:rsidP="005E536D">
      <w:pPr>
        <w:pStyle w:val="BodyText"/>
        <w:keepLines/>
        <w:tabs>
          <w:tab w:val="center" w:pos="4968"/>
          <w:tab w:val="right" w:pos="9936"/>
        </w:tabs>
        <w:spacing w:before="80" w:after="160"/>
        <w:jc w:val="both"/>
      </w:pPr>
      <w:r>
        <w:tab/>
      </w:r>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2</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1</m:t>
            </m:r>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6</m:t>
                </m:r>
              </m:e>
            </m:rad>
          </m:den>
        </m:f>
        <m:r>
          <m:rPr>
            <m:sty m:val="p"/>
          </m:rPr>
          <w:rPr>
            <w:rFonts w:ascii="Cambria Math" w:hAnsi="Cambria Math"/>
          </w:rPr>
          <m:t>≈</m:t>
        </m:r>
        <m:r>
          <w:rPr>
            <w:rFonts w:ascii="Cambria Math" w:hAnsi="Cambria Math"/>
          </w:rPr>
          <m:t>0.415240</m:t>
        </m:r>
        <m:r>
          <m:rPr>
            <m:sty m:val="p"/>
          </m:rPr>
          <w:rPr>
            <w:rFonts w:ascii="Cambria Math" w:hAnsi="Cambria Math"/>
          </w:rPr>
          <m:t>.</m:t>
        </m:r>
      </m:oMath>
      <w:r>
        <w:tab/>
        <w:t>(13)</w:t>
      </w:r>
    </w:p>
    <w:p w14:paraId="3A4D5795" w14:textId="77777777" w:rsidR="00C94D8E" w:rsidRDefault="00000000" w:rsidP="005E536D">
      <w:pPr>
        <w:pStyle w:val="FirstParagraph"/>
        <w:jc w:val="both"/>
      </w:pPr>
      <w:r>
        <w:t>The realized error increases from zero to about 0.081906 even though the largest key radius decreases. Opening all three records restores the exact read. A controller must not assume that each detailed view improves the current output.</w:t>
      </w:r>
    </w:p>
    <w:p w14:paraId="4425BB1B" w14:textId="77777777" w:rsidR="00C94D8E" w:rsidRDefault="00000000" w:rsidP="005E536D">
      <w:pPr>
        <w:pStyle w:val="BodyText"/>
        <w:jc w:val="both"/>
      </w:pPr>
      <w:r>
        <w:rPr>
          <w:b/>
          <w:bCs/>
        </w:rPr>
        <w:t>Proposition 2.</w:t>
      </w:r>
      <w:r>
        <w:t xml:space="preserve"> For a fixed query, epoch, and eligible population, retain every evaluated read with a valid certificate and return the incumbent with the smallest certificate. If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is its index, then</w:t>
      </w:r>
    </w:p>
    <w:p w14:paraId="7687DBB0" w14:textId="77777777" w:rsidR="00C94D8E" w:rsidRDefault="00000000" w:rsidP="005E536D">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sSub>
              <m:sSubPr>
                <m:ctrlPr>
                  <w:rPr>
                    <w:rFonts w:ascii="Cambria Math" w:hAnsi="Cambria Math"/>
                  </w:rPr>
                </m:ctrlPr>
              </m:sSubPr>
              <m:e>
                <m:r>
                  <w:rPr>
                    <w:rFonts w:ascii="Cambria Math" w:hAnsi="Cambria Math"/>
                  </w:rPr>
                  <m:t>u</m:t>
                </m:r>
              </m:e>
              <m:sub>
                <m:r>
                  <w:rPr>
                    <w:rFonts w:ascii="Cambria Math" w:hAnsi="Cambria Math"/>
                  </w:rPr>
                  <m:t>t</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u</m:t>
                </m:r>
              </m:e>
              <m:sub>
                <m:r>
                  <w:rPr>
                    <w:rFonts w:ascii="Cambria Math" w:hAnsi="Cambria Math"/>
                  </w:rPr>
                  <m:t>t</m:t>
                </m:r>
              </m:sub>
            </m:sSub>
          </m:sub>
        </m:sSub>
        <m:r>
          <m:rPr>
            <m:sty m:val="p"/>
          </m:rPr>
          <w:rPr>
            <w:rFonts w:ascii="Cambria Math" w:hAnsi="Cambria Math"/>
          </w:rPr>
          <m:t>.</m:t>
        </m:r>
      </m:oMath>
      <w:r>
        <w:tab/>
        <w:t>(14)</w:t>
      </w:r>
    </w:p>
    <w:p w14:paraId="5503E9D2" w14:textId="77777777" w:rsidR="00C94D8E" w:rsidRDefault="00000000" w:rsidP="005E536D">
      <w:pPr>
        <w:pStyle w:val="FirstParagraph"/>
        <w:jc w:val="both"/>
      </w:pPr>
      <w:r>
        <w:t>The reported upper bound is nonincreasing because the minimization set only grows. It need not equal the smallest realized error, which is generally unavailable online. Full expansion of a finite hierarchy to exact records gives a zero certificate in exact arithmetic, provided the budget permits complete coverage. A hard budget removes this convergence guarantee.</w:t>
      </w:r>
    </w:p>
    <w:p w14:paraId="122DF2EF" w14:textId="77777777" w:rsidR="00C94D8E" w:rsidRDefault="00000000" w:rsidP="005E536D">
      <w:pPr>
        <w:pStyle w:val="BodyText"/>
        <w:jc w:val="both"/>
      </w:pPr>
      <w:r>
        <w:t>Only the incumbent output and bound need be retained for this rule. The current frontier can continue to change. The certificate belongs to the incumbent read actually supplied to the Value interface; it cannot be attached to a different assembled read merely because both occurred in the same episode. If the query, eligibility, values, or representation epoch changes, earlier certificates cannot be reused without a new proof. Evidence inspection may still continue after the numerical threshold is met.</w:t>
      </w:r>
    </w:p>
    <w:p w14:paraId="07CD85E8" w14:textId="77777777" w:rsidR="00C94D8E" w:rsidRDefault="00000000" w:rsidP="005E536D">
      <w:pPr>
        <w:pStyle w:val="Heading2"/>
        <w:jc w:val="both"/>
      </w:pPr>
      <w:bookmarkStart w:id="15" w:name="an-implementable-policy"/>
      <w:bookmarkEnd w:id="14"/>
      <w:r>
        <w:t>An implementable policy</w:t>
      </w:r>
    </w:p>
    <w:p w14:paraId="7296C8E7" w14:textId="77777777" w:rsidR="00C94D8E" w:rsidRDefault="00000000" w:rsidP="005E536D">
      <w:pPr>
        <w:pStyle w:val="FirstParagraph"/>
        <w:jc w:val="both"/>
      </w:pPr>
      <w:r>
        <w:t>The controller’s state contains the query, task constraints, current frontier, active fragments, incumbent read, numerical certificate, unresolved premises, and remaining budgets. Budgets include bytes, materialized tokens, index visits, reader calls, validation calls, and time. A fragment-count cap alone is inadequate because fragment sizes differ.</w:t>
      </w:r>
    </w:p>
    <w:p w14:paraId="1DA64BE4" w14:textId="77777777" w:rsidR="00C94D8E" w:rsidRDefault="00000000" w:rsidP="005E536D">
      <w:pPr>
        <w:pStyle w:val="BodyText"/>
        <w:jc w:val="both"/>
      </w:pPr>
      <w:r>
        <w:t>A baseline policy ranks numerical refinement candidates using their contributions to Equation (8) divided by estimated expansion cost. This is a heuristic for where uncertainty resides, not a guarantee of the benefit of opening a child. A semantic candidate may instead be selected because it can resolve a required source identity, relation, or revision. Ties and exploration rules are deterministic in the initial prototype.</w:t>
      </w:r>
    </w:p>
    <w:p w14:paraId="0FBA3AFB" w14:textId="77777777" w:rsidR="00C94D8E" w:rsidRDefault="00000000" w:rsidP="005E536D">
      <w:pPr>
        <w:pStyle w:val="BodyText"/>
        <w:jc w:val="both"/>
      </w:pPr>
      <w:r>
        <w:lastRenderedPageBreak/>
        <w:t>Algorithm 1 specifies a single-branch version. A beam variant keeps independent active views while sharing immutable archive records.</w:t>
      </w:r>
    </w:p>
    <w:p w14:paraId="767557CB" w14:textId="77777777" w:rsidR="00C94D8E" w:rsidRDefault="00000000" w:rsidP="005E536D">
      <w:pPr>
        <w:pStyle w:val="Compact"/>
        <w:numPr>
          <w:ilvl w:val="0"/>
          <w:numId w:val="2"/>
        </w:numPr>
        <w:jc w:val="both"/>
      </w:pPr>
      <w:r>
        <w:t>Pin an archive snapshot and representation epoch; resolve eligibility and construct a covering coarse frontier.</w:t>
      </w:r>
    </w:p>
    <w:p w14:paraId="0EB5F1D2" w14:textId="77777777" w:rsidR="00C94D8E" w:rsidRDefault="00000000" w:rsidP="005E536D">
      <w:pPr>
        <w:pStyle w:val="Compact"/>
        <w:numPr>
          <w:ilvl w:val="0"/>
          <w:numId w:val="2"/>
        </w:numPr>
        <w:jc w:val="both"/>
      </w:pPr>
      <w:r>
        <w:t>Compute the counted read and valid bounds; initialize the numerical incumbent.</w:t>
      </w:r>
    </w:p>
    <w:p w14:paraId="750ACE7E" w14:textId="77777777" w:rsidR="00C94D8E" w:rsidRDefault="00000000" w:rsidP="005E536D">
      <w:pPr>
        <w:pStyle w:val="Compact"/>
        <w:numPr>
          <w:ilvl w:val="0"/>
          <w:numId w:val="2"/>
        </w:numPr>
        <w:jc w:val="both"/>
      </w:pPr>
      <w:r>
        <w:t>Supply the incumbent read to the Value interface; form or update the candidate answer and its explicit evidence obligations.</w:t>
      </w:r>
    </w:p>
    <w:p w14:paraId="3AA0A35F" w14:textId="77777777" w:rsidR="00C94D8E" w:rsidRDefault="00000000" w:rsidP="005E536D">
      <w:pPr>
        <w:pStyle w:val="Compact"/>
        <w:numPr>
          <w:ilvl w:val="0"/>
          <w:numId w:val="2"/>
        </w:numPr>
        <w:jc w:val="both"/>
      </w:pPr>
      <w:r>
        <w:t>If numerical tolerance and the task’s required evidence checks both pass, return the answer with its evidence record.</w:t>
      </w:r>
    </w:p>
    <w:p w14:paraId="3FA8470F" w14:textId="77777777" w:rsidR="00C94D8E" w:rsidRDefault="00000000" w:rsidP="005E536D">
      <w:pPr>
        <w:pStyle w:val="Compact"/>
        <w:numPr>
          <w:ilvl w:val="0"/>
          <w:numId w:val="2"/>
        </w:numPr>
        <w:jc w:val="both"/>
      </w:pPr>
      <w:r>
        <w:t>Otherwise enumerate feasible refinement, materialization, counterexample-search, and validation actions.</w:t>
      </w:r>
    </w:p>
    <w:p w14:paraId="35BAD23B" w14:textId="77777777" w:rsidR="00C94D8E" w:rsidRDefault="00000000" w:rsidP="005E536D">
      <w:pPr>
        <w:pStyle w:val="Compact"/>
        <w:numPr>
          <w:ilvl w:val="0"/>
          <w:numId w:val="2"/>
        </w:numPr>
        <w:jc w:val="both"/>
      </w:pPr>
      <w:r>
        <w:t>Execute the selected action on a branch-local view. Remove covered parent contributions before adding children or records.</w:t>
      </w:r>
    </w:p>
    <w:p w14:paraId="5B1FFBB9" w14:textId="77777777" w:rsidR="00C94D8E" w:rsidRDefault="00000000" w:rsidP="005E536D">
      <w:pPr>
        <w:pStyle w:val="Compact"/>
        <w:numPr>
          <w:ilvl w:val="0"/>
          <w:numId w:val="2"/>
        </w:numPr>
        <w:jc w:val="both"/>
      </w:pPr>
      <w:r>
        <w:t>Recompute affected read statistics and bounds. Update the incumbent only for an unchanged numerical reference; otherwise reset it.</w:t>
      </w:r>
    </w:p>
    <w:p w14:paraId="7508BD53" w14:textId="77777777" w:rsidR="00C94D8E" w:rsidRDefault="00000000" w:rsidP="005E536D">
      <w:pPr>
        <w:pStyle w:val="Compact"/>
        <w:numPr>
          <w:ilvl w:val="0"/>
          <w:numId w:val="2"/>
        </w:numPr>
        <w:jc w:val="both"/>
      </w:pPr>
      <w:r>
        <w:t>Reassess the candidate and its obligations. Repeat while budget remains; on exhaustion, return the unresolved status required by the task.</w:t>
      </w:r>
    </w:p>
    <w:p w14:paraId="6B54002D" w14:textId="77777777" w:rsidR="00C94D8E" w:rsidRDefault="00000000" w:rsidP="005E536D">
      <w:pPr>
        <w:pStyle w:val="FirstParagraph"/>
        <w:jc w:val="both"/>
      </w:pPr>
      <w:r>
        <w:t>Search operations do not mutate durable occurrence counts. Rollback restores the previous view or an equivalent undo record. Coarsening can remove an active representation while preserving its backing records. It cannot reverse the loss of an archived source that was deleted.</w:t>
      </w:r>
    </w:p>
    <w:p w14:paraId="1097B543" w14:textId="77777777" w:rsidR="00C94D8E" w:rsidRDefault="00000000" w:rsidP="005E536D">
      <w:pPr>
        <w:pStyle w:val="Heading1"/>
        <w:jc w:val="both"/>
      </w:pPr>
      <w:bookmarkStart w:id="16" w:name="Xb65b8589efb82c7d50783e445076cb8c19e0cfd"/>
      <w:bookmarkEnd w:id="13"/>
      <w:bookmarkEnd w:id="15"/>
      <w:r>
        <w:t>7 Evidence obligations and reverse validation</w:t>
      </w:r>
    </w:p>
    <w:p w14:paraId="27118902" w14:textId="77777777" w:rsidR="00C94D8E" w:rsidRDefault="00000000" w:rsidP="005E536D">
      <w:pPr>
        <w:pStyle w:val="Heading2"/>
        <w:jc w:val="both"/>
      </w:pPr>
      <w:bookmarkStart w:id="17" w:name="why-exact-attention-is-insufficient"/>
      <w:r>
        <w:t>Why exact attention is insufficient</w:t>
      </w:r>
    </w:p>
    <w:p w14:paraId="66C1D802" w14:textId="77777777" w:rsidR="00C94D8E" w:rsidRDefault="00000000" w:rsidP="005E536D">
      <w:pPr>
        <w:pStyle w:val="FirstParagraph"/>
        <w:jc w:val="both"/>
      </w:pPr>
      <w:r>
        <w:rPr>
          <w:b/>
          <w:bCs/>
        </w:rPr>
        <w:t>Proposition 3.</w:t>
      </w:r>
      <w:r>
        <w:t xml:space="preserve"> There are source-dependent tasks that cannot be answered from a count and value sum even when that summary reproduces the reference attention exactly.</w:t>
      </w:r>
    </w:p>
    <w:p w14:paraId="3588AD1A" w14:textId="77777777" w:rsidR="00C94D8E" w:rsidRDefault="00000000" w:rsidP="005E536D">
      <w:pPr>
        <w:pStyle w:val="BodyText"/>
        <w:jc w:val="both"/>
      </w:pPr>
      <w:r>
        <w:rPr>
          <w:b/>
          <w:bCs/>
        </w:rPr>
        <w:t>Proof by construction.</w:t>
      </w:r>
      <w:r>
        <w:t xml:space="preserve"> Consider two records with the same key and source identities A and B. In history one, their values are zero and one. In history two, their values are one and zero. Both summaries have count two, value sum one, and identical reference attention for every query. The task “return the value associated with source A” has different correct answers. Any deterministic procedure given only the identical summaries must fail on at least one history. Under a uniform choice of histories, a randomized procedure has error at least one half. Retained source-linked records break the indistinguishability; the counter alone cannot.</w:t>
      </w:r>
    </w:p>
    <w:p w14:paraId="57659942" w14:textId="77777777" w:rsidR="00C94D8E" w:rsidRDefault="00000000" w:rsidP="005E536D">
      <w:pPr>
        <w:pStyle w:val="BodyText"/>
        <w:jc w:val="both"/>
      </w:pPr>
      <w:r>
        <w:t>The construction also explains why a zero numerical error cannot certify a revision-sensitive answer. Attention fidelity and evidence sufficiency are different properties of the memory interface. Architectural success requires both an economical summary and a mechanism that recognizes and retrieves distinctions needed by the task.</w:t>
      </w:r>
    </w:p>
    <w:p w14:paraId="6FB55882" w14:textId="77777777" w:rsidR="00C94D8E" w:rsidRDefault="00000000" w:rsidP="005E536D">
      <w:pPr>
        <w:pStyle w:val="Heading2"/>
        <w:jc w:val="both"/>
      </w:pPr>
      <w:bookmarkStart w:id="18" w:name="backward-demands-for-evidence"/>
      <w:bookmarkEnd w:id="17"/>
      <w:r>
        <w:t>Backward demands for evidence</w:t>
      </w:r>
    </w:p>
    <w:p w14:paraId="1B1163C5" w14:textId="77777777" w:rsidR="00C94D8E" w:rsidRDefault="00000000" w:rsidP="005E536D">
      <w:pPr>
        <w:pStyle w:val="FirstParagraph"/>
        <w:jc w:val="both"/>
      </w:pPr>
      <w:r>
        <w:t>We specify reverse validation as the construction of premise obligations for a candidate conclusion. Each obligation records the claim, required relation or fact, allowed source scope, relevant time or revision, and the status of its support. Successful support identifies a source span and the operation used to connect it to the claim. Conflicting evidence is retained explicitly.</w:t>
      </w:r>
    </w:p>
    <w:p w14:paraId="052D4FD1" w14:textId="77777777" w:rsidR="00C94D8E" w:rsidRDefault="00000000" w:rsidP="005E536D">
      <w:pPr>
        <w:pStyle w:val="BodyText"/>
        <w:jc w:val="both"/>
      </w:pPr>
      <w:r>
        <w:t xml:space="preserve">The source revision graph supplies a useful example. A thousand old observations can favor an obsolete value in a summary. A single applicable revision can determine the current answer. A candidate claim about the current </w:t>
      </w:r>
      <w:r>
        <w:lastRenderedPageBreak/>
        <w:t>value creates an obligation to inspect the applicable revision relation. The controller follows that relation and materializes the exceptional source, regardless of its low occurrence frequency. This is a proposed behavior to test, not an automatic consequence of the count algebra.</w:t>
      </w:r>
    </w:p>
    <w:p w14:paraId="365BB0D6" w14:textId="77777777" w:rsidR="00C94D8E" w:rsidRDefault="00000000" w:rsidP="005E536D">
      <w:pPr>
        <w:pStyle w:val="BodyText"/>
        <w:jc w:val="both"/>
      </w:pPr>
      <w:r>
        <w:t>Right-to-left token modeling and backward premise search are separate hypotheses. A probable premise conditioned on a conclusion can be a plausible fabrication. A literal reverse decoder requires suitable training and compatible representations; reversed forward-cache order is insufficient. The initial implementation uses a forward model to search backward over claims, then compares it with a trained reverse model at matched compute.</w:t>
      </w:r>
    </w:p>
    <w:p w14:paraId="769BC626" w14:textId="77777777" w:rsidR="00C94D8E" w:rsidRDefault="00000000" w:rsidP="005E536D">
      <w:pPr>
        <w:pStyle w:val="BodyText"/>
        <w:jc w:val="both"/>
      </w:pPr>
      <w:r>
        <w:t>Validation includes tests against alternatives. Remove a claimed supporting source, substitute an incompatible revision, or retrieve a counterexample. Measure whether the support judgment changes appropriately against labeled dependencies. Executable checks can verify arithmetic or restricted rules. Model-based entailment remains fallible. An evidence trace documents the inspected material and judgments; it becomes a formal proof only when its inference steps are checked in an appropriate formal system.</w:t>
      </w:r>
    </w:p>
    <w:p w14:paraId="510D99CA" w14:textId="77777777" w:rsidR="00C94D8E" w:rsidRDefault="00000000" w:rsidP="005E536D">
      <w:pPr>
        <w:pStyle w:val="BodyText"/>
        <w:jc w:val="both"/>
      </w:pPr>
      <w:r>
        <w:t>The numerical stopping condition is a tolerance on a declared read. The evidence stopping condition is a task-specific set of checked obligations. A low numerical bound neither implies that all obligations were generated nor that a model’s support judgment is correct. Both failure rates must be measured.</w:t>
      </w:r>
    </w:p>
    <w:p w14:paraId="11D1A923" w14:textId="77777777" w:rsidR="00C94D8E" w:rsidRDefault="00000000" w:rsidP="005E536D">
      <w:pPr>
        <w:pStyle w:val="Heading1"/>
        <w:jc w:val="both"/>
      </w:pPr>
      <w:bookmarkStart w:id="19" w:name="learning-and-continual-consolidation"/>
      <w:bookmarkEnd w:id="16"/>
      <w:bookmarkEnd w:id="18"/>
      <w:r>
        <w:t>8 Learning and continual consolidation</w:t>
      </w:r>
    </w:p>
    <w:p w14:paraId="33525385" w14:textId="77777777" w:rsidR="00C94D8E" w:rsidRDefault="00000000" w:rsidP="005E536D">
      <w:pPr>
        <w:pStyle w:val="Heading2"/>
        <w:jc w:val="both"/>
      </w:pPr>
      <w:bookmarkStart w:id="20" w:name="training-the-controller"/>
      <w:r>
        <w:t>Training the controller</w:t>
      </w:r>
    </w:p>
    <w:p w14:paraId="785AEACE" w14:textId="77777777" w:rsidR="00C94D8E" w:rsidRDefault="00000000" w:rsidP="005E536D">
      <w:pPr>
        <w:pStyle w:val="FirstParagraph"/>
        <w:jc w:val="both"/>
      </w:pPr>
      <w:r>
        <w:t>The first trained implementation freezes the Value backbone and archived representations. It learns the Context and Value Context modules plus the retrieval interface and fusion components during a representation-building phase, then freezes the stored key/value interface for evaluation. Updating that interface during later controller training requires a rebuilt epoch; updating only a query-selection policy need not.</w:t>
      </w:r>
    </w:p>
    <w:p w14:paraId="52EEEAB4" w14:textId="77777777" w:rsidR="00C94D8E" w:rsidRDefault="00000000" w:rsidP="005E536D">
      <w:pPr>
        <w:pStyle w:val="BodyText"/>
        <w:jc w:val="both"/>
      </w:pPr>
      <w:r>
        <w:t>Construct training states by replaying tasks at several memory resolutions. Evaluate feasible candidate actions against labeled task outcomes and source obligations, using detailed reads where necessary to provide offline supervision. An action utility can combine measured task-loss reduction, reduction of unresolved evidence requirements, and compute cost. Warm-start the policy by imitating the best actions observed under this procedure. Compare it with the transparent uncertainty-per-cost heuristic before introducing reinforcement learning.</w:t>
      </w:r>
    </w:p>
    <w:p w14:paraId="32AEDD9F" w14:textId="77777777" w:rsidR="00C94D8E" w:rsidRDefault="00000000" w:rsidP="005E536D">
      <w:pPr>
        <w:pStyle w:val="BodyText"/>
        <w:jc w:val="both"/>
      </w:pPr>
      <w:r>
        <w:t>The training labels cannot be only the proposer’s own likelihood or the validator’s own agreement. Those signals can reward persuasive but unsupported answers. Include counterfactual evidence substitutions, incorrect conclusions, and valid unusual conclusions. Keep evaluation entities, revisions, and templates separate from policy-training examples.</w:t>
      </w:r>
    </w:p>
    <w:p w14:paraId="7978FB9E" w14:textId="77777777" w:rsidR="00C94D8E" w:rsidRDefault="00000000" w:rsidP="005E536D">
      <w:pPr>
        <w:pStyle w:val="Heading2"/>
        <w:jc w:val="both"/>
      </w:pPr>
      <w:bookmarkStart w:id="21" w:name="X96839b0279776d7a1f32a6c1390f209891f0ab4"/>
      <w:bookmarkEnd w:id="20"/>
      <w:r>
        <w:t>Consolidating representations and policies</w:t>
      </w:r>
    </w:p>
    <w:p w14:paraId="3159DAF4" w14:textId="77777777" w:rsidR="00C94D8E" w:rsidRDefault="00000000" w:rsidP="005E536D">
      <w:pPr>
        <w:pStyle w:val="FirstParagraph"/>
        <w:jc w:val="both"/>
      </w:pPr>
      <w:r>
        <w:t>Online ingestion creates source-linked records in a hot store. Offline consolidation builds a candidate hierarchy from retained records, updates radius and dispersion bounds, and evaluates the candidate against a holdout suite. Backward replay begins with a checked outcome or diagnosed failure and identifies which distinctions mattered. Forward replay explores retrieval and assembly policies for future tasks. Replaying both successful and failed cases is necessary to expose persistent blind spots.</w:t>
      </w:r>
    </w:p>
    <w:p w14:paraId="5F319489" w14:textId="77777777" w:rsidR="00C94D8E" w:rsidRDefault="00000000" w:rsidP="005E536D">
      <w:pPr>
        <w:pStyle w:val="BodyText"/>
        <w:jc w:val="both"/>
      </w:pPr>
      <w:r>
        <w:t xml:space="preserve">A useful consolidation objective trades task loss and online cost against summary storage and rebuild cost. Allocation should reflect the cost of losing a distinction, not just its frequency. In particular, rare applicable </w:t>
      </w:r>
      <w:r>
        <w:lastRenderedPageBreak/>
        <w:t>revisions and unusual conjunctions can deserve protected detail. The optimization of tree structure is discrete; this paper does not assume that ordinary backpropagation directly selects the best hierarchy.</w:t>
      </w:r>
    </w:p>
    <w:p w14:paraId="0C1C3A11" w14:textId="77777777" w:rsidR="00C94D8E" w:rsidRDefault="00000000" w:rsidP="005E536D">
      <w:pPr>
        <w:pStyle w:val="BodyText"/>
        <w:jc w:val="both"/>
      </w:pPr>
      <w:r>
        <w:t>Rebuilding a codebook requires reassignment from records or sufficiently detailed children. A new encoder may require recomputing upstream hidden states before its final-layer keys and values can be regenerated. A mean cannot supply those hidden states. Build the new epoch beside the old one, verify it, and atomically switch readers to the new snapshot. Maintain rollback while the retention policy permits. Queries already in progress retain a consistent snapshot.</w:t>
      </w:r>
    </w:p>
    <w:p w14:paraId="31EC600A" w14:textId="77777777" w:rsidR="00C94D8E" w:rsidRDefault="00000000" w:rsidP="005E536D">
      <w:pPr>
        <w:pStyle w:val="BodyText"/>
        <w:jc w:val="both"/>
      </w:pPr>
      <w:r>
        <w:t>Deletion and correction are distinct from temporary removal from the active set. A durable deletion invalidates every ancestor aggregate that included the deleted record; a correction creates an auditable revision transition. Subtraction is valid only when the original contribution and membership remain known. Biological sleep and DNA-strand analogies motivate scheduling and modularity, but the algorithm’s behavior must be justified by these explicit operations.</w:t>
      </w:r>
    </w:p>
    <w:p w14:paraId="542D2C82" w14:textId="77777777" w:rsidR="00C94D8E" w:rsidRDefault="00000000" w:rsidP="005E536D">
      <w:pPr>
        <w:pStyle w:val="Heading1"/>
        <w:jc w:val="both"/>
      </w:pPr>
      <w:bookmarkStart w:id="22" w:name="implementation-and-resource-accounting"/>
      <w:bookmarkEnd w:id="19"/>
      <w:bookmarkEnd w:id="21"/>
      <w:r>
        <w:t>9 Implementation and resource accounting</w:t>
      </w:r>
    </w:p>
    <w:p w14:paraId="64115F00" w14:textId="77777777" w:rsidR="00C94D8E" w:rsidRDefault="00000000" w:rsidP="005E536D">
      <w:pPr>
        <w:pStyle w:val="FirstParagraph"/>
        <w:jc w:val="both"/>
      </w:pPr>
      <w:r>
        <w:t>An external retrieval-attention layer is the primary implementation target. It exposes the records against which Equations (1)–(12) are defined, lets the model train to use them, and keeps attention fidelity separate from native-cache reuse. A later native-cache arm can evaluate fragment linking and selective recomputation against full prefill of the same selected assembly [11, 12]. Assembly error is an additional source of error unless separately bounded.</w:t>
      </w:r>
    </w:p>
    <w:p w14:paraId="097672CC" w14:textId="77777777" w:rsidR="00C94D8E" w:rsidRDefault="00000000" w:rsidP="005E536D">
      <w:pPr>
        <w:pStyle w:val="BodyText"/>
        <w:jc w:val="both"/>
      </w:pPr>
      <w:r>
        <w:t>Each resident summary stores key and value statistics plus metadata and child references. Across heads, different projections or temporal weights may require different statistics. Shared indexing does not justify sharing incompatible value means. The active memory budget includes summaries, detailed fragments, generation states, speculative branches, temporary buffers, and kernel workspace. The archive and index may reside in host or secondary storage, but their bytes and transfer costs remain part of total system cost.</w:t>
      </w:r>
    </w:p>
    <w:p w14:paraId="201EAFE3" w14:textId="77777777" w:rsidR="00C94D8E" w:rsidRDefault="00000000" w:rsidP="005E536D">
      <w:pPr>
        <w:pStyle w:val="BodyText"/>
        <w:jc w:val="both"/>
      </w:pPr>
      <w:r>
        <w:t>Searching a hierarchy is not automatically logarithmic. Favorable query geometry can allow large subtrees to remain unopened; worst-case coverage can require visiting the entire tree. A refinement policy is useful only if the cost of computing bounds, loading children, and checking evidence is smaller than the work it avoids at matched quality. Report both warm-cache and cold-cache behavior.</w:t>
      </w:r>
    </w:p>
    <w:p w14:paraId="544E5EA5" w14:textId="77777777" w:rsidR="00C94D8E" w:rsidRDefault="00000000" w:rsidP="005E536D">
      <w:pPr>
        <w:pStyle w:val="BodyText"/>
        <w:jc w:val="both"/>
      </w:pPr>
      <w:r>
        <w:t>The generation cache needs an explicit policy. Externalizing document memory does not bound an arbitrarily long generated sequence. Fix an episode length or evaluate a separate generation-memory mechanism. Similarly, fixed numbers of aggregate fields do not provide unlimited exact storage: integer counts need more bits as they grow, and floating-point accumulators need precision and overflow policies.</w:t>
      </w:r>
    </w:p>
    <w:p w14:paraId="5D91CF35" w14:textId="77777777" w:rsidR="00C94D8E" w:rsidRDefault="00000000" w:rsidP="005E536D">
      <w:pPr>
        <w:pStyle w:val="BodyText"/>
        <w:jc w:val="both"/>
      </w:pPr>
      <w:r>
        <w:t>Theorems use exact real arithmetic. The numerical implementation below uses float64 with a declared tolerance. It is a check of formulas, not a formally verified interval kernel. Deployment claims of strict numerical certification require conservative floating-point bounds, validated data coverage, and exact compatibility checks.</w:t>
      </w:r>
    </w:p>
    <w:p w14:paraId="3DC71A57" w14:textId="77777777" w:rsidR="00C94D8E" w:rsidRDefault="00000000" w:rsidP="005E536D">
      <w:pPr>
        <w:pStyle w:val="Heading1"/>
        <w:jc w:val="both"/>
      </w:pPr>
      <w:bookmarkStart w:id="23" w:name="completed-numerical-checks"/>
      <w:bookmarkEnd w:id="22"/>
      <w:r>
        <w:t>10 Completed numerical checks</w:t>
      </w:r>
    </w:p>
    <w:p w14:paraId="1A4A5FA3" w14:textId="77777777" w:rsidR="00C94D8E" w:rsidRDefault="00000000" w:rsidP="005E536D">
      <w:pPr>
        <w:pStyle w:val="FirstParagraph"/>
        <w:jc w:val="both"/>
      </w:pPr>
      <w:r>
        <w:t>We implemented the operators in NumPy 2.3.5 using float64 and a single default random generator seeded with 20261006. The checks isolate aggregation and bounds from model training. They contain no language-model benchmark, learned controller, GPU timing, or biological experiment. Appendix B describes the sampling protocol and evaluation order.</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403"/>
        <w:gridCol w:w="1027"/>
        <w:gridCol w:w="4696"/>
      </w:tblGrid>
      <w:tr w:rsidR="00C94D8E" w14:paraId="1C1758F4" w14:textId="77777777" w:rsidTr="00C94D8E">
        <w:trPr>
          <w:cnfStyle w:val="100000000000" w:firstRow="1" w:lastRow="0" w:firstColumn="0" w:lastColumn="0" w:oddVBand="0" w:evenVBand="0" w:oddHBand="0" w:evenHBand="0" w:firstRowFirstColumn="0" w:firstRowLastColumn="0" w:lastRowFirstColumn="0" w:lastRowLastColumn="0"/>
          <w:cantSplit/>
          <w:tblHeader/>
          <w:jc w:val="center"/>
        </w:trPr>
        <w:tc>
          <w:tcPr>
            <w:tcW w:w="4320" w:type="dxa"/>
            <w:shd w:val="clear" w:color="auto" w:fill="24364B"/>
            <w:tcMar>
              <w:top w:w="90" w:type="dxa"/>
              <w:left w:w="95" w:type="dxa"/>
              <w:bottom w:w="90" w:type="dxa"/>
              <w:right w:w="95" w:type="dxa"/>
            </w:tcMar>
            <w:vAlign w:val="center"/>
          </w:tcPr>
          <w:p w14:paraId="3243B680" w14:textId="77777777" w:rsidR="00C94D8E" w:rsidRDefault="00000000" w:rsidP="005E536D">
            <w:pPr>
              <w:pStyle w:val="Compact"/>
              <w:spacing w:before="0" w:after="0" w:line="252" w:lineRule="auto"/>
              <w:jc w:val="both"/>
            </w:pPr>
            <w:r>
              <w:rPr>
                <w:rFonts w:ascii="Arial" w:hAnsi="Arial"/>
                <w:b/>
                <w:color w:val="FFFFFF"/>
                <w:sz w:val="19"/>
              </w:rPr>
              <w:t>Check</w:t>
            </w:r>
          </w:p>
        </w:tc>
        <w:tc>
          <w:tcPr>
            <w:tcW w:w="1008" w:type="dxa"/>
            <w:shd w:val="clear" w:color="auto" w:fill="24364B"/>
            <w:tcMar>
              <w:top w:w="90" w:type="dxa"/>
              <w:left w:w="95" w:type="dxa"/>
              <w:bottom w:w="90" w:type="dxa"/>
              <w:right w:w="95" w:type="dxa"/>
            </w:tcMar>
            <w:vAlign w:val="center"/>
          </w:tcPr>
          <w:p w14:paraId="6ABD0E82" w14:textId="77777777" w:rsidR="00C94D8E" w:rsidRDefault="00000000" w:rsidP="005E536D">
            <w:pPr>
              <w:pStyle w:val="Compact"/>
              <w:spacing w:before="0" w:after="0" w:line="252" w:lineRule="auto"/>
              <w:jc w:val="both"/>
            </w:pPr>
            <w:r>
              <w:rPr>
                <w:rFonts w:ascii="Arial" w:hAnsi="Arial"/>
                <w:b/>
                <w:color w:val="FFFFFF"/>
                <w:sz w:val="19"/>
              </w:rPr>
              <w:t>Cases</w:t>
            </w:r>
          </w:p>
        </w:tc>
        <w:tc>
          <w:tcPr>
            <w:tcW w:w="4608" w:type="dxa"/>
            <w:shd w:val="clear" w:color="auto" w:fill="24364B"/>
            <w:tcMar>
              <w:top w:w="90" w:type="dxa"/>
              <w:left w:w="95" w:type="dxa"/>
              <w:bottom w:w="90" w:type="dxa"/>
              <w:right w:w="95" w:type="dxa"/>
            </w:tcMar>
            <w:vAlign w:val="center"/>
          </w:tcPr>
          <w:p w14:paraId="71E29266" w14:textId="77777777" w:rsidR="00C94D8E" w:rsidRDefault="00000000" w:rsidP="005E536D">
            <w:pPr>
              <w:pStyle w:val="Compact"/>
              <w:spacing w:before="0" w:after="0" w:line="252" w:lineRule="auto"/>
              <w:jc w:val="both"/>
            </w:pPr>
            <w:r>
              <w:rPr>
                <w:rFonts w:ascii="Arial" w:hAnsi="Arial"/>
                <w:b/>
                <w:color w:val="FFFFFF"/>
                <w:sz w:val="19"/>
              </w:rPr>
              <w:t>Observed result</w:t>
            </w:r>
          </w:p>
        </w:tc>
      </w:tr>
      <w:tr w:rsidR="00C94D8E" w14:paraId="262B15D4" w14:textId="77777777" w:rsidTr="00C94D8E">
        <w:trPr>
          <w:cantSplit/>
          <w:jc w:val="center"/>
        </w:trPr>
        <w:tc>
          <w:tcPr>
            <w:tcW w:w="4320" w:type="dxa"/>
            <w:shd w:val="clear" w:color="auto" w:fill="F1F4F7"/>
            <w:tcMar>
              <w:top w:w="90" w:type="dxa"/>
              <w:left w:w="95" w:type="dxa"/>
              <w:bottom w:w="90" w:type="dxa"/>
              <w:right w:w="95" w:type="dxa"/>
            </w:tcMar>
            <w:vAlign w:val="center"/>
          </w:tcPr>
          <w:p w14:paraId="46BC52E5" w14:textId="77777777" w:rsidR="00C94D8E" w:rsidRDefault="00000000" w:rsidP="005E536D">
            <w:pPr>
              <w:pStyle w:val="Compact"/>
              <w:spacing w:before="0" w:after="0" w:line="252" w:lineRule="auto"/>
              <w:jc w:val="both"/>
            </w:pPr>
            <w:r>
              <w:rPr>
                <w:rFonts w:ascii="Arial" w:hAnsi="Arial"/>
                <w:sz w:val="19"/>
              </w:rPr>
              <w:lastRenderedPageBreak/>
              <w:t>Local and combined bounds on random partitions</w:t>
            </w:r>
          </w:p>
        </w:tc>
        <w:tc>
          <w:tcPr>
            <w:tcW w:w="1008" w:type="dxa"/>
            <w:shd w:val="clear" w:color="auto" w:fill="F1F4F7"/>
            <w:tcMar>
              <w:top w:w="90" w:type="dxa"/>
              <w:left w:w="95" w:type="dxa"/>
              <w:bottom w:w="90" w:type="dxa"/>
              <w:right w:w="95" w:type="dxa"/>
            </w:tcMar>
            <w:vAlign w:val="center"/>
          </w:tcPr>
          <w:p w14:paraId="41C4F541" w14:textId="77777777" w:rsidR="00C94D8E" w:rsidRDefault="00000000" w:rsidP="005E536D">
            <w:pPr>
              <w:pStyle w:val="Compact"/>
              <w:spacing w:before="0" w:after="0" w:line="252" w:lineRule="auto"/>
              <w:jc w:val="both"/>
            </w:pPr>
            <w:r>
              <w:rPr>
                <w:rFonts w:ascii="Arial" w:hAnsi="Arial"/>
                <w:sz w:val="19"/>
              </w:rPr>
              <w:t>3,000</w:t>
            </w:r>
          </w:p>
        </w:tc>
        <w:tc>
          <w:tcPr>
            <w:tcW w:w="4608" w:type="dxa"/>
            <w:shd w:val="clear" w:color="auto" w:fill="F1F4F7"/>
            <w:tcMar>
              <w:top w:w="90" w:type="dxa"/>
              <w:left w:w="95" w:type="dxa"/>
              <w:bottom w:w="90" w:type="dxa"/>
              <w:right w:w="95" w:type="dxa"/>
            </w:tcMar>
            <w:vAlign w:val="center"/>
          </w:tcPr>
          <w:p w14:paraId="3C01A531" w14:textId="77777777" w:rsidR="00C94D8E" w:rsidRDefault="00000000" w:rsidP="005E536D">
            <w:pPr>
              <w:pStyle w:val="Compact"/>
              <w:spacing w:before="0" w:after="0" w:line="252" w:lineRule="auto"/>
              <w:jc w:val="both"/>
            </w:pPr>
            <w:r>
              <w:rPr>
                <w:rFonts w:ascii="Arial" w:hAnsi="Arial"/>
                <w:sz w:val="19"/>
              </w:rPr>
              <w:t>No output-bound violation above 10⁻¹²</w:t>
            </w:r>
          </w:p>
        </w:tc>
      </w:tr>
      <w:tr w:rsidR="00C94D8E" w14:paraId="3D8BB67E" w14:textId="77777777" w:rsidTr="00C94D8E">
        <w:trPr>
          <w:cantSplit/>
          <w:jc w:val="center"/>
        </w:trPr>
        <w:tc>
          <w:tcPr>
            <w:tcW w:w="4320" w:type="dxa"/>
            <w:shd w:val="clear" w:color="auto" w:fill="FFFFFF"/>
            <w:tcMar>
              <w:top w:w="90" w:type="dxa"/>
              <w:left w:w="95" w:type="dxa"/>
              <w:bottom w:w="90" w:type="dxa"/>
              <w:right w:w="95" w:type="dxa"/>
            </w:tcMar>
            <w:vAlign w:val="center"/>
          </w:tcPr>
          <w:p w14:paraId="5DF1355D" w14:textId="77777777" w:rsidR="00C94D8E" w:rsidRDefault="00000000" w:rsidP="005E536D">
            <w:pPr>
              <w:pStyle w:val="Compact"/>
              <w:spacing w:before="0" w:after="0" w:line="252" w:lineRule="auto"/>
              <w:jc w:val="both"/>
            </w:pPr>
            <w:r>
              <w:rPr>
                <w:rFonts w:ascii="Arial" w:hAnsi="Arial"/>
                <w:sz w:val="19"/>
              </w:rPr>
              <w:t>Node mass intervals on the same partitions</w:t>
            </w:r>
          </w:p>
        </w:tc>
        <w:tc>
          <w:tcPr>
            <w:tcW w:w="1008" w:type="dxa"/>
            <w:shd w:val="clear" w:color="auto" w:fill="FFFFFF"/>
            <w:tcMar>
              <w:top w:w="90" w:type="dxa"/>
              <w:left w:w="95" w:type="dxa"/>
              <w:bottom w:w="90" w:type="dxa"/>
              <w:right w:w="95" w:type="dxa"/>
            </w:tcMar>
            <w:vAlign w:val="center"/>
          </w:tcPr>
          <w:p w14:paraId="09991857" w14:textId="77777777" w:rsidR="00C94D8E" w:rsidRDefault="00000000" w:rsidP="005E536D">
            <w:pPr>
              <w:pStyle w:val="Compact"/>
              <w:spacing w:before="0" w:after="0" w:line="252" w:lineRule="auto"/>
              <w:jc w:val="both"/>
            </w:pPr>
            <w:r>
              <w:rPr>
                <w:rFonts w:ascii="Arial" w:hAnsi="Arial"/>
                <w:sz w:val="19"/>
              </w:rPr>
              <w:t>3,000</w:t>
            </w:r>
          </w:p>
        </w:tc>
        <w:tc>
          <w:tcPr>
            <w:tcW w:w="4608" w:type="dxa"/>
            <w:shd w:val="clear" w:color="auto" w:fill="FFFFFF"/>
            <w:tcMar>
              <w:top w:w="90" w:type="dxa"/>
              <w:left w:w="95" w:type="dxa"/>
              <w:bottom w:w="90" w:type="dxa"/>
              <w:right w:w="95" w:type="dxa"/>
            </w:tcMar>
            <w:vAlign w:val="center"/>
          </w:tcPr>
          <w:p w14:paraId="51477621" w14:textId="77777777" w:rsidR="00C94D8E" w:rsidRDefault="00000000" w:rsidP="005E536D">
            <w:pPr>
              <w:pStyle w:val="Compact"/>
              <w:spacing w:before="0" w:after="0" w:line="252" w:lineRule="auto"/>
              <w:jc w:val="both"/>
            </w:pPr>
            <w:r>
              <w:rPr>
                <w:rFonts w:ascii="Arial" w:hAnsi="Arial"/>
                <w:sz w:val="19"/>
              </w:rPr>
              <w:t>Maximum raw excess 8.88 × 10⁻¹⁶</w:t>
            </w:r>
          </w:p>
        </w:tc>
      </w:tr>
      <w:tr w:rsidR="00C94D8E" w14:paraId="755C6E22" w14:textId="77777777" w:rsidTr="00C94D8E">
        <w:trPr>
          <w:cantSplit/>
          <w:jc w:val="center"/>
        </w:trPr>
        <w:tc>
          <w:tcPr>
            <w:tcW w:w="4320" w:type="dxa"/>
            <w:shd w:val="clear" w:color="auto" w:fill="F1F4F7"/>
            <w:tcMar>
              <w:top w:w="90" w:type="dxa"/>
              <w:left w:w="95" w:type="dxa"/>
              <w:bottom w:w="90" w:type="dxa"/>
              <w:right w:w="95" w:type="dxa"/>
            </w:tcMar>
            <w:vAlign w:val="center"/>
          </w:tcPr>
          <w:p w14:paraId="33E4C5D5" w14:textId="77777777" w:rsidR="00C94D8E" w:rsidRDefault="00000000" w:rsidP="005E536D">
            <w:pPr>
              <w:pStyle w:val="Compact"/>
              <w:spacing w:before="0" w:after="0" w:line="252" w:lineRule="auto"/>
              <w:jc w:val="both"/>
            </w:pPr>
            <w:r>
              <w:rPr>
                <w:rFonts w:ascii="Arial" w:hAnsi="Arial"/>
                <w:sz w:val="19"/>
              </w:rPr>
              <w:t>Equal-key aggregation</w:t>
            </w:r>
          </w:p>
        </w:tc>
        <w:tc>
          <w:tcPr>
            <w:tcW w:w="1008" w:type="dxa"/>
            <w:shd w:val="clear" w:color="auto" w:fill="F1F4F7"/>
            <w:tcMar>
              <w:top w:w="90" w:type="dxa"/>
              <w:left w:w="95" w:type="dxa"/>
              <w:bottom w:w="90" w:type="dxa"/>
              <w:right w:w="95" w:type="dxa"/>
            </w:tcMar>
            <w:vAlign w:val="center"/>
          </w:tcPr>
          <w:p w14:paraId="6A864FD9" w14:textId="77777777" w:rsidR="00C94D8E" w:rsidRDefault="00000000" w:rsidP="005E536D">
            <w:pPr>
              <w:pStyle w:val="Compact"/>
              <w:spacing w:before="0" w:after="0" w:line="252" w:lineRule="auto"/>
              <w:jc w:val="both"/>
            </w:pPr>
            <w:r>
              <w:rPr>
                <w:rFonts w:ascii="Arial" w:hAnsi="Arial"/>
                <w:sz w:val="19"/>
              </w:rPr>
              <w:t>1,000</w:t>
            </w:r>
          </w:p>
        </w:tc>
        <w:tc>
          <w:tcPr>
            <w:tcW w:w="4608" w:type="dxa"/>
            <w:shd w:val="clear" w:color="auto" w:fill="F1F4F7"/>
            <w:tcMar>
              <w:top w:w="90" w:type="dxa"/>
              <w:left w:w="95" w:type="dxa"/>
              <w:bottom w:w="90" w:type="dxa"/>
              <w:right w:w="95" w:type="dxa"/>
            </w:tcMar>
            <w:vAlign w:val="center"/>
          </w:tcPr>
          <w:p w14:paraId="3DB21F02" w14:textId="77777777" w:rsidR="00C94D8E" w:rsidRDefault="00000000" w:rsidP="005E536D">
            <w:pPr>
              <w:pStyle w:val="Compact"/>
              <w:spacing w:before="0" w:after="0" w:line="252" w:lineRule="auto"/>
              <w:jc w:val="both"/>
            </w:pPr>
            <w:r>
              <w:rPr>
                <w:rFonts w:ascii="Arial" w:hAnsi="Arial"/>
                <w:sz w:val="19"/>
              </w:rPr>
              <w:t>Maximum component discrepancy 6.66 × 10⁻¹⁶</w:t>
            </w:r>
          </w:p>
        </w:tc>
      </w:tr>
      <w:tr w:rsidR="00C94D8E" w14:paraId="347C7059" w14:textId="77777777" w:rsidTr="00C94D8E">
        <w:trPr>
          <w:cantSplit/>
          <w:jc w:val="center"/>
        </w:trPr>
        <w:tc>
          <w:tcPr>
            <w:tcW w:w="4320" w:type="dxa"/>
            <w:shd w:val="clear" w:color="auto" w:fill="FFFFFF"/>
            <w:tcMar>
              <w:top w:w="90" w:type="dxa"/>
              <w:left w:w="95" w:type="dxa"/>
              <w:bottom w:w="90" w:type="dxa"/>
              <w:right w:w="95" w:type="dxa"/>
            </w:tcMar>
            <w:vAlign w:val="center"/>
          </w:tcPr>
          <w:p w14:paraId="75FA0975" w14:textId="77777777" w:rsidR="00C94D8E" w:rsidRDefault="00000000" w:rsidP="005E536D">
            <w:pPr>
              <w:pStyle w:val="Compact"/>
              <w:spacing w:before="0" w:after="0" w:line="252" w:lineRule="auto"/>
              <w:jc w:val="both"/>
            </w:pPr>
            <w:r>
              <w:rPr>
                <w:rFonts w:ascii="Arial" w:hAnsi="Arial"/>
                <w:sz w:val="19"/>
              </w:rPr>
              <w:t>Selective reopening of equal-key nodes</w:t>
            </w:r>
          </w:p>
        </w:tc>
        <w:tc>
          <w:tcPr>
            <w:tcW w:w="1008" w:type="dxa"/>
            <w:shd w:val="clear" w:color="auto" w:fill="FFFFFF"/>
            <w:tcMar>
              <w:top w:w="90" w:type="dxa"/>
              <w:left w:w="95" w:type="dxa"/>
              <w:bottom w:w="90" w:type="dxa"/>
              <w:right w:w="95" w:type="dxa"/>
            </w:tcMar>
            <w:vAlign w:val="center"/>
          </w:tcPr>
          <w:p w14:paraId="1449B821" w14:textId="77777777" w:rsidR="00C94D8E" w:rsidRDefault="00000000" w:rsidP="005E536D">
            <w:pPr>
              <w:pStyle w:val="Compact"/>
              <w:spacing w:before="0" w:after="0" w:line="252" w:lineRule="auto"/>
              <w:jc w:val="both"/>
            </w:pPr>
            <w:r>
              <w:rPr>
                <w:rFonts w:ascii="Arial" w:hAnsi="Arial"/>
                <w:sz w:val="19"/>
              </w:rPr>
              <w:t>1,000</w:t>
            </w:r>
          </w:p>
        </w:tc>
        <w:tc>
          <w:tcPr>
            <w:tcW w:w="4608" w:type="dxa"/>
            <w:shd w:val="clear" w:color="auto" w:fill="FFFFFF"/>
            <w:tcMar>
              <w:top w:w="90" w:type="dxa"/>
              <w:left w:w="95" w:type="dxa"/>
              <w:bottom w:w="90" w:type="dxa"/>
              <w:right w:w="95" w:type="dxa"/>
            </w:tcMar>
            <w:vAlign w:val="center"/>
          </w:tcPr>
          <w:p w14:paraId="6B298FBF" w14:textId="77777777" w:rsidR="00C94D8E" w:rsidRDefault="00000000" w:rsidP="005E536D">
            <w:pPr>
              <w:pStyle w:val="Compact"/>
              <w:spacing w:before="0" w:after="0" w:line="252" w:lineRule="auto"/>
              <w:jc w:val="both"/>
            </w:pPr>
            <w:r>
              <w:rPr>
                <w:rFonts w:ascii="Arial" w:hAnsi="Arial"/>
                <w:sz w:val="19"/>
              </w:rPr>
              <w:t>Maximum component discrepancy 4.44 × 10⁻¹⁶</w:t>
            </w:r>
          </w:p>
        </w:tc>
      </w:tr>
      <w:tr w:rsidR="00C94D8E" w14:paraId="10DAE5D4" w14:textId="77777777" w:rsidTr="00C94D8E">
        <w:trPr>
          <w:cantSplit/>
          <w:jc w:val="center"/>
        </w:trPr>
        <w:tc>
          <w:tcPr>
            <w:tcW w:w="4320" w:type="dxa"/>
            <w:shd w:val="clear" w:color="auto" w:fill="F1F4F7"/>
            <w:tcMar>
              <w:top w:w="90" w:type="dxa"/>
              <w:left w:w="95" w:type="dxa"/>
              <w:bottom w:w="90" w:type="dxa"/>
              <w:right w:w="95" w:type="dxa"/>
            </w:tcMar>
            <w:vAlign w:val="center"/>
          </w:tcPr>
          <w:p w14:paraId="24EED7C8" w14:textId="77777777" w:rsidR="00C94D8E" w:rsidRDefault="00000000" w:rsidP="005E536D">
            <w:pPr>
              <w:pStyle w:val="Compact"/>
              <w:spacing w:before="0" w:after="0" w:line="252" w:lineRule="auto"/>
              <w:jc w:val="both"/>
            </w:pPr>
            <w:r>
              <w:rPr>
                <w:rFonts w:ascii="Arial" w:hAnsi="Arial"/>
                <w:sz w:val="19"/>
              </w:rPr>
              <w:t>Omission plus conditional logit perturbation</w:t>
            </w:r>
          </w:p>
        </w:tc>
        <w:tc>
          <w:tcPr>
            <w:tcW w:w="1008" w:type="dxa"/>
            <w:shd w:val="clear" w:color="auto" w:fill="F1F4F7"/>
            <w:tcMar>
              <w:top w:w="90" w:type="dxa"/>
              <w:left w:w="95" w:type="dxa"/>
              <w:bottom w:w="90" w:type="dxa"/>
              <w:right w:w="95" w:type="dxa"/>
            </w:tcMar>
            <w:vAlign w:val="center"/>
          </w:tcPr>
          <w:p w14:paraId="79D8D823" w14:textId="77777777" w:rsidR="00C94D8E" w:rsidRDefault="00000000" w:rsidP="005E536D">
            <w:pPr>
              <w:pStyle w:val="Compact"/>
              <w:spacing w:before="0" w:after="0" w:line="252" w:lineRule="auto"/>
              <w:jc w:val="both"/>
            </w:pPr>
            <w:r>
              <w:rPr>
                <w:rFonts w:ascii="Arial" w:hAnsi="Arial"/>
                <w:sz w:val="19"/>
              </w:rPr>
              <w:t>2,000</w:t>
            </w:r>
          </w:p>
        </w:tc>
        <w:tc>
          <w:tcPr>
            <w:tcW w:w="4608" w:type="dxa"/>
            <w:shd w:val="clear" w:color="auto" w:fill="F1F4F7"/>
            <w:tcMar>
              <w:top w:w="90" w:type="dxa"/>
              <w:left w:w="95" w:type="dxa"/>
              <w:bottom w:w="90" w:type="dxa"/>
              <w:right w:w="95" w:type="dxa"/>
            </w:tcMar>
            <w:vAlign w:val="center"/>
          </w:tcPr>
          <w:p w14:paraId="0EE8B7AB" w14:textId="77777777" w:rsidR="00C94D8E" w:rsidRDefault="00000000" w:rsidP="005E536D">
            <w:pPr>
              <w:pStyle w:val="Compact"/>
              <w:spacing w:before="0" w:after="0" w:line="252" w:lineRule="auto"/>
              <w:jc w:val="both"/>
            </w:pPr>
            <w:r>
              <w:rPr>
                <w:rFonts w:ascii="Arial" w:hAnsi="Arial"/>
                <w:sz w:val="19"/>
              </w:rPr>
              <w:t>No output-bound violation above 10⁻¹²</w:t>
            </w:r>
          </w:p>
        </w:tc>
      </w:tr>
    </w:tbl>
    <w:p w14:paraId="38AFAD2A" w14:textId="77777777" w:rsidR="00C94D8E" w:rsidRDefault="00000000" w:rsidP="005E536D">
      <w:pPr>
        <w:pStyle w:val="BodyText"/>
        <w:jc w:val="both"/>
      </w:pPr>
      <w:r>
        <w:t>The local bound was smaller than the global norm–radius bound in 1,177 of the 3,000 partition cases. This count describes the specified synthetic distribution. It does not imply a corresponding advantage on trained representations. The largest observed error-minus-local-bound difference was approximately −0.005316; the bound was often conservative.</w:t>
      </w:r>
    </w:p>
    <w:p w14:paraId="4692F21C" w14:textId="77777777" w:rsidR="00C94D8E" w:rsidRDefault="00000000" w:rsidP="005E536D">
      <w:pPr>
        <w:pStyle w:val="BodyText"/>
        <w:jc w:val="both"/>
      </w:pPr>
      <w:r>
        <w:t>The deterministic three-record construction in Section 6 produces reads of 0.333333, 0.415240, and 0.333333 as the frontier grows from one to two to three nodes. The combined certificates are approximately 0.290055, 0.101021, and zero. The example verifies that realized error can increase while a valid upper bound decreases.</w:t>
      </w:r>
    </w:p>
    <w:p w14:paraId="0E5EEB73" w14:textId="77777777" w:rsidR="00C94D8E" w:rsidRDefault="00000000" w:rsidP="005E536D">
      <w:pPr>
        <w:pStyle w:val="BodyText"/>
        <w:keepNext/>
        <w:jc w:val="both"/>
      </w:pPr>
      <w:r>
        <w:rPr>
          <w:noProof/>
        </w:rPr>
        <w:drawing>
          <wp:inline distT="0" distB="0" distL="0" distR="0" wp14:anchorId="03844FD9" wp14:editId="05F7EB63">
            <wp:extent cx="5334000" cy="2270369"/>
            <wp:effectExtent l="0" t="0" r="0" b="0"/>
            <wp:docPr id="47" name="Picture" descr="Refinement example"/>
            <wp:cNvGraphicFramePr/>
            <a:graphic xmlns:a="http://schemas.openxmlformats.org/drawingml/2006/main">
              <a:graphicData uri="http://schemas.openxmlformats.org/drawingml/2006/picture">
                <pic:pic xmlns:pic="http://schemas.openxmlformats.org/drawingml/2006/picture">
                  <pic:nvPicPr>
                    <pic:cNvPr id="48" name="Picture" descr="refinement_example.png"/>
                    <pic:cNvPicPr>
                      <a:picLocks noChangeAspect="1" noChangeArrowheads="1"/>
                    </pic:cNvPicPr>
                  </pic:nvPicPr>
                  <pic:blipFill>
                    <a:blip r:embed="rId10"/>
                    <a:stretch>
                      <a:fillRect/>
                    </a:stretch>
                  </pic:blipFill>
                  <pic:spPr bwMode="auto">
                    <a:xfrm>
                      <a:off x="0" y="0"/>
                      <a:ext cx="5334000" cy="2270369"/>
                    </a:xfrm>
                    <a:prstGeom prst="rect">
                      <a:avLst/>
                    </a:prstGeom>
                    <a:noFill/>
                    <a:ln w="9525">
                      <a:noFill/>
                      <a:headEnd/>
                      <a:tailEnd/>
                    </a:ln>
                  </pic:spPr>
                </pic:pic>
              </a:graphicData>
            </a:graphic>
          </wp:inline>
        </w:drawing>
      </w:r>
    </w:p>
    <w:p w14:paraId="6A7B54FF" w14:textId="77777777" w:rsidR="00C94D8E" w:rsidRDefault="00000000" w:rsidP="005E536D">
      <w:pPr>
        <w:pStyle w:val="BodyText"/>
        <w:spacing w:after="160" w:line="252" w:lineRule="auto"/>
        <w:jc w:val="both"/>
      </w:pPr>
      <w:r>
        <w:rPr>
          <w:sz w:val="19"/>
        </w:rPr>
        <w:t>Figure 2. A deterministic counterexample to monotone realized improvement. More detailed keys initially worsen an accidentally exact coarse read. The upper bounds remain valid and decrease in this example; the incumbent rule supplies a nonincreasing reported bound even when successive certificates do not decrease.</w:t>
      </w:r>
    </w:p>
    <w:p w14:paraId="187899A6" w14:textId="77777777" w:rsidR="00C94D8E" w:rsidRDefault="00000000" w:rsidP="005E536D">
      <w:pPr>
        <w:pStyle w:val="BodyText"/>
        <w:jc w:val="both"/>
      </w:pPr>
      <w:r>
        <w:t>These results check the mathematics at ordinary numerical precision. They do not certify arbitrary future queries, low-precision kernels, indefinite updates, or the semantic quality of a reader. The next empirical stage must evaluate the complete loop rather than infer task performance from the existence of a local bound.</w:t>
      </w:r>
    </w:p>
    <w:p w14:paraId="65AB3511" w14:textId="77777777" w:rsidR="00C94D8E" w:rsidRDefault="00000000" w:rsidP="005E536D">
      <w:pPr>
        <w:pStyle w:val="Heading1"/>
        <w:jc w:val="both"/>
      </w:pPr>
      <w:bookmarkStart w:id="24" w:name="a-falsifiable-trained-model-study"/>
      <w:bookmarkEnd w:id="23"/>
      <w:r>
        <w:t>11 A falsifiable trained model study</w:t>
      </w:r>
    </w:p>
    <w:p w14:paraId="741FBD1E" w14:textId="77777777" w:rsidR="00C94D8E" w:rsidRDefault="00000000" w:rsidP="005E536D">
      <w:pPr>
        <w:pStyle w:val="Heading2"/>
        <w:jc w:val="both"/>
      </w:pPr>
      <w:bookmarkStart w:id="25" w:name="baselines-and-task-families"/>
      <w:r>
        <w:t>Baselines and task families</w:t>
      </w:r>
    </w:p>
    <w:p w14:paraId="00A70FFA" w14:textId="77777777" w:rsidR="00C94D8E" w:rsidRDefault="00000000" w:rsidP="005E536D">
      <w:pPr>
        <w:pStyle w:val="FirstParagraph"/>
        <w:jc w:val="both"/>
      </w:pPr>
      <w:r>
        <w:t>Hold the archive, reader backbone, training data, and task set fixed in the main comparison. Evaluate exact retrieval-attention, a flat KV Counter, a counter with an exact recent window, fixed-budget fragment retrieval, a fixed refinement rule, and the learned Value Context policy. Include a reproduced Transformer-VQ arm where architecture and training assumptions can be matched [9]. Separately ablate narrow addressing, counted aggregation, refinement, validation, and consolidation.</w:t>
      </w:r>
    </w:p>
    <w:p w14:paraId="241CA8D6" w14:textId="77777777" w:rsidR="00C94D8E" w:rsidRDefault="00000000" w:rsidP="005E536D">
      <w:pPr>
        <w:pStyle w:val="BodyText"/>
        <w:jc w:val="both"/>
      </w:pPr>
      <w:r>
        <w:lastRenderedPageBreak/>
        <w:t>Use synthetic source-linked tasks before natural documents. Revision tasks vary the ratio of obsolete repetitions to current updates independently of wording and retrieval similarity. Conjunction tasks use histories with identical marginal summaries but different joint facts. Chronology tasks randomize identifiers and control positional shortcuts. Premise tasks include convincing false conclusions and valid unusual ones. A continual stream introduces new sources, revised facts, deletions, and a held-out change in query distribution.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88"/>
        <w:gridCol w:w="4109"/>
        <w:gridCol w:w="3229"/>
      </w:tblGrid>
      <w:tr w:rsidR="00C94D8E" w14:paraId="2A78AAAB" w14:textId="77777777" w:rsidTr="00C94D8E">
        <w:trPr>
          <w:cnfStyle w:val="100000000000" w:firstRow="1" w:lastRow="0" w:firstColumn="0" w:lastColumn="0" w:oddVBand="0" w:evenVBand="0" w:oddHBand="0" w:evenHBand="0" w:firstRowFirstColumn="0" w:firstRowLastColumn="0" w:lastRowFirstColumn="0" w:lastRowLastColumn="0"/>
          <w:cantSplit/>
          <w:tblHeader/>
          <w:jc w:val="center"/>
        </w:trPr>
        <w:tc>
          <w:tcPr>
            <w:tcW w:w="2736" w:type="dxa"/>
            <w:shd w:val="clear" w:color="auto" w:fill="24364B"/>
            <w:tcMar>
              <w:top w:w="90" w:type="dxa"/>
              <w:left w:w="95" w:type="dxa"/>
              <w:bottom w:w="90" w:type="dxa"/>
              <w:right w:w="95" w:type="dxa"/>
            </w:tcMar>
            <w:vAlign w:val="center"/>
          </w:tcPr>
          <w:p w14:paraId="7A85EA5D" w14:textId="77777777" w:rsidR="00C94D8E" w:rsidRDefault="00000000" w:rsidP="005E536D">
            <w:pPr>
              <w:pStyle w:val="Compact"/>
              <w:spacing w:before="0" w:after="0" w:line="252" w:lineRule="auto"/>
              <w:jc w:val="both"/>
            </w:pPr>
            <w:r>
              <w:rPr>
                <w:rFonts w:ascii="Arial" w:hAnsi="Arial"/>
                <w:b/>
                <w:color w:val="FFFFFF"/>
                <w:sz w:val="19"/>
              </w:rPr>
              <w:t>Hypothesis</w:t>
            </w:r>
          </w:p>
        </w:tc>
        <w:tc>
          <w:tcPr>
            <w:tcW w:w="4032" w:type="dxa"/>
            <w:shd w:val="clear" w:color="auto" w:fill="24364B"/>
            <w:tcMar>
              <w:top w:w="90" w:type="dxa"/>
              <w:left w:w="95" w:type="dxa"/>
              <w:bottom w:w="90" w:type="dxa"/>
              <w:right w:w="95" w:type="dxa"/>
            </w:tcMar>
            <w:vAlign w:val="center"/>
          </w:tcPr>
          <w:p w14:paraId="7E7CE835" w14:textId="77777777" w:rsidR="00C94D8E" w:rsidRDefault="00000000" w:rsidP="005E536D">
            <w:pPr>
              <w:pStyle w:val="Compact"/>
              <w:spacing w:before="0" w:after="0" w:line="252" w:lineRule="auto"/>
              <w:jc w:val="both"/>
            </w:pPr>
            <w:r>
              <w:rPr>
                <w:rFonts w:ascii="Arial" w:hAnsi="Arial"/>
                <w:b/>
                <w:color w:val="FFFFFF"/>
                <w:sz w:val="19"/>
              </w:rPr>
              <w:t>Required comparison</w:t>
            </w:r>
          </w:p>
        </w:tc>
        <w:tc>
          <w:tcPr>
            <w:tcW w:w="3168" w:type="dxa"/>
            <w:shd w:val="clear" w:color="auto" w:fill="24364B"/>
            <w:tcMar>
              <w:top w:w="90" w:type="dxa"/>
              <w:left w:w="95" w:type="dxa"/>
              <w:bottom w:w="90" w:type="dxa"/>
              <w:right w:w="95" w:type="dxa"/>
            </w:tcMar>
            <w:vAlign w:val="center"/>
          </w:tcPr>
          <w:p w14:paraId="18E52993" w14:textId="77777777" w:rsidR="00C94D8E" w:rsidRDefault="00000000" w:rsidP="005E536D">
            <w:pPr>
              <w:pStyle w:val="Compact"/>
              <w:spacing w:before="0" w:after="0" w:line="252" w:lineRule="auto"/>
              <w:jc w:val="both"/>
            </w:pPr>
            <w:r>
              <w:rPr>
                <w:rFonts w:ascii="Arial" w:hAnsi="Arial"/>
                <w:b/>
                <w:color w:val="FFFFFF"/>
                <w:sz w:val="19"/>
              </w:rPr>
              <w:t>Failure condition</w:t>
            </w:r>
          </w:p>
        </w:tc>
      </w:tr>
      <w:tr w:rsidR="00C94D8E" w14:paraId="143E6179" w14:textId="77777777" w:rsidTr="00C94D8E">
        <w:trPr>
          <w:cantSplit/>
          <w:jc w:val="center"/>
        </w:trPr>
        <w:tc>
          <w:tcPr>
            <w:tcW w:w="2736" w:type="dxa"/>
            <w:shd w:val="clear" w:color="auto" w:fill="F1F4F7"/>
            <w:tcMar>
              <w:top w:w="90" w:type="dxa"/>
              <w:left w:w="95" w:type="dxa"/>
              <w:bottom w:w="90" w:type="dxa"/>
              <w:right w:w="95" w:type="dxa"/>
            </w:tcMar>
            <w:vAlign w:val="center"/>
          </w:tcPr>
          <w:p w14:paraId="723839C9" w14:textId="77777777" w:rsidR="00C94D8E" w:rsidRDefault="00000000" w:rsidP="005E536D">
            <w:pPr>
              <w:pStyle w:val="Compact"/>
              <w:spacing w:before="0" w:after="0" w:line="252" w:lineRule="auto"/>
              <w:jc w:val="both"/>
            </w:pPr>
            <w:r>
              <w:rPr>
                <w:rFonts w:ascii="Arial" w:hAnsi="Arial"/>
                <w:sz w:val="19"/>
              </w:rPr>
              <w:t>Adaptive resolution saves useful work</w:t>
            </w:r>
          </w:p>
        </w:tc>
        <w:tc>
          <w:tcPr>
            <w:tcW w:w="4032" w:type="dxa"/>
            <w:shd w:val="clear" w:color="auto" w:fill="F1F4F7"/>
            <w:tcMar>
              <w:top w:w="90" w:type="dxa"/>
              <w:left w:w="95" w:type="dxa"/>
              <w:bottom w:w="90" w:type="dxa"/>
              <w:right w:w="95" w:type="dxa"/>
            </w:tcMar>
            <w:vAlign w:val="center"/>
          </w:tcPr>
          <w:p w14:paraId="720DC1C9" w14:textId="77777777" w:rsidR="00C94D8E" w:rsidRDefault="00000000" w:rsidP="005E536D">
            <w:pPr>
              <w:pStyle w:val="Compact"/>
              <w:spacing w:before="0" w:after="0" w:line="252" w:lineRule="auto"/>
              <w:jc w:val="both"/>
            </w:pPr>
            <w:r>
              <w:rPr>
                <w:rFonts w:ascii="Arial" w:hAnsi="Arial"/>
                <w:sz w:val="19"/>
              </w:rPr>
              <w:t>Learned policy versus fixed refinement at equal quality</w:t>
            </w:r>
          </w:p>
        </w:tc>
        <w:tc>
          <w:tcPr>
            <w:tcW w:w="3168" w:type="dxa"/>
            <w:shd w:val="clear" w:color="auto" w:fill="F1F4F7"/>
            <w:tcMar>
              <w:top w:w="90" w:type="dxa"/>
              <w:left w:w="95" w:type="dxa"/>
              <w:bottom w:w="90" w:type="dxa"/>
              <w:right w:w="95" w:type="dxa"/>
            </w:tcMar>
            <w:vAlign w:val="center"/>
          </w:tcPr>
          <w:p w14:paraId="14D04045" w14:textId="77777777" w:rsidR="00C94D8E" w:rsidRDefault="00000000" w:rsidP="005E536D">
            <w:pPr>
              <w:pStyle w:val="Compact"/>
              <w:spacing w:before="0" w:after="0" w:line="252" w:lineRule="auto"/>
              <w:jc w:val="both"/>
            </w:pPr>
            <w:r>
              <w:rPr>
                <w:rFonts w:ascii="Arial" w:hAnsi="Arial"/>
                <w:sz w:val="19"/>
              </w:rPr>
              <w:t>Extra control and retrieval cost eliminate the gain</w:t>
            </w:r>
          </w:p>
        </w:tc>
      </w:tr>
      <w:tr w:rsidR="00C94D8E" w14:paraId="424E8617" w14:textId="77777777" w:rsidTr="00C94D8E">
        <w:trPr>
          <w:cantSplit/>
          <w:jc w:val="center"/>
        </w:trPr>
        <w:tc>
          <w:tcPr>
            <w:tcW w:w="2736" w:type="dxa"/>
            <w:shd w:val="clear" w:color="auto" w:fill="FFFFFF"/>
            <w:tcMar>
              <w:top w:w="90" w:type="dxa"/>
              <w:left w:w="95" w:type="dxa"/>
              <w:bottom w:w="90" w:type="dxa"/>
              <w:right w:w="95" w:type="dxa"/>
            </w:tcMar>
            <w:vAlign w:val="center"/>
          </w:tcPr>
          <w:p w14:paraId="382E2098" w14:textId="77777777" w:rsidR="00C94D8E" w:rsidRDefault="00000000" w:rsidP="005E536D">
            <w:pPr>
              <w:pStyle w:val="Compact"/>
              <w:spacing w:before="0" w:after="0" w:line="252" w:lineRule="auto"/>
              <w:jc w:val="both"/>
            </w:pPr>
            <w:r>
              <w:rPr>
                <w:rFonts w:ascii="Arial" w:hAnsi="Arial"/>
                <w:sz w:val="19"/>
              </w:rPr>
              <w:t>The evidence path protects rare distinctions</w:t>
            </w:r>
          </w:p>
        </w:tc>
        <w:tc>
          <w:tcPr>
            <w:tcW w:w="4032" w:type="dxa"/>
            <w:shd w:val="clear" w:color="auto" w:fill="FFFFFF"/>
            <w:tcMar>
              <w:top w:w="90" w:type="dxa"/>
              <w:left w:w="95" w:type="dxa"/>
              <w:bottom w:w="90" w:type="dxa"/>
              <w:right w:w="95" w:type="dxa"/>
            </w:tcMar>
            <w:vAlign w:val="center"/>
          </w:tcPr>
          <w:p w14:paraId="5CA5458D" w14:textId="77777777" w:rsidR="00C94D8E" w:rsidRDefault="00000000" w:rsidP="005E536D">
            <w:pPr>
              <w:pStyle w:val="Compact"/>
              <w:spacing w:before="0" w:after="0" w:line="252" w:lineRule="auto"/>
              <w:jc w:val="both"/>
            </w:pPr>
            <w:r>
              <w:rPr>
                <w:rFonts w:ascii="Arial" w:hAnsi="Arial"/>
                <w:sz w:val="19"/>
              </w:rPr>
              <w:t>Full system versus counters without source-linked reopening</w:t>
            </w:r>
          </w:p>
        </w:tc>
        <w:tc>
          <w:tcPr>
            <w:tcW w:w="3168" w:type="dxa"/>
            <w:shd w:val="clear" w:color="auto" w:fill="FFFFFF"/>
            <w:tcMar>
              <w:top w:w="90" w:type="dxa"/>
              <w:left w:w="95" w:type="dxa"/>
              <w:bottom w:w="90" w:type="dxa"/>
              <w:right w:w="95" w:type="dxa"/>
            </w:tcMar>
            <w:vAlign w:val="center"/>
          </w:tcPr>
          <w:p w14:paraId="4B6A265C" w14:textId="77777777" w:rsidR="00C94D8E" w:rsidRDefault="00000000" w:rsidP="005E536D">
            <w:pPr>
              <w:pStyle w:val="Compact"/>
              <w:spacing w:before="0" w:after="0" w:line="252" w:lineRule="auto"/>
              <w:jc w:val="both"/>
            </w:pPr>
            <w:r>
              <w:rPr>
                <w:rFonts w:ascii="Arial" w:hAnsi="Arial"/>
                <w:sz w:val="19"/>
              </w:rPr>
              <w:t>Rare revisions or conjunctions remain inaccessible</w:t>
            </w:r>
          </w:p>
        </w:tc>
      </w:tr>
      <w:tr w:rsidR="00C94D8E" w14:paraId="167A9BFB" w14:textId="77777777" w:rsidTr="00C94D8E">
        <w:trPr>
          <w:cantSplit/>
          <w:jc w:val="center"/>
        </w:trPr>
        <w:tc>
          <w:tcPr>
            <w:tcW w:w="2736" w:type="dxa"/>
            <w:shd w:val="clear" w:color="auto" w:fill="F1F4F7"/>
            <w:tcMar>
              <w:top w:w="90" w:type="dxa"/>
              <w:left w:w="95" w:type="dxa"/>
              <w:bottom w:w="90" w:type="dxa"/>
              <w:right w:w="95" w:type="dxa"/>
            </w:tcMar>
            <w:vAlign w:val="center"/>
          </w:tcPr>
          <w:p w14:paraId="597B050F" w14:textId="77777777" w:rsidR="00C94D8E" w:rsidRDefault="00000000" w:rsidP="005E536D">
            <w:pPr>
              <w:pStyle w:val="Compact"/>
              <w:spacing w:before="0" w:after="0" w:line="252" w:lineRule="auto"/>
              <w:jc w:val="both"/>
            </w:pPr>
            <w:r>
              <w:rPr>
                <w:rFonts w:ascii="Arial" w:hAnsi="Arial"/>
                <w:sz w:val="19"/>
              </w:rPr>
              <w:t>Reverse validation improves support judgments</w:t>
            </w:r>
          </w:p>
        </w:tc>
        <w:tc>
          <w:tcPr>
            <w:tcW w:w="4032" w:type="dxa"/>
            <w:shd w:val="clear" w:color="auto" w:fill="F1F4F7"/>
            <w:tcMar>
              <w:top w:w="90" w:type="dxa"/>
              <w:left w:w="95" w:type="dxa"/>
              <w:bottom w:w="90" w:type="dxa"/>
              <w:right w:w="95" w:type="dxa"/>
            </w:tcMar>
            <w:vAlign w:val="center"/>
          </w:tcPr>
          <w:p w14:paraId="5F7DEF15" w14:textId="77777777" w:rsidR="00C94D8E" w:rsidRDefault="00000000" w:rsidP="005E536D">
            <w:pPr>
              <w:pStyle w:val="Compact"/>
              <w:spacing w:before="0" w:after="0" w:line="252" w:lineRule="auto"/>
              <w:jc w:val="both"/>
            </w:pPr>
            <w:r>
              <w:rPr>
                <w:rFonts w:ascii="Arial" w:hAnsi="Arial"/>
                <w:sz w:val="19"/>
              </w:rPr>
              <w:t>Forward verification, backward premise search, and trained reverse decoding</w:t>
            </w:r>
          </w:p>
        </w:tc>
        <w:tc>
          <w:tcPr>
            <w:tcW w:w="3168" w:type="dxa"/>
            <w:shd w:val="clear" w:color="auto" w:fill="F1F4F7"/>
            <w:tcMar>
              <w:top w:w="90" w:type="dxa"/>
              <w:left w:w="95" w:type="dxa"/>
              <w:bottom w:w="90" w:type="dxa"/>
              <w:right w:w="95" w:type="dxa"/>
            </w:tcMar>
            <w:vAlign w:val="center"/>
          </w:tcPr>
          <w:p w14:paraId="7D49E246" w14:textId="77777777" w:rsidR="00C94D8E" w:rsidRDefault="00000000" w:rsidP="005E536D">
            <w:pPr>
              <w:pStyle w:val="Compact"/>
              <w:spacing w:before="0" w:after="0" w:line="252" w:lineRule="auto"/>
              <w:jc w:val="both"/>
            </w:pPr>
            <w:r>
              <w:rPr>
                <w:rFonts w:ascii="Arial" w:hAnsi="Arial"/>
                <w:sz w:val="19"/>
              </w:rPr>
              <w:t>No reduction in false acceptance at matched compute</w:t>
            </w:r>
          </w:p>
        </w:tc>
      </w:tr>
      <w:tr w:rsidR="00C94D8E" w14:paraId="4669638F" w14:textId="77777777" w:rsidTr="00C94D8E">
        <w:trPr>
          <w:cantSplit/>
          <w:jc w:val="center"/>
        </w:trPr>
        <w:tc>
          <w:tcPr>
            <w:tcW w:w="2736" w:type="dxa"/>
            <w:shd w:val="clear" w:color="auto" w:fill="FFFFFF"/>
            <w:tcMar>
              <w:top w:w="90" w:type="dxa"/>
              <w:left w:w="95" w:type="dxa"/>
              <w:bottom w:w="90" w:type="dxa"/>
              <w:right w:w="95" w:type="dxa"/>
            </w:tcMar>
            <w:vAlign w:val="center"/>
          </w:tcPr>
          <w:p w14:paraId="78BEAC18" w14:textId="77777777" w:rsidR="00C94D8E" w:rsidRDefault="00000000" w:rsidP="005E536D">
            <w:pPr>
              <w:pStyle w:val="Compact"/>
              <w:spacing w:before="0" w:after="0" w:line="252" w:lineRule="auto"/>
              <w:jc w:val="both"/>
            </w:pPr>
            <w:r>
              <w:rPr>
                <w:rFonts w:ascii="Arial" w:hAnsi="Arial"/>
                <w:sz w:val="19"/>
              </w:rPr>
              <w:t>Consolidation improves future decisions</w:t>
            </w:r>
          </w:p>
        </w:tc>
        <w:tc>
          <w:tcPr>
            <w:tcW w:w="4032" w:type="dxa"/>
            <w:shd w:val="clear" w:color="auto" w:fill="FFFFFF"/>
            <w:tcMar>
              <w:top w:w="90" w:type="dxa"/>
              <w:left w:w="95" w:type="dxa"/>
              <w:bottom w:w="90" w:type="dxa"/>
              <w:right w:w="95" w:type="dxa"/>
            </w:tcMar>
            <w:vAlign w:val="center"/>
          </w:tcPr>
          <w:p w14:paraId="45DD1299" w14:textId="77777777" w:rsidR="00C94D8E" w:rsidRDefault="00000000" w:rsidP="005E536D">
            <w:pPr>
              <w:pStyle w:val="Compact"/>
              <w:spacing w:before="0" w:after="0" w:line="252" w:lineRule="auto"/>
              <w:jc w:val="both"/>
            </w:pPr>
            <w:r>
              <w:rPr>
                <w:rFonts w:ascii="Arial" w:hAnsi="Arial"/>
                <w:sz w:val="19"/>
              </w:rPr>
              <w:t>Updated hierarchy and policy versus frozen versions</w:t>
            </w:r>
          </w:p>
        </w:tc>
        <w:tc>
          <w:tcPr>
            <w:tcW w:w="3168" w:type="dxa"/>
            <w:shd w:val="clear" w:color="auto" w:fill="FFFFFF"/>
            <w:tcMar>
              <w:top w:w="90" w:type="dxa"/>
              <w:left w:w="95" w:type="dxa"/>
              <w:bottom w:w="90" w:type="dxa"/>
              <w:right w:w="95" w:type="dxa"/>
            </w:tcMar>
            <w:vAlign w:val="center"/>
          </w:tcPr>
          <w:p w14:paraId="4D1F576A" w14:textId="77777777" w:rsidR="00C94D8E" w:rsidRDefault="00000000" w:rsidP="005E536D">
            <w:pPr>
              <w:pStyle w:val="Compact"/>
              <w:spacing w:before="0" w:after="0" w:line="252" w:lineRule="auto"/>
              <w:jc w:val="both"/>
            </w:pPr>
            <w:r>
              <w:rPr>
                <w:rFonts w:ascii="Arial" w:hAnsi="Arial"/>
                <w:sz w:val="19"/>
              </w:rPr>
              <w:t>New-task gains coincide with unacceptable old-task losses</w:t>
            </w:r>
          </w:p>
        </w:tc>
      </w:tr>
      <w:tr w:rsidR="00C94D8E" w14:paraId="26828E82" w14:textId="77777777" w:rsidTr="00C94D8E">
        <w:trPr>
          <w:cantSplit/>
          <w:jc w:val="center"/>
        </w:trPr>
        <w:tc>
          <w:tcPr>
            <w:tcW w:w="2736" w:type="dxa"/>
            <w:shd w:val="clear" w:color="auto" w:fill="F1F4F7"/>
            <w:tcMar>
              <w:top w:w="90" w:type="dxa"/>
              <w:left w:w="95" w:type="dxa"/>
              <w:bottom w:w="90" w:type="dxa"/>
              <w:right w:w="95" w:type="dxa"/>
            </w:tcMar>
            <w:vAlign w:val="center"/>
          </w:tcPr>
          <w:p w14:paraId="541D4DEC" w14:textId="77777777" w:rsidR="00C94D8E" w:rsidRDefault="00000000" w:rsidP="005E536D">
            <w:pPr>
              <w:pStyle w:val="Compact"/>
              <w:spacing w:before="0" w:after="0" w:line="252" w:lineRule="auto"/>
              <w:jc w:val="both"/>
            </w:pPr>
            <w:r>
              <w:rPr>
                <w:rFonts w:ascii="Arial" w:hAnsi="Arial"/>
                <w:sz w:val="19"/>
              </w:rPr>
              <w:t>Representation migration is manageable</w:t>
            </w:r>
          </w:p>
        </w:tc>
        <w:tc>
          <w:tcPr>
            <w:tcW w:w="4032" w:type="dxa"/>
            <w:shd w:val="clear" w:color="auto" w:fill="F1F4F7"/>
            <w:tcMar>
              <w:top w:w="90" w:type="dxa"/>
              <w:left w:w="95" w:type="dxa"/>
              <w:bottom w:w="90" w:type="dxa"/>
              <w:right w:w="95" w:type="dxa"/>
            </w:tcMar>
            <w:vAlign w:val="center"/>
          </w:tcPr>
          <w:p w14:paraId="034342EF" w14:textId="77777777" w:rsidR="00C94D8E" w:rsidRDefault="00000000" w:rsidP="005E536D">
            <w:pPr>
              <w:pStyle w:val="Compact"/>
              <w:spacing w:before="0" w:after="0" w:line="252" w:lineRule="auto"/>
              <w:jc w:val="both"/>
            </w:pPr>
            <w:r>
              <w:rPr>
                <w:rFonts w:ascii="Arial" w:hAnsi="Arial"/>
                <w:sz w:val="19"/>
              </w:rPr>
              <w:t>Rebuild and switch versus a frozen epoch</w:t>
            </w:r>
          </w:p>
        </w:tc>
        <w:tc>
          <w:tcPr>
            <w:tcW w:w="3168" w:type="dxa"/>
            <w:shd w:val="clear" w:color="auto" w:fill="F1F4F7"/>
            <w:tcMar>
              <w:top w:w="90" w:type="dxa"/>
              <w:left w:w="95" w:type="dxa"/>
              <w:bottom w:w="90" w:type="dxa"/>
              <w:right w:w="95" w:type="dxa"/>
            </w:tcMar>
            <w:vAlign w:val="center"/>
          </w:tcPr>
          <w:p w14:paraId="466B8964" w14:textId="77777777" w:rsidR="00C94D8E" w:rsidRDefault="00000000" w:rsidP="005E536D">
            <w:pPr>
              <w:pStyle w:val="Compact"/>
              <w:spacing w:before="0" w:after="0" w:line="252" w:lineRule="auto"/>
              <w:jc w:val="both"/>
            </w:pPr>
            <w:r>
              <w:rPr>
                <w:rFonts w:ascii="Arial" w:hAnsi="Arial"/>
                <w:sz w:val="19"/>
              </w:rPr>
              <w:t>Migration cost or incompatibility defeats the benefit</w:t>
            </w:r>
          </w:p>
        </w:tc>
      </w:tr>
    </w:tbl>
    <w:p w14:paraId="79A1DF26" w14:textId="77777777" w:rsidR="00C94D8E" w:rsidRDefault="00000000" w:rsidP="005E536D">
      <w:pPr>
        <w:pStyle w:val="Heading2"/>
        <w:jc w:val="both"/>
      </w:pPr>
      <w:bookmarkStart w:id="26" w:name="budgets-and-acceptance-criteria"/>
      <w:bookmarkEnd w:id="25"/>
      <w:r>
        <w:t>Budgets and acceptance criteria</w:t>
      </w:r>
    </w:p>
    <w:p w14:paraId="51FAB169" w14:textId="77777777" w:rsidR="00C94D8E" w:rsidRDefault="00000000" w:rsidP="005E536D">
      <w:pPr>
        <w:pStyle w:val="FirstParagraph"/>
        <w:jc w:val="both"/>
      </w:pPr>
      <w:r>
        <w:t>Sweep address widths 8, 16, 32, and 64, and evaluate several summary capacities, active token budgets, index-visit limits, and validation-call limits. Keep value width fixed within each addressing comparison. Separate equal-parameter, equal-training-compute, and equal-inference-cost comparisons. A four-to-nine-fragment setting can be an ablation inspired by the earlier work; it is not assumed to be optimal.</w:t>
      </w:r>
    </w:p>
    <w:p w14:paraId="1974E5AF" w14:textId="77777777" w:rsidR="00C94D8E" w:rsidRDefault="00000000" w:rsidP="005E536D">
      <w:pPr>
        <w:pStyle w:val="BodyText"/>
        <w:jc w:val="both"/>
      </w:pPr>
      <w:r>
        <w:t>Before running the decisive study, select a primary task suite and freeze the tolerances. One proposed initial criterion is no more than one percentage point of absolute accuracy loss and no more than 0.5 percentage points of increased unsupported-claim rate relative to the exact-reader baseline, together with at least a twofold reduction in resident attention-memory bytes. A latency claim additionally requires lower measured median and 95th-percentile latency. These are proposed study choices, not registered criteria or achieved outcomes.</w:t>
      </w:r>
    </w:p>
    <w:p w14:paraId="349C2A90" w14:textId="77777777" w:rsidR="00C94D8E" w:rsidRDefault="00000000" w:rsidP="005E536D">
      <w:pPr>
        <w:pStyle w:val="BodyText"/>
        <w:jc w:val="both"/>
      </w:pPr>
      <w:r>
        <w:t>Use at least three independent training seeds for learned comparisons and report uncertainty across seeds and paired task cases. Record accuracy, unsupported claims, revision errors, abstention coverage, certificate tightness, index visits, materialized tokens, transferred bytes, and wall-clock latency. Report total archive and metadata storage, generation cache, temporary beams, and consolidation compute. Amortize preprocessing and migration over an explicitly stated workload.</w:t>
      </w:r>
    </w:p>
    <w:p w14:paraId="6619B4CC" w14:textId="77777777" w:rsidR="00C94D8E" w:rsidRDefault="00000000" w:rsidP="005E536D">
      <w:pPr>
        <w:pStyle w:val="BodyText"/>
        <w:jc w:val="both"/>
      </w:pPr>
      <w:r>
        <w:t>The architecture fails its central efficiency claim if reliable behavior routinely requires nearly complete archive expansion, if bound maintenance costs as much as exact reads, or if the validator consumes the saved compute. It fails its evidence claim if reported support ignores applicable revisions or survives decisive counterfactual source changes. A useful negative result should identify which component, task family, or operating regime causes the failure.</w:t>
      </w:r>
    </w:p>
    <w:p w14:paraId="0339D1D3" w14:textId="77777777" w:rsidR="00C94D8E" w:rsidRDefault="00000000" w:rsidP="005E536D">
      <w:pPr>
        <w:pStyle w:val="Heading1"/>
        <w:jc w:val="both"/>
      </w:pPr>
      <w:bookmarkStart w:id="27" w:name="discussion-and-conclusion"/>
      <w:bookmarkEnd w:id="24"/>
      <w:bookmarkEnd w:id="26"/>
      <w:r>
        <w:t>12 Discussion and conclusion</w:t>
      </w:r>
    </w:p>
    <w:p w14:paraId="5C334BB7" w14:textId="77777777" w:rsidR="00C94D8E" w:rsidRDefault="00000000" w:rsidP="005E536D">
      <w:pPr>
        <w:pStyle w:val="FirstParagraph"/>
        <w:jc w:val="both"/>
      </w:pPr>
      <w:r>
        <w:t xml:space="preserve">Adaptive KV Counter memory separates a tractable numerical question from a harder semantic one. The numerical question is how accurately a declared attention read has been approximated. The semantic question is </w:t>
      </w:r>
      <w:r>
        <w:lastRenderedPageBreak/>
        <w:t>whether the available representation retains and exposes the distinctions required by a task. Counted summaries can answer the first while failing the second completely.</w:t>
      </w:r>
    </w:p>
    <w:p w14:paraId="36EC90F0" w14:textId="77777777" w:rsidR="00C94D8E" w:rsidRDefault="00000000" w:rsidP="005E536D">
      <w:pPr>
        <w:pStyle w:val="BodyText"/>
        <w:jc w:val="both"/>
      </w:pPr>
      <w:r>
        <w:t>The proposed architecture connects these questions through explicit actions. A summary read carries a local bound. A conclusion carries evidence obligations. Value Context decides whether to refine a partition, open an archived source, inspect a competing revision, or stop. Consolidation learns from the distinctions that those actions reveal, while representation epochs keep the retained state interpretable.</w:t>
      </w:r>
    </w:p>
    <w:p w14:paraId="2C810F6B" w14:textId="77777777" w:rsidR="00C94D8E" w:rsidRDefault="00000000" w:rsidP="005E536D">
      <w:pPr>
        <w:pStyle w:val="BodyText"/>
        <w:jc w:val="both"/>
      </w:pPr>
      <w:r>
        <w:t>The formal results establish valid local accounting and bounds under stated assumptions. The numerical checks demonstrate their implementation on synthetic cases. The remaining claim is empirical: whether this control loop improves the joint quality, memory, and latency frontier of a trained system. That claim should be tested first on rare revisions and source-dependent reasoning, where an economical summary and recoverable evidence are both necessary.</w:t>
      </w:r>
    </w:p>
    <w:p w14:paraId="6E39599B" w14:textId="77777777" w:rsidR="00C94D8E" w:rsidRDefault="00000000" w:rsidP="005E536D">
      <w:pPr>
        <w:pStyle w:val="Heading1"/>
        <w:jc w:val="both"/>
      </w:pPr>
      <w:bookmarkStart w:id="28" w:name="appendix-a-the-logit-oscillation-bound"/>
      <w:bookmarkEnd w:id="27"/>
      <w:r>
        <w:t>Appendix A The logit oscillation bound</w:t>
      </w:r>
    </w:p>
    <w:p w14:paraId="292F7211" w14:textId="77777777" w:rsidR="00C94D8E" w:rsidRDefault="00000000" w:rsidP="005E536D">
      <w:pPr>
        <w:pStyle w:val="FirstParagraph"/>
        <w:jc w:val="both"/>
      </w:pPr>
      <w:r>
        <w:t xml:space="preserve">Let </w:t>
      </w:r>
      <m:oMath>
        <m:r>
          <w:rPr>
            <w:rFonts w:ascii="Cambria Math" w:hAnsi="Cambria Math"/>
          </w:rPr>
          <m:t>p</m:t>
        </m:r>
      </m:oMath>
      <w:r>
        <w:t xml:space="preserve"> be a softmax distribution and let </w:t>
      </w:r>
      <m:oMath>
        <m:acc>
          <m:accPr>
            <m:ctrlPr>
              <w:rPr>
                <w:rFonts w:ascii="Cambria Math" w:hAnsi="Cambria Math"/>
              </w:rPr>
            </m:ctrlPr>
          </m:accPr>
          <m:e>
            <m:r>
              <w:rPr>
                <w:rFonts w:ascii="Cambria Math" w:hAnsi="Cambria Math"/>
              </w:rPr>
              <m:t>p</m:t>
            </m:r>
          </m:e>
        </m:acc>
      </m:oMath>
      <w:r>
        <w:t xml:space="preserve"> use additive logit perturbations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Write </w:t>
      </w:r>
      <m:oMath>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The likelihood ratios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have mean one under </w:t>
      </w:r>
      <m:oMath>
        <m:r>
          <w:rPr>
            <w:rFonts w:ascii="Cambria Math" w:hAnsi="Cambria Math"/>
          </w:rPr>
          <m:t>p</m:t>
        </m:r>
      </m:oMath>
      <w:r>
        <w:t xml:space="preserve"> and lie in an interval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with </w:t>
      </w: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R</m:t>
            </m:r>
          </m:sup>
        </m:sSup>
      </m:oMath>
      <w:r>
        <w:t>.</w:t>
      </w:r>
    </w:p>
    <w:p w14:paraId="1C37B93D" w14:textId="77777777" w:rsidR="00C94D8E" w:rsidRDefault="00000000" w:rsidP="005E536D">
      <w:pPr>
        <w:pStyle w:val="BodyText"/>
        <w:jc w:val="both"/>
      </w:pPr>
      <w:r>
        <w:t>Convexity of the absolute-value function bounds the total variation by the value attained by a distribution supported at the interval endpoints:</w:t>
      </w:r>
    </w:p>
    <w:p w14:paraId="20CA2271" w14:textId="77777777" w:rsidR="00C94D8E" w:rsidRDefault="00000000" w:rsidP="005E536D">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r>
              <w:rPr>
                <w:rFonts w:ascii="Cambria Math" w:hAnsi="Cambria Math"/>
              </w:rPr>
              <m:t>b</m:t>
            </m:r>
            <m:r>
              <m:rPr>
                <m:sty m:val="p"/>
              </m:rPr>
              <w:rPr>
                <w:rFonts w:ascii="Cambria Math" w:hAnsi="Cambria Math"/>
              </w:rPr>
              <m:t>-</m:t>
            </m:r>
            <m:r>
              <w:rPr>
                <w:rFonts w:ascii="Cambria Math" w:hAnsi="Cambria Math"/>
              </w:rPr>
              <m:t>a</m:t>
            </m:r>
          </m:den>
        </m:f>
        <m:r>
          <m:rPr>
            <m:sty m:val="p"/>
          </m:rPr>
          <w:rPr>
            <w:rFonts w:ascii="Cambria Math" w:hAnsi="Cambria Math"/>
          </w:rPr>
          <m:t>≤tanh</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4</m:t>
            </m:r>
          </m:e>
        </m:d>
        <m:r>
          <m:rPr>
            <m:sty m:val="p"/>
          </m:rPr>
          <w:rPr>
            <w:rFonts w:ascii="Cambria Math" w:hAnsi="Cambria Math"/>
          </w:rPr>
          <m:t>.</m:t>
        </m:r>
      </m:oMath>
      <w:r>
        <w:tab/>
        <w:t>(15)</w:t>
      </w:r>
    </w:p>
    <w:p w14:paraId="05981542" w14:textId="77777777" w:rsidR="00C94D8E" w:rsidRDefault="00000000" w:rsidP="005E536D">
      <w:pPr>
        <w:pStyle w:val="FirstParagraph"/>
        <w:jc w:val="both"/>
      </w:pPr>
      <w:r>
        <w:t xml:space="preserve">For </w:t>
      </w:r>
      <m:oMath>
        <m:r>
          <w:rPr>
            <w:rFonts w:ascii="Cambria Math" w:hAnsi="Cambria Math"/>
          </w:rPr>
          <m:t>R</m:t>
        </m:r>
        <m:r>
          <m:rPr>
            <m:sty m:val="p"/>
          </m:rPr>
          <w:rPr>
            <w:rFonts w:ascii="Cambria Math" w:hAnsi="Cambria Math"/>
          </w:rPr>
          <m:t>&gt;</m:t>
        </m:r>
        <m:r>
          <w:rPr>
            <w:rFonts w:ascii="Cambria Math" w:hAnsi="Cambria Math"/>
          </w:rPr>
          <m:t>0</m:t>
        </m:r>
      </m:oMath>
      <w:r>
        <w:t xml:space="preserve">, the second inequality follows by maximizing over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t xml:space="preserve"> with the specified ratio. Equality is attained at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sup>
        </m:sSup>
      </m:oMath>
      <w:r>
        <w:t xml:space="preserve"> and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R</m:t>
            </m:r>
            <m:r>
              <m:rPr>
                <m:sty m:val="p"/>
              </m:rPr>
              <w:rPr>
                <w:rFonts w:ascii="Cambria Math" w:hAnsi="Cambria Math"/>
              </w:rPr>
              <m:t>/</m:t>
            </m:r>
            <m:r>
              <w:rPr>
                <w:rFonts w:ascii="Cambria Math" w:hAnsi="Cambria Math"/>
              </w:rPr>
              <m:t>2</m:t>
            </m:r>
          </m:sup>
        </m:sSup>
      </m:oMath>
      <w:r>
        <w:t xml:space="preserve">. The zero-range case has identical distributions. Decompose the positive and negative parts of </w:t>
      </w:r>
      <m:oMath>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oMath>
      <w:r>
        <w:t xml:space="preserve">: each has mass equal to total variation, and their normalized value mixtures differ by at most the value diameter </w:t>
      </w:r>
      <m:oMath>
        <m:r>
          <w:rPr>
            <w:rFonts w:ascii="Cambria Math" w:hAnsi="Cambria Math"/>
          </w:rPr>
          <m:t>D</m:t>
        </m:r>
      </m:oMath>
      <w:r>
        <w:t>. Thus</w:t>
      </w:r>
    </w:p>
    <w:p w14:paraId="36742E0A" w14:textId="77777777" w:rsidR="00C94D8E" w:rsidRDefault="00000000" w:rsidP="005E536D">
      <w:pPr>
        <w:pStyle w:val="BodyText"/>
        <w:keepLines/>
        <w:tabs>
          <w:tab w:val="center" w:pos="4968"/>
          <w:tab w:val="right" w:pos="9936"/>
        </w:tabs>
        <w:spacing w:before="80" w:after="160"/>
        <w:jc w:val="both"/>
      </w:pPr>
      <w:r>
        <w:tab/>
      </w:r>
      <m:oMath>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e>
            </m:nary>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r>
          <w:rPr>
            <w:rFonts w:ascii="Cambria Math" w:hAnsi="Cambria Math"/>
          </w:rPr>
          <m:t>D</m:t>
        </m:r>
        <m:r>
          <m:rPr>
            <m:sty m:val="p"/>
          </m:rPr>
          <w:rPr>
            <w:rFonts w:ascii="Cambria Math" w:hAnsi="Cambria Math"/>
          </w:rPr>
          <m:t>tanh</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4</m:t>
            </m:r>
          </m:e>
        </m:d>
        <m:r>
          <m:rPr>
            <m:sty m:val="p"/>
          </m:rPr>
          <w:rPr>
            <w:rFonts w:ascii="Cambria Math" w:hAnsi="Cambria Math"/>
          </w:rPr>
          <m:t>.</m:t>
        </m:r>
      </m:oMath>
      <w:r>
        <w:tab/>
        <w:t>(16)</w:t>
      </w:r>
    </w:p>
    <w:p w14:paraId="2216FDCA" w14:textId="77777777" w:rsidR="00C94D8E" w:rsidRDefault="00000000" w:rsidP="005E536D">
      <w:pPr>
        <w:pStyle w:val="FirstParagraph"/>
        <w:jc w:val="both"/>
      </w:pPr>
      <w:r>
        <w:t xml:space="preserve">In a frontier read, each record uses the score of its representative. Its logit perturbation is bounded in absolute value by its node’s </w:t>
      </w:r>
      <m:oMath>
        <m:sSub>
          <m:sSubPr>
            <m:ctrlPr>
              <w:rPr>
                <w:rFonts w:ascii="Cambria Math" w:hAnsi="Cambria Math"/>
              </w:rPr>
            </m:ctrlPr>
          </m:sSubPr>
          <m:e>
            <m:r>
              <w:rPr>
                <w:rFonts w:ascii="Cambria Math" w:hAnsi="Cambria Math"/>
              </w:rPr>
              <m:t>ϵ</m:t>
            </m:r>
          </m:e>
          <m:sub>
            <m:r>
              <w:rPr>
                <w:rFonts w:ascii="Cambria Math" w:hAnsi="Cambria Math"/>
              </w:rPr>
              <m:t>b</m:t>
            </m:r>
          </m:sub>
        </m:sSub>
      </m:oMath>
      <w:r>
        <w:t>, yielding Equation (10). Equation (11) combines this or any valid conditional-read bound with omitted mass. The result is local to fixed logits and values; decoder-wide guarantees would require controlling all affected transformations.</w:t>
      </w:r>
    </w:p>
    <w:p w14:paraId="67130526" w14:textId="77777777" w:rsidR="00C94D8E" w:rsidRDefault="00000000" w:rsidP="005E536D">
      <w:pPr>
        <w:pStyle w:val="Heading1"/>
        <w:jc w:val="both"/>
      </w:pPr>
      <w:bookmarkStart w:id="29" w:name="X8fed7a7e1e870be272ed3bf454a20589071acae"/>
      <w:bookmarkEnd w:id="28"/>
      <w:r>
        <w:t>Appendix B Numerical verification protocol</w:t>
      </w:r>
    </w:p>
    <w:p w14:paraId="5FB969AE" w14:textId="77777777" w:rsidR="00C94D8E" w:rsidRDefault="00000000" w:rsidP="005E536D">
      <w:pPr>
        <w:pStyle w:val="FirstParagraph"/>
        <w:jc w:val="both"/>
      </w:pPr>
      <w:r>
        <w:t>The generator is NumPy’s default_rng with seed 20261006. It is consumed sequentially in the order below. All norms are Euclidean. Violations use an absolute tolerance of 10⁻¹². No synthetic case was used to train or tune a policy.</w:t>
      </w:r>
    </w:p>
    <w:p w14:paraId="6718211C" w14:textId="77777777" w:rsidR="00C94D8E" w:rsidRDefault="00000000" w:rsidP="005E536D">
      <w:pPr>
        <w:pStyle w:val="BodyText"/>
        <w:jc w:val="both"/>
      </w:pPr>
      <w:r>
        <w:t>For each of 3,000 partition trials, draw the number of records uniformly from 8 through 128 and a nominal bin count uniformly from 2 through the smaller of 12 and one less than the record count. Assign records uniformly to bins and discard empty bins. Draw four-dimensional bin key centers from a standard normal. Add independent Gaussian key noise scaled by a uniformly chosen member of {0.02, 0.2, 1.0}. Draw six-dimensional bin value centers from a standard normal and add Gaussian value noise with scale 0.3. Draw a Gaussian query direction, normalize it, and multiply by a uniform norm between 0.1 and 2.</w:t>
      </w:r>
    </w:p>
    <w:p w14:paraId="23BB1467" w14:textId="77777777" w:rsidR="00C94D8E" w:rsidRDefault="00000000" w:rsidP="005E536D">
      <w:pPr>
        <w:pStyle w:val="BodyText"/>
        <w:jc w:val="both"/>
      </w:pPr>
      <w:r>
        <w:t xml:space="preserve">Compute each representative and value mean as an arithmetic mean. Compute the maximum member-key radius and the sum of centered value norms directly. Evaluate the exact softmax, counted read, mass intervals, </w:t>
      </w:r>
      <w:r>
        <w:lastRenderedPageBreak/>
        <w:t>Equation (8), and Equation (10). Apply a common score shift equal to the largest representative score plus its score radius. Compute the exact value diameter by all pairwise distances for this small numerical check.</w:t>
      </w:r>
    </w:p>
    <w:p w14:paraId="5B0A761A" w14:textId="77777777" w:rsidR="00C94D8E" w:rsidRDefault="00000000" w:rsidP="005E536D">
      <w:pPr>
        <w:pStyle w:val="BodyText"/>
        <w:jc w:val="both"/>
      </w:pPr>
      <w:r>
        <w:t>Next run 1,000 grouping trials with 80 records, eight possible Gaussian four-dimensional keys, uniformly assigned key identities, Gaussian six-dimensional values, and a Gaussian query. Compare explicit attention with grouped attention. In each trial select one uniformly random record, replace its group by the selected singleton and nonempty residual, and compare the reopened and grouped reads. These two tests therefore share the same generated caches.</w:t>
      </w:r>
    </w:p>
    <w:p w14:paraId="3B61B69C" w14:textId="77777777" w:rsidR="00C94D8E" w:rsidRDefault="00000000" w:rsidP="005E536D">
      <w:pPr>
        <w:pStyle w:val="BodyText"/>
        <w:jc w:val="both"/>
      </w:pPr>
      <w:r>
        <w:t>Finally run 2,000 omission trials. Draw 3 through 59 records, Gaussian logits with scale two, and Gaussian five-dimensional values. Select each record independently with probability 0.6; if the selection is empty, include record zero. Add Gaussian logit perturbations with scale 0.4 to the selected records. Compute exact omitted probability and use the observed perturbation oscillation in the conditional softmax bound, then check Equation (11). The deterministic construction in Section 6 is evaluated separately with the stated three keys and values.</w:t>
      </w:r>
    </w:p>
    <w:p w14:paraId="2EA75F7B" w14:textId="77777777" w:rsidR="00C94D8E" w:rsidRDefault="00000000" w:rsidP="005E536D">
      <w:pPr>
        <w:pStyle w:val="BodyText"/>
        <w:jc w:val="both"/>
      </w:pPr>
      <w:r>
        <w:t>The checked implementation and these sampling rules are sufficient to reproduce the reported experiment design. The reported float64 discrepancies should be interpreted with the stated runtime and tolerance, rather than as promises of bit-identical results across numerical platforms. No finite suite replaces the proofs or validates deployment arithmetic.</w:t>
      </w:r>
    </w:p>
    <w:p w14:paraId="6606BF3B" w14:textId="77777777" w:rsidR="00C94D8E" w:rsidRDefault="00000000" w:rsidP="005E536D">
      <w:pPr>
        <w:pStyle w:val="Heading1"/>
        <w:jc w:val="both"/>
      </w:pPr>
      <w:bookmarkStart w:id="30" w:name="references"/>
      <w:bookmarkEnd w:id="29"/>
      <w:r>
        <w:t>References</w:t>
      </w:r>
    </w:p>
    <w:p w14:paraId="2BE33A90" w14:textId="77777777" w:rsidR="00C94D8E" w:rsidRPr="00BA2136" w:rsidRDefault="00000000" w:rsidP="005E536D">
      <w:pPr>
        <w:pStyle w:val="FirstParagraph"/>
        <w:spacing w:after="160" w:line="252" w:lineRule="auto"/>
        <w:jc w:val="both"/>
        <w:rPr>
          <w:sz w:val="20"/>
          <w:szCs w:val="22"/>
        </w:rPr>
      </w:pPr>
      <w:r w:rsidRPr="00BA2136">
        <w:rPr>
          <w:sz w:val="18"/>
          <w:szCs w:val="22"/>
        </w:rPr>
        <w:t>[1] Ghosh, Dyuti, Ghosh, Dibya, and Ghosh, Debi Prasad. 2025. Continual CVVC-RAG: A Biologically-Inspired Architecture for Lifelong Retrieval-Augmented Generation. ResearchGate preprint. https://doi.org/10.13140/RG.2.2.27009.77923</w:t>
      </w:r>
    </w:p>
    <w:p w14:paraId="474A7104" w14:textId="77777777" w:rsidR="00C94D8E" w:rsidRPr="00BA2136" w:rsidRDefault="00000000" w:rsidP="005E536D">
      <w:pPr>
        <w:pStyle w:val="BodyText"/>
        <w:spacing w:after="160" w:line="252" w:lineRule="auto"/>
        <w:jc w:val="both"/>
        <w:rPr>
          <w:sz w:val="20"/>
          <w:szCs w:val="22"/>
        </w:rPr>
      </w:pPr>
      <w:r w:rsidRPr="00BA2136">
        <w:rPr>
          <w:sz w:val="18"/>
          <w:szCs w:val="22"/>
        </w:rPr>
        <w:t>[2] Ghosh, Dyuti, Ghosh, Dibya, and Ghosh, Debi Prasad. 2025. CVVC-RAG: A Three-Strand, MVVM-Style Architecture for Deliberative Retrieval-Augmented Generation. ResearchGate preprint. https://doi.org/10.13140/RG.2.2.35568.78086</w:t>
      </w:r>
    </w:p>
    <w:p w14:paraId="0DDE83F8" w14:textId="77777777" w:rsidR="00C94D8E" w:rsidRPr="00BA2136" w:rsidRDefault="00000000" w:rsidP="005E536D">
      <w:pPr>
        <w:pStyle w:val="BodyText"/>
        <w:spacing w:after="160" w:line="252" w:lineRule="auto"/>
        <w:jc w:val="both"/>
        <w:rPr>
          <w:sz w:val="20"/>
          <w:szCs w:val="22"/>
        </w:rPr>
      </w:pPr>
      <w:r w:rsidRPr="00BA2136">
        <w:rPr>
          <w:sz w:val="18"/>
          <w:szCs w:val="22"/>
        </w:rPr>
        <w:t>[3] Ghosh, Dyuti, Ghosh, Dibya, and Ghosh, Debi Prasad. 2025. System 2 through Okazaki-RAG: Capacity-Bounded Inline Fragment Manipulation for Deliberative Reasoning. ResearchGate preprint. https://doi.org/10.13140/RG.2.2.21203.28963</w:t>
      </w:r>
    </w:p>
    <w:p w14:paraId="2C796895" w14:textId="77777777" w:rsidR="00C94D8E" w:rsidRPr="00BA2136" w:rsidRDefault="00000000" w:rsidP="005E536D">
      <w:pPr>
        <w:pStyle w:val="BodyText"/>
        <w:spacing w:after="160" w:line="252" w:lineRule="auto"/>
        <w:jc w:val="both"/>
        <w:rPr>
          <w:sz w:val="20"/>
          <w:szCs w:val="22"/>
        </w:rPr>
      </w:pPr>
      <w:r w:rsidRPr="00BA2136">
        <w:rPr>
          <w:sz w:val="18"/>
          <w:szCs w:val="22"/>
        </w:rPr>
        <w:t>[4] Ghosh, Dyuti, Ghosh, Dibya, and Ghosh, Debi Prasad. 2025. Okazaki-RAG: A Dual-Strand, Parameter-Efficient Architecture for Long-Context Modeling. ResearchGate preprint. https://doi.org/10.13140/RG.2.2.12473.89444</w:t>
      </w:r>
    </w:p>
    <w:p w14:paraId="48ADEB67" w14:textId="77777777" w:rsidR="00C94D8E" w:rsidRPr="00BA2136" w:rsidRDefault="00000000" w:rsidP="005E536D">
      <w:pPr>
        <w:pStyle w:val="BodyText"/>
        <w:spacing w:after="160" w:line="252" w:lineRule="auto"/>
        <w:jc w:val="both"/>
        <w:rPr>
          <w:sz w:val="20"/>
          <w:szCs w:val="22"/>
        </w:rPr>
      </w:pPr>
      <w:r w:rsidRPr="00BA2136">
        <w:rPr>
          <w:sz w:val="18"/>
          <w:szCs w:val="22"/>
        </w:rPr>
        <w:t>[5] Ghosh, Dyuti, Ghosh, Dibya, and Ghosh, Debi Prasad. 2025. Okazaki-RAG: Asymmetric Dual-Strand Cognition with Reverse-LLM Validation and Sleep-Inspired Consolidation (A Conceptual Framework). ResearchGate preprint. https://doi.org/10.13140/RG.2.2.18604.78723</w:t>
      </w:r>
    </w:p>
    <w:p w14:paraId="532CAF00" w14:textId="77777777" w:rsidR="00C94D8E" w:rsidRPr="00BA2136" w:rsidRDefault="00000000" w:rsidP="005E536D">
      <w:pPr>
        <w:pStyle w:val="BodyText"/>
        <w:spacing w:after="160" w:line="252" w:lineRule="auto"/>
        <w:jc w:val="both"/>
        <w:rPr>
          <w:sz w:val="20"/>
          <w:szCs w:val="22"/>
        </w:rPr>
      </w:pPr>
      <w:r w:rsidRPr="00BA2136">
        <w:rPr>
          <w:sz w:val="18"/>
          <w:szCs w:val="22"/>
        </w:rPr>
        <w:t>[6] Ghosh, Dibya, Ghosh, Dyuti, and Ghosh, Debi Prasad. 2025. Attentionlet Is All You Need! ResearchGate preprint. https://doi.org/10.13140/RG.2.2.35155.90404</w:t>
      </w:r>
    </w:p>
    <w:p w14:paraId="74427202" w14:textId="77777777" w:rsidR="00C94D8E" w:rsidRPr="00BA2136" w:rsidRDefault="00000000" w:rsidP="005E536D">
      <w:pPr>
        <w:pStyle w:val="BodyText"/>
        <w:spacing w:after="160" w:line="252" w:lineRule="auto"/>
        <w:jc w:val="both"/>
        <w:rPr>
          <w:sz w:val="20"/>
          <w:szCs w:val="22"/>
        </w:rPr>
      </w:pPr>
      <w:r w:rsidRPr="00BA2136">
        <w:rPr>
          <w:sz w:val="18"/>
          <w:szCs w:val="22"/>
        </w:rPr>
        <w:t>[7] KV Counter Memory for Attentionlet. 2026. Unpublished working manuscript in the Attentionlet research series, 1 October 2026. No public DOI assigned in the version consulted.</w:t>
      </w:r>
    </w:p>
    <w:p w14:paraId="341C9CDB" w14:textId="77777777" w:rsidR="00C94D8E" w:rsidRPr="00BA2136" w:rsidRDefault="00000000" w:rsidP="005E536D">
      <w:pPr>
        <w:pStyle w:val="BodyText"/>
        <w:spacing w:after="160" w:line="252" w:lineRule="auto"/>
        <w:jc w:val="both"/>
        <w:rPr>
          <w:sz w:val="20"/>
          <w:szCs w:val="22"/>
        </w:rPr>
      </w:pPr>
      <w:r w:rsidRPr="00BA2136">
        <w:rPr>
          <w:sz w:val="18"/>
          <w:szCs w:val="22"/>
        </w:rPr>
        <w:t>[8] Adaptive Memory Refinement for Attentionlet. 2026. Research proposal in the Attentionlet research series, 6 October 2026. Unpublished project document.</w:t>
      </w:r>
    </w:p>
    <w:p w14:paraId="48BA4737" w14:textId="77777777" w:rsidR="00C94D8E" w:rsidRPr="00BA2136" w:rsidRDefault="00000000" w:rsidP="005E536D">
      <w:pPr>
        <w:pStyle w:val="BodyText"/>
        <w:spacing w:after="160" w:line="252" w:lineRule="auto"/>
        <w:jc w:val="both"/>
        <w:rPr>
          <w:sz w:val="20"/>
          <w:szCs w:val="22"/>
        </w:rPr>
      </w:pPr>
      <w:r w:rsidRPr="00BA2136">
        <w:rPr>
          <w:sz w:val="18"/>
          <w:szCs w:val="22"/>
        </w:rPr>
        <w:t>[9] Lingle, Lucas D. 2024. Transformer-VQ: Linear-Time Transformers via Vector Quantization. ICLR 2024. https://arxiv.org/abs/2309.16354</w:t>
      </w:r>
    </w:p>
    <w:p w14:paraId="2D4AD1AA" w14:textId="77777777" w:rsidR="00C94D8E" w:rsidRPr="00BA2136" w:rsidRDefault="00000000" w:rsidP="005E536D">
      <w:pPr>
        <w:pStyle w:val="BodyText"/>
        <w:spacing w:after="160" w:line="252" w:lineRule="auto"/>
        <w:jc w:val="both"/>
        <w:rPr>
          <w:sz w:val="20"/>
          <w:szCs w:val="22"/>
        </w:rPr>
      </w:pPr>
      <w:r w:rsidRPr="00BA2136">
        <w:rPr>
          <w:sz w:val="18"/>
          <w:szCs w:val="22"/>
        </w:rPr>
        <w:t>[10] Asai, Akari, et al. 2023. Self-RAG: Learning to Retrieve, Generate, and Critique through Self-Reflection. https://arxiv.org/abs/2310.11511</w:t>
      </w:r>
    </w:p>
    <w:p w14:paraId="2A5A2194" w14:textId="77777777" w:rsidR="00C94D8E" w:rsidRPr="00BA2136" w:rsidRDefault="00000000" w:rsidP="005E536D">
      <w:pPr>
        <w:pStyle w:val="BodyText"/>
        <w:spacing w:after="160" w:line="252" w:lineRule="auto"/>
        <w:jc w:val="both"/>
        <w:rPr>
          <w:sz w:val="20"/>
          <w:szCs w:val="22"/>
        </w:rPr>
      </w:pPr>
      <w:r w:rsidRPr="00BA2136">
        <w:rPr>
          <w:sz w:val="18"/>
          <w:szCs w:val="22"/>
        </w:rPr>
        <w:t>[11] Yao, Jiayi, et al. 2024; revised 2025. CacheBlend: Fast Large Language Model Serving for RAG with Cached Knowledge Fusion. https://arxiv.org/abs/2405.16444</w:t>
      </w:r>
    </w:p>
    <w:p w14:paraId="5EC6F4CB" w14:textId="77777777" w:rsidR="00C94D8E" w:rsidRPr="00BA2136" w:rsidRDefault="00000000" w:rsidP="005E536D">
      <w:pPr>
        <w:pStyle w:val="BodyText"/>
        <w:spacing w:after="160" w:line="252" w:lineRule="auto"/>
        <w:jc w:val="both"/>
        <w:rPr>
          <w:sz w:val="20"/>
          <w:szCs w:val="22"/>
        </w:rPr>
      </w:pPr>
      <w:r w:rsidRPr="00BA2136">
        <w:rPr>
          <w:sz w:val="18"/>
          <w:szCs w:val="22"/>
        </w:rPr>
        <w:t>[12] Hu, Junhao, et al. 2024. EPIC: Efficient Position-Independent Caching for Serving Large Language Models. https://arxiv.org/abs/2410.15332</w:t>
      </w:r>
      <w:bookmarkEnd w:id="30"/>
    </w:p>
    <w:sectPr w:rsidR="00C94D8E" w:rsidRPr="00BA2136">
      <w:headerReference w:type="default" r:id="rId11"/>
      <w:footerReference w:type="default" r:id="rId12"/>
      <w:pgSz w:w="12240" w:h="15840"/>
      <w:pgMar w:top="1080" w:right="1152" w:bottom="1080" w:left="115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FD417" w14:textId="77777777" w:rsidR="006D174E" w:rsidRDefault="006D174E">
      <w:pPr>
        <w:spacing w:after="0" w:line="240" w:lineRule="auto"/>
      </w:pPr>
      <w:r>
        <w:separator/>
      </w:r>
    </w:p>
  </w:endnote>
  <w:endnote w:type="continuationSeparator" w:id="0">
    <w:p w14:paraId="173F29FC" w14:textId="77777777" w:rsidR="006D174E" w:rsidRDefault="006D1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FA9AE" w14:textId="77777777" w:rsidR="00C94D8E" w:rsidRDefault="00000000">
    <w:pPr>
      <w:jc w:val="right"/>
    </w:pPr>
    <w:r>
      <w:fldChar w:fldCharType="begin"/>
    </w:r>
    <w:r>
      <w:instrText>PAGE</w:instrText>
    </w:r>
    <w:r>
      <w:fldChar w:fldCharType="separate"/>
    </w:r>
    <w:r w:rsidR="005E53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87747" w14:textId="77777777" w:rsidR="006D174E" w:rsidRDefault="006D174E">
      <w:r>
        <w:separator/>
      </w:r>
    </w:p>
  </w:footnote>
  <w:footnote w:type="continuationSeparator" w:id="0">
    <w:p w14:paraId="4E6066A3" w14:textId="77777777" w:rsidR="006D174E" w:rsidRDefault="006D1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243E" w14:textId="77777777" w:rsidR="00C94D8E" w:rsidRDefault="00000000">
    <w:pPr>
      <w:spacing w:after="0"/>
    </w:pPr>
    <w:r>
      <w:rPr>
        <w:rFonts w:ascii="Arial" w:hAnsi="Arial"/>
        <w:sz w:val="16"/>
      </w:rPr>
      <w:t>Evidence Preserving Deliberation with Adaptive KV Counter Memory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2C36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C3D20C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91300983">
    <w:abstractNumId w:val="0"/>
  </w:num>
  <w:num w:numId="2" w16cid:durableId="2850428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4D8E"/>
    <w:rsid w:val="0005696B"/>
    <w:rsid w:val="002F0AD6"/>
    <w:rsid w:val="005E536D"/>
    <w:rsid w:val="006D174E"/>
    <w:rsid w:val="007A2E88"/>
    <w:rsid w:val="0081768F"/>
    <w:rsid w:val="008851BF"/>
    <w:rsid w:val="009E17B8"/>
    <w:rsid w:val="00B133E3"/>
    <w:rsid w:val="00B5059C"/>
    <w:rsid w:val="00BA2136"/>
    <w:rsid w:val="00C94D8E"/>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2DBD"/>
  <w15:docId w15:val="{48F01771-1270-4A9B-97C7-FF6E3C48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280" w:after="140"/>
      <w:outlineLvl w:val="0"/>
    </w:pPr>
    <w:rPr>
      <w:rFonts w:ascii="Arial" w:hAnsi="Arial" w:cstheme="majorBidi"/>
      <w:b/>
      <w:bCs/>
      <w:sz w:val="28"/>
      <w:szCs w:val="32"/>
    </w:rPr>
  </w:style>
  <w:style w:type="paragraph" w:styleId="Heading2">
    <w:name w:val="heading 2"/>
    <w:basedOn w:val="Normal"/>
    <w:next w:val="BodyText"/>
    <w:uiPriority w:val="9"/>
    <w:unhideWhenUsed/>
    <w:qFormat/>
    <w:pPr>
      <w:keepNext/>
      <w:keepLines/>
      <w:spacing w:before="280" w:after="140"/>
      <w:outlineLvl w:val="1"/>
    </w:pPr>
    <w:rPr>
      <w:rFonts w:ascii="Arial" w:hAnsi="Arial" w:cstheme="majorBidi"/>
      <w:b/>
      <w:bCs/>
      <w:sz w:val="24"/>
      <w:szCs w:val="28"/>
    </w:rPr>
  </w:style>
  <w:style w:type="paragraph" w:styleId="Heading3">
    <w:name w:val="heading 3"/>
    <w:basedOn w:val="Normal"/>
    <w:next w:val="BodyText"/>
    <w:uiPriority w:val="9"/>
    <w:unhideWhenUsed/>
    <w:qFormat/>
    <w:pPr>
      <w:keepNext/>
      <w:keepLines/>
      <w:spacing w:before="200" w:after="0"/>
      <w:outlineLvl w:val="2"/>
    </w:pPr>
    <w:rPr>
      <w:rFonts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cstheme="majorBidi"/>
      <w:iCs/>
      <w:sz w:val="24"/>
    </w:rPr>
  </w:style>
  <w:style w:type="paragraph" w:styleId="Heading6">
    <w:name w:val="heading 6"/>
    <w:basedOn w:val="Normal"/>
    <w:next w:val="BodyText"/>
    <w:uiPriority w:val="9"/>
    <w:unhideWhenUsed/>
    <w:qFormat/>
    <w:pPr>
      <w:keepNext/>
      <w:keepLines/>
      <w:spacing w:before="200" w:after="0"/>
      <w:outlineLvl w:val="5"/>
    </w:pPr>
    <w:rPr>
      <w:rFonts w:cstheme="majorBidi"/>
      <w:sz w:val="24"/>
    </w:rPr>
  </w:style>
  <w:style w:type="paragraph" w:styleId="Heading7">
    <w:name w:val="heading 7"/>
    <w:basedOn w:val="Normal"/>
    <w:next w:val="BodyText"/>
    <w:uiPriority w:val="9"/>
    <w:unhideWhenUsed/>
    <w:qFormat/>
    <w:pPr>
      <w:keepNext/>
      <w:keepLines/>
      <w:spacing w:before="200" w:after="0"/>
      <w:outlineLvl w:val="6"/>
    </w:pPr>
    <w:rPr>
      <w:rFonts w:cstheme="majorBidi"/>
      <w:sz w:val="24"/>
    </w:rPr>
  </w:style>
  <w:style w:type="paragraph" w:styleId="Heading8">
    <w:name w:val="heading 8"/>
    <w:basedOn w:val="Normal"/>
    <w:next w:val="BodyText"/>
    <w:uiPriority w:val="9"/>
    <w:unhideWhenUsed/>
    <w:qFormat/>
    <w:pPr>
      <w:keepNext/>
      <w:keepLines/>
      <w:spacing w:before="200" w:after="0"/>
      <w:outlineLvl w:val="7"/>
    </w:pPr>
    <w:rPr>
      <w:rFonts w:cstheme="majorBidi"/>
      <w:sz w:val="24"/>
    </w:rPr>
  </w:style>
  <w:style w:type="paragraph" w:styleId="Heading9">
    <w:name w:val="heading 9"/>
    <w:basedOn w:val="Normal"/>
    <w:next w:val="BodyText"/>
    <w:uiPriority w:val="9"/>
    <w:unhideWhenUsed/>
    <w:qFormat/>
    <w:pPr>
      <w:keepNext/>
      <w:keepLines/>
      <w:spacing w:before="200" w:after="0"/>
      <w:outlineLvl w:val="8"/>
    </w:pPr>
    <w:rPr>
      <w:rFonts w:cstheme="majorBid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Normal"/>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40" w:line="252" w:lineRule="auto"/>
      <w:jc w:val="center"/>
    </w:pPr>
    <w:rPr>
      <w:rFonts w:ascii="Arial" w:hAnsi="Arial" w:cstheme="majorBidi"/>
      <w:b/>
      <w:bCs/>
      <w:sz w:val="42"/>
      <w:szCs w:val="36"/>
    </w:rPr>
  </w:style>
  <w:style w:type="paragraph" w:styleId="Subtitle">
    <w:name w:val="Subtitle"/>
    <w:basedOn w:val="Title"/>
    <w:next w:val="BodyText"/>
    <w:qFormat/>
    <w:rPr>
      <w:sz w:val="24"/>
      <w:szCs w:val="30"/>
    </w:rPr>
  </w:style>
  <w:style w:type="paragraph" w:customStyle="1" w:styleId="Author">
    <w:name w:val="Author"/>
    <w:next w:val="BodyText"/>
    <w:qFormat/>
    <w:pPr>
      <w:keepNext/>
      <w:keepLines/>
      <w:jc w:val="center"/>
    </w:pPr>
    <w:rPr>
      <w:rFonts w:ascii="Times New Roman" w:hAnsi="Times New Roman"/>
      <w:color w:val="000000"/>
    </w:rPr>
  </w:style>
  <w:style w:type="paragraph" w:styleId="Date">
    <w:name w:val="Date"/>
    <w:next w:val="BodyText"/>
    <w:qFormat/>
    <w:pPr>
      <w:keepNext/>
      <w:keepLines/>
      <w:jc w:val="center"/>
    </w:pPr>
    <w:rPr>
      <w:rFonts w:ascii="Times New Roman" w:hAnsi="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olor w:val="000000"/>
    </w:rPr>
  </w:style>
  <w:style w:type="character" w:customStyle="1" w:styleId="VerbatimChar">
    <w:name w:val="Verbatim Char"/>
    <w:basedOn w:val="CaptionChar"/>
    <w:link w:val="SourceCode"/>
    <w:rPr>
      <w:rFonts w:ascii="Times New Roman" w:hAnsi="Times New Roman"/>
      <w:color w:val="000000"/>
      <w:sz w:val="22"/>
    </w:rPr>
  </w:style>
  <w:style w:type="character" w:customStyle="1" w:styleId="SectionNumber">
    <w:name w:val="Section Number"/>
    <w:basedOn w:val="CaptionChar"/>
    <w:rPr>
      <w:rFonts w:ascii="Times New Roman" w:hAnsi="Times New Roman"/>
      <w:color w:val="000000"/>
    </w:rPr>
  </w:style>
  <w:style w:type="character" w:styleId="FootnoteReference">
    <w:name w:val="footnote reference"/>
    <w:basedOn w:val="CaptionChar"/>
    <w:rPr>
      <w:rFonts w:ascii="Times New Roman" w:hAnsi="Times New Roman"/>
      <w:color w:val="000000"/>
      <w:vertAlign w:val="superscript"/>
    </w:rPr>
  </w:style>
  <w:style w:type="character" w:styleId="Hyperlink">
    <w:name w:val="Hyperlink"/>
    <w:basedOn w:val="CaptionChar"/>
    <w:rPr>
      <w:rFonts w:ascii="Times New Roman" w:hAnsi="Times New Roman"/>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 w:type="character" w:styleId="UnresolvedMention">
    <w:name w:val="Unresolved Mention"/>
    <w:basedOn w:val="DefaultParagraphFont"/>
    <w:uiPriority w:val="99"/>
    <w:semiHidden/>
    <w:unhideWhenUsed/>
    <w:rsid w:val="007A2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15410.7776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biprasadghosh@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14</Pages>
  <Words>6776</Words>
  <Characters>38627</Characters>
  <Application>Microsoft Office Word</Application>
  <DocSecurity>0</DocSecurity>
  <Lines>321</Lines>
  <Paragraphs>90</Paragraphs>
  <ScaleCrop>false</ScaleCrop>
  <Company/>
  <LinksUpToDate>false</LinksUpToDate>
  <CharactersWithSpaces>45313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Preserving Deliberation with Adaptive KV Counter Memory</dc:title>
  <dc:subject>Research proposal connecting counted attention, deliberative retrieval, reverse validation and continual memory</dc:subject>
  <dc:creator/>
  <cp:keywords>Attentionlet; KV Counter; CVVC-RAG; Okazaki-RAG; adaptive memory refinement</cp:keywords>
  <cp:lastModifiedBy>Debiprasad Ghosh</cp:lastModifiedBy>
  <cp:revision>8</cp:revision>
  <cp:lastPrinted>2026-10-07T06:53:00Z</cp:lastPrinted>
  <dcterms:created xsi:type="dcterms:W3CDTF">2026-10-06T14:07:00Z</dcterms:created>
  <dcterms:modified xsi:type="dcterms:W3CDTF">2026-10-07T07:01:00Z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Manuscript draft • 6 October 2026</vt:lpwstr>
  </property>
  <property fmtid="{D5CDD505-2E9C-101B-9397-08002B2CF9AE}" pid="3" name="subtitle">
    <vt:lpwstr>A formal architecture for Attentionlet and continual CVVC RAG</vt:lpwstr>
  </property>
</Properties>
</file>