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7EB62" w14:textId="77777777" w:rsidR="00655664" w:rsidRPr="007A4B8F" w:rsidRDefault="00000000" w:rsidP="00BD3711">
      <w:pPr>
        <w:pStyle w:val="Title"/>
        <w:rPr>
          <w:sz w:val="62"/>
          <w:szCs w:val="62"/>
        </w:rPr>
      </w:pPr>
      <w:r w:rsidRPr="007A4B8F">
        <w:rPr>
          <w:sz w:val="62"/>
          <w:szCs w:val="62"/>
        </w:rPr>
        <w:t>KV Counter Memory for Attentionlet</w:t>
      </w:r>
    </w:p>
    <w:p w14:paraId="7E9DF566" w14:textId="77777777" w:rsidR="00655664" w:rsidRPr="00A80BEE" w:rsidRDefault="00000000" w:rsidP="00BD3711">
      <w:pPr>
        <w:pStyle w:val="Subtitle"/>
        <w:rPr>
          <w:color w:val="00B0F0"/>
          <w:sz w:val="44"/>
          <w:szCs w:val="48"/>
        </w:rPr>
      </w:pPr>
      <w:r w:rsidRPr="00A80BEE">
        <w:rPr>
          <w:color w:val="00B0F0"/>
          <w:sz w:val="44"/>
          <w:szCs w:val="48"/>
        </w:rPr>
        <w:t>Narrow keys and bounded attention state</w:t>
      </w:r>
    </w:p>
    <w:p w14:paraId="7B5009C1" w14:textId="2AD82AB3" w:rsidR="00655664" w:rsidRDefault="00000000" w:rsidP="00A80BEE">
      <w:pPr>
        <w:pStyle w:val="Author"/>
      </w:pPr>
      <w:r>
        <w:t>Debi Prasad Ghosh</w:t>
      </w:r>
    </w:p>
    <w:p w14:paraId="489320C2" w14:textId="3B630C73" w:rsidR="00655664" w:rsidRDefault="00D201C4" w:rsidP="00BD3711">
      <w:pPr>
        <w:pStyle w:val="FirstParagraph"/>
        <w:jc w:val="center"/>
      </w:pPr>
      <w:r>
        <w:rPr>
          <w:sz w:val="21"/>
        </w:rPr>
        <w:t xml:space="preserve">Debias Parametric Guru, </w:t>
      </w:r>
      <w:r>
        <w:t>Kolkata, India</w:t>
      </w:r>
      <w:r>
        <w:br/>
        <w:t>debiprasadghosh@gmail.com</w:t>
      </w:r>
    </w:p>
    <w:p w14:paraId="41EAD099" w14:textId="7DDF1051" w:rsidR="00A80BEE" w:rsidRDefault="00000000" w:rsidP="00A80BEE">
      <w:pPr>
        <w:pStyle w:val="Author"/>
      </w:pPr>
      <w:r w:rsidRPr="00D201C4">
        <w:rPr>
          <w:i/>
          <w:iCs/>
          <w:color w:val="00B0F0"/>
        </w:rPr>
        <w:t>A sequel to Attentionlet Is All You Need</w:t>
      </w:r>
      <w:r w:rsidR="00D201C4">
        <w:rPr>
          <w:i/>
          <w:iCs/>
          <w:color w:val="00B0F0"/>
        </w:rPr>
        <w:t xml:space="preserve"> [</w:t>
      </w:r>
      <w:hyperlink r:id="rId7" w:history="1">
        <w:r w:rsidR="00D201C4" w:rsidRPr="00AD34DF">
          <w:rPr>
            <w:rStyle w:val="Hyperlink"/>
            <w:i/>
            <w:iCs/>
          </w:rPr>
          <w:t>1</w:t>
        </w:r>
      </w:hyperlink>
      <w:r w:rsidR="00D201C4">
        <w:rPr>
          <w:i/>
          <w:iCs/>
          <w:color w:val="00B0F0"/>
        </w:rPr>
        <w:t>]</w:t>
      </w:r>
    </w:p>
    <w:p w14:paraId="4F5C7ED4" w14:textId="2B8852CC" w:rsidR="00655664" w:rsidRPr="00D201C4" w:rsidRDefault="00A80BEE" w:rsidP="00A80BEE">
      <w:pPr>
        <w:pStyle w:val="BodyText"/>
        <w:jc w:val="center"/>
        <w:rPr>
          <w:color w:val="00B0F0"/>
        </w:rPr>
      </w:pPr>
      <w:r>
        <w:t>1 October 2026</w:t>
      </w:r>
      <w:r w:rsidR="0086351A">
        <w:t>,</w:t>
      </w:r>
      <w:r w:rsidR="00AD34DF">
        <w:t xml:space="preserve"> </w:t>
      </w:r>
      <w:hyperlink r:id="rId8" w:history="1">
        <w:r w:rsidR="0086351A" w:rsidRPr="00530BD1">
          <w:rPr>
            <w:rStyle w:val="Hyperlink"/>
          </w:rPr>
          <w:t>https://doi.org/10.13140/RG.2.2.23622.43842</w:t>
        </w:r>
      </w:hyperlink>
      <w:r w:rsidR="0086351A">
        <w:t xml:space="preserve"> </w:t>
      </w:r>
    </w:p>
    <w:p w14:paraId="2A7A6861" w14:textId="77777777" w:rsidR="00655664" w:rsidRDefault="00000000" w:rsidP="00BD3711">
      <w:pPr>
        <w:pStyle w:val="Heading1"/>
        <w:jc w:val="both"/>
      </w:pPr>
      <w:bookmarkStart w:id="0" w:name="abstract"/>
      <w:r>
        <w:t>Abstract</w:t>
      </w:r>
    </w:p>
    <w:p w14:paraId="35031127" w14:textId="269AF2C8" w:rsidR="00655664" w:rsidRDefault="00000000" w:rsidP="00BD3711">
      <w:pPr>
        <w:pStyle w:val="FirstParagraph"/>
        <w:jc w:val="both"/>
      </w:pPr>
      <w:r>
        <w:t xml:space="preserve">Attentionlet separates a narrow query–key addressing channel from a wider value channel. This sequel asks when that asymmetry can support a recurrent attention memory whose allocated state does not grow with context length. For a fixed causal prefix, softmax attention can aggregate entries with identical effective keys into a count and a value sum. A finite key codebook therefore yields exact attention for the quantized-key model, although approximation to the original model remains a separate question. This foundation is established by Transformer-VQ and proportional token merging; our contribution is an Attentionlet-specific analysis of the conditions under which narrow addressing makes aggregation useful. We derive an attention-output error bound controlled by the oscillation of logit perturbations, with the sharp global factor </w:t>
      </w:r>
      <m:oMath>
        <m:r>
          <m:rPr>
            <m:sty m:val="p"/>
          </m:rPr>
          <w:rPr>
            <w:rFonts w:ascii="Cambria Math" w:hAnsi="Cambria Math"/>
          </w:rPr>
          <m:t>tanh</m:t>
        </m:r>
        <m:d>
          <m:dPr>
            <m:ctrlPr>
              <w:rPr>
                <w:rFonts w:ascii="Cambria Math" w:hAnsi="Cambria Math"/>
              </w:rPr>
            </m:ctrlPr>
          </m:dPr>
          <m:e>
            <m:r>
              <w:rPr>
                <w:rFonts w:ascii="Cambria Math" w:hAnsi="Cambria Math"/>
              </w:rPr>
              <m:t>ε</m:t>
            </m:r>
            <m:r>
              <m:rPr>
                <m:sty m:val="p"/>
              </m:rPr>
              <w:rPr>
                <w:rFonts w:ascii="Cambria Math" w:hAnsi="Cambria Math"/>
              </w:rPr>
              <m:t>/</m:t>
            </m:r>
            <m:r>
              <w:rPr>
                <w:rFonts w:ascii="Cambria Math" w:hAnsi="Cambria Math"/>
              </w:rPr>
              <m:t>2</m:t>
            </m:r>
          </m:e>
        </m:d>
      </m:oMath>
      <w:r>
        <w:t xml:space="preserve"> when each perturbation is at most </w:t>
      </w:r>
      <m:oMath>
        <m:r>
          <w:rPr>
            <w:rFonts w:ascii="Cambria Math" w:hAnsi="Cambria Math"/>
          </w:rPr>
          <m:t>ε</m:t>
        </m:r>
      </m:oMath>
      <w:r>
        <w:t>. We formulate quantization in the geometry of future queries, give a stable lazy implementation of exponentially decayed counters, and distinguish content-key merging from effective-key merging under rotary embeddings. A hybrid of exact recent tokens and counted older entries provides a concrete implementation. For eight heads with 16-dimensional addressing and 64-dimensional values, 4,096 bins and a 256-token window require 8.30 MiB of specified state, versus 132 MiB for a 131,072-token exact shared-slice cache. This is storage arithmetic, not a measured speedup. We correct the original dimensionality argument, identify irreversibility and representation drift as limits of persistent counters, and retain familiarity and amnesia comparisons as testable functional hypotheses. Numerical checks validate the identities and bounds; learned-model accuracy, latency, and biological correspondence remain to be established.</w:t>
      </w:r>
    </w:p>
    <w:p w14:paraId="51B5DCAF" w14:textId="77777777" w:rsidR="00655664" w:rsidRDefault="00000000" w:rsidP="00BD3711">
      <w:pPr>
        <w:pStyle w:val="BodyText"/>
        <w:jc w:val="both"/>
      </w:pPr>
      <w:r>
        <w:rPr>
          <w:b/>
          <w:bCs/>
        </w:rPr>
        <w:t>Keywords</w:t>
      </w:r>
      <w:r>
        <w:t xml:space="preserve"> Attentionlet; KV cache; vector quantization; sufficient statistics; positional encoding; recurrent memory; memory consolidation</w:t>
      </w:r>
    </w:p>
    <w:p w14:paraId="48E00568" w14:textId="77777777" w:rsidR="00655664" w:rsidRDefault="00000000" w:rsidP="00BD3711">
      <w:pPr>
        <w:pStyle w:val="Heading1"/>
        <w:jc w:val="both"/>
      </w:pPr>
      <w:bookmarkStart w:id="1" w:name="introduction-and-contribution"/>
      <w:bookmarkEnd w:id="0"/>
      <w:r>
        <w:t>1 Introduction and contribution</w:t>
      </w:r>
    </w:p>
    <w:p w14:paraId="553C4CD5" w14:textId="77777777" w:rsidR="00655664" w:rsidRDefault="00000000" w:rsidP="00BD3711">
      <w:pPr>
        <w:pStyle w:val="FirstParagraph"/>
        <w:jc w:val="both"/>
      </w:pPr>
      <w:r>
        <w:t>An autoregressive transformer ordinarily retains one key and one value for every attended token [2]. Attentionlet [1] proposed reducing the addressing width to 16 while retaining 64-dimensional values. That change reduces the cost of each stored address, but an ordinary cache still acquires another entry at every step. The next question is whether repeated or approximately equivalent addresses can share a memory record.</w:t>
      </w:r>
    </w:p>
    <w:p w14:paraId="055C705B" w14:textId="77777777" w:rsidR="00655664" w:rsidRDefault="00000000" w:rsidP="00BD3711">
      <w:pPr>
        <w:pStyle w:val="BodyText"/>
        <w:jc w:val="both"/>
      </w:pPr>
      <w:r>
        <w:t xml:space="preserve">The relevant algebra is simple. Once a prefix has been processed, a head reads a sum of weighted values divided by a sum of weights. If several entries receive the same score for every subsequent </w:t>
      </w:r>
      <w:r>
        <w:lastRenderedPageBreak/>
        <w:t>query, their values can be summed and their multiplicity counted. The order of the cache array is immaterial to that read. This statement concerns stored representations, which can themselves encode order; it does not make the underlying language model a bag-of-words model.</w:t>
      </w:r>
    </w:p>
    <w:p w14:paraId="464F18E4" w14:textId="77777777" w:rsidR="00655664" w:rsidRDefault="00000000" w:rsidP="00BD3711">
      <w:pPr>
        <w:pStyle w:val="BodyText"/>
        <w:jc w:val="both"/>
      </w:pPr>
      <w:r>
        <w:t xml:space="preserve">Transformer-VQ [3] already combines vector-quantized keys, aggregated values, counts, and a causal local window. Its stable formulation uses value means and logarithmic counts. Proportional attention in token merging [4] also adds the logarithm of represented token multiplicity to the score. We therefore use </w:t>
      </w:r>
      <w:r>
        <w:rPr>
          <w:b/>
          <w:bCs/>
        </w:rPr>
        <w:t>KV Counter</w:t>
      </w:r>
      <w:r>
        <w:t xml:space="preserve"> as the name of the recurrent memory representation studied here, without claiming that count-based softmax aggregation or its vector-quantized realization is new.</w:t>
      </w:r>
    </w:p>
    <w:p w14:paraId="637AC7C1" w14:textId="77777777" w:rsidR="00655664" w:rsidRDefault="00000000" w:rsidP="00BD3711">
      <w:pPr>
        <w:pStyle w:val="BodyText"/>
        <w:jc w:val="both"/>
      </w:pPr>
      <w:r>
        <w:t>The sequel develops four questions left open by Attentionlet. First, does a smaller address channel reduce the number of distinguishable key regions at an acceptable task error? Second, which positional mechanisms preserve a usable recurrent statistic? Third, how do actual storage precision, query geometry, and irreversible aggregation alter the claimed savings? Fourth, what must be added before a context-local counter can be interpreted as persistent memory?</w:t>
      </w:r>
    </w:p>
    <w:p w14:paraId="784E2AA6" w14:textId="77777777" w:rsidR="00655664" w:rsidRDefault="00000000" w:rsidP="00BD3711">
      <w:pPr>
        <w:pStyle w:val="BodyText"/>
        <w:jc w:val="both"/>
      </w:pPr>
      <w:r>
        <w:t>Our analytical contributions are a query-domain characterization of exact merging, a sharp perturbation bound with a mass-sensitive refinement, an implementable lazy counter for exponential recency, and explicit state budgets for shared-slice and per-head Attentionlet. We also give counterexamples to overly strong claims about unordered sub-token matching and specify experiments that distinguish useful narrow addressing from compression obtained by losing task information. The paper reports numerical algebra checks, not trained-model benchmarks. Its biological discussion proposes computational dissociations rather than locating a literal attention counter in the brain.</w:t>
      </w:r>
    </w:p>
    <w:p w14:paraId="69C725F4" w14:textId="77777777" w:rsidR="00655664" w:rsidRDefault="00000000" w:rsidP="00BD3711">
      <w:pPr>
        <w:pStyle w:val="Heading1"/>
        <w:jc w:val="both"/>
      </w:pPr>
      <w:bookmarkStart w:id="2" w:name="X28fb54f17ccdf14712f808c18fe43c7980f3649"/>
      <w:bookmarkEnd w:id="1"/>
      <w:r>
        <w:t>2 What the sequel retains from Attentionlet</w:t>
      </w:r>
    </w:p>
    <w:p w14:paraId="1807E107" w14:textId="77777777" w:rsidR="00655664" w:rsidRDefault="00000000" w:rsidP="00BD3711">
      <w:pPr>
        <w:pStyle w:val="FirstParagraph"/>
        <w:keepNext/>
        <w:jc w:val="both"/>
      </w:pPr>
      <w:r>
        <w:t xml:space="preserve">Let </w:t>
      </w: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denote the normalized input to an attention layer. The shared-slice architecture selects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r</m:t>
            </m:r>
          </m:sup>
        </m:sSup>
      </m:oMath>
      <w:r>
        <w:t xml:space="preserve">, with </w:t>
      </w:r>
      <m:oMath>
        <m:r>
          <w:rPr>
            <w:rFonts w:ascii="Cambria Math" w:hAnsi="Cambria Math"/>
          </w:rPr>
          <m:t>r</m:t>
        </m:r>
        <m:r>
          <m:rPr>
            <m:sty m:val="p"/>
          </m:rPr>
          <w:rPr>
            <w:rFonts w:ascii="Cambria Math" w:hAnsi="Cambria Math"/>
          </w:rPr>
          <m:t>=</m:t>
        </m:r>
        <m:r>
          <w:rPr>
            <w:rFonts w:ascii="Cambria Math" w:hAnsi="Cambria Math"/>
          </w:rPr>
          <m:t>16</m:t>
        </m:r>
      </m:oMath>
      <w:r>
        <w:t xml:space="preserve">. Using column-vector conventions, head </w:t>
      </w:r>
      <m:oMath>
        <m:r>
          <w:rPr>
            <w:rFonts w:ascii="Cambria Math" w:hAnsi="Cambria Math"/>
          </w:rPr>
          <m:t>h</m:t>
        </m:r>
      </m:oMath>
      <w:r>
        <w:t xml:space="preserve"> computes</w:t>
      </w:r>
    </w:p>
    <w:p w14:paraId="015085CA" w14:textId="77777777" w:rsidR="00655664" w:rsidRDefault="00000000" w:rsidP="00BD3711">
      <w:pPr>
        <w:pStyle w:val="BodyText"/>
        <w:keepLines/>
        <w:spacing w:before="100" w:after="160"/>
        <w:jc w:val="both"/>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t</m:t>
              </m:r>
            </m:sub>
            <m:sup>
              <m:d>
                <m:dPr>
                  <m:ctrlPr>
                    <w:rPr>
                      <w:rFonts w:ascii="Cambria Math" w:hAnsi="Cambria Math"/>
                    </w:rPr>
                  </m:ctrlPr>
                </m:dPr>
                <m:e>
                  <m:r>
                    <w:rPr>
                      <w:rFonts w:ascii="Cambria Math" w:hAnsi="Cambria Math"/>
                    </w:rPr>
                    <m:t>h</m:t>
                  </m:r>
                </m:e>
              </m:d>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Q</m:t>
                      </m:r>
                    </m:sub>
                    <m:sup>
                      <m:d>
                        <m:dPr>
                          <m:ctrlPr>
                            <w:rPr>
                              <w:rFonts w:ascii="Cambria Math" w:hAnsi="Cambria Math"/>
                            </w:rPr>
                          </m:ctrlPr>
                        </m:dPr>
                        <m:e>
                          <m:r>
                            <w:rPr>
                              <w:rFonts w:ascii="Cambria Math" w:hAnsi="Cambria Math"/>
                            </w:rPr>
                            <m:t>h</m:t>
                          </m:r>
                        </m:e>
                      </m:d>
                    </m:sup>
                  </m:sSubSup>
                </m:e>
              </m:d>
            </m:e>
            <m:sup>
              <m:r>
                <m:rPr>
                  <m:sty m:val="p"/>
                </m:rPr>
                <w:rPr>
                  <w:rFonts w:ascii="Cambria Math" w:hAnsi="Cambria Math"/>
                </w:rPr>
                <m:t>⊤</m:t>
              </m:r>
            </m:sup>
          </m:sSup>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k</m:t>
              </m:r>
            </m:e>
            <m:sub>
              <m:r>
                <w:rPr>
                  <w:rFonts w:ascii="Cambria Math" w:hAnsi="Cambria Math"/>
                </w:rPr>
                <m:t>i</m:t>
              </m:r>
            </m:sub>
            <m:sup>
              <m:d>
                <m:dPr>
                  <m:ctrlPr>
                    <w:rPr>
                      <w:rFonts w:ascii="Cambria Math" w:hAnsi="Cambria Math"/>
                    </w:rPr>
                  </m:ctrlPr>
                </m:dPr>
                <m:e>
                  <m:r>
                    <w:rPr>
                      <w:rFonts w:ascii="Cambria Math" w:hAnsi="Cambria Math"/>
                    </w:rPr>
                    <m:t>h</m:t>
                  </m:r>
                </m:e>
              </m:d>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K</m:t>
                      </m:r>
                    </m:sub>
                    <m:sup>
                      <m:d>
                        <m:dPr>
                          <m:ctrlPr>
                            <w:rPr>
                              <w:rFonts w:ascii="Cambria Math" w:hAnsi="Cambria Math"/>
                            </w:rPr>
                          </m:ctrlPr>
                        </m:dPr>
                        <m:e>
                          <m:r>
                            <w:rPr>
                              <w:rFonts w:ascii="Cambria Math" w:hAnsi="Cambria Math"/>
                            </w:rPr>
                            <m:t>h</m:t>
                          </m:r>
                        </m:e>
                      </m:d>
                    </m:sup>
                  </m:sSubSup>
                </m:e>
              </m:d>
            </m:e>
            <m:sup>
              <m:r>
                <m:rPr>
                  <m:sty m:val="p"/>
                </m:rPr>
                <w:rPr>
                  <w:rFonts w:ascii="Cambria Math" w:hAnsi="Cambria Math"/>
                </w:rPr>
                <m:t>⊤</m:t>
              </m:r>
            </m:sup>
          </m:sSup>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v</m:t>
              </m:r>
            </m:e>
            <m:sub>
              <m:r>
                <w:rPr>
                  <w:rFonts w:ascii="Cambria Math" w:hAnsi="Cambria Math"/>
                </w:rPr>
                <m:t>i</m:t>
              </m:r>
            </m:sub>
            <m:sup>
              <m:d>
                <m:dPr>
                  <m:ctrlPr>
                    <w:rPr>
                      <w:rFonts w:ascii="Cambria Math" w:hAnsi="Cambria Math"/>
                    </w:rPr>
                  </m:ctrlPr>
                </m:dPr>
                <m:e>
                  <m:r>
                    <w:rPr>
                      <w:rFonts w:ascii="Cambria Math" w:hAnsi="Cambria Math"/>
                    </w:rPr>
                    <m:t>h</m:t>
                  </m:r>
                </m:e>
              </m:d>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V</m:t>
                      </m:r>
                    </m:sub>
                    <m:sup>
                      <m:d>
                        <m:dPr>
                          <m:ctrlPr>
                            <w:rPr>
                              <w:rFonts w:ascii="Cambria Math" w:hAnsi="Cambria Math"/>
                            </w:rPr>
                          </m:ctrlPr>
                        </m:dPr>
                        <m:e>
                          <m:r>
                            <w:rPr>
                              <w:rFonts w:ascii="Cambria Math" w:hAnsi="Cambria Math"/>
                            </w:rPr>
                            <m:t>h</m:t>
                          </m:r>
                        </m:e>
                      </m:d>
                    </m:sup>
                  </m:sSubSup>
                </m:e>
              </m:d>
            </m:e>
            <m:sup>
              <m:r>
                <m:rPr>
                  <m:sty m:val="p"/>
                </m:rPr>
                <w:rPr>
                  <w:rFonts w:ascii="Cambria Math" w:hAnsi="Cambria Math"/>
                </w:rPr>
                <m:t>⊤</m:t>
              </m:r>
            </m:sup>
          </m:sSup>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m:t>
              </m:r>
            </m:e>
          </m:d>
        </m:oMath>
      </m:oMathPara>
    </w:p>
    <w:p w14:paraId="09294B5C" w14:textId="77777777" w:rsidR="00655664" w:rsidRDefault="00000000" w:rsidP="00BD3711">
      <w:pPr>
        <w:pStyle w:val="FirstParagraph"/>
        <w:jc w:val="both"/>
      </w:pPr>
      <w:r>
        <w:t xml:space="preserve">Here </w:t>
      </w:r>
      <m:oMath>
        <m:sSubSup>
          <m:sSubSupPr>
            <m:ctrlPr>
              <w:rPr>
                <w:rFonts w:ascii="Cambria Math" w:hAnsi="Cambria Math"/>
              </w:rPr>
            </m:ctrlPr>
          </m:sSubSupPr>
          <m:e>
            <m:r>
              <w:rPr>
                <w:rFonts w:ascii="Cambria Math" w:hAnsi="Cambria Math"/>
              </w:rPr>
              <m:t>W</m:t>
            </m:r>
          </m:e>
          <m:sub>
            <m:r>
              <w:rPr>
                <w:rFonts w:ascii="Cambria Math" w:hAnsi="Cambria Math"/>
              </w:rPr>
              <m:t>Q</m:t>
            </m:r>
          </m:sub>
          <m:sup>
            <m:d>
              <m:dPr>
                <m:ctrlPr>
                  <w:rPr>
                    <w:rFonts w:ascii="Cambria Math" w:hAnsi="Cambria Math"/>
                  </w:rPr>
                </m:ctrlPr>
              </m:dPr>
              <m:e>
                <m:r>
                  <w:rPr>
                    <w:rFonts w:ascii="Cambria Math" w:hAnsi="Cambria Math"/>
                  </w:rPr>
                  <m:t>h</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K</m:t>
            </m:r>
          </m:sub>
          <m:sup>
            <m:d>
              <m:dPr>
                <m:ctrlPr>
                  <w:rPr>
                    <w:rFonts w:ascii="Cambria Math" w:hAnsi="Cambria Math"/>
                  </w:rPr>
                </m:ctrlPr>
              </m:dPr>
              <m:e>
                <m:r>
                  <w:rPr>
                    <w:rFonts w:ascii="Cambria Math" w:hAnsi="Cambria Math"/>
                  </w:rPr>
                  <m:t>h</m:t>
                </m:r>
              </m:e>
            </m:d>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r</m:t>
            </m:r>
            <m:r>
              <m:rPr>
                <m:sty m:val="p"/>
              </m:rPr>
              <w:rPr>
                <w:rFonts w:ascii="Cambria Math" w:hAnsi="Cambria Math"/>
              </w:rPr>
              <m:t>×</m:t>
            </m:r>
            <m:r>
              <w:rPr>
                <w:rFonts w:ascii="Cambria Math" w:hAnsi="Cambria Math"/>
              </w:rPr>
              <m:t>r</m:t>
            </m:r>
          </m:sup>
        </m:sSup>
      </m:oMath>
      <w:r>
        <w:t xml:space="preserve"> and </w:t>
      </w:r>
      <m:oMath>
        <m:sSubSup>
          <m:sSubSupPr>
            <m:ctrlPr>
              <w:rPr>
                <w:rFonts w:ascii="Cambria Math" w:hAnsi="Cambria Math"/>
              </w:rPr>
            </m:ctrlPr>
          </m:sSubSupPr>
          <m:e>
            <m:r>
              <w:rPr>
                <w:rFonts w:ascii="Cambria Math" w:hAnsi="Cambria Math"/>
              </w:rPr>
              <m:t>W</m:t>
            </m:r>
          </m:e>
          <m:sub>
            <m:r>
              <w:rPr>
                <w:rFonts w:ascii="Cambria Math" w:hAnsi="Cambria Math"/>
              </w:rPr>
              <m:t>V</m:t>
            </m:r>
          </m:sub>
          <m:sup>
            <m:d>
              <m:dPr>
                <m:ctrlPr>
                  <w:rPr>
                    <w:rFonts w:ascii="Cambria Math" w:hAnsi="Cambria Math"/>
                  </w:rPr>
                </m:ctrlPr>
              </m:dPr>
              <m:e>
                <m:r>
                  <w:rPr>
                    <w:rFonts w:ascii="Cambria Math" w:hAnsi="Cambria Math"/>
                  </w:rPr>
                  <m:t>h</m:t>
                </m:r>
              </m:e>
            </m:d>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sup>
        </m:sSup>
      </m:oMath>
      <w:r>
        <w:t xml:space="preserve">, with </w:t>
      </w:r>
      <m:oMath>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r>
          <w:rPr>
            <w:rFonts w:ascii="Cambria Math" w:hAnsi="Cambria Math"/>
          </w:rPr>
          <m:t>64</m:t>
        </m:r>
      </m:oMath>
      <w:r>
        <w:t xml:space="preserve">. Defining </w:t>
      </w:r>
      <m:oMath>
        <m:sSub>
          <m:sSubPr>
            <m:ctrlPr>
              <w:rPr>
                <w:rFonts w:ascii="Cambria Math" w:hAnsi="Cambria Math"/>
              </w:rPr>
            </m:ctrlPr>
          </m:sSubPr>
          <m:e>
            <m:r>
              <w:rPr>
                <w:rFonts w:ascii="Cambria Math" w:hAnsi="Cambria Math"/>
              </w:rPr>
              <m:t>A</m:t>
            </m:r>
          </m:e>
          <m:sub>
            <m:r>
              <w:rPr>
                <w:rFonts w:ascii="Cambria Math" w:hAnsi="Cambria Math"/>
              </w:rPr>
              <m:t>h</m:t>
            </m:r>
          </m:sub>
        </m:sSub>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Q</m:t>
            </m:r>
          </m:sub>
          <m:sup>
            <m:d>
              <m:dPr>
                <m:ctrlPr>
                  <w:rPr>
                    <w:rFonts w:ascii="Cambria Math" w:hAnsi="Cambria Math"/>
                  </w:rPr>
                </m:ctrlPr>
              </m:dPr>
              <m:e>
                <m:r>
                  <w:rPr>
                    <w:rFonts w:ascii="Cambria Math" w:hAnsi="Cambria Math"/>
                  </w:rPr>
                  <m:t>h</m:t>
                </m:r>
              </m:e>
            </m:d>
          </m:sup>
        </m:sSubSup>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K</m:t>
                    </m:r>
                  </m:sub>
                  <m:sup>
                    <m:d>
                      <m:dPr>
                        <m:ctrlPr>
                          <w:rPr>
                            <w:rFonts w:ascii="Cambria Math" w:hAnsi="Cambria Math"/>
                          </w:rPr>
                        </m:ctrlPr>
                      </m:dPr>
                      <m:e>
                        <m:r>
                          <w:rPr>
                            <w:rFonts w:ascii="Cambria Math" w:hAnsi="Cambria Math"/>
                          </w:rPr>
                          <m:t>h</m:t>
                        </m:r>
                      </m:e>
                    </m:d>
                  </m:sup>
                </m:sSubSup>
              </m:e>
            </m:d>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r>
              <w:rPr>
                <w:rFonts w:ascii="Cambria Math" w:hAnsi="Cambria Math"/>
              </w:rPr>
              <m:t>r</m:t>
            </m:r>
          </m:e>
        </m:rad>
      </m:oMath>
      <w:r>
        <w:t xml:space="preserve"> gives the content score </w:t>
      </w:r>
      <m:oMath>
        <m:sSubSup>
          <m:sSubSupPr>
            <m:ctrlPr>
              <w:rPr>
                <w:rFonts w:ascii="Cambria Math" w:hAnsi="Cambria Math"/>
              </w:rPr>
            </m:ctrlPr>
          </m:sSubSupPr>
          <m:e>
            <m:r>
              <w:rPr>
                <w:rFonts w:ascii="Cambria Math" w:hAnsi="Cambria Math"/>
              </w:rPr>
              <m:t>s</m:t>
            </m:r>
          </m:e>
          <m:sub>
            <m:r>
              <w:rPr>
                <w:rFonts w:ascii="Cambria Math" w:hAnsi="Cambria Math"/>
              </w:rPr>
              <m:t>t</m:t>
            </m:r>
          </m:sub>
          <m:sup>
            <m:r>
              <m:rPr>
                <m:sty m:val="p"/>
              </m:rPr>
              <w:rPr>
                <w:rFonts w:ascii="Cambria Math" w:hAnsi="Cambria Math"/>
              </w:rPr>
              <m:t>⊤</m:t>
            </m:r>
          </m:sup>
        </m:sSubSup>
        <m:sSub>
          <m:sSubPr>
            <m:ctrlPr>
              <w:rPr>
                <w:rFonts w:ascii="Cambria Math" w:hAnsi="Cambria Math"/>
              </w:rPr>
            </m:ctrlPr>
          </m:sSubPr>
          <m:e>
            <m:r>
              <w:rPr>
                <w:rFonts w:ascii="Cambria Math" w:hAnsi="Cambria Math"/>
              </w:rPr>
              <m:t>A</m:t>
            </m:r>
          </m:e>
          <m:sub>
            <m:r>
              <w:rPr>
                <w:rFonts w:ascii="Cambria Math" w:hAnsi="Cambria Math"/>
              </w:rPr>
              <m:t>h</m:t>
            </m:r>
          </m:sub>
        </m:sSub>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h</m:t>
            </m:r>
          </m:sub>
          <m:sup>
            <m:r>
              <m:rPr>
                <m:sty m:val="p"/>
              </m:rPr>
              <w:rPr>
                <w:rFonts w:ascii="Cambria Math" w:hAnsi="Cambria Math"/>
              </w:rPr>
              <m:t>⊤</m:t>
            </m:r>
          </m:sup>
        </m:sSubSup>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where </w:t>
      </w:r>
      <m:oMath>
        <m:sSub>
          <m:sSubPr>
            <m:ctrlPr>
              <w:rPr>
                <w:rFonts w:ascii="Cambria Math" w:hAnsi="Cambria Math"/>
              </w:rPr>
            </m:ctrlPr>
          </m:sSubPr>
          <m:e>
            <m:r>
              <w:rPr>
                <w:rFonts w:ascii="Cambria Math" w:hAnsi="Cambria Math"/>
              </w:rPr>
              <m:t>u</m:t>
            </m:r>
          </m:e>
          <m:sub>
            <m:r>
              <w:rPr>
                <w:rFonts w:ascii="Cambria Math" w:hAnsi="Cambria Math"/>
              </w:rPr>
              <m:t>h</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h</m:t>
            </m:r>
          </m:sub>
          <m:sup>
            <m:r>
              <m:rPr>
                <m:sty m:val="p"/>
              </m:rPr>
              <w:rPr>
                <w:rFonts w:ascii="Cambria Math" w:hAnsi="Cambria Math"/>
              </w:rPr>
              <m:t>⊤</m:t>
            </m:r>
          </m:sup>
        </m:sSubSup>
        <m:sSub>
          <m:sSubPr>
            <m:ctrlPr>
              <w:rPr>
                <w:rFonts w:ascii="Cambria Math" w:hAnsi="Cambria Math"/>
              </w:rPr>
            </m:ctrlPr>
          </m:sSubPr>
          <m:e>
            <m:r>
              <w:rPr>
                <w:rFonts w:ascii="Cambria Math" w:hAnsi="Cambria Math"/>
              </w:rPr>
              <m:t>s</m:t>
            </m:r>
          </m:e>
          <m:sub>
            <m:r>
              <w:rPr>
                <w:rFonts w:ascii="Cambria Math" w:hAnsi="Cambria Math"/>
              </w:rPr>
              <m:t>t</m:t>
            </m:r>
          </m:sub>
        </m:sSub>
      </m:oMath>
      <w:r>
        <w:t>. The slice can consequently be cached once per layer and scored differently by each head. This reuse is exact for this factorization, before any quantization.</w:t>
      </w:r>
    </w:p>
    <w:p w14:paraId="103CCC03" w14:textId="77777777" w:rsidR="00655664" w:rsidRDefault="00000000" w:rsidP="00BD3711">
      <w:pPr>
        <w:pStyle w:val="BodyText"/>
        <w:jc w:val="both"/>
      </w:pPr>
      <w:r>
        <w:t xml:space="preserve">Four qualifications are necessary. The original manuscript substitutes </w:t>
      </w:r>
      <m:oMath>
        <m:r>
          <w:rPr>
            <w:rFonts w:ascii="Cambria Math" w:hAnsi="Cambria Math"/>
          </w:rPr>
          <m:t>n</m:t>
        </m:r>
        <m:r>
          <m:rPr>
            <m:sty m:val="p"/>
          </m:rPr>
          <w:rPr>
            <w:rFonts w:ascii="Cambria Math" w:hAnsi="Cambria Math"/>
          </w:rPr>
          <m:t>=</m:t>
        </m:r>
        <m:r>
          <w:rPr>
            <w:rFonts w:ascii="Cambria Math" w:hAnsi="Cambria Math"/>
          </w:rPr>
          <m:t>512</m:t>
        </m:r>
      </m:oMath>
      <w:r>
        <w:t xml:space="preserve"> and </w:t>
      </w:r>
      <m:oMath>
        <m:r>
          <w:rPr>
            <w:rFonts w:ascii="Cambria Math" w:hAnsi="Cambria Math"/>
          </w:rPr>
          <m:t>ε</m:t>
        </m:r>
        <m:r>
          <m:rPr>
            <m:sty m:val="p"/>
          </m:rPr>
          <w:rPr>
            <w:rFonts w:ascii="Cambria Math" w:hAnsi="Cambria Math"/>
          </w:rPr>
          <m:t>=</m:t>
        </m:r>
        <m:r>
          <w:rPr>
            <w:rFonts w:ascii="Cambria Math" w:hAnsi="Cambria Math"/>
          </w:rPr>
          <m:t>0.2</m:t>
        </m:r>
      </m:oMath>
      <w:r>
        <w:t xml:space="preserve"> into </w:t>
      </w:r>
      <m:oMath>
        <m:r>
          <w:rPr>
            <w:rFonts w:ascii="Cambria Math" w:hAnsi="Cambria Math"/>
          </w:rPr>
          <m:t>8</m:t>
        </m:r>
        <m:r>
          <m:rPr>
            <m:sty m:val="p"/>
          </m:rPr>
          <w:rPr>
            <w:rFonts w:ascii="Cambria Math" w:hAnsi="Cambria Math"/>
          </w:rPr>
          <m:t>ln</m:t>
        </m:r>
        <m:d>
          <m:dPr>
            <m:ctrlPr>
              <w:rPr>
                <w:rFonts w:ascii="Cambria Math" w:hAnsi="Cambria Math"/>
              </w:rPr>
            </m:ctrlPr>
          </m:dPr>
          <m:e>
            <m:r>
              <w:rPr>
                <w:rFonts w:ascii="Cambria Math" w:hAnsi="Cambria Math"/>
              </w:rPr>
              <m:t>n</m:t>
            </m:r>
          </m:e>
        </m:d>
        <m:r>
          <m:rPr>
            <m:sty m:val="p"/>
          </m:rPr>
          <w:rPr>
            <w:rFonts w:ascii="Cambria Math" w:hAnsi="Cambria Math"/>
          </w:rPr>
          <m:t>/</m:t>
        </m:r>
        <m:sSup>
          <m:sSupPr>
            <m:ctrlPr>
              <w:rPr>
                <w:rFonts w:ascii="Cambria Math" w:hAnsi="Cambria Math"/>
              </w:rPr>
            </m:ctrlPr>
          </m:sSupPr>
          <m:e>
            <m:r>
              <w:rPr>
                <w:rFonts w:ascii="Cambria Math" w:hAnsi="Cambria Math"/>
              </w:rPr>
              <m:t>ε</m:t>
            </m:r>
          </m:e>
          <m:sup>
            <m:r>
              <w:rPr>
                <w:rFonts w:ascii="Cambria Math" w:hAnsi="Cambria Math"/>
              </w:rPr>
              <m:t>2</m:t>
            </m:r>
          </m:sup>
        </m:sSup>
      </m:oMath>
      <w:r>
        <w:t xml:space="preserve"> and reports approximately 14. The expression is approximately 1,248. Moreover, Johnson–Lindenstrauss guarantees for suitable embeddings do not certify a predetermined coordinate slice [6]. Correcting this arithmetic neither proves that 16 dimensions fail nor provides evidence that they suffice.</w:t>
      </w:r>
    </w:p>
    <w:p w14:paraId="076B47ED" w14:textId="77777777" w:rsidR="00655664" w:rsidRDefault="00000000" w:rsidP="00BD3711">
      <w:pPr>
        <w:pStyle w:val="BodyText"/>
        <w:jc w:val="both"/>
      </w:pPr>
      <w:r>
        <w:t xml:space="preserve">The query–key bottleneck is also distinct from the value width. Before positional terms and masking, a head’s logit matrix has rank at most </w:t>
      </w:r>
      <m:oMath>
        <m:r>
          <w:rPr>
            <w:rFonts w:ascii="Cambria Math" w:hAnsi="Cambria Math"/>
          </w:rPr>
          <m:t>r</m:t>
        </m:r>
      </m:oMath>
      <w:r>
        <w:t>. Retaining wider values preserves a wider payload, but does not remove restrictions on the available attention patterns [5]. Conversely, row-wise softmax can turn a low-rank logit matrix into a full-rank attention matrix. Appendix A gives a rank-one example. A measured post-softmax spectrum cannot be substituted for a theorem about logit rank.</w:t>
      </w:r>
    </w:p>
    <w:p w14:paraId="39B30D1A" w14:textId="77777777" w:rsidR="00655664" w:rsidRDefault="00000000" w:rsidP="00BD3711">
      <w:pPr>
        <w:pStyle w:val="BodyText"/>
        <w:jc w:val="both"/>
      </w:pPr>
      <w:r>
        <w:t xml:space="preserve">The shared slice restricts every head to the same coordinates. A per-head variant instead computes 16-dimensional queries and keys from the full input. It has more projection parameters and </w:t>
      </w:r>
      <w:r>
        <w:lastRenderedPageBreak/>
        <w:t>codebooks, but may preserve distinctions that a common slice misses. Both variants require direct comparison. Feature migration into the shared slice remains a training hypothesis. At the normalized slice input, the direct score derivative has support only on selected coordinates; normalization, earlier layers, and the value path can still couple gradients across the full representation.</w:t>
      </w:r>
    </w:p>
    <w:p w14:paraId="250A70E8" w14:textId="77777777" w:rsidR="00655664" w:rsidRDefault="00000000" w:rsidP="00BD3711">
      <w:pPr>
        <w:pStyle w:val="BodyText"/>
        <w:jc w:val="both"/>
      </w:pPr>
      <w:r>
        <w:t xml:space="preserve">Finally, shrinking 64-dimensional keys to 16 dimensions reduces the score dot-product work by a factor of four, not the whole attention operation. With </w:t>
      </w:r>
      <m:oMath>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r>
          <w:rPr>
            <w:rFonts w:ascii="Cambria Math" w:hAnsi="Cambria Math"/>
          </w:rPr>
          <m:t>64</m:t>
        </m:r>
      </m:oMath>
      <w:r>
        <w:t xml:space="preserve">, the combined score and value-aggregation arithmetic changes in proportion to </w:t>
      </w:r>
      <m:oMath>
        <m:r>
          <w:rPr>
            <w:rFonts w:ascii="Cambria Math" w:hAnsi="Cambria Math"/>
          </w:rPr>
          <m:t>64</m:t>
        </m:r>
        <m:r>
          <m:rPr>
            <m:sty m:val="p"/>
          </m:rPr>
          <w:rPr>
            <w:rFonts w:ascii="Cambria Math" w:hAnsi="Cambria Math"/>
          </w:rPr>
          <m:t>+</m:t>
        </m:r>
        <m:r>
          <w:rPr>
            <w:rFonts w:ascii="Cambria Math" w:hAnsi="Cambria Math"/>
          </w:rPr>
          <m:t>64</m:t>
        </m:r>
      </m:oMath>
      <w:r>
        <w:t xml:space="preserve"> versus </w:t>
      </w:r>
      <m:oMath>
        <m:r>
          <w:rPr>
            <w:rFonts w:ascii="Cambria Math" w:hAnsi="Cambria Math"/>
          </w:rPr>
          <m:t>16</m:t>
        </m:r>
        <m:r>
          <m:rPr>
            <m:sty m:val="p"/>
          </m:rPr>
          <w:rPr>
            <w:rFonts w:ascii="Cambria Math" w:hAnsi="Cambria Math"/>
          </w:rPr>
          <m:t>+</m:t>
        </m:r>
        <m:r>
          <w:rPr>
            <w:rFonts w:ascii="Cambria Math" w:hAnsi="Cambria Math"/>
          </w:rPr>
          <m:t>64</m:t>
        </m:r>
      </m:oMath>
      <w:r>
        <w:t>, a factor of 1.6 before other costs. IO-aware execution [7], projection costs, normalization, codebook search, and kernel efficiency determine measured latency. We make no fixed throughput prediction.</w:t>
      </w:r>
    </w:p>
    <w:p w14:paraId="1C9A36F8" w14:textId="77777777" w:rsidR="00655664" w:rsidRDefault="00000000" w:rsidP="00BD3711">
      <w:pPr>
        <w:pStyle w:val="Heading1"/>
        <w:jc w:val="both"/>
      </w:pPr>
      <w:bookmarkStart w:id="3" w:name="the-exact-statistic-read-by-a-head"/>
      <w:bookmarkEnd w:id="2"/>
      <w:r>
        <w:t>3 The exact statistic read by a head</w:t>
      </w:r>
    </w:p>
    <w:p w14:paraId="633B94E5" w14:textId="77777777" w:rsidR="00655664" w:rsidRDefault="00000000" w:rsidP="00BD3711">
      <w:pPr>
        <w:pStyle w:val="Heading2"/>
        <w:jc w:val="both"/>
      </w:pPr>
      <w:bookmarkStart w:id="4" w:name="a-fixed-prefix-and-its-effective-keys"/>
      <w:r>
        <w:t>A fixed prefix and its effective keys</w:t>
      </w:r>
    </w:p>
    <w:p w14:paraId="7FCBF5FF" w14:textId="77777777" w:rsidR="00655664" w:rsidRDefault="00000000" w:rsidP="00BD3711">
      <w:pPr>
        <w:pStyle w:val="FirstParagraph"/>
        <w:keepNext/>
        <w:jc w:val="both"/>
      </w:pPr>
      <w:r>
        <w:t>For one head, write attention at a fixed read as</w:t>
      </w:r>
    </w:p>
    <w:p w14:paraId="4EA92B8D" w14:textId="77777777" w:rsidR="00655664" w:rsidRDefault="00000000" w:rsidP="00BD3711">
      <w:pPr>
        <w:pStyle w:val="BodyText"/>
        <w:keepLines/>
        <w:spacing w:before="100" w:after="160"/>
        <w:jc w:val="both"/>
      </w:pPr>
      <m:oMathPara>
        <m:oMathParaPr>
          <m:jc m:val="center"/>
        </m:oMathParaPr>
        <m:oMath>
          <m:r>
            <w:rPr>
              <w:rFonts w:ascii="Cambria Math" w:hAnsi="Cambria Math"/>
            </w:rPr>
            <m:t>o</m:t>
          </m:r>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d>
                    <m:dPr>
                      <m:ctrlPr>
                        <w:rPr>
                          <w:rFonts w:ascii="Cambria Math" w:hAnsi="Cambria Math"/>
                        </w:rPr>
                      </m:ctrlPr>
                    </m:dPr>
                    <m:e>
                      <m:r>
                        <w:rPr>
                          <w:rFonts w:ascii="Cambria Math" w:hAnsi="Cambria Math"/>
                        </w:rPr>
                        <m:t>q</m:t>
                      </m:r>
                    </m:e>
                  </m:d>
                </m:e>
              </m:d>
              <m:sSub>
                <m:sSubPr>
                  <m:ctrlPr>
                    <w:rPr>
                      <w:rFonts w:ascii="Cambria Math" w:hAnsi="Cambria Math"/>
                    </w:rPr>
                  </m:ctrlPr>
                </m:sSubPr>
                <m:e>
                  <m:r>
                    <w:rPr>
                      <w:rFonts w:ascii="Cambria Math" w:hAnsi="Cambria Math"/>
                    </w:rPr>
                    <m:t>v</m:t>
                  </m:r>
                </m:e>
                <m:sub>
                  <m:r>
                    <w:rPr>
                      <w:rFonts w:ascii="Cambria Math" w:hAnsi="Cambria Math"/>
                    </w:rPr>
                    <m:t>i</m:t>
                  </m:r>
                </m:sub>
              </m:sSub>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d>
                    <m:dPr>
                      <m:ctrlPr>
                        <w:rPr>
                          <w:rFonts w:ascii="Cambria Math" w:hAnsi="Cambria Math"/>
                        </w:rPr>
                      </m:ctrlPr>
                    </m:dPr>
                    <m:e>
                      <m:r>
                        <w:rPr>
                          <w:rFonts w:ascii="Cambria Math" w:hAnsi="Cambria Math"/>
                        </w:rPr>
                        <m:t>q</m:t>
                      </m:r>
                    </m:e>
                  </m:d>
                </m:e>
              </m:d>
            </m:den>
          </m:f>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d>
            <m:dPr>
              <m:ctrlPr>
                <w:rPr>
                  <w:rFonts w:ascii="Cambria Math" w:hAnsi="Cambria Math"/>
                </w:rPr>
              </m:ctrlPr>
            </m:dPr>
            <m:e>
              <m:r>
                <w:rPr>
                  <w:rFonts w:ascii="Cambria Math" w:hAnsi="Cambria Math"/>
                </w:rPr>
                <m:t>q</m:t>
              </m:r>
            </m:e>
          </m:d>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sup>
          </m:sSup>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m:t>
              </m:r>
            </m:e>
          </m:d>
        </m:oMath>
      </m:oMathPara>
    </w:p>
    <w:p w14:paraId="4AF89A10" w14:textId="77777777" w:rsidR="00655664" w:rsidRDefault="00000000" w:rsidP="00BD3711">
      <w:pPr>
        <w:pStyle w:val="FirstParagraph"/>
        <w:jc w:val="both"/>
      </w:pPr>
      <w:r>
        <w:t>The allowed cache entries have already been selected by the causal mask. Permuting their storage locations, together with their keys, values, and positional metadata, leaves this ratio unchanged. Reordering the input tokens and recomputing their contextual representations is a different operation.</w:t>
      </w:r>
    </w:p>
    <w:p w14:paraId="3E3B297C" w14:textId="77777777" w:rsidR="00655664" w:rsidRDefault="00000000" w:rsidP="00BD3711">
      <w:pPr>
        <w:pStyle w:val="BodyText"/>
        <w:keepNext/>
        <w:jc w:val="both"/>
      </w:pPr>
      <w:r>
        <w:rPr>
          <w:b/>
          <w:bCs/>
        </w:rPr>
        <w:t>Proposition 1 Count and sum sufficiency.</w:t>
      </w:r>
      <w:r>
        <w:t xml:space="preserve"> Suppose the positional term is absent, and partition the entries by identical keys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Let </w:t>
      </w:r>
      <m:oMath>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be the number of entries in bin </w:t>
      </w:r>
      <m:oMath>
        <m:r>
          <w:rPr>
            <w:rFonts w:ascii="Cambria Math" w:hAnsi="Cambria Math"/>
          </w:rPr>
          <m:t>j</m:t>
        </m:r>
      </m:oMath>
      <w:r>
        <w:t xml:space="preserve">, let </w:t>
      </w:r>
      <m:oMath>
        <m:sSubSup>
          <m:sSubSupPr>
            <m:ctrlPr>
              <w:rPr>
                <w:rFonts w:ascii="Cambria Math" w:hAnsi="Cambria Math"/>
              </w:rPr>
            </m:ctrlPr>
          </m:sSubSupPr>
          <m:e>
            <m:r>
              <w:rPr>
                <w:rFonts w:ascii="Cambria Math" w:hAnsi="Cambria Math"/>
              </w:rPr>
              <m:t>s</m:t>
            </m:r>
          </m:e>
          <m:sub>
            <m:r>
              <w:rPr>
                <w:rFonts w:ascii="Cambria Math" w:hAnsi="Cambria Math"/>
              </w:rPr>
              <m:t>j</m:t>
            </m:r>
          </m:sub>
          <m:sup>
            <m:r>
              <w:rPr>
                <w:rFonts w:ascii="Cambria Math" w:hAnsi="Cambria Math"/>
              </w:rPr>
              <m:t>v</m:t>
            </m:r>
          </m:sup>
        </m:sSubSup>
      </m:oMath>
      <w:r>
        <w:t xml:space="preserve"> be their value sum, and let </w:t>
      </w:r>
      <m:oMath>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j</m:t>
            </m:r>
          </m:sub>
          <m:sup>
            <m:r>
              <w:rPr>
                <w:rFonts w:ascii="Cambria Math" w:hAnsi="Cambria Math"/>
              </w:rPr>
              <m:t>v</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for occupied bins. Then</w:t>
      </w:r>
    </w:p>
    <w:p w14:paraId="7EB3536F" w14:textId="77777777" w:rsidR="00655664" w:rsidRDefault="00000000" w:rsidP="00BD3711">
      <w:pPr>
        <w:pStyle w:val="BodyText"/>
        <w:keepLines/>
        <w:spacing w:before="100" w:after="160"/>
        <w:jc w:val="both"/>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o</m:t>
                </m:r>
                <m:d>
                  <m:dPr>
                    <m:ctrlPr>
                      <w:rPr>
                        <w:rFonts w:ascii="Cambria Math" w:hAnsi="Cambria Math"/>
                      </w:rPr>
                    </m:ctrlPr>
                  </m:dPr>
                  <m:e>
                    <m:r>
                      <w:rPr>
                        <w:rFonts w:ascii="Cambria Math" w:hAnsi="Cambria Math"/>
                      </w:rPr>
                      <m:t>q</m:t>
                    </m:r>
                  </m:e>
                </m:d>
              </m:e>
              <m:e>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q</m:t>
                                </m:r>
                              </m:e>
                              <m:sup>
                                <m:r>
                                  <m:rPr>
                                    <m:sty m:val="p"/>
                                  </m:rPr>
                                  <w:rPr>
                                    <w:rFonts w:ascii="Cambria Math" w:hAnsi="Cambria Math"/>
                                  </w:rPr>
                                  <m:t>⊤</m:t>
                                </m:r>
                              </m:sup>
                            </m:sSup>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sup>
                        </m:sSup>
                      </m:e>
                    </m:nary>
                    <m:sSubSup>
                      <m:sSubSupPr>
                        <m:ctrlPr>
                          <w:rPr>
                            <w:rFonts w:ascii="Cambria Math" w:hAnsi="Cambria Math"/>
                          </w:rPr>
                        </m:ctrlPr>
                      </m:sSubSupPr>
                      <m:e>
                        <m:r>
                          <w:rPr>
                            <w:rFonts w:ascii="Cambria Math" w:hAnsi="Cambria Math"/>
                          </w:rPr>
                          <m:t>s</m:t>
                        </m:r>
                      </m:e>
                      <m:sub>
                        <m:r>
                          <w:rPr>
                            <w:rFonts w:ascii="Cambria Math" w:hAnsi="Cambria Math"/>
                          </w:rPr>
                          <m:t>j</m:t>
                        </m:r>
                      </m:sub>
                      <m:sup>
                        <m:r>
                          <w:rPr>
                            <w:rFonts w:ascii="Cambria Math" w:hAnsi="Cambria Math"/>
                          </w:rPr>
                          <m:t>v</m:t>
                        </m:r>
                      </m:sup>
                    </m:sSubSup>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j</m:t>
                            </m:r>
                          </m:sub>
                        </m:sSub>
                      </m:e>
                    </m:nary>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q</m:t>
                            </m:r>
                          </m:e>
                          <m:sup>
                            <m:r>
                              <m:rPr>
                                <m:sty m:val="p"/>
                              </m:rPr>
                              <w:rPr>
                                <w:rFonts w:ascii="Cambria Math" w:hAnsi="Cambria Math"/>
                              </w:rPr>
                              <m:t>⊤</m:t>
                            </m:r>
                          </m:sup>
                        </m:sSup>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sup>
                    </m:sSup>
                  </m:den>
                </m:f>
              </m:e>
            </m:mr>
            <m:mr>
              <m:e>
                <m:r>
                  <w:rPr>
                    <w:rFonts w:ascii="Cambria Math" w:hAnsi="Cambria Math"/>
                  </w:rPr>
                  <m:t>o</m:t>
                </m:r>
                <m:d>
                  <m:dPr>
                    <m:ctrlPr>
                      <w:rPr>
                        <w:rFonts w:ascii="Cambria Math" w:hAnsi="Cambria Math"/>
                      </w:rPr>
                    </m:ctrlPr>
                  </m:dPr>
                  <m:e>
                    <m:r>
                      <w:rPr>
                        <w:rFonts w:ascii="Cambria Math" w:hAnsi="Cambria Math"/>
                      </w:rPr>
                      <m:t>q</m:t>
                    </m:r>
                  </m:e>
                </m:d>
              </m:e>
              <m:e>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m:rPr>
                            <m:sty m:val="p"/>
                          </m:rPr>
                          <w:rPr>
                            <w:rFonts w:ascii="Cambria Math" w:hAnsi="Cambria Math"/>
                          </w:rPr>
                          <m:t>softmax</m:t>
                        </m:r>
                      </m:e>
                      <m:sub>
                        <m:r>
                          <w:rPr>
                            <w:rFonts w:ascii="Cambria Math" w:hAnsi="Cambria Math"/>
                          </w:rPr>
                          <m:t>j</m:t>
                        </m:r>
                      </m:sub>
                    </m:sSub>
                  </m:e>
                </m:nary>
                <m:d>
                  <m:dPr>
                    <m:ctrlPr>
                      <w:rPr>
                        <w:rFonts w:ascii="Cambria Math" w:hAnsi="Cambria Math"/>
                      </w:rPr>
                    </m:ctrlPr>
                  </m:dPr>
                  <m:e>
                    <m:sSup>
                      <m:sSupPr>
                        <m:ctrlPr>
                          <w:rPr>
                            <w:rFonts w:ascii="Cambria Math" w:hAnsi="Cambria Math"/>
                          </w:rPr>
                        </m:ctrlPr>
                      </m:sSupPr>
                      <m:e>
                        <m:r>
                          <w:rPr>
                            <w:rFonts w:ascii="Cambria Math" w:hAnsi="Cambria Math"/>
                          </w:rPr>
                          <m:t>q</m:t>
                        </m:r>
                      </m:e>
                      <m:sup>
                        <m:r>
                          <m:rPr>
                            <m:sty m:val="p"/>
                          </m:rPr>
                          <w:rPr>
                            <w:rFonts w:ascii="Cambria Math" w:hAnsi="Cambria Math"/>
                          </w:rPr>
                          <m:t>⊤</m:t>
                        </m:r>
                      </m:sup>
                    </m:sSup>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r>
                      <m:rPr>
                        <m:sty m:val="p"/>
                      </m:rPr>
                      <w:rPr>
                        <w:rFonts w:ascii="Cambria Math" w:hAnsi="Cambria Math"/>
                      </w:rPr>
                      <m:t>+log</m:t>
                    </m:r>
                    <m:sSub>
                      <m:sSubPr>
                        <m:ctrlPr>
                          <w:rPr>
                            <w:rFonts w:ascii="Cambria Math" w:hAnsi="Cambria Math"/>
                          </w:rPr>
                        </m:ctrlPr>
                      </m:sSubPr>
                      <m:e>
                        <m:r>
                          <w:rPr>
                            <w:rFonts w:ascii="Cambria Math" w:hAnsi="Cambria Math"/>
                          </w:rPr>
                          <m:t>n</m:t>
                        </m:r>
                      </m:e>
                      <m:sub>
                        <m:r>
                          <w:rPr>
                            <w:rFonts w:ascii="Cambria Math" w:hAnsi="Cambria Math"/>
                          </w:rPr>
                          <m:t>j</m:t>
                        </m:r>
                      </m:sub>
                    </m:sSub>
                  </m:e>
                </m:d>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e>
            </m:mr>
          </m:m>
          <m:r>
            <w:rPr>
              <w:rFonts w:ascii="Cambria Math" w:hAnsi="Cambria Math"/>
            </w:rPr>
            <m:t>  </m:t>
          </m:r>
          <m:d>
            <m:dPr>
              <m:ctrlPr>
                <w:rPr>
                  <w:rFonts w:ascii="Cambria Math" w:hAnsi="Cambria Math"/>
                </w:rPr>
              </m:ctrlPr>
            </m:dPr>
            <m:e>
              <m:r>
                <w:rPr>
                  <w:rFonts w:ascii="Cambria Math" w:hAnsi="Cambria Math"/>
                </w:rPr>
                <m:t>3</m:t>
              </m:r>
            </m:e>
          </m:d>
        </m:oMath>
      </m:oMathPara>
    </w:p>
    <w:p w14:paraId="4094BDEA" w14:textId="77777777" w:rsidR="00655664" w:rsidRDefault="00000000" w:rsidP="00BD3711">
      <w:pPr>
        <w:pStyle w:val="FirstParagraph"/>
        <w:jc w:val="both"/>
      </w:pPr>
      <w:r>
        <w:rPr>
          <w:b/>
          <w:bCs/>
        </w:rPr>
        <w:t>Proof.</w:t>
      </w:r>
      <w:r>
        <w:t xml:space="preserve"> Entries in a bin have the same exponential weight. Factoring that weight from the numerator and denominator gives the first expression; substituting </w:t>
      </w:r>
      <m:oMath>
        <m:sSubSup>
          <m:sSubSupPr>
            <m:ctrlPr>
              <w:rPr>
                <w:rFonts w:ascii="Cambria Math" w:hAnsi="Cambria Math"/>
              </w:rPr>
            </m:ctrlPr>
          </m:sSubSupPr>
          <m:e>
            <m:r>
              <w:rPr>
                <w:rFonts w:ascii="Cambria Math" w:hAnsi="Cambria Math"/>
              </w:rPr>
              <m:t>s</m:t>
            </m:r>
          </m:e>
          <m:sub>
            <m:r>
              <w:rPr>
                <w:rFonts w:ascii="Cambria Math" w:hAnsi="Cambria Math"/>
              </w:rPr>
              <m:t>j</m:t>
            </m:r>
          </m:sub>
          <m:sup>
            <m:r>
              <w:rPr>
                <w:rFonts w:ascii="Cambria Math" w:hAnsi="Cambria Math"/>
              </w:rPr>
              <m:t>v</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sSub>
          <m:sSubPr>
            <m:ctrlPr>
              <w:rPr>
                <w:rFonts w:ascii="Cambria Math" w:hAnsi="Cambria Math"/>
              </w:rPr>
            </m:ctrlPr>
          </m:sSubPr>
          <m:e>
            <m:r>
              <w:rPr>
                <w:rFonts w:ascii="Cambria Math" w:hAnsi="Cambria Math"/>
              </w:rPr>
              <m:t>μ</m:t>
            </m:r>
          </m:e>
          <m:sub>
            <m:r>
              <w:rPr>
                <w:rFonts w:ascii="Cambria Math" w:hAnsi="Cambria Math"/>
              </w:rPr>
              <m:t>j</m:t>
            </m:r>
          </m:sub>
        </m:sSub>
      </m:oMath>
      <w:r>
        <w:t xml:space="preserve"> gives the second. Empty bins contribute zero and have log-count </w:t>
      </w:r>
      <m:oMath>
        <m:r>
          <m:rPr>
            <m:sty m:val="p"/>
          </m:rPr>
          <w:rPr>
            <w:rFonts w:ascii="Cambria Math" w:hAnsi="Cambria Math"/>
          </w:rPr>
          <m:t>-∞</m:t>
        </m:r>
      </m:oMath>
      <w:r>
        <w:t>.</w:t>
      </w:r>
    </w:p>
    <w:p w14:paraId="254685C3" w14:textId="77777777" w:rsidR="00655664" w:rsidRDefault="00000000" w:rsidP="00BD3711">
      <w:pPr>
        <w:pStyle w:val="BodyText"/>
        <w:jc w:val="both"/>
      </w:pPr>
      <w:r>
        <w:t xml:space="preserve">The update is </w:t>
      </w:r>
      <m:oMath>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1</m:t>
        </m:r>
      </m:oMath>
      <w:r>
        <w:t xml:space="preserve">, followed by </w:t>
      </w:r>
      <m:oMath>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d>
          <m:dPr>
            <m:ctrlPr>
              <w:rPr>
                <w:rFonts w:ascii="Cambria Math" w:hAnsi="Cambria Math"/>
              </w:rPr>
            </m:ctrlPr>
          </m:dPr>
          <m:e>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e>
        </m:d>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oMath>
      <w:r>
        <w:t>. Values need not be similar to make this identity exact. Averaging arbitrary values at an exactly shared key preserves the weighted sum because the head could not distinguish those entries by its address in the first place. A count used only to adjust the averaging rate is insufficient: it must also enter the read.</w:t>
      </w:r>
    </w:p>
    <w:p w14:paraId="1D8655D2" w14:textId="77777777" w:rsidR="00655664" w:rsidRDefault="00000000" w:rsidP="00BD3711">
      <w:pPr>
        <w:pStyle w:val="Heading2"/>
        <w:jc w:val="both"/>
      </w:pPr>
      <w:bookmarkStart w:id="5" w:name="Xe37953845f924402c673328b80a9b0fa06d130a"/>
      <w:bookmarkEnd w:id="4"/>
      <w:r>
        <w:t>The query domain determines indistinguishability</w:t>
      </w:r>
    </w:p>
    <w:p w14:paraId="459713CF" w14:textId="77777777" w:rsidR="00655664" w:rsidRDefault="00000000" w:rsidP="00BD3711">
      <w:pPr>
        <w:pStyle w:val="FirstParagraph"/>
        <w:keepNext/>
        <w:jc w:val="both"/>
      </w:pPr>
      <w:r>
        <w:t xml:space="preserve">Identical keys are sufficient for merging, but are not always necessary. Let </w:t>
      </w:r>
      <m:oMath>
        <m:r>
          <m:rPr>
            <m:scr m:val="script"/>
            <m:sty m:val="p"/>
          </m:rPr>
          <w:rPr>
            <w:rFonts w:ascii="Cambria Math" w:hAnsi="Cambria Math"/>
          </w:rPr>
          <m:t>Q</m:t>
        </m:r>
      </m:oMath>
      <w:r>
        <w:t xml:space="preserve"> be the allowed future-query set and let </w:t>
      </w:r>
      <m:oMath>
        <m:r>
          <w:rPr>
            <w:rFonts w:ascii="Cambria Math" w:hAnsi="Cambria Math"/>
          </w:rPr>
          <m:t>U</m:t>
        </m:r>
        <m:r>
          <m:rPr>
            <m:sty m:val="p"/>
          </m:rPr>
          <w:rPr>
            <w:rFonts w:ascii="Cambria Math" w:hAnsi="Cambria Math"/>
          </w:rPr>
          <m:t>=span</m:t>
        </m:r>
        <m:d>
          <m:dPr>
            <m:ctrlPr>
              <w:rPr>
                <w:rFonts w:ascii="Cambria Math" w:hAnsi="Cambria Math"/>
              </w:rPr>
            </m:ctrlPr>
          </m:dPr>
          <m:e>
            <m:r>
              <m:rPr>
                <m:scr m:val="script"/>
                <m:sty m:val="p"/>
              </m:rPr>
              <w:rPr>
                <w:rFonts w:ascii="Cambria Math" w:hAnsi="Cambria Math"/>
              </w:rPr>
              <m:t>Q</m:t>
            </m:r>
          </m:e>
        </m:d>
      </m:oMath>
      <w:r>
        <w:t>. With no positional term, two keys have identical scores for every allowed query exactly when</w:t>
      </w:r>
    </w:p>
    <w:p w14:paraId="4FDFC0B8" w14:textId="77777777" w:rsidR="00655664" w:rsidRDefault="00000000" w:rsidP="00BD3711">
      <w:pPr>
        <w:pStyle w:val="BodyText"/>
        <w:keepLines/>
        <w:spacing w:before="100" w:after="160"/>
        <w:jc w:val="both"/>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e>
          </m:d>
          <m:r>
            <m:rPr>
              <m:sty m:val="p"/>
            </m:rPr>
            <w:rPr>
              <w:rFonts w:ascii="Cambria Math" w:hAnsi="Cambria Math"/>
            </w:rPr>
            <m:t>=</m:t>
          </m:r>
          <m:r>
            <w:rPr>
              <w:rFonts w:ascii="Cambria Math" w:hAnsi="Cambria Math"/>
            </w:rPr>
            <m:t>0 </m:t>
          </m:r>
          <m:r>
            <m:rPr>
              <m:nor/>
            </m:rPr>
            <m:t xml:space="preserve">for all </m:t>
          </m:r>
          <m:r>
            <w:rPr>
              <w:rFonts w:ascii="Cambria Math" w:hAnsi="Cambria Math"/>
            </w:rPr>
            <m:t>q</m:t>
          </m:r>
          <m:r>
            <m:rPr>
              <m:scr m:val="script"/>
              <m:sty m:val="p"/>
            </m:rPr>
            <w:rPr>
              <w:rFonts w:ascii="Cambria Math" w:hAnsi="Cambria Math"/>
            </w:rPr>
            <m:t>∈Q</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m:t>
              </m:r>
            </m:e>
          </m:d>
        </m:oMath>
      </m:oMathPara>
    </w:p>
    <w:p w14:paraId="55F1287C" w14:textId="77777777" w:rsidR="00655664" w:rsidRDefault="00000000" w:rsidP="00BD3711">
      <w:pPr>
        <w:pStyle w:val="FirstParagraph"/>
        <w:jc w:val="both"/>
      </w:pPr>
      <w:r>
        <w:lastRenderedPageBreak/>
        <w:t xml:space="preserve">Thus a counter can group by the projected key </w:t>
      </w:r>
      <m:oMath>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k</m:t>
        </m:r>
      </m:oMath>
      <w:r>
        <w:t xml:space="preserve">, provided the restriction on future queries is maintained. The equivalence follows directly from the definition of an orthogonal complement. For unrestricted queries, </w:t>
      </w:r>
      <m:oMath>
        <m:r>
          <w:rPr>
            <w:rFonts w:ascii="Cambria Math" w:hAnsi="Cambria Math"/>
          </w:rPr>
          <m:t>U</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k</m:t>
                </m:r>
              </m:sub>
            </m:sSub>
          </m:sup>
        </m:sSup>
      </m:oMath>
      <w:r>
        <w:t xml:space="preserve"> and it reduces to key equality. More general weighted merging is possible when score responses differ only by a known, query-independent additive constant; that constant becomes a fixed positive weight in the count and sum.</w:t>
      </w:r>
    </w:p>
    <w:p w14:paraId="1FAB0E7E" w14:textId="77777777" w:rsidR="00655664" w:rsidRDefault="00000000" w:rsidP="00BD3711">
      <w:pPr>
        <w:pStyle w:val="BodyText"/>
        <w:jc w:val="both"/>
      </w:pPr>
      <w:r>
        <w:t>This characterization concerns equality of score responses for arbitrary payloads. Particular collections with equal values can admit further accidental reductions. We claim sufficiency of the statistic, not a universal minimal-state theorem.</w:t>
      </w:r>
    </w:p>
    <w:p w14:paraId="0057AB67" w14:textId="77777777" w:rsidR="00655664" w:rsidRDefault="00000000" w:rsidP="00BD3711">
      <w:pPr>
        <w:pStyle w:val="Heading2"/>
        <w:jc w:val="both"/>
      </w:pPr>
      <w:bookmarkStart w:id="6" w:name="scope-of-prefix-replacement"/>
      <w:bookmarkEnd w:id="5"/>
      <w:r>
        <w:t>Scope of prefix replacement</w:t>
      </w:r>
    </w:p>
    <w:p w14:paraId="3E5747AA" w14:textId="77777777" w:rsidR="00655664" w:rsidRDefault="00000000" w:rsidP="00BD3711">
      <w:pPr>
        <w:pStyle w:val="FirstParagraph"/>
        <w:jc w:val="both"/>
      </w:pPr>
      <w:r>
        <w:t>In a deterministic causal decoder with fixed parameters and no additional history-dependent component, exact sufficient statistics for every attention head can replace the prefix cache. Induction over subsequent tokens and layers proves the claim: each attention read is preserved, so each subsequent representation and cache update is preserved. Explicit clock state must be retained when positional mechanisms require it.</w:t>
      </w:r>
    </w:p>
    <w:p w14:paraId="356515E8" w14:textId="77777777" w:rsidR="00655664" w:rsidRDefault="00000000" w:rsidP="00BD3711">
      <w:pPr>
        <w:pStyle w:val="BodyText"/>
        <w:jc w:val="both"/>
      </w:pPr>
      <w:r>
        <w:t>For a NoPE model whose initial input depends only on token identity, first-layer keys and values are fixed functions of the token. A vocabulary histogram is therefore sufficient at that layer. The number of distinct keys is at most the number of distinct token types, and can be smaller if projections collide. From the next layer onward, contextual representations can distinguish occurrences of the same token. NoPE models can also develop positional information through their causal computation [8].</w:t>
      </w:r>
    </w:p>
    <w:p w14:paraId="020642A5" w14:textId="77777777" w:rsidR="00655664" w:rsidRDefault="00000000" w:rsidP="00BD3711">
      <w:pPr>
        <w:pStyle w:val="BodyText"/>
        <w:jc w:val="both"/>
      </w:pPr>
      <w:r>
        <w:t xml:space="preserve">Equation (3) is invariant under a common positive scaling of all counts and sums </w:t>
      </w:r>
      <w:r>
        <w:rPr>
          <w:b/>
          <w:bCs/>
        </w:rPr>
        <w:t>at a fixed read</w:t>
      </w:r>
      <w:r>
        <w:t>. Continuation requires more care. Scaling old counts and then adding the next token with unchanged unit weight changes the model. An implementation that rescales accumulated state must track the scale and apply it to subsequent writes. Similarly, normalized frequencies need their total mass to support correct updates.</w:t>
      </w:r>
    </w:p>
    <w:p w14:paraId="453773DB" w14:textId="77777777" w:rsidR="00655664" w:rsidRDefault="00000000" w:rsidP="00BD3711">
      <w:pPr>
        <w:pStyle w:val="Heading1"/>
        <w:jc w:val="both"/>
      </w:pPr>
      <w:bookmarkStart w:id="7" w:name="position-and-recency-in-counted-memory"/>
      <w:bookmarkEnd w:id="3"/>
      <w:bookmarkEnd w:id="6"/>
      <w:r>
        <w:t>4 Position and recency in counted memory</w:t>
      </w:r>
    </w:p>
    <w:p w14:paraId="7B647013" w14:textId="77777777" w:rsidR="00655664" w:rsidRDefault="00000000" w:rsidP="00BD3711">
      <w:pPr>
        <w:pStyle w:val="Heading2"/>
        <w:jc w:val="both"/>
      </w:pPr>
      <w:bookmarkStart w:id="8" w:name="X8ce9bc8392ad5f531224bb74f6e7ff41f747086"/>
      <w:r>
        <w:t>Exponential recency permits exact aggregation</w:t>
      </w:r>
    </w:p>
    <w:p w14:paraId="572C7FBD" w14:textId="77777777" w:rsidR="00655664" w:rsidRDefault="00000000" w:rsidP="00BD3711">
      <w:pPr>
        <w:pStyle w:val="FirstParagraph"/>
        <w:keepNext/>
        <w:jc w:val="both"/>
      </w:pPr>
      <w:r>
        <w:t xml:space="preserve">ALiBi introduces a head-specific bias </w:t>
      </w:r>
      <m:oMath>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h</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i</m:t>
            </m:r>
          </m:e>
        </m:d>
      </m:oMath>
      <w:r>
        <w:t xml:space="preserve"> [9]. For one slope </w:t>
      </w:r>
      <m:oMath>
        <m:r>
          <w:rPr>
            <w:rFonts w:ascii="Cambria Math" w:hAnsi="Cambria Math"/>
          </w:rPr>
          <m:t>m</m:t>
        </m:r>
        <m:r>
          <m:rPr>
            <m:sty m:val="p"/>
          </m:rPr>
          <w:rPr>
            <w:rFonts w:ascii="Cambria Math" w:hAnsi="Cambria Math"/>
          </w:rPr>
          <m:t>≥</m:t>
        </m:r>
        <m:r>
          <w:rPr>
            <w:rFonts w:ascii="Cambria Math" w:hAnsi="Cambria Math"/>
          </w:rPr>
          <m:t>0</m:t>
        </m:r>
      </m:oMath>
      <w:r>
        <w:t>, replace counts and sums by exponentially weighted statistics:</w:t>
      </w:r>
    </w:p>
    <w:p w14:paraId="612D52CB" w14:textId="77777777" w:rsidR="00655664" w:rsidRDefault="00000000" w:rsidP="00BD3711">
      <w:pPr>
        <w:pStyle w:val="BodyText"/>
        <w:keepLines/>
        <w:spacing w:before="100" w:after="160"/>
        <w:jc w:val="both"/>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j</m:t>
              </m:r>
            </m:sub>
          </m:sSub>
          <m:d>
            <m:dPr>
              <m:ctrlPr>
                <w:rPr>
                  <w:rFonts w:ascii="Cambria Math" w:hAnsi="Cambria Math"/>
                </w:rPr>
              </m:ctrlPr>
            </m:dPr>
            <m:e>
              <m:r>
                <w:rPr>
                  <w:rFonts w:ascii="Cambria Math" w:hAnsi="Cambria Math"/>
                </w:rPr>
                <m:t>t</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i</m:t>
                      </m:r>
                    </m:e>
                  </m:d>
                </m:sup>
              </m:sSup>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j</m:t>
              </m:r>
            </m:sub>
          </m:sSub>
          <m:d>
            <m:dPr>
              <m:ctrlPr>
                <w:rPr>
                  <w:rFonts w:ascii="Cambria Math" w:hAnsi="Cambria Math"/>
                </w:rPr>
              </m:ctrlPr>
            </m:dPr>
            <m:e>
              <m:r>
                <w:rPr>
                  <w:rFonts w:ascii="Cambria Math" w:hAnsi="Cambria Math"/>
                </w:rPr>
                <m:t>t</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i</m:t>
                      </m:r>
                    </m:e>
                  </m:d>
                </m:sup>
              </m:sSup>
            </m:e>
          </m:nary>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5</m:t>
              </m:r>
            </m:e>
          </m:d>
        </m:oMath>
      </m:oMathPara>
    </w:p>
    <w:p w14:paraId="22CE2D7C" w14:textId="77777777" w:rsidR="00655664" w:rsidRDefault="00000000" w:rsidP="00BD3711">
      <w:pPr>
        <w:pStyle w:val="FirstParagraph"/>
        <w:keepNext/>
        <w:jc w:val="both"/>
      </w:pPr>
      <w:r>
        <w:t xml:space="preserve">Grouping Eq. (2) then remains exact. Each occupied bin contains a weighted mean </w:t>
      </w:r>
      <m:oMath>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a timestamp </w:t>
      </w:r>
      <m:oMath>
        <m:sSub>
          <m:sSubPr>
            <m:ctrlPr>
              <w:rPr>
                <w:rFonts w:ascii="Cambria Math" w:hAnsi="Cambria Math"/>
              </w:rPr>
            </m:ctrlPr>
          </m:sSubPr>
          <m:e>
            <m:r>
              <w:rPr>
                <w:rFonts w:ascii="Cambria Math" w:hAnsi="Cambria Math"/>
              </w:rPr>
              <m:t>τ</m:t>
            </m:r>
          </m:e>
          <m:sub>
            <m:r>
              <w:rPr>
                <w:rFonts w:ascii="Cambria Math" w:hAnsi="Cambria Math"/>
              </w:rPr>
              <m:t>j</m:t>
            </m:r>
          </m:sub>
        </m:sSub>
      </m:oMath>
      <w:r>
        <w:t xml:space="preserve">, and a log-mass </w:t>
      </w:r>
      <m:oMath>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=log</m:t>
        </m:r>
        <m:sSub>
          <m:sSubPr>
            <m:ctrlPr>
              <w:rPr>
                <w:rFonts w:ascii="Cambria Math" w:hAnsi="Cambria Math"/>
              </w:rPr>
            </m:ctrlPr>
          </m:sSubPr>
          <m:e>
            <m:r>
              <w:rPr>
                <w:rFonts w:ascii="Cambria Math" w:hAnsi="Cambria Math"/>
              </w:rPr>
              <m:t>N</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j</m:t>
                </m:r>
              </m:sub>
            </m:sSub>
          </m:e>
        </m:d>
      </m:oMath>
      <w:r>
        <w:t xml:space="preserve">. At time </w:t>
      </w:r>
      <m:oMath>
        <m:r>
          <w:rPr>
            <w:rFonts w:ascii="Cambria Math" w:hAnsi="Cambria Math"/>
          </w:rPr>
          <m:t>t</m:t>
        </m:r>
      </m:oMath>
      <w:r>
        <w:t xml:space="preserve">, its current log-mass is </w:t>
      </w:r>
      <m:oMath>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e>
        </m:d>
      </m:oMath>
      <w:r>
        <w:t xml:space="preserve">. To add a value whose current weight is </w:t>
      </w:r>
      <m:oMath>
        <m:r>
          <w:rPr>
            <w:rFonts w:ascii="Cambria Math" w:hAnsi="Cambria Math"/>
          </w:rPr>
          <m:t>w</m:t>
        </m:r>
        <m:r>
          <m:rPr>
            <m:sty m:val="p"/>
          </m:rPr>
          <w:rPr>
            <w:rFonts w:ascii="Cambria Math" w:hAnsi="Cambria Math"/>
          </w:rPr>
          <m:t>&gt;</m:t>
        </m:r>
        <m:r>
          <w:rPr>
            <w:rFonts w:ascii="Cambria Math" w:hAnsi="Cambria Math"/>
          </w:rPr>
          <m:t>0</m:t>
        </m:r>
      </m:oMath>
      <w:r>
        <w:t>, update only its bin:</w:t>
      </w:r>
    </w:p>
    <w:p w14:paraId="5AB3AB90" w14:textId="77777777" w:rsidR="00655664" w:rsidRDefault="00000000" w:rsidP="00BD3711">
      <w:pPr>
        <w:pStyle w:val="BodyText"/>
        <w:keepLines/>
        <w:spacing w:before="100" w:after="160"/>
        <w:jc w:val="both"/>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a</m:t>
                </m:r>
              </m:e>
              <m:e>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g</m:t>
                    </m:r>
                  </m:e>
                  <m:sub>
                    <m:r>
                      <w:rPr>
                        <w:rFonts w:ascii="Cambria Math" w:hAnsi="Cambria Math"/>
                      </w:rPr>
                      <m:t>j</m:t>
                    </m:r>
                  </m:sub>
                  <m:sup>
                    <m:r>
                      <m:rPr>
                        <m:sty m:val="p"/>
                      </m:rPr>
                      <w:rPr>
                        <w:rFonts w:ascii="Cambria Math" w:hAnsi="Cambria Math"/>
                      </w:rPr>
                      <m:t>+</m:t>
                    </m:r>
                  </m:sup>
                </m:sSubSup>
                <m:r>
                  <m:rPr>
                    <m:sty m:val="p"/>
                  </m:rPr>
                  <w:rPr>
                    <w:rFonts w:ascii="Cambria Math" w:hAnsi="Cambria Math"/>
                  </w:rPr>
                  <m:t>=logaddexp</m:t>
                </m:r>
                <m:d>
                  <m:dPr>
                    <m:ctrlPr>
                      <w:rPr>
                        <w:rFonts w:ascii="Cambria Math" w:hAnsi="Cambria Math"/>
                      </w:rPr>
                    </m:ctrlPr>
                  </m:dPr>
                  <m:e>
                    <m:r>
                      <w:rPr>
                        <w:rFonts w:ascii="Cambria Math" w:hAnsi="Cambria Math"/>
                      </w:rPr>
                      <m:t>a</m:t>
                    </m:r>
                    <m:r>
                      <m:rPr>
                        <m:sty m:val="p"/>
                      </m:rPr>
                      <w:rPr>
                        <w:rFonts w:ascii="Cambria Math" w:hAnsi="Cambria Math"/>
                      </w:rPr>
                      <m:t>,log</m:t>
                    </m:r>
                    <m:r>
                      <w:rPr>
                        <w:rFonts w:ascii="Cambria Math" w:hAnsi="Cambria Math"/>
                      </w:rPr>
                      <m:t>w</m:t>
                    </m:r>
                  </m:e>
                </m:d>
                <m:r>
                  <m:rPr>
                    <m:sty m:val="p"/>
                  </m:rPr>
                  <w:rPr>
                    <w:rFonts w:ascii="Cambria Math" w:hAnsi="Cambria Math"/>
                  </w:rPr>
                  <m:t>,</m:t>
                </m:r>
              </m:e>
            </m:mr>
            <m:mr>
              <m:e>
                <m:sSubSup>
                  <m:sSubSupPr>
                    <m:ctrlPr>
                      <w:rPr>
                        <w:rFonts w:ascii="Cambria Math" w:hAnsi="Cambria Math"/>
                      </w:rPr>
                    </m:ctrlPr>
                  </m:sSubSupPr>
                  <m:e>
                    <m:r>
                      <w:rPr>
                        <w:rFonts w:ascii="Cambria Math" w:hAnsi="Cambria Math"/>
                      </w:rPr>
                      <m:t>μ</m:t>
                    </m:r>
                  </m:e>
                  <m:sub>
                    <m:r>
                      <w:rPr>
                        <w:rFonts w:ascii="Cambria Math" w:hAnsi="Cambria Math"/>
                      </w:rPr>
                      <m:t>j</m:t>
                    </m:r>
                  </m:sub>
                  <m:sup>
                    <m:r>
                      <m:rPr>
                        <m:sty m:val="p"/>
                      </m:rPr>
                      <w:rPr>
                        <w:rFonts w:ascii="Cambria Math" w:hAnsi="Cambria Math"/>
                      </w:rPr>
                      <m:t>+</m:t>
                    </m:r>
                  </m:sup>
                </m:sSubSup>
              </m:e>
              <m:e>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log</m:t>
                    </m:r>
                    <m:r>
                      <w:rPr>
                        <w:rFonts w:ascii="Cambria Math" w:hAnsi="Cambria Math"/>
                      </w:rPr>
                      <m:t>w</m:t>
                    </m:r>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j</m:t>
                        </m:r>
                      </m:sub>
                      <m:sup>
                        <m:r>
                          <m:rPr>
                            <m:sty m:val="p"/>
                          </m:rPr>
                          <w:rPr>
                            <w:rFonts w:ascii="Cambria Math" w:hAnsi="Cambria Math"/>
                          </w:rPr>
                          <m:t>+</m:t>
                        </m:r>
                      </m:sup>
                    </m:sSubSup>
                  </m:sup>
                </m:sSup>
                <m:d>
                  <m:dPr>
                    <m:ctrlPr>
                      <w:rPr>
                        <w:rFonts w:ascii="Cambria Math" w:hAnsi="Cambria Math"/>
                      </w:rPr>
                    </m:ctrlPr>
                  </m:dPr>
                  <m:e>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τ</m:t>
                    </m:r>
                  </m:e>
                  <m:sub>
                    <m:r>
                      <w:rPr>
                        <w:rFonts w:ascii="Cambria Math" w:hAnsi="Cambria Math"/>
                      </w:rPr>
                      <m:t>j</m:t>
                    </m:r>
                  </m:sub>
                  <m:sup>
                    <m:r>
                      <m:rPr>
                        <m:sty m:val="p"/>
                      </m:rPr>
                      <w:rPr>
                        <w:rFonts w:ascii="Cambria Math" w:hAnsi="Cambria Math"/>
                      </w:rPr>
                      <m:t>+</m:t>
                    </m:r>
                  </m:sup>
                </m:sSubSup>
                <m:r>
                  <m:rPr>
                    <m:sty m:val="p"/>
                  </m:rPr>
                  <w:rPr>
                    <w:rFonts w:ascii="Cambria Math" w:hAnsi="Cambria Math"/>
                  </w:rPr>
                  <m:t>=</m:t>
                </m:r>
                <m:r>
                  <w:rPr>
                    <w:rFonts w:ascii="Cambria Math" w:hAnsi="Cambria Math"/>
                  </w:rPr>
                  <m:t>t</m:t>
                </m:r>
                <m:r>
                  <m:rPr>
                    <m:sty m:val="p"/>
                  </m:rPr>
                  <w:rPr>
                    <w:rFonts w:ascii="Cambria Math" w:hAnsi="Cambria Math"/>
                  </w:rPr>
                  <m:t>.</m:t>
                </m:r>
              </m:e>
            </m:mr>
          </m:m>
          <m:r>
            <w:rPr>
              <w:rFonts w:ascii="Cambria Math" w:hAnsi="Cambria Math"/>
            </w:rPr>
            <m:t>  </m:t>
          </m:r>
          <m:d>
            <m:dPr>
              <m:ctrlPr>
                <w:rPr>
                  <w:rFonts w:ascii="Cambria Math" w:hAnsi="Cambria Math"/>
                </w:rPr>
              </m:ctrlPr>
            </m:dPr>
            <m:e>
              <m:r>
                <w:rPr>
                  <w:rFonts w:ascii="Cambria Math" w:hAnsi="Cambria Math"/>
                </w:rPr>
                <m:t>6</m:t>
              </m:r>
            </m:e>
          </m:d>
        </m:oMath>
      </m:oMathPara>
    </w:p>
    <w:p w14:paraId="39C99206" w14:textId="77777777" w:rsidR="00655664" w:rsidRDefault="00000000" w:rsidP="00BD3711">
      <w:pPr>
        <w:pStyle w:val="FirstParagraph"/>
        <w:jc w:val="both"/>
      </w:pPr>
      <w:r>
        <w:t xml:space="preserve">The read score is the content score plus </w:t>
      </w:r>
      <m:oMath>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e>
        </m:d>
      </m:oMath>
      <w:r>
        <w:t xml:space="preserve">. Subtract the maximum </w:t>
      </w:r>
      <w:r>
        <w:rPr>
          <w:b/>
          <w:bCs/>
        </w:rPr>
        <w:t>complete score</w:t>
      </w:r>
      <w:r>
        <w:t xml:space="preserve">, including log-mass, before exponentiation. This formulation avoids explicitly forming exponentially </w:t>
      </w:r>
      <w:r>
        <w:lastRenderedPageBreak/>
        <w:t xml:space="preserve">growing global weights and avoids decaying all bins on every write. The statistics update in </w:t>
      </w:r>
      <m:oMath>
        <m:r>
          <w:rPr>
            <w:rFonts w:ascii="Cambria Math" w:hAnsi="Cambria Math"/>
          </w:rPr>
          <m:t>O</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v</m:t>
                </m:r>
              </m:sub>
            </m:sSub>
          </m:e>
        </m:d>
      </m:oMath>
      <w:r>
        <w:t xml:space="preserve"> work per affected head, excluding codeword search. A full read still visits the occupied bins.</w:t>
      </w:r>
    </w:p>
    <w:p w14:paraId="04F3BA70" w14:textId="77777777" w:rsidR="00655664" w:rsidRDefault="00000000" w:rsidP="00BD3711">
      <w:pPr>
        <w:pStyle w:val="BodyText"/>
        <w:jc w:val="both"/>
      </w:pPr>
      <w:r>
        <w:t xml:space="preserve">For a window containing the newest </w:t>
      </w:r>
      <m:oMath>
        <m:r>
          <w:rPr>
            <w:rFonts w:ascii="Cambria Math" w:hAnsi="Cambria Math"/>
          </w:rPr>
          <m:t>W</m:t>
        </m:r>
      </m:oMath>
      <w:r>
        <w:t xml:space="preserve"> tokens, a token of age </w:t>
      </w:r>
      <m:oMath>
        <m:r>
          <w:rPr>
            <w:rFonts w:ascii="Cambria Math" w:hAnsi="Cambria Math"/>
          </w:rPr>
          <m:t>W</m:t>
        </m:r>
      </m:oMath>
      <w:r>
        <w:t xml:space="preserve"> enters the counter with weight </w:t>
      </w:r>
      <m:oMath>
        <m:r>
          <w:rPr>
            <w:rFonts w:ascii="Cambria Math" w:hAnsi="Cambria Math"/>
          </w:rPr>
          <m:t>w</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mW</m:t>
            </m:r>
          </m:sup>
        </m:sSup>
      </m:oMath>
      <w:r>
        <w:t>, represented by its logarithm. Adding it with unit weight would incorrectly make it new again. The window and counter must use the same time origin and normalization.</w:t>
      </w:r>
    </w:p>
    <w:p w14:paraId="15440E64" w14:textId="77777777" w:rsidR="00655664" w:rsidRDefault="00000000" w:rsidP="00BD3711">
      <w:pPr>
        <w:pStyle w:val="Heading2"/>
        <w:jc w:val="both"/>
      </w:pPr>
      <w:bookmarkStart w:id="9" w:name="which-heads-can-share-a-counter"/>
      <w:bookmarkEnd w:id="8"/>
      <w:r>
        <w:t>Which heads can share a counter</w:t>
      </w:r>
    </w:p>
    <w:p w14:paraId="6EE8D28A" w14:textId="77777777" w:rsidR="00655664" w:rsidRDefault="00000000" w:rsidP="00BD3711">
      <w:pPr>
        <w:pStyle w:val="FirstParagraph"/>
        <w:jc w:val="both"/>
      </w:pPr>
      <w:r>
        <w:t>Shared quantization assignments permit a common count in NoPE shared-slice Attentionlet. With distinct ALiBi slopes, each head needs its own decayed mass and weighted value mean. Likewise, grouped-query attention [13] permits shared statistics only when its query heads also share the relevant temporal weighting. Shared keys and values alone do not make differently weighted sums equal. For two values 0 and 1, observed at successive times, a zero-slope read gives 0.5 while slope one gives approximately 0.731.</w:t>
      </w:r>
    </w:p>
    <w:p w14:paraId="74E1EB85" w14:textId="77777777" w:rsidR="00655664" w:rsidRDefault="00000000" w:rsidP="00BD3711">
      <w:pPr>
        <w:pStyle w:val="BodyText"/>
        <w:jc w:val="both"/>
      </w:pPr>
      <w:r>
        <w:t xml:space="preserve">For a bin written at every step, its steady raw mass is </w:t>
      </w:r>
      <m:oMath>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m</m:t>
                </m:r>
              </m:sup>
            </m:sSup>
          </m:e>
        </m:d>
      </m:oMath>
      <w:r>
        <w:t xml:space="preserve">. This is not its statistical effective sample size. With independent equal-variance observations, the usual squared-weight effective sample size is </w:t>
      </w:r>
      <m:oMath>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m</m:t>
                </m:r>
              </m:sup>
            </m:sSup>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m</m:t>
                </m:r>
              </m:sup>
            </m:sSup>
          </m:e>
        </m:d>
      </m:oMath>
      <w:r>
        <w:t>. Decay controls both recency and resistance to updating, but these two notions of count must remain distinct.</w:t>
      </w:r>
    </w:p>
    <w:p w14:paraId="1A154308" w14:textId="77777777" w:rsidR="00655664" w:rsidRDefault="00000000" w:rsidP="00BD3711">
      <w:pPr>
        <w:pStyle w:val="BodyText"/>
        <w:jc w:val="both"/>
      </w:pPr>
      <w:r>
        <w:t>A positive mixture of exponential age kernels can use one set of weighted statistics per component. State then increases with the number of components. Such a construction can approximate a slower decay over a specified age range, but its accuracy must be fitted and checked; a fixed number of exponentials does not automatically certify a power law over arbitrary ages.</w:t>
      </w:r>
    </w:p>
    <w:p w14:paraId="3CB94B2B" w14:textId="77777777" w:rsidR="00655664" w:rsidRDefault="00000000" w:rsidP="00BD3711">
      <w:pPr>
        <w:pStyle w:val="Heading2"/>
        <w:jc w:val="both"/>
      </w:pPr>
      <w:bookmarkStart w:id="10" w:name="X22b532196641b48309695e63c73b1debab53f1c"/>
      <w:bookmarkEnd w:id="9"/>
      <w:r>
        <w:t>Rotary embeddings change the address to be merged</w:t>
      </w:r>
    </w:p>
    <w:p w14:paraId="2B85927B" w14:textId="77777777" w:rsidR="00655664" w:rsidRDefault="00000000" w:rsidP="00BD3711">
      <w:pPr>
        <w:pStyle w:val="FirstParagraph"/>
        <w:jc w:val="both"/>
      </w:pPr>
      <w:r>
        <w:t xml:space="preserve">For standard RoPE [10], define effective keys </w:t>
      </w:r>
      <m:oMath>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sSubSup>
          <m:sSubSupPr>
            <m:ctrlPr>
              <w:rPr>
                <w:rFonts w:ascii="Cambria Math" w:hAnsi="Cambria Math"/>
              </w:rPr>
            </m:ctrlPr>
          </m:sSubSupPr>
          <m:e>
            <m:r>
              <w:rPr>
                <w:rFonts w:ascii="Cambria Math" w:hAnsi="Cambria Math"/>
              </w:rPr>
              <m:t>k</m:t>
            </m:r>
          </m:e>
          <m:sub>
            <m:r>
              <w:rPr>
                <w:rFonts w:ascii="Cambria Math" w:hAnsi="Cambria Math"/>
              </w:rPr>
              <m:t>i</m:t>
            </m:r>
          </m:sub>
          <m:sup>
            <m:r>
              <w:rPr>
                <w:rFonts w:ascii="Cambria Math" w:hAnsi="Cambria Math"/>
              </w:rPr>
              <m:t>0</m:t>
            </m:r>
          </m:sup>
        </m:sSubSup>
      </m:oMath>
      <w:r>
        <w:t xml:space="preserve"> and effective queries </w:t>
      </w: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0</m:t>
            </m:r>
          </m:sup>
        </m:sSubSup>
      </m:oMath>
      <w:r>
        <w:t xml:space="preserve">. The score is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q</m:t>
                </m:r>
              </m:e>
            </m:acc>
          </m:e>
          <m:sub>
            <m:r>
              <w:rPr>
                <w:rFonts w:ascii="Cambria Math" w:hAnsi="Cambria Math"/>
              </w:rPr>
              <m:t>t</m:t>
            </m:r>
          </m:sub>
          <m:sup>
            <m:r>
              <m:rPr>
                <m:sty m:val="p"/>
              </m:rPr>
              <w:rPr>
                <w:rFonts w:ascii="Cambria Math" w:hAnsi="Cambria Math"/>
              </w:rPr>
              <m:t>⊤</m:t>
            </m:r>
          </m:sup>
        </m:sSubSup>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i</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 xml:space="preserve">. Equation (3) therefore still applies to identical </w:t>
      </w:r>
      <w:r>
        <w:rPr>
          <w:b/>
          <w:bCs/>
        </w:rPr>
        <w:t>effective rotated keys</w:t>
      </w:r>
      <w:r>
        <w:t>, and approximate counting can quantize those effective keys.</w:t>
      </w:r>
    </w:p>
    <w:p w14:paraId="3E5134B4" w14:textId="77777777" w:rsidR="00655664" w:rsidRDefault="00000000" w:rsidP="00BD3711">
      <w:pPr>
        <w:pStyle w:val="BodyText"/>
        <w:jc w:val="both"/>
      </w:pPr>
      <w:r>
        <w:t>What generally fails is merging repeated unrotated content keys across positions. Their rotations differ, so they can receive different scores from the same future query. RoPE does not forbid aggregation algebraically; it can make the effective-key distribution harder to cover at a useful error. Commutative vector quantization [16] addresses efficient cache coding with RoPE, but coding each token and merging many tokens into one statistic are separate operations. Models with changed rotary scales or other time-varying key transformations require a fresh compatibility analysis.</w:t>
      </w:r>
    </w:p>
    <w:p w14:paraId="4C5FA3D3" w14:textId="77777777" w:rsidR="00655664" w:rsidRDefault="00000000" w:rsidP="00BD3711">
      <w:pPr>
        <w:pStyle w:val="Heading1"/>
        <w:jc w:val="both"/>
      </w:pPr>
      <w:bookmarkStart w:id="11" w:name="error-control-for-approximate-merging"/>
      <w:bookmarkEnd w:id="7"/>
      <w:bookmarkEnd w:id="10"/>
      <w:r>
        <w:t>5 Error control for approximate merging</w:t>
      </w:r>
    </w:p>
    <w:p w14:paraId="0C1CA59B" w14:textId="77777777" w:rsidR="00655664" w:rsidRDefault="00000000" w:rsidP="00BD3711">
      <w:pPr>
        <w:pStyle w:val="Heading2"/>
        <w:jc w:val="both"/>
      </w:pPr>
      <w:bookmarkStart w:id="12" w:name="quantized-keys-and-a-sharp-global-bound"/>
      <w:r>
        <w:t>Quantized keys and a sharp global bound</w:t>
      </w:r>
    </w:p>
    <w:p w14:paraId="4209D784" w14:textId="77777777" w:rsidR="00655664" w:rsidRDefault="00000000" w:rsidP="00BD3711">
      <w:pPr>
        <w:pStyle w:val="FirstParagraph"/>
        <w:jc w:val="both"/>
      </w:pPr>
      <w:r>
        <w:t xml:space="preserve">Let </w:t>
      </w:r>
      <m:oMath>
        <m:r>
          <w:rPr>
            <w:rFonts w:ascii="Cambria Math" w:hAnsi="Cambria Math"/>
          </w:rPr>
          <m:t>Q</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z</m:t>
                </m:r>
              </m:e>
              <m:sub>
                <m:r>
                  <w:rPr>
                    <w:rFonts w:ascii="Cambria Math" w:hAnsi="Cambria Math"/>
                  </w:rPr>
                  <m:t>i</m:t>
                </m:r>
              </m:sub>
            </m:sSub>
          </m:sub>
        </m:sSub>
      </m:oMath>
      <w:r>
        <w:t xml:space="preserve"> map old keys to a fixed codebook. Counting these assignments is exact for the attention operation whose keys are </w:t>
      </w:r>
      <m:oMath>
        <m:r>
          <w:rPr>
            <w:rFonts w:ascii="Cambria Math" w:hAnsi="Cambria Math"/>
          </w:rPr>
          <m:t>Q</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i</m:t>
                </m:r>
              </m:sub>
            </m:sSub>
          </m:e>
        </m:d>
      </m:oMath>
      <w:r>
        <w:t xml:space="preserve">. Its deviation from unquantized attention comes from the logit perturbations </w:t>
      </w:r>
      <m:oMath>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cr m:val="script"/>
                    <m:sty m:val="p"/>
                  </m:rPr>
                  <w:rPr>
                    <w:rFonts w:ascii="Cambria Math" w:hAnsi="Cambria Math"/>
                  </w:rPr>
                  <m:t>l</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oMath>
      <w:r>
        <w:t>. Values remain unchanged in this analysis.</w:t>
      </w:r>
    </w:p>
    <w:p w14:paraId="0E9DC33D" w14:textId="77777777" w:rsidR="00655664" w:rsidRDefault="00000000" w:rsidP="00BD3711">
      <w:pPr>
        <w:pStyle w:val="BodyText"/>
        <w:keepNext/>
        <w:jc w:val="both"/>
      </w:pPr>
      <w:r>
        <w:rPr>
          <w:b/>
          <w:bCs/>
        </w:rPr>
        <w:lastRenderedPageBreak/>
        <w:t>Proposition 2 Perturbation bound.</w:t>
      </w:r>
      <w:r>
        <w:t xml:space="preserve"> Let </w:t>
      </w:r>
      <m:oMath>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oMath>
      <w:r>
        <w:t xml:space="preserve"> in any norm, and define </w:t>
      </w:r>
      <m:oMath>
        <m:sSub>
          <m:sSubPr>
            <m:ctrlPr>
              <w:rPr>
                <w:rFonts w:ascii="Cambria Math" w:hAnsi="Cambria Math"/>
              </w:rPr>
            </m:ctrlPr>
          </m:sSubPr>
          <m:e>
            <m:r>
              <w:rPr>
                <w:rFonts w:ascii="Cambria Math" w:hAnsi="Cambria Math"/>
              </w:rPr>
              <m:t>R</m:t>
            </m:r>
          </m:e>
          <m:sub>
            <m:r>
              <w:rPr>
                <w:rFonts w:ascii="Cambria Math" w:hAnsi="Cambria Math"/>
              </w:rPr>
              <m:t>Δ</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sSub>
          <m:sSubPr>
            <m:ctrlPr>
              <w:rPr>
                <w:rFonts w:ascii="Cambria Math" w:hAnsi="Cambria Math"/>
              </w:rPr>
            </m:ctrlPr>
          </m:sSubPr>
          <m:e>
            <m:r>
              <w:rPr>
                <w:rFonts w:ascii="Cambria Math" w:hAnsi="Cambria Math"/>
              </w:rPr>
              <m:t>Δ</m:t>
            </m:r>
          </m:e>
          <m:sub>
            <m:r>
              <w:rPr>
                <w:rFonts w:ascii="Cambria Math" w:hAnsi="Cambria Math"/>
              </w:rPr>
              <m:t>i</m:t>
            </m:r>
          </m:sub>
        </m:sSub>
      </m:oMath>
      <w:r>
        <w:t>. Then</w:t>
      </w:r>
    </w:p>
    <w:p w14:paraId="5557BE4C" w14:textId="77777777" w:rsidR="00655664" w:rsidRDefault="00000000" w:rsidP="00BD3711">
      <w:pPr>
        <w:pStyle w:val="BodyText"/>
        <w:keepLines/>
        <w:spacing w:before="100" w:after="160"/>
        <w:jc w:val="both"/>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sty m:val="p"/>
                  </m:rPr>
                  <w:rPr>
                    <w:rFonts w:ascii="Cambria Math" w:hAnsi="Cambria Math"/>
                  </w:rPr>
                  <m:t>∥</m:t>
                </m:r>
                <m:r>
                  <w:rPr>
                    <w:rFonts w:ascii="Cambria Math" w:hAnsi="Cambria Math"/>
                  </w:rPr>
                  <m:t>o</m:t>
                </m:r>
                <m:r>
                  <m:rPr>
                    <m:sty m:val="p"/>
                  </m:rPr>
                  <w:rPr>
                    <w:rFonts w:ascii="Cambria Math" w:hAnsi="Cambria Math"/>
                  </w:rPr>
                  <m:t>-</m:t>
                </m:r>
                <m:acc>
                  <m:accPr>
                    <m:ctrlPr>
                      <w:rPr>
                        <w:rFonts w:ascii="Cambria Math" w:hAnsi="Cambria Math"/>
                      </w:rPr>
                    </m:ctrlPr>
                  </m:accPr>
                  <m:e>
                    <m:r>
                      <w:rPr>
                        <w:rFonts w:ascii="Cambria Math" w:hAnsi="Cambria Math"/>
                      </w:rPr>
                      <m:t>o</m:t>
                    </m:r>
                  </m:e>
                </m:acc>
                <m:r>
                  <m:rPr>
                    <m:sty m:val="p"/>
                  </m:rPr>
                  <w:rPr>
                    <w:rFonts w:ascii="Cambria Math" w:hAnsi="Cambria Math"/>
                  </w:rPr>
                  <m:t>∥</m:t>
                </m:r>
              </m:e>
              <m:e>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tanh</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Δ</m:t>
                        </m:r>
                      </m:sub>
                    </m:sSub>
                    <m:r>
                      <m:rPr>
                        <m:sty m:val="p"/>
                      </m:rPr>
                      <w:rPr>
                        <w:rFonts w:ascii="Cambria Math" w:hAnsi="Cambria Math"/>
                      </w:rPr>
                      <m:t>/</m:t>
                    </m:r>
                    <m:r>
                      <w:rPr>
                        <w:rFonts w:ascii="Cambria Math" w:hAnsi="Cambria Math"/>
                      </w:rPr>
                      <m:t>4</m:t>
                    </m:r>
                  </m:e>
                </m:d>
                <m:r>
                  <m:rPr>
                    <m:sty m:val="p"/>
                  </m:rPr>
                  <w:rPr>
                    <w:rFonts w:ascii="Cambria Math" w:hAnsi="Cambria Math"/>
                  </w:rPr>
                  <m:t>,</m:t>
                </m:r>
              </m:e>
            </m:mr>
            <m:mr>
              <m:e>
                <m:d>
                  <m:dPr>
                    <m:begChr m:val="|"/>
                    <m:endChr m:val="|"/>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i</m:t>
                        </m:r>
                      </m:sub>
                    </m:sSub>
                  </m:e>
                </m:d>
                <m:r>
                  <m:rPr>
                    <m:sty m:val="p"/>
                  </m:rPr>
                  <w:rPr>
                    <w:rFonts w:ascii="Cambria Math" w:hAnsi="Cambria Math"/>
                  </w:rPr>
                  <m:t>≤</m:t>
                </m:r>
                <m:r>
                  <w:rPr>
                    <w:rFonts w:ascii="Cambria Math" w:hAnsi="Cambria Math"/>
                  </w:rPr>
                  <m:t>ε 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o</m:t>
                </m:r>
                <m:r>
                  <m:rPr>
                    <m:sty m:val="p"/>
                  </m:rPr>
                  <w:rPr>
                    <w:rFonts w:ascii="Cambria Math" w:hAnsi="Cambria Math"/>
                  </w:rPr>
                  <m:t>-</m:t>
                </m:r>
                <m:acc>
                  <m:accPr>
                    <m:ctrlPr>
                      <w:rPr>
                        <w:rFonts w:ascii="Cambria Math" w:hAnsi="Cambria Math"/>
                      </w:rPr>
                    </m:ctrlPr>
                  </m:accPr>
                  <m:e>
                    <m:r>
                      <w:rPr>
                        <w:rFonts w:ascii="Cambria Math" w:hAnsi="Cambria Math"/>
                      </w:rPr>
                      <m:t>o</m:t>
                    </m:r>
                  </m:e>
                </m:acc>
                <m:r>
                  <m:rPr>
                    <m:sty m:val="p"/>
                  </m:rPr>
                  <w:rPr>
                    <w:rFonts w:ascii="Cambria Math" w:hAnsi="Cambria Math"/>
                  </w:rPr>
                  <m:t>∥</m:t>
                </m:r>
              </m:e>
              <m:e>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tanh</m:t>
                </m:r>
                <m:d>
                  <m:dPr>
                    <m:ctrlPr>
                      <w:rPr>
                        <w:rFonts w:ascii="Cambria Math" w:hAnsi="Cambria Math"/>
                      </w:rPr>
                    </m:ctrlPr>
                  </m:dPr>
                  <m:e>
                    <m:r>
                      <w:rPr>
                        <w:rFonts w:ascii="Cambria Math" w:hAnsi="Cambria Math"/>
                      </w:rPr>
                      <m:t>ε</m:t>
                    </m:r>
                    <m:r>
                      <m:rPr>
                        <m:sty m:val="p"/>
                      </m:rPr>
                      <w:rPr>
                        <w:rFonts w:ascii="Cambria Math" w:hAnsi="Cambria Math"/>
                      </w:rPr>
                      <m:t>/</m:t>
                    </m:r>
                    <m:r>
                      <w:rPr>
                        <w:rFonts w:ascii="Cambria Math" w:hAnsi="Cambria Math"/>
                      </w:rPr>
                      <m:t>2</m:t>
                    </m:r>
                  </m:e>
                </m:d>
                <m:r>
                  <m:rPr>
                    <m:sty m:val="p"/>
                  </m:rPr>
                  <w:rPr>
                    <w:rFonts w:ascii="Cambria Math" w:hAnsi="Cambria Math"/>
                  </w:rPr>
                  <m:t>.</m:t>
                </m:r>
              </m:e>
            </m:mr>
          </m:m>
          <m:r>
            <w:rPr>
              <w:rFonts w:ascii="Cambria Math" w:hAnsi="Cambria Math"/>
            </w:rPr>
            <m:t>  </m:t>
          </m:r>
          <m:d>
            <m:dPr>
              <m:ctrlPr>
                <w:rPr>
                  <w:rFonts w:ascii="Cambria Math" w:hAnsi="Cambria Math"/>
                </w:rPr>
              </m:ctrlPr>
            </m:dPr>
            <m:e>
              <m:r>
                <w:rPr>
                  <w:rFonts w:ascii="Cambria Math" w:hAnsi="Cambria Math"/>
                </w:rPr>
                <m:t>7</m:t>
              </m:r>
            </m:e>
          </m:d>
        </m:oMath>
      </m:oMathPara>
    </w:p>
    <w:p w14:paraId="222C39DC" w14:textId="77777777" w:rsidR="00655664" w:rsidRDefault="00000000" w:rsidP="00BD3711">
      <w:pPr>
        <w:pStyle w:val="FirstParagraph"/>
        <w:keepNext/>
        <w:jc w:val="both"/>
      </w:pPr>
      <w:r>
        <w:rPr>
          <w:b/>
          <w:bCs/>
        </w:rPr>
        <w:t>Proof.</w:t>
      </w:r>
      <w:r>
        <w:t xml:space="preserve"> Let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be the exact attention weights,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Δ</m:t>
                </m:r>
              </m:e>
              <m:sub>
                <m:r>
                  <w:rPr>
                    <w:rFonts w:ascii="Cambria Math" w:hAnsi="Cambria Math"/>
                  </w:rPr>
                  <m:t>i</m:t>
                </m:r>
              </m:sub>
            </m:sSub>
          </m:sup>
        </m:sSup>
      </m:oMath>
      <w:r>
        <w:t xml:space="preserve">, and </w:t>
      </w:r>
      <m:oMath>
        <m:r>
          <w:rPr>
            <w:rFonts w:ascii="Cambria Math" w:hAnsi="Cambria Math"/>
          </w:rPr>
          <m:t>Z</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The perturbed weights are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Z</m:t>
        </m:r>
      </m:oMath>
      <w:r>
        <w:t xml:space="preserve">. Put </w:t>
      </w:r>
      <m:oMath>
        <m:r>
          <w:rPr>
            <w:rFonts w:ascii="Cambria Math" w:hAnsi="Cambria Math"/>
          </w:rPr>
          <m:t>a</m:t>
        </m:r>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and </w:t>
      </w:r>
      <m:oMath>
        <m:r>
          <w:rPr>
            <w:rFonts w:ascii="Cambria Math" w:hAnsi="Cambria Math"/>
          </w:rPr>
          <m:t>b</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Convexity of absolute value bounds its expectation on </w:t>
      </w:r>
      <m:oMath>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 xml:space="preserve"> by that of an endpoint distribution with the same mean. Hence</w:t>
      </w:r>
    </w:p>
    <w:p w14:paraId="15B47501" w14:textId="77777777" w:rsidR="00655664" w:rsidRDefault="00000000" w:rsidP="00BD3711">
      <w:pPr>
        <w:pStyle w:val="BodyText"/>
        <w:keepLines/>
        <w:spacing w:before="100" w:after="160"/>
        <w:jc w:val="both"/>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sty m:val="p"/>
                  </m:rPr>
                  <w:rPr>
                    <w:rFonts w:ascii="Cambria Math" w:hAnsi="Cambria Math"/>
                  </w:rPr>
                  <m:t>TV</m:t>
                </m:r>
                <m:d>
                  <m:dPr>
                    <m:ctrlPr>
                      <w:rPr>
                        <w:rFonts w:ascii="Cambria Math" w:hAnsi="Cambria Math"/>
                      </w:rPr>
                    </m:ctrlPr>
                  </m:dPr>
                  <m:e>
                    <m:r>
                      <w:rPr>
                        <w:rFonts w:ascii="Cambria Math" w:hAnsi="Cambria Math"/>
                      </w:rPr>
                      <m:t>p</m:t>
                    </m:r>
                    <m:r>
                      <m:rPr>
                        <m:sty m:val="p"/>
                      </m:rPr>
                      <w:rPr>
                        <w:rFonts w:ascii="Cambria Math" w:hAnsi="Cambria Math"/>
                      </w:rPr>
                      <m:t>,</m:t>
                    </m:r>
                    <m:acc>
                      <m:accPr>
                        <m:ctrlPr>
                          <w:rPr>
                            <w:rFonts w:ascii="Cambria Math" w:hAnsi="Cambria Math"/>
                          </w:rPr>
                        </m:ctrlPr>
                      </m:accPr>
                      <m:e>
                        <m:r>
                          <w:rPr>
                            <w:rFonts w:ascii="Cambria Math" w:hAnsi="Cambria Math"/>
                          </w:rPr>
                          <m:t>p</m:t>
                        </m:r>
                      </m:e>
                    </m:acc>
                  </m:e>
                </m:d>
              </m:e>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d>
                      <m:dPr>
                        <m:begChr m:val="|"/>
                        <m:endChr m:val="|"/>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Z</m:t>
                        </m:r>
                      </m:e>
                    </m:d>
                  </m:num>
                  <m:den>
                    <m:r>
                      <w:rPr>
                        <w:rFonts w:ascii="Cambria Math" w:hAnsi="Cambria Math"/>
                      </w:rPr>
                      <m:t>2Z</m:t>
                    </m:r>
                  </m:den>
                </m:f>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Z</m:t>
                        </m:r>
                      </m:e>
                    </m:d>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a</m:t>
                        </m:r>
                      </m:e>
                    </m:d>
                  </m:num>
                  <m:den>
                    <m:r>
                      <w:rPr>
                        <w:rFonts w:ascii="Cambria Math" w:hAnsi="Cambria Math"/>
                      </w:rPr>
                      <m:t>Z</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den>
                </m:f>
              </m:e>
            </m:mr>
            <m:mr>
              <m:e>
                <m:r>
                  <m:rPr>
                    <m:sty m:val="p"/>
                  </m:rPr>
                  <w:rPr>
                    <w:rFonts w:ascii="Cambria Math" w:hAnsi="Cambria Math"/>
                  </w:rPr>
                  <m:t>TV</m:t>
                </m:r>
                <m:d>
                  <m:dPr>
                    <m:ctrlPr>
                      <w:rPr>
                        <w:rFonts w:ascii="Cambria Math" w:hAnsi="Cambria Math"/>
                      </w:rPr>
                    </m:ctrlPr>
                  </m:dPr>
                  <m:e>
                    <m:r>
                      <w:rPr>
                        <w:rFonts w:ascii="Cambria Math" w:hAnsi="Cambria Math"/>
                      </w:rPr>
                      <m:t>p</m:t>
                    </m:r>
                    <m:r>
                      <m:rPr>
                        <m:sty m:val="p"/>
                      </m:rPr>
                      <w:rPr>
                        <w:rFonts w:ascii="Cambria Math" w:hAnsi="Cambria Math"/>
                      </w:rPr>
                      <m:t>,</m:t>
                    </m:r>
                    <m:acc>
                      <m:accPr>
                        <m:ctrlPr>
                          <w:rPr>
                            <w:rFonts w:ascii="Cambria Math" w:hAnsi="Cambria Math"/>
                          </w:rPr>
                        </m:ctrlPr>
                      </m:accPr>
                      <m:e>
                        <m:r>
                          <w:rPr>
                            <w:rFonts w:ascii="Cambria Math" w:hAnsi="Cambria Math"/>
                          </w:rPr>
                          <m:t>p</m:t>
                        </m:r>
                      </m:e>
                    </m:acc>
                  </m:e>
                </m:d>
              </m:e>
              <m:e>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b</m:t>
                        </m:r>
                      </m:e>
                    </m:rad>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num>
                  <m:den>
                    <m:rad>
                      <m:radPr>
                        <m:degHide m:val="1"/>
                        <m:ctrlPr>
                          <w:rPr>
                            <w:rFonts w:ascii="Cambria Math" w:hAnsi="Cambria Math"/>
                          </w:rPr>
                        </m:ctrlPr>
                      </m:radPr>
                      <m:deg/>
                      <m:e>
                        <m:r>
                          <w:rPr>
                            <w:rFonts w:ascii="Cambria Math" w:hAnsi="Cambria Math"/>
                          </w:rPr>
                          <m:t>b</m:t>
                        </m:r>
                      </m:e>
                    </m:rad>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den>
                </m:f>
                <m:r>
                  <m:rPr>
                    <m:sty m:val="p"/>
                  </m:rPr>
                  <w:rPr>
                    <w:rFonts w:ascii="Cambria Math" w:hAnsi="Cambria Math"/>
                  </w:rPr>
                  <m:t>=tanh</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Δ</m:t>
                        </m:r>
                      </m:sub>
                    </m:sSub>
                    <m:r>
                      <m:rPr>
                        <m:sty m:val="p"/>
                      </m:rPr>
                      <w:rPr>
                        <w:rFonts w:ascii="Cambria Math" w:hAnsi="Cambria Math"/>
                      </w:rPr>
                      <m:t>/</m:t>
                    </m:r>
                    <m:r>
                      <w:rPr>
                        <w:rFonts w:ascii="Cambria Math" w:hAnsi="Cambria Math"/>
                      </w:rPr>
                      <m:t>4</m:t>
                    </m:r>
                  </m:e>
                </m:d>
                <m:r>
                  <m:rPr>
                    <m:sty m:val="p"/>
                  </m:rPr>
                  <w:rPr>
                    <w:rFonts w:ascii="Cambria Math" w:hAnsi="Cambria Math"/>
                  </w:rPr>
                  <m:t>.</m:t>
                </m:r>
              </m:e>
            </m:mr>
          </m:m>
          <m:r>
            <w:rPr>
              <w:rFonts w:ascii="Cambria Math" w:hAnsi="Cambria Math"/>
            </w:rPr>
            <m:t>  </m:t>
          </m:r>
          <m:d>
            <m:dPr>
              <m:ctrlPr>
                <w:rPr>
                  <w:rFonts w:ascii="Cambria Math" w:hAnsi="Cambria Math"/>
                </w:rPr>
              </m:ctrlPr>
            </m:dPr>
            <m:e>
              <m:r>
                <w:rPr>
                  <w:rFonts w:ascii="Cambria Math" w:hAnsi="Cambria Math"/>
                </w:rPr>
                <m:t>8</m:t>
              </m:r>
            </m:e>
          </m:d>
        </m:oMath>
      </m:oMathPara>
    </w:p>
    <w:p w14:paraId="46F97729" w14:textId="77777777" w:rsidR="00655664" w:rsidRDefault="00000000" w:rsidP="00BD3711">
      <w:pPr>
        <w:pStyle w:val="FirstParagraph"/>
        <w:jc w:val="both"/>
      </w:pPr>
      <w:r>
        <w:t xml:space="preserve">The second inequality is maximized at </w:t>
      </w:r>
      <m:oMath>
        <m:r>
          <w:rPr>
            <w:rFonts w:ascii="Cambria Math" w:hAnsi="Cambria Math"/>
          </w:rPr>
          <m:t>Z</m:t>
        </m:r>
        <m:r>
          <m:rPr>
            <m:sty m:val="p"/>
          </m:rPr>
          <w:rPr>
            <w:rFonts w:ascii="Cambria Math" w:hAnsi="Cambria Math"/>
          </w:rPr>
          <m:t>=</m:t>
        </m:r>
        <m:rad>
          <m:radPr>
            <m:degHide m:val="1"/>
            <m:ctrlPr>
              <w:rPr>
                <w:rFonts w:ascii="Cambria Math" w:hAnsi="Cambria Math"/>
              </w:rPr>
            </m:ctrlPr>
          </m:radPr>
          <m:deg/>
          <m:e>
            <m:r>
              <w:rPr>
                <w:rFonts w:ascii="Cambria Math" w:hAnsi="Cambria Math"/>
              </w:rPr>
              <m:t>ab</m:t>
            </m:r>
          </m:e>
        </m:rad>
      </m:oMath>
      <w:r>
        <w:t xml:space="preserve">. If </w:t>
      </w:r>
      <m:oMath>
        <m:r>
          <w:rPr>
            <w:rFonts w:ascii="Cambria Math" w:hAnsi="Cambria Math"/>
          </w:rPr>
          <m:t>a</m:t>
        </m:r>
        <m:r>
          <m:rPr>
            <m:sty m:val="p"/>
          </m:rPr>
          <w:rPr>
            <w:rFonts w:ascii="Cambria Math" w:hAnsi="Cambria Math"/>
          </w:rPr>
          <m:t>=</m:t>
        </m:r>
        <m:r>
          <w:rPr>
            <w:rFonts w:ascii="Cambria Math" w:hAnsi="Cambria Math"/>
          </w:rPr>
          <m:t>b</m:t>
        </m:r>
      </m:oMath>
      <w:r>
        <w:t xml:space="preserve">, both distributions coincide. Splitting the positive and negative parts of </w:t>
      </w:r>
      <m:oMath>
        <m:r>
          <w:rPr>
            <w:rFonts w:ascii="Cambria Math" w:hAnsi="Cambria Math"/>
          </w:rPr>
          <m:t>p</m:t>
        </m:r>
        <m:r>
          <m:rPr>
            <m:sty m:val="p"/>
          </m:rPr>
          <w:rPr>
            <w:rFonts w:ascii="Cambria Math" w:hAnsi="Cambria Math"/>
          </w:rPr>
          <m:t>-</m:t>
        </m:r>
        <m:acc>
          <m:accPr>
            <m:ctrlPr>
              <w:rPr>
                <w:rFonts w:ascii="Cambria Math" w:hAnsi="Cambria Math"/>
              </w:rPr>
            </m:ctrlPr>
          </m:accPr>
          <m:e>
            <m:r>
              <w:rPr>
                <w:rFonts w:ascii="Cambria Math" w:hAnsi="Cambria Math"/>
              </w:rPr>
              <m:t>p</m:t>
            </m:r>
          </m:e>
        </m:acc>
      </m:oMath>
      <w:r>
        <w:t xml:space="preserve"> expresses the output difference as total variation times the difference of two convex combinations of the values, whose distance is at most </w:t>
      </w:r>
      <m:oMath>
        <m:sSub>
          <m:sSubPr>
            <m:ctrlPr>
              <w:rPr>
                <w:rFonts w:ascii="Cambria Math" w:hAnsi="Cambria Math"/>
              </w:rPr>
            </m:ctrlPr>
          </m:sSubPr>
          <m:e>
            <m:r>
              <w:rPr>
                <w:rFonts w:ascii="Cambria Math" w:hAnsi="Cambria Math"/>
              </w:rPr>
              <m:t>D</m:t>
            </m:r>
          </m:e>
          <m:sub>
            <m:r>
              <w:rPr>
                <w:rFonts w:ascii="Cambria Math" w:hAnsi="Cambria Math"/>
              </w:rPr>
              <m:t>V</m:t>
            </m:r>
          </m:sub>
        </m:sSub>
      </m:oMath>
      <w:r>
        <w:t>. This proves the result. Two values at the diameter endpoints attain the bound, as shown in Appendix A.</w:t>
      </w:r>
    </w:p>
    <w:p w14:paraId="6B5D4AE4" w14:textId="77777777" w:rsidR="00655664" w:rsidRDefault="00000000" w:rsidP="00BD3711">
      <w:pPr>
        <w:pStyle w:val="BodyText"/>
        <w:jc w:val="both"/>
      </w:pPr>
      <w:r>
        <w:t xml:space="preserve">The oscillation matters because softmax ignores a common additive logit shift. When all errors lie in </w:t>
      </w:r>
      <m:oMath>
        <m:d>
          <m:dPr>
            <m:begChr m:val="["/>
            <m:endChr m:val="]"/>
            <m:ctrlPr>
              <w:rPr>
                <w:rFonts w:ascii="Cambria Math" w:hAnsi="Cambria Math"/>
              </w:rPr>
            </m:ctrlPr>
          </m:dPr>
          <m:e>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ε</m:t>
            </m:r>
          </m:e>
        </m:d>
      </m:oMath>
      <w:r>
        <w:t xml:space="preserve">, the small-error coefficient is </w:t>
      </w:r>
      <m:oMath>
        <m:r>
          <w:rPr>
            <w:rFonts w:ascii="Cambria Math" w:hAnsi="Cambria Math"/>
          </w:rPr>
          <m:t>ε</m:t>
        </m:r>
        <m:r>
          <m:rPr>
            <m:sty m:val="p"/>
          </m:rPr>
          <w:rPr>
            <w:rFonts w:ascii="Cambria Math" w:hAnsi="Cambria Math"/>
          </w:rPr>
          <m:t>/</m:t>
        </m:r>
        <m:r>
          <w:rPr>
            <w:rFonts w:ascii="Cambria Math" w:hAnsi="Cambria Math"/>
          </w:rPr>
          <m:t>2</m:t>
        </m:r>
      </m:oMath>
      <w:r>
        <w:t>. The bound also remains below the trivial diameter bound when errors are large.</w:t>
      </w:r>
    </w:p>
    <w:p w14:paraId="750EF55A" w14:textId="77777777" w:rsidR="00655664" w:rsidRDefault="00000000" w:rsidP="00BD3711">
      <w:pPr>
        <w:pStyle w:val="Heading2"/>
        <w:jc w:val="both"/>
      </w:pPr>
      <w:bookmarkStart w:id="13" w:name="Xb488e77bcf0224ead1142180f06080bcdff5dc0"/>
      <w:bookmarkEnd w:id="12"/>
      <w:r>
        <w:t>A protected window and online diagnostics</w:t>
      </w:r>
    </w:p>
    <w:p w14:paraId="59E76685" w14:textId="77777777" w:rsidR="00655664" w:rsidRDefault="00000000" w:rsidP="00BD3711">
      <w:pPr>
        <w:pStyle w:val="FirstParagraph"/>
        <w:keepNext/>
        <w:jc w:val="both"/>
      </w:pPr>
      <w:r>
        <w:t xml:space="preserve">Suppose only a subset </w:t>
      </w:r>
      <m:oMath>
        <m:r>
          <m:rPr>
            <m:scr m:val="script"/>
            <m:sty m:val="p"/>
          </m:rPr>
          <w:rPr>
            <w:rFonts w:ascii="Cambria Math" w:hAnsi="Cambria Math"/>
          </w:rPr>
          <m:t>C</m:t>
        </m:r>
      </m:oMath>
      <w:r>
        <w:t xml:space="preserve"> is quantized. Let </w:t>
      </w:r>
      <m:oMath>
        <m:r>
          <w:rPr>
            <w:rFonts w:ascii="Cambria Math" w:hAnsi="Cambria Math"/>
          </w:rPr>
          <m:t>A</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cr m:val="script"/>
                <m:sty m:val="p"/>
              </m:rPr>
              <w:rPr>
                <w:rFonts w:ascii="Cambria Math" w:hAnsi="Cambria Math"/>
              </w:rPr>
              <m:t>∈C</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oMath>
      <w:r>
        <w:t xml:space="preserve"> and </w:t>
      </w:r>
      <m:oMath>
        <m:acc>
          <m:accPr>
            <m:ctrlPr>
              <w:rPr>
                <w:rFonts w:ascii="Cambria Math" w:hAnsi="Cambria Math"/>
              </w:rPr>
            </m:ctrlPr>
          </m:accPr>
          <m:e>
            <m:r>
              <w:rPr>
                <w:rFonts w:ascii="Cambria Math" w:hAnsi="Cambria Math"/>
              </w:rPr>
              <m:t>A</m:t>
            </m:r>
          </m:e>
        </m:acc>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cr m:val="script"/>
                <m:sty m:val="p"/>
              </m:rPr>
              <w:rPr>
                <w:rFonts w:ascii="Cambria Math" w:hAnsi="Cambria Math"/>
              </w:rPr>
              <m:t>∈C</m:t>
            </m:r>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e>
        </m:nary>
      </m:oMath>
      <w:r>
        <w:t xml:space="preserve">. If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i</m:t>
                </m:r>
              </m:sub>
            </m:sSub>
          </m:e>
        </m:d>
        <m:r>
          <m:rPr>
            <m:sty m:val="p"/>
          </m:rPr>
          <w:rPr>
            <w:rFonts w:ascii="Cambria Math" w:hAnsi="Cambria Math"/>
          </w:rPr>
          <m:t>≤</m:t>
        </m:r>
        <m:r>
          <w:rPr>
            <w:rFonts w:ascii="Cambria Math" w:hAnsi="Cambria Math"/>
          </w:rPr>
          <m:t>ε</m:t>
        </m:r>
      </m:oMath>
      <w:r>
        <w:t xml:space="preserve"> on that subset and zero elsewhere, then</w:t>
      </w:r>
    </w:p>
    <w:p w14:paraId="1D54DAA7" w14:textId="77777777" w:rsidR="00655664" w:rsidRDefault="00000000" w:rsidP="00BD3711">
      <w:pPr>
        <w:pStyle w:val="BodyText"/>
        <w:keepLines/>
        <w:spacing w:before="100" w:after="160"/>
        <w:jc w:val="both"/>
      </w:pPr>
      <m:oMathPara>
        <m:oMathParaPr>
          <m:jc m:val="center"/>
        </m:oMathParaPr>
        <m:oMath>
          <m:r>
            <m:rPr>
              <m:sty m:val="p"/>
            </m:rPr>
            <w:rPr>
              <w:rFonts w:ascii="Cambria Math" w:hAnsi="Cambria Math"/>
            </w:rPr>
            <m:t>∥</m:t>
          </m:r>
          <m:r>
            <w:rPr>
              <w:rFonts w:ascii="Cambria Math" w:hAnsi="Cambria Math"/>
            </w:rPr>
            <m:t>o</m:t>
          </m:r>
          <m:r>
            <m:rPr>
              <m:sty m:val="p"/>
            </m:rPr>
            <w:rPr>
              <w:rFonts w:ascii="Cambria Math" w:hAnsi="Cambria Math"/>
            </w:rPr>
            <m:t>-</m:t>
          </m:r>
          <m:acc>
            <m:accPr>
              <m:ctrlPr>
                <w:rPr>
                  <w:rFonts w:ascii="Cambria Math" w:hAnsi="Cambria Math"/>
                </w:rPr>
              </m:ctrlPr>
            </m:accPr>
            <m:e>
              <m:r>
                <w:rPr>
                  <w:rFonts w:ascii="Cambria Math" w:hAnsi="Cambria Math"/>
                </w:rPr>
                <m:t>o</m:t>
              </m:r>
            </m:e>
          </m:acc>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min</m:t>
          </m:r>
          <m:d>
            <m:dPr>
              <m:begChr m:val="{"/>
              <m:endChr m:val="}"/>
              <m:ctrlPr>
                <w:rPr>
                  <w:rFonts w:ascii="Cambria Math" w:hAnsi="Cambria Math"/>
                </w:rPr>
              </m:ctrlPr>
            </m:dPr>
            <m:e>
              <m:r>
                <m:rPr>
                  <m:sty m:val="p"/>
                </m:rPr>
                <w:rPr>
                  <w:rFonts w:ascii="Cambria Math" w:hAnsi="Cambria Math"/>
                </w:rPr>
                <m:t>tanh</m:t>
              </m:r>
              <m:d>
                <m:dPr>
                  <m:ctrlPr>
                    <w:rPr>
                      <w:rFonts w:ascii="Cambria Math" w:hAnsi="Cambria Math"/>
                    </w:rPr>
                  </m:ctrlPr>
                </m:dPr>
                <m:e>
                  <m:r>
                    <w:rPr>
                      <w:rFonts w:ascii="Cambria Math" w:hAnsi="Cambria Math"/>
                    </w:rPr>
                    <m:t>ε</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 </m:t>
              </m:r>
              <m:r>
                <m:rPr>
                  <m:sty m:val="p"/>
                </m:rPr>
                <w:rPr>
                  <w:rFonts w:ascii="Cambria Math" w:hAnsi="Cambria Math"/>
                </w:rPr>
                <m:t>min</m:t>
              </m:r>
              <m:d>
                <m:dPr>
                  <m:ctrlPr>
                    <w:rPr>
                      <w:rFonts w:ascii="Cambria Math" w:hAnsi="Cambria Math"/>
                    </w:rPr>
                  </m:ctrlPr>
                </m:dPr>
                <m:e>
                  <m:r>
                    <w:rPr>
                      <w:rFonts w:ascii="Cambria Math" w:hAnsi="Cambria Math"/>
                    </w:rPr>
                    <m:t>A</m:t>
                  </m:r>
                  <m:r>
                    <m:rPr>
                      <m:sty m:val="p"/>
                    </m:rPr>
                    <w:rPr>
                      <w:rFonts w:ascii="Cambria Math" w:hAnsi="Cambria Math"/>
                    </w:rPr>
                    <m:t>,</m:t>
                  </m:r>
                  <m:acc>
                    <m:accPr>
                      <m:ctrlPr>
                        <w:rPr>
                          <w:rFonts w:ascii="Cambria Math" w:hAnsi="Cambria Math"/>
                        </w:rPr>
                      </m:ctrlPr>
                    </m:accPr>
                    <m:e>
                      <m:r>
                        <w:rPr>
                          <w:rFonts w:ascii="Cambria Math" w:hAnsi="Cambria Math"/>
                        </w:rPr>
                        <m:t>A</m:t>
                      </m:r>
                    </m:e>
                  </m:acc>
                </m:e>
              </m:d>
              <m:sSup>
                <m:sSupPr>
                  <m:ctrlPr>
                    <w:rPr>
                      <w:rFonts w:ascii="Cambria Math" w:hAnsi="Cambria Math"/>
                    </w:rPr>
                  </m:ctrlPr>
                </m:sSupPr>
                <m:e>
                  <m:r>
                    <w:rPr>
                      <w:rFonts w:ascii="Cambria Math" w:hAnsi="Cambria Math"/>
                    </w:rPr>
                    <m:t>e</m:t>
                  </m:r>
                </m:e>
                <m:sup>
                  <m:r>
                    <w:rPr>
                      <w:rFonts w:ascii="Cambria Math" w:hAnsi="Cambria Math"/>
                    </w:rPr>
                    <m:t>ε</m:t>
                  </m:r>
                </m:sup>
              </m:sSup>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ε</m:t>
                      </m:r>
                    </m:sup>
                  </m:sSup>
                  <m:r>
                    <m:rPr>
                      <m:sty m:val="p"/>
                    </m:rPr>
                    <w:rPr>
                      <w:rFonts w:ascii="Cambria Math" w:hAnsi="Cambria Math"/>
                    </w:rPr>
                    <m:t>-</m:t>
                  </m:r>
                  <m:r>
                    <w:rPr>
                      <w:rFonts w:ascii="Cambria Math" w:hAnsi="Cambria Math"/>
                    </w:rPr>
                    <m:t>1</m:t>
                  </m:r>
                </m:e>
              </m:d>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9</m:t>
              </m:r>
            </m:e>
          </m:d>
        </m:oMath>
      </m:oMathPara>
    </w:p>
    <w:p w14:paraId="5B550671" w14:textId="77777777" w:rsidR="00655664" w:rsidRDefault="00000000" w:rsidP="00BD3711">
      <w:pPr>
        <w:pStyle w:val="FirstParagraph"/>
        <w:jc w:val="both"/>
      </w:pPr>
      <w:r>
        <w:t xml:space="preserve">To obtain the mass bound, use </w:t>
      </w:r>
      <m:oMath>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ε</m:t>
            </m:r>
          </m:sup>
        </m:sSup>
      </m:oMath>
      <w:r>
        <w:t xml:space="preserve"> and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d>
          <m:dPr>
            <m:begChr m:val="|"/>
            <m:endChr m:val="|"/>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Z</m:t>
            </m:r>
          </m:e>
        </m:d>
        <m:r>
          <m:rPr>
            <m:sty m:val="p"/>
          </m:rPr>
          <w:rPr>
            <w:rFonts w:ascii="Cambria Math" w:hAnsi="Cambria Math"/>
          </w:rPr>
          <m:t>≤</m:t>
        </m:r>
        <m:r>
          <w:rPr>
            <w:rFonts w:ascii="Cambria Math" w:hAnsi="Cambria Math"/>
          </w:rPr>
          <m:t>2A</m:t>
        </m:r>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ε</m:t>
                </m:r>
              </m:sup>
            </m:sSup>
            <m:r>
              <m:rPr>
                <m:sty m:val="p"/>
              </m:rPr>
              <w:rPr>
                <w:rFonts w:ascii="Cambria Math" w:hAnsi="Cambria Math"/>
              </w:rPr>
              <m:t>-</m:t>
            </m:r>
            <m:r>
              <w:rPr>
                <w:rFonts w:ascii="Cambria Math" w:hAnsi="Cambria Math"/>
              </w:rPr>
              <m:t>1</m:t>
            </m:r>
          </m:e>
        </m:d>
      </m:oMath>
      <w:r>
        <w:t xml:space="preserve"> in Eq. (8)’s first expression. Reversing the roles of the two distributions gives the same result with </w:t>
      </w:r>
      <m:oMath>
        <m:acc>
          <m:accPr>
            <m:ctrlPr>
              <w:rPr>
                <w:rFonts w:ascii="Cambria Math" w:hAnsi="Cambria Math"/>
              </w:rPr>
            </m:ctrlPr>
          </m:accPr>
          <m:e>
            <m:r>
              <w:rPr>
                <w:rFonts w:ascii="Cambria Math" w:hAnsi="Cambria Math"/>
              </w:rPr>
              <m:t>A</m:t>
            </m:r>
          </m:e>
        </m:acc>
      </m:oMath>
      <w:r>
        <w:t xml:space="preserve">. This refinement is useful when the exact window carries most attention mass. The approximate mass </w:t>
      </w:r>
      <m:oMath>
        <m:acc>
          <m:accPr>
            <m:ctrlPr>
              <w:rPr>
                <w:rFonts w:ascii="Cambria Math" w:hAnsi="Cambria Math"/>
              </w:rPr>
            </m:ctrlPr>
          </m:accPr>
          <m:e>
            <m:r>
              <w:rPr>
                <w:rFonts w:ascii="Cambria Math" w:hAnsi="Cambria Math"/>
              </w:rPr>
              <m:t>A</m:t>
            </m:r>
          </m:e>
        </m:acc>
      </m:oMath>
      <w:r>
        <w:t xml:space="preserve"> is available from the hybrid read, while exact mass </w:t>
      </w:r>
      <m:oMath>
        <m:r>
          <w:rPr>
            <w:rFonts w:ascii="Cambria Math" w:hAnsi="Cambria Math"/>
          </w:rPr>
          <m:t>A</m:t>
        </m:r>
      </m:oMath>
      <w:r>
        <w:t xml:space="preserve"> ordinarily requires an audit against the uncompressed cache.</w:t>
      </w:r>
    </w:p>
    <w:p w14:paraId="67E50BB8" w14:textId="77777777" w:rsidR="00655664" w:rsidRDefault="00000000" w:rsidP="00BD3711">
      <w:pPr>
        <w:pStyle w:val="BodyText"/>
        <w:jc w:val="both"/>
      </w:pPr>
      <w:r>
        <w:t xml:space="preserve">For shared-slice Attentionlet, a bin radius </w:t>
      </w:r>
      <m:oMath>
        <m:sSub>
          <m:sSubPr>
            <m:ctrlPr>
              <w:rPr>
                <w:rFonts w:ascii="Cambria Math" w:hAnsi="Cambria Math"/>
              </w:rPr>
            </m:ctrlPr>
          </m:sSubPr>
          <m:e>
            <m:r>
              <w:rPr>
                <w:rFonts w:ascii="Cambria Math" w:hAnsi="Cambria Math"/>
              </w:rPr>
              <m:t>ρ</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oMath>
      <w:r>
        <w:t xml:space="preserve"> gives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oMath>
      <w:r>
        <w:t xml:space="preserve">. Maintaining the maximum radius during writes supplies a conservative current-query certificate. A stored bound on value norms, </w:t>
      </w:r>
      <m:oMath>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B</m:t>
        </m:r>
      </m:oMath>
      <w:r>
        <w:t xml:space="preserve">, permits </w:t>
      </w:r>
      <m:oMath>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r>
          <w:rPr>
            <w:rFonts w:ascii="Cambria Math" w:hAnsi="Cambria Math"/>
          </w:rPr>
          <m:t>2B</m:t>
        </m:r>
      </m:oMath>
      <w:r>
        <w:t xml:space="preserve"> without storing the original values. A radius certificate bounds substitution error; it does not establish that a prediction is factually correct.</w:t>
      </w:r>
    </w:p>
    <w:p w14:paraId="58FF768C" w14:textId="77777777" w:rsidR="00655664" w:rsidRDefault="00000000" w:rsidP="00BD3711">
      <w:pPr>
        <w:pStyle w:val="BodyText"/>
        <w:jc w:val="both"/>
      </w:pPr>
      <w:r>
        <w:t xml:space="preserve">These propositions compare reads with the </w:t>
      </w:r>
      <w:r>
        <w:rPr>
          <w:b/>
          <w:bCs/>
        </w:rPr>
        <w:t>same</w:t>
      </w:r>
      <w:r>
        <w:t xml:space="preserve"> query and values. After compression changes an earlier layer or token, later queries and values can also change. A complete network bound would need stability constants for those transitions. For example, a recurrent-state error obeying </w:t>
      </w:r>
      <m:oMath>
        <m:sSub>
          <m:sSubPr>
            <m:ctrlPr>
              <w:rPr>
                <w:rFonts w:ascii="Cambria Math" w:hAnsi="Cambria Math"/>
              </w:rPr>
            </m:ctrlPr>
          </m:sSubPr>
          <m:e>
            <m:r>
              <w:rPr>
                <w:rFonts w:ascii="Cambria Math" w:hAnsi="Cambria Math"/>
              </w:rPr>
              <m:t>E</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sub>
        </m:sSub>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t</m:t>
            </m:r>
          </m:sub>
        </m:sSub>
      </m:oMath>
      <w:r>
        <w:t xml:space="preserve"> can amplify small local errors when products of the </w:t>
      </w:r>
      <m:oMath>
        <m:sSub>
          <m:sSubPr>
            <m:ctrlPr>
              <w:rPr>
                <w:rFonts w:ascii="Cambria Math" w:hAnsi="Cambria Math"/>
              </w:rPr>
            </m:ctrlPr>
          </m:sSubPr>
          <m:e>
            <m:r>
              <w:rPr>
                <w:rFonts w:ascii="Cambria Math" w:hAnsi="Cambria Math"/>
              </w:rPr>
              <m:t>L</m:t>
            </m:r>
          </m:e>
          <m:sub>
            <m:r>
              <w:rPr>
                <w:rFonts w:ascii="Cambria Math" w:hAnsi="Cambria Math"/>
              </w:rPr>
              <m:t>t</m:t>
            </m:r>
          </m:sub>
        </m:sSub>
      </m:oMath>
      <w:r>
        <w:t xml:space="preserve"> grow. We consequently test end-to-end loss and retrieval directly. Local head bounds are not advertised as a uniform guarantee on arbitrary generated continuations.</w:t>
      </w:r>
    </w:p>
    <w:p w14:paraId="5B73B77E" w14:textId="77777777" w:rsidR="00655664" w:rsidRDefault="00000000" w:rsidP="00BD3711">
      <w:pPr>
        <w:pStyle w:val="Heading1"/>
        <w:jc w:val="both"/>
      </w:pPr>
      <w:bookmarkStart w:id="14" w:name="X414f6c4a7a6c66fc5f8871517ce85d8553bd1ae"/>
      <w:bookmarkEnd w:id="11"/>
      <w:bookmarkEnd w:id="13"/>
      <w:r>
        <w:lastRenderedPageBreak/>
        <w:t>6 A codebook must resolve distinctions made by queries</w:t>
      </w:r>
    </w:p>
    <w:p w14:paraId="0153466D" w14:textId="77777777" w:rsidR="00655664" w:rsidRDefault="00000000" w:rsidP="00BD3711">
      <w:pPr>
        <w:pStyle w:val="Heading2"/>
        <w:jc w:val="both"/>
      </w:pPr>
      <w:bookmarkStart w:id="15" w:name="X5345ce883c1d658fa667a8da1ed09d0410a8577"/>
      <w:r>
        <w:t>Query geometry rather than raw address distance</w:t>
      </w:r>
    </w:p>
    <w:p w14:paraId="72C17B6B" w14:textId="77777777" w:rsidR="00655664" w:rsidRDefault="00000000" w:rsidP="00BD3711">
      <w:pPr>
        <w:pStyle w:val="FirstParagraph"/>
        <w:keepNext/>
        <w:jc w:val="both"/>
      </w:pPr>
      <w:r>
        <w:t xml:space="preserve">Euclidean key error is a sufficient surrogate, but irrelevant key directions need not consume codewords. For a reference distribution of future shared-slice queries </w:t>
      </w:r>
      <m:oMath>
        <m:r>
          <w:rPr>
            <w:rFonts w:ascii="Cambria Math" w:hAnsi="Cambria Math"/>
          </w:rPr>
          <m:t>u</m:t>
        </m:r>
      </m:oMath>
      <w:r>
        <w:t xml:space="preserve">, define </w:t>
      </w:r>
      <m:oMath>
        <m:r>
          <w:rPr>
            <w:rFonts w:ascii="Cambria Math" w:hAnsi="Cambria Math"/>
          </w:rPr>
          <m:t>M</m:t>
        </m:r>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u</m:t>
            </m:r>
            <m:sSup>
              <m:sSupPr>
                <m:ctrlPr>
                  <w:rPr>
                    <w:rFonts w:ascii="Cambria Math" w:hAnsi="Cambria Math"/>
                  </w:rPr>
                </m:ctrlPr>
              </m:sSupPr>
              <m:e>
                <m:r>
                  <w:rPr>
                    <w:rFonts w:ascii="Cambria Math" w:hAnsi="Cambria Math"/>
                  </w:rPr>
                  <m:t>u</m:t>
                </m:r>
              </m:e>
              <m:sup>
                <m:r>
                  <m:rPr>
                    <m:sty m:val="p"/>
                  </m:rPr>
                  <w:rPr>
                    <w:rFonts w:ascii="Cambria Math" w:hAnsi="Cambria Math"/>
                  </w:rPr>
                  <m:t>⊤</m:t>
                </m:r>
              </m:sup>
            </m:sSup>
          </m:e>
        </m:d>
      </m:oMath>
      <w:r>
        <w:t xml:space="preserve">. For a fixed residual </w:t>
      </w:r>
      <m:oMath>
        <m:r>
          <w:rPr>
            <w:rFonts w:ascii="Cambria Math" w:hAnsi="Cambria Math"/>
          </w:rPr>
          <m:t>e</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c</m:t>
        </m:r>
      </m:oMath>
      <w:r>
        <w:t>,</w:t>
      </w:r>
    </w:p>
    <w:p w14:paraId="03A89E14" w14:textId="77777777" w:rsidR="00655664" w:rsidRDefault="00000000" w:rsidP="00BD3711">
      <w:pPr>
        <w:pStyle w:val="BodyText"/>
        <w:keepLines/>
        <w:spacing w:before="100" w:after="160"/>
        <w:jc w:val="both"/>
      </w:pPr>
      <m:oMathPara>
        <m:oMathParaPr>
          <m:jc m:val="center"/>
        </m:oMathParaPr>
        <m:oMath>
          <m:r>
            <m:rPr>
              <m:scr m:val="double-struck"/>
              <m:sty m:val="p"/>
            </m:rPr>
            <w:rPr>
              <w:rFonts w:ascii="Cambria Math" w:hAnsi="Cambria Math"/>
            </w:rPr>
            <m:t>E</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e</m:t>
                      </m:r>
                    </m:e>
                  </m:d>
                </m:e>
                <m:sup>
                  <m:r>
                    <w:rPr>
                      <w:rFonts w:ascii="Cambria Math" w:hAnsi="Cambria Math"/>
                    </w:rPr>
                    <m:t>2</m:t>
                  </m:r>
                </m:sup>
              </m:sSup>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w:rPr>
              <w:rFonts w:ascii="Cambria Math" w:hAnsi="Cambria Math"/>
            </w:rPr>
            <m:t>Me</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10</m:t>
              </m:r>
            </m:e>
          </m:d>
        </m:oMath>
      </m:oMathPara>
    </w:p>
    <w:p w14:paraId="76C51AFC" w14:textId="77777777" w:rsidR="00655664" w:rsidRDefault="00000000" w:rsidP="00BD3711">
      <w:pPr>
        <w:pStyle w:val="FirstParagraph"/>
        <w:jc w:val="both"/>
      </w:pPr>
      <w:r>
        <w:t>This identity motivates clustering in a query-weighted metric. It is an average-case criterion under the chosen query distribution, not a worst-case certificate. If future queries depend on the stored item, the corresponding conditional second moment is required. For several heads sharing one codebook, a weighted sum of their second-moment matrices trades errors across heads; a worst-head constraint gives a more conservative alternative. Attention-preserving quantization is also studied in recent transform-coding work [18]. Query sensitivity is therefore a design requirement, not a novelty claim by itself.</w:t>
      </w:r>
    </w:p>
    <w:p w14:paraId="02A93ED2" w14:textId="77777777" w:rsidR="00655664" w:rsidRDefault="00000000" w:rsidP="00BD3711">
      <w:pPr>
        <w:pStyle w:val="BodyText"/>
        <w:jc w:val="both"/>
      </w:pPr>
      <w:r>
        <w:t xml:space="preserve">For certification over an ellipsoidal query set </w:t>
      </w: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sSup>
          <m:sSupPr>
            <m:ctrlPr>
              <w:rPr>
                <w:rFonts w:ascii="Cambria Math" w:hAnsi="Cambria Math"/>
              </w:rPr>
            </m:ctrlPr>
          </m:sSupPr>
          <m:e>
            <m:r>
              <w:rPr>
                <w:rFonts w:ascii="Cambria Math" w:hAnsi="Cambria Math"/>
              </w:rPr>
              <m:t>M</m:t>
            </m:r>
          </m:e>
          <m:sup>
            <m:r>
              <m:rPr>
                <m:sty m:val="p"/>
              </m:rPr>
              <w:rPr>
                <w:rFonts w:ascii="Cambria Math" w:hAnsi="Cambria Math"/>
              </w:rPr>
              <m:t>-</m:t>
            </m:r>
            <m:r>
              <w:rPr>
                <w:rFonts w:ascii="Cambria Math" w:hAnsi="Cambria Math"/>
              </w:rPr>
              <m:t>1</m:t>
            </m:r>
          </m:sup>
        </m:sSup>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with positive-definite </w:t>
      </w:r>
      <m:oMath>
        <m:r>
          <w:rPr>
            <w:rFonts w:ascii="Cambria Math" w:hAnsi="Cambria Math"/>
          </w:rPr>
          <m:t>M</m:t>
        </m:r>
      </m:oMath>
      <w:r>
        <w:t xml:space="preserve">, Cauchy–Schwarz gives </w:t>
      </w: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e</m:t>
            </m:r>
          </m:e>
        </m:d>
        <m:r>
          <m:rPr>
            <m:sty m:val="p"/>
          </m:rPr>
          <w:rPr>
            <w:rFonts w:ascii="Cambria Math" w:hAnsi="Cambria Math"/>
          </w:rPr>
          <m:t>≤</m:t>
        </m:r>
        <m:r>
          <w:rPr>
            <w:rFonts w:ascii="Cambria Math" w:hAnsi="Cambria Math"/>
          </w:rPr>
          <m:t>R</m:t>
        </m:r>
        <m:rad>
          <m:radPr>
            <m:degHide m:val="1"/>
            <m:ctrlPr>
              <w:rPr>
                <w:rFonts w:ascii="Cambria Math" w:hAnsi="Cambria Math"/>
              </w:rPr>
            </m:ctrlPr>
          </m:radPr>
          <m:deg/>
          <m:e>
            <m:sSup>
              <m:sSupPr>
                <m:ctrlPr>
                  <w:rPr>
                    <w:rFonts w:ascii="Cambria Math" w:hAnsi="Cambria Math"/>
                  </w:rPr>
                </m:ctrlPr>
              </m:sSupPr>
              <m:e>
                <m:r>
                  <w:rPr>
                    <w:rFonts w:ascii="Cambria Math" w:hAnsi="Cambria Math"/>
                  </w:rPr>
                  <m:t>e</m:t>
                </m:r>
              </m:e>
              <m:sup>
                <m:r>
                  <m:rPr>
                    <m:sty m:val="p"/>
                  </m:rPr>
                  <w:rPr>
                    <w:rFonts w:ascii="Cambria Math" w:hAnsi="Cambria Math"/>
                  </w:rPr>
                  <m:t>⊤</m:t>
                </m:r>
              </m:sup>
            </m:sSup>
            <m:r>
              <w:rPr>
                <w:rFonts w:ascii="Cambria Math" w:hAnsi="Cambria Math"/>
              </w:rPr>
              <m:t>Me</m:t>
            </m:r>
          </m:e>
        </m:rad>
      </m:oMath>
      <w:r>
        <w:t>. The bound is valid only for queries inside that set. On a known lower-dimensional support one can use the corresponding restricted matrix; discarding low-variance directions merely because they are uncommon would leave rare queries unprotected.</w:t>
      </w:r>
    </w:p>
    <w:p w14:paraId="31DBA8C6" w14:textId="77777777" w:rsidR="00655664" w:rsidRDefault="00000000" w:rsidP="00BD3711">
      <w:pPr>
        <w:pStyle w:val="Heading2"/>
        <w:jc w:val="both"/>
      </w:pPr>
      <w:bookmarkStart w:id="16" w:name="X407eb2cf24d895ab36bed96b21a7786e9b7a156"/>
      <w:bookmarkEnd w:id="15"/>
      <w:r>
        <w:t>Narrow width does not guarantee a small library</w:t>
      </w:r>
    </w:p>
    <w:p w14:paraId="52E68D65" w14:textId="77777777" w:rsidR="00655664" w:rsidRDefault="00000000" w:rsidP="00BD3711">
      <w:pPr>
        <w:pStyle w:val="FirstParagraph"/>
        <w:keepNext/>
        <w:jc w:val="both"/>
      </w:pPr>
      <w:r>
        <w:t xml:space="preserve">Assume address support lies in an </w:t>
      </w:r>
      <m:oMath>
        <m:r>
          <w:rPr>
            <w:rFonts w:ascii="Cambria Math" w:hAnsi="Cambria Math"/>
          </w:rPr>
          <m:t>m</m:t>
        </m:r>
      </m:oMath>
      <w:r>
        <w:t xml:space="preserve">-dimensional ball of radius </w:t>
      </w:r>
      <m:oMath>
        <m:r>
          <w:rPr>
            <w:rFonts w:ascii="Cambria Math" w:hAnsi="Cambria Math"/>
          </w:rPr>
          <m:t>D</m:t>
        </m:r>
      </m:oMath>
      <w:r>
        <w:t xml:space="preserve">, and all projected queries have norm at most </w:t>
      </w:r>
      <m:oMath>
        <m:r>
          <w:rPr>
            <w:rFonts w:ascii="Cambria Math" w:hAnsi="Cambria Math"/>
          </w:rPr>
          <m:t>R</m:t>
        </m:r>
      </m:oMath>
      <w:r>
        <w:t xml:space="preserve">. A Euclidean cover of radius </w:t>
      </w:r>
      <m:oMath>
        <m:r>
          <w:rPr>
            <w:rFonts w:ascii="Cambria Math" w:hAnsi="Cambria Math"/>
          </w:rPr>
          <m:t>δ</m:t>
        </m:r>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R</m:t>
        </m:r>
      </m:oMath>
      <w:r>
        <w:t xml:space="preserve"> has a sufficient codebook-size bound of the form</w:t>
      </w:r>
    </w:p>
    <w:p w14:paraId="71CB47E3" w14:textId="77777777" w:rsidR="00655664" w:rsidRDefault="00000000" w:rsidP="00BD3711">
      <w:pPr>
        <w:pStyle w:val="BodyText"/>
        <w:keepLines/>
        <w:spacing w:before="100" w:after="160"/>
        <w:jc w:val="both"/>
      </w:pPr>
      <m:oMathPara>
        <m:oMathParaPr>
          <m:jc m:val="center"/>
        </m:oMathParaPr>
        <m:oMath>
          <m:r>
            <w:rPr>
              <w:rFonts w:ascii="Cambria Math" w:hAnsi="Cambria Math"/>
            </w:rPr>
            <m:t>K</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2DR</m:t>
                      </m:r>
                    </m:num>
                    <m:den>
                      <m:r>
                        <w:rPr>
                          <w:rFonts w:ascii="Cambria Math" w:hAnsi="Cambria Math"/>
                        </w:rPr>
                        <m:t>ε</m:t>
                      </m:r>
                    </m:den>
                  </m:f>
                </m:e>
              </m:d>
            </m:e>
            <m:sup>
              <m:r>
                <w:rPr>
                  <w:rFonts w:ascii="Cambria Math" w:hAnsi="Cambria Math"/>
                </w:rPr>
                <m:t>m</m:t>
              </m:r>
            </m:sup>
          </m:s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11</m:t>
              </m:r>
            </m:e>
          </m:d>
        </m:oMath>
      </m:oMathPara>
    </w:p>
    <w:p w14:paraId="1E91B465" w14:textId="77777777" w:rsidR="00655664" w:rsidRDefault="00000000" w:rsidP="00BD3711">
      <w:pPr>
        <w:pStyle w:val="FirstParagraph"/>
        <w:jc w:val="both"/>
      </w:pPr>
      <w:r>
        <w:t>This is a covering upper bound under stated geometric assumptions. Matching lower bounds require sufficiently spread support. An empirical intrinsic-dimension estimate alone does not justify a universal lower bound or determine finite-scale constants. Equation (11) nevertheless exposes the central difficulty: 16 addressing coordinates can still require an impractically large library if many independent distinctions matter at fine resolution.</w:t>
      </w:r>
    </w:p>
    <w:p w14:paraId="56C253F1" w14:textId="77777777" w:rsidR="00655664" w:rsidRDefault="00000000" w:rsidP="00BD3711">
      <w:pPr>
        <w:pStyle w:val="BodyText"/>
        <w:jc w:val="both"/>
      </w:pPr>
      <w:r>
        <w:t xml:space="preserve">The operative hypothesis is that narrow addressing </w:t>
      </w:r>
      <w:r>
        <w:rPr>
          <w:b/>
          <w:bCs/>
        </w:rPr>
        <w:t>learns useful score equivalence at a manageable codebook budget</w:t>
      </w:r>
      <w:r>
        <w:t>. It is stronger than low ambient width, weaker than exact preservation of all embedding geometry, and directly testable. At fixed error tolerance, measure how many bins are actually needed. At fixed bin budget, measure distortion, retrieval failure, and language-model loss. Both measurements must include distribution shifts and rare combinations, not just average activation statistics.</w:t>
      </w:r>
    </w:p>
    <w:p w14:paraId="781B28CD" w14:textId="77777777" w:rsidR="00655664" w:rsidRDefault="00000000" w:rsidP="00BD3711">
      <w:pPr>
        <w:pStyle w:val="Heading1"/>
        <w:jc w:val="both"/>
      </w:pPr>
      <w:bookmarkStart w:id="17" w:name="X1f5dfae62281fe2e0dd1b0ffb989dcffa32a5c6"/>
      <w:bookmarkEnd w:id="14"/>
      <w:bookmarkEnd w:id="16"/>
      <w:r>
        <w:t>7 Why unordered sub-token addresses change the problem</w:t>
      </w:r>
    </w:p>
    <w:p w14:paraId="44F94206" w14:textId="77777777" w:rsidR="00655664" w:rsidRDefault="00000000" w:rsidP="00BD3711">
      <w:pPr>
        <w:pStyle w:val="FirstParagraph"/>
        <w:jc w:val="both"/>
      </w:pPr>
      <w:r>
        <w:t xml:space="preserve">Splitting a key into </w:t>
      </w:r>
      <m:oMath>
        <m:r>
          <w:rPr>
            <w:rFonts w:ascii="Cambria Math" w:hAnsi="Cambria Math"/>
          </w:rPr>
          <m:t>S</m:t>
        </m:r>
      </m:oMath>
      <w:r>
        <w:t xml:space="preserve"> blocks does not automatically shrink the library for ordinary dot-product attention. With ordered blocks, exponentiation gives a product of block kernels. A tuple of </w:t>
      </w:r>
      <m:oMath>
        <m:r>
          <w:rPr>
            <w:rFonts w:ascii="Cambria Math" w:hAnsi="Cambria Math"/>
          </w:rPr>
          <m:t>S</m:t>
        </m:r>
      </m:oMath>
      <w:r>
        <w:t xml:space="preserve"> codeword indices still has up to </w:t>
      </w:r>
      <m:oMath>
        <m:sSup>
          <m:sSupPr>
            <m:ctrlPr>
              <w:rPr>
                <w:rFonts w:ascii="Cambria Math" w:hAnsi="Cambria Math"/>
              </w:rPr>
            </m:ctrlPr>
          </m:sSupPr>
          <m:e>
            <m:r>
              <w:rPr>
                <w:rFonts w:ascii="Cambria Math" w:hAnsi="Cambria Math"/>
              </w:rPr>
              <m:t>L</m:t>
            </m:r>
          </m:e>
          <m:sup>
            <m:r>
              <w:rPr>
                <w:rFonts w:ascii="Cambria Math" w:hAnsi="Cambria Math"/>
              </w:rPr>
              <m:t>S</m:t>
            </m:r>
          </m:sup>
        </m:sSup>
      </m:oMath>
      <w:r>
        <w:t xml:space="preserve"> possible addresses when each block has </w:t>
      </w:r>
      <m:oMath>
        <m:r>
          <w:rPr>
            <w:rFonts w:ascii="Cambria Math" w:hAnsi="Cambria Math"/>
          </w:rPr>
          <m:t>L</m:t>
        </m:r>
      </m:oMath>
      <w:r>
        <w:t xml:space="preserve"> alternatives. Product quantization can reduce bytes per stored tuple without eliminating the need to distinguish those tuples.</w:t>
      </w:r>
    </w:p>
    <w:p w14:paraId="2966BC45" w14:textId="77777777" w:rsidR="00655664" w:rsidRDefault="00000000" w:rsidP="00BD3711">
      <w:pPr>
        <w:pStyle w:val="BodyText"/>
        <w:jc w:val="both"/>
      </w:pPr>
      <w:r>
        <w:lastRenderedPageBreak/>
        <w:t xml:space="preserve">For unordered blocks, consider pairwise scores </w:t>
      </w:r>
      <m:oMath>
        <m:sSub>
          <m:sSubPr>
            <m:ctrlPr>
              <w:rPr>
                <w:rFonts w:ascii="Cambria Math" w:hAnsi="Cambria Math"/>
              </w:rPr>
            </m:ctrlPr>
          </m:sSubPr>
          <m:e>
            <m:r>
              <w:rPr>
                <w:rFonts w:ascii="Cambria Math" w:hAnsi="Cambria Math"/>
              </w:rPr>
              <m:t>x</m:t>
            </m:r>
          </m:e>
          <m:sub>
            <m:r>
              <w:rPr>
                <w:rFonts w:ascii="Cambria Math" w:hAnsi="Cambria Math"/>
              </w:rPr>
              <m:t>ab</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a</m:t>
            </m:r>
          </m:sub>
          <m:sup>
            <m:r>
              <m:rPr>
                <m:sty m:val="p"/>
              </m:rPr>
              <w:rPr>
                <w:rFonts w:ascii="Cambria Math" w:hAnsi="Cambria Math"/>
              </w:rPr>
              <m:t>⊤</m:t>
            </m:r>
          </m:sup>
        </m:sSubSup>
        <m:sSub>
          <m:sSubPr>
            <m:ctrlPr>
              <w:rPr>
                <w:rFonts w:ascii="Cambria Math" w:hAnsi="Cambria Math"/>
              </w:rPr>
            </m:ctrlPr>
          </m:sSubPr>
          <m:e>
            <m:r>
              <w:rPr>
                <w:rFonts w:ascii="Cambria Math" w:hAnsi="Cambria Math"/>
              </w:rPr>
              <m:t>k</m:t>
            </m:r>
          </m:e>
          <m:sub>
            <m:r>
              <w:rPr>
                <w:rFonts w:ascii="Cambria Math" w:hAnsi="Cambria Math"/>
              </w:rPr>
              <m:t>b</m:t>
            </m:r>
          </m:sub>
        </m:sSub>
      </m:oMath>
      <w:r>
        <w:t xml:space="preserve">. Averaging all </w:t>
      </w:r>
      <m:oMath>
        <m:sSup>
          <m:sSupPr>
            <m:ctrlPr>
              <w:rPr>
                <w:rFonts w:ascii="Cambria Math" w:hAnsi="Cambria Math"/>
              </w:rPr>
            </m:ctrlPr>
          </m:sSupPr>
          <m:e>
            <m:r>
              <w:rPr>
                <w:rFonts w:ascii="Cambria Math" w:hAnsi="Cambria Math"/>
              </w:rPr>
              <m:t>S</m:t>
            </m:r>
          </m:e>
          <m:sup>
            <m:r>
              <w:rPr>
                <w:rFonts w:ascii="Cambria Math" w:hAnsi="Cambria Math"/>
              </w:rPr>
              <m:t>2</m:t>
            </m:r>
          </m:sup>
        </m:sSup>
      </m:oMath>
      <w:r>
        <w:t xml:space="preserve"> scores yields </w:t>
      </w:r>
      <m:oMath>
        <m:sSup>
          <m:sSupPr>
            <m:ctrlPr>
              <w:rPr>
                <w:rFonts w:ascii="Cambria Math" w:hAnsi="Cambria Math"/>
              </w:rPr>
            </m:ctrlPr>
          </m:sSupPr>
          <m:e>
            <m:bar>
              <m:barPr>
                <m:pos m:val="top"/>
                <m:ctrlPr>
                  <w:rPr>
                    <w:rFonts w:ascii="Cambria Math" w:hAnsi="Cambria Math"/>
                  </w:rPr>
                </m:ctrlPr>
              </m:barPr>
              <m:e>
                <m:r>
                  <w:rPr>
                    <w:rFonts w:ascii="Cambria Math" w:hAnsi="Cambria Math"/>
                  </w:rPr>
                  <m:t>q</m:t>
                </m:r>
              </m:e>
            </m:bar>
          </m:e>
          <m:sup>
            <m:r>
              <m:rPr>
                <m:sty m:val="p"/>
              </m:rPr>
              <w:rPr>
                <w:rFonts w:ascii="Cambria Math" w:hAnsi="Cambria Math"/>
              </w:rPr>
              <m:t>⊤</m:t>
            </m:r>
          </m:sup>
        </m:sSup>
        <m:bar>
          <m:barPr>
            <m:pos m:val="top"/>
            <m:ctrlPr>
              <w:rPr>
                <w:rFonts w:ascii="Cambria Math" w:hAnsi="Cambria Math"/>
              </w:rPr>
            </m:ctrlPr>
          </m:barPr>
          <m:e>
            <m:r>
              <w:rPr>
                <w:rFonts w:ascii="Cambria Math" w:hAnsi="Cambria Math"/>
              </w:rPr>
              <m:t>k</m:t>
            </m:r>
          </m:e>
        </m:bar>
      </m:oMath>
      <w:r>
        <w:t>, so the address collapses to the sub-key centroid. This removes within-token distinctions unless another channel retains them.</w:t>
      </w:r>
    </w:p>
    <w:p w14:paraId="65515F9B" w14:textId="77777777" w:rsidR="00655664" w:rsidRDefault="00000000" w:rsidP="00BD3711">
      <w:pPr>
        <w:pStyle w:val="BodyText"/>
        <w:jc w:val="both"/>
      </w:pPr>
      <w:r>
        <w:t xml:space="preserve">Taking the maximum behaves differently. The function </w:t>
      </w:r>
      <m:oMath>
        <m:sSub>
          <m:sSubPr>
            <m:ctrlPr>
              <w:rPr>
                <w:rFonts w:ascii="Cambria Math" w:hAnsi="Cambria Math"/>
              </w:rPr>
            </m:ctrlPr>
          </m:sSubPr>
          <m:e>
            <m:r>
              <m:rPr>
                <m:sty m:val="p"/>
              </m:rPr>
              <w:rPr>
                <w:rFonts w:ascii="Cambria Math" w:hAnsi="Cambria Math"/>
              </w:rPr>
              <m:t>max</m:t>
            </m:r>
          </m:e>
          <m:sub>
            <m:r>
              <w:rPr>
                <w:rFonts w:ascii="Cambria Math" w:hAnsi="Cambria Math"/>
              </w:rPr>
              <m:t>a</m:t>
            </m:r>
            <m:r>
              <m:rPr>
                <m:sty m:val="p"/>
              </m:rPr>
              <w:rPr>
                <w:rFonts w:ascii="Cambria Math" w:hAnsi="Cambria Math"/>
              </w:rPr>
              <m:t>,</m:t>
            </m:r>
            <m:r>
              <w:rPr>
                <w:rFonts w:ascii="Cambria Math" w:hAnsi="Cambria Math"/>
              </w:rPr>
              <m:t>b</m:t>
            </m:r>
          </m:sub>
        </m:sSub>
        <m:sSubSup>
          <m:sSubSupPr>
            <m:ctrlPr>
              <w:rPr>
                <w:rFonts w:ascii="Cambria Math" w:hAnsi="Cambria Math"/>
              </w:rPr>
            </m:ctrlPr>
          </m:sSubSupPr>
          <m:e>
            <m:r>
              <w:rPr>
                <w:rFonts w:ascii="Cambria Math" w:hAnsi="Cambria Math"/>
              </w:rPr>
              <m:t>q</m:t>
            </m:r>
          </m:e>
          <m:sub>
            <m:r>
              <w:rPr>
                <w:rFonts w:ascii="Cambria Math" w:hAnsi="Cambria Math"/>
              </w:rPr>
              <m:t>a</m:t>
            </m:r>
          </m:sub>
          <m:sup>
            <m:r>
              <m:rPr>
                <m:sty m:val="p"/>
              </m:rPr>
              <w:rPr>
                <w:rFonts w:ascii="Cambria Math" w:hAnsi="Cambria Math"/>
              </w:rPr>
              <m:t>⊤</m:t>
            </m:r>
          </m:sup>
        </m:sSubSup>
        <m:sSub>
          <m:sSubPr>
            <m:ctrlPr>
              <w:rPr>
                <w:rFonts w:ascii="Cambria Math" w:hAnsi="Cambria Math"/>
              </w:rPr>
            </m:ctrlPr>
          </m:sSubPr>
          <m:e>
            <m:r>
              <w:rPr>
                <w:rFonts w:ascii="Cambria Math" w:hAnsi="Cambria Math"/>
              </w:rPr>
              <m:t>k</m:t>
            </m:r>
          </m:e>
          <m:sub>
            <m:r>
              <w:rPr>
                <w:rFonts w:ascii="Cambria Math" w:hAnsi="Cambria Math"/>
              </w:rPr>
              <m:t>b</m:t>
            </m:r>
          </m:sub>
        </m:sSub>
      </m:oMath>
      <w:r>
        <w:t xml:space="preserve"> depends on the support function of the convex hull of the sub-keys. Equal multisets guarantee equal scores, but are not necessary. In one dimension, the sets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and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have the same score for every collection of query sub-vectors. Consequently, counting all multisets and bounding savings by </w:t>
      </w:r>
      <m:oMath>
        <m:r>
          <w:rPr>
            <w:rFonts w:ascii="Cambria Math" w:hAnsi="Cambria Math"/>
          </w:rPr>
          <m:t>S</m:t>
        </m:r>
        <m:r>
          <m:rPr>
            <m:sty m:val="p"/>
          </m:rPr>
          <w:rPr>
            <w:rFonts w:ascii="Cambria Math" w:hAnsi="Cambria Math"/>
          </w:rPr>
          <m:t>!</m:t>
        </m:r>
      </m:oMath>
      <w:r>
        <w:t xml:space="preserve"> is not a universal lower bound for max-based addressing. Compression can also remove interior points because that scoring rule does not observe them.</w:t>
      </w:r>
    </w:p>
    <w:p w14:paraId="7DCDB484" w14:textId="77777777" w:rsidR="00655664" w:rsidRDefault="00000000" w:rsidP="00BD3711">
      <w:pPr>
        <w:pStyle w:val="BodyText"/>
        <w:keepNext/>
        <w:jc w:val="both"/>
      </w:pPr>
      <w:r>
        <w:t>At unit temperature, log-sum-exp permits an exact marginal counter:</w:t>
      </w:r>
    </w:p>
    <w:p w14:paraId="57932BC8" w14:textId="77777777" w:rsidR="00655664" w:rsidRDefault="00000000" w:rsidP="00BD3711">
      <w:pPr>
        <w:pStyle w:val="BodyText"/>
        <w:keepLines/>
        <w:spacing w:before="100" w:after="160"/>
        <w:jc w:val="both"/>
      </w:pPr>
      <m:oMathPara>
        <m:oMathParaPr>
          <m:jc m:val="center"/>
        </m:oMathParaPr>
        <m:oMath>
          <m:r>
            <w:rPr>
              <w:rFonts w:ascii="Cambria Math" w:hAnsi="Cambria Math"/>
            </w:rPr>
            <m:t>σ</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e>
          </m:d>
          <m:r>
            <m:rPr>
              <m:sty m:val="p"/>
            </m:rPr>
            <w:rPr>
              <w:rFonts w:ascii="Cambria Math" w:hAnsi="Cambria Math"/>
            </w:rPr>
            <m:t>=log</m:t>
          </m:r>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b</m:t>
              </m:r>
            </m:sub>
            <m:sup>
              <m:r>
                <w:rPr>
                  <w:rFonts w:ascii="Cambria Math" w:hAnsi="Cambria Math"/>
                </w:rPr>
                <m:t>​</m:t>
              </m:r>
            </m:sup>
            <m:e>
              <m:sSup>
                <m:sSupPr>
                  <m:ctrlPr>
                    <w:rPr>
                      <w:rFonts w:ascii="Cambria Math" w:hAnsi="Cambria Math"/>
                    </w:rPr>
                  </m:ctrlPr>
                </m:sSupPr>
                <m:e>
                  <m:r>
                    <w:rPr>
                      <w:rFonts w:ascii="Cambria Math" w:hAnsi="Cambria Math"/>
                    </w:rPr>
                    <m:t>e</m:t>
                  </m:r>
                </m:e>
                <m:sup>
                  <m:sSubSup>
                    <m:sSubSupPr>
                      <m:ctrlPr>
                        <w:rPr>
                          <w:rFonts w:ascii="Cambria Math" w:hAnsi="Cambria Math"/>
                        </w:rPr>
                      </m:ctrlPr>
                    </m:sSubSupPr>
                    <m:e>
                      <m:r>
                        <w:rPr>
                          <w:rFonts w:ascii="Cambria Math" w:hAnsi="Cambria Math"/>
                        </w:rPr>
                        <m:t>q</m:t>
                      </m:r>
                    </m:e>
                    <m:sub>
                      <m:r>
                        <w:rPr>
                          <w:rFonts w:ascii="Cambria Math" w:hAnsi="Cambria Math"/>
                        </w:rPr>
                        <m:t>a</m:t>
                      </m:r>
                    </m:sub>
                    <m:sup>
                      <m:r>
                        <m:rPr>
                          <m:sty m:val="p"/>
                        </m:rPr>
                        <w:rPr>
                          <w:rFonts w:ascii="Cambria Math" w:hAnsi="Cambria Math"/>
                        </w:rPr>
                        <m:t>⊤</m:t>
                      </m:r>
                    </m:sup>
                  </m:sSubSup>
                  <m:sSub>
                    <m:sSubPr>
                      <m:ctrlPr>
                        <w:rPr>
                          <w:rFonts w:ascii="Cambria Math" w:hAnsi="Cambria Math"/>
                        </w:rPr>
                      </m:ctrlPr>
                    </m:sSubPr>
                    <m:e>
                      <m:r>
                        <w:rPr>
                          <w:rFonts w:ascii="Cambria Math" w:hAnsi="Cambria Math"/>
                        </w:rPr>
                        <m:t>k</m:t>
                      </m:r>
                    </m:e>
                    <m:sub>
                      <m:r>
                        <w:rPr>
                          <w:rFonts w:ascii="Cambria Math" w:hAnsi="Cambria Math"/>
                        </w:rPr>
                        <m:t>b</m:t>
                      </m:r>
                    </m:sub>
                  </m:sSub>
                </m:sup>
              </m:sSup>
            </m:e>
          </m:nary>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e</m:t>
              </m:r>
            </m:e>
            <m:sup>
              <m:r>
                <w:rPr>
                  <w:rFonts w:ascii="Cambria Math" w:hAnsi="Cambria Math"/>
                </w:rPr>
                <m:t>σ</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e>
              </m:d>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b</m:t>
              </m:r>
            </m:sub>
            <m:sup>
              <m:r>
                <w:rPr>
                  <w:rFonts w:ascii="Cambria Math" w:hAnsi="Cambria Math"/>
                </w:rPr>
                <m:t>​</m:t>
              </m:r>
            </m:sup>
            <m:e>
              <m:sSub>
                <m:sSubPr>
                  <m:ctrlPr>
                    <w:rPr>
                      <w:rFonts w:ascii="Cambria Math" w:hAnsi="Cambria Math"/>
                    </w:rPr>
                  </m:ctrlPr>
                </m:sSubPr>
                <m:e>
                  <m:r>
                    <w:rPr>
                      <w:rFonts w:ascii="Cambria Math" w:hAnsi="Cambria Math"/>
                    </w:rPr>
                    <m:t>ϕ</m:t>
                  </m:r>
                </m:e>
                <m:sub>
                  <m:r>
                    <w:rPr>
                      <w:rFonts w:ascii="Cambria Math" w:hAnsi="Cambria Math"/>
                    </w:rPr>
                    <m:t>q</m:t>
                  </m:r>
                </m:sub>
              </m:sSub>
            </m:e>
          </m:nary>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b</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ϕ</m:t>
              </m:r>
            </m:e>
            <m:sub>
              <m:r>
                <w:rPr>
                  <w:rFonts w:ascii="Cambria Math" w:hAnsi="Cambria Math"/>
                </w:rPr>
                <m:t>q</m:t>
              </m:r>
            </m:sub>
          </m:sSub>
          <m:d>
            <m:dPr>
              <m:ctrlPr>
                <w:rPr>
                  <w:rFonts w:ascii="Cambria Math" w:hAnsi="Cambria Math"/>
                </w:rPr>
              </m:ctrlPr>
            </m:dPr>
            <m:e>
              <m:r>
                <w:rPr>
                  <w:rFonts w:ascii="Cambria Math" w:hAnsi="Cambria Math"/>
                </w:rPr>
                <m:t>c</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sSup>
                <m:sSupPr>
                  <m:ctrlPr>
                    <w:rPr>
                      <w:rFonts w:ascii="Cambria Math" w:hAnsi="Cambria Math"/>
                    </w:rPr>
                  </m:ctrlPr>
                </m:sSupPr>
                <m:e>
                  <m:r>
                    <w:rPr>
                      <w:rFonts w:ascii="Cambria Math" w:hAnsi="Cambria Math"/>
                    </w:rPr>
                    <m:t>e</m:t>
                  </m:r>
                </m:e>
                <m:sup>
                  <m:sSubSup>
                    <m:sSubSupPr>
                      <m:ctrlPr>
                        <w:rPr>
                          <w:rFonts w:ascii="Cambria Math" w:hAnsi="Cambria Math"/>
                        </w:rPr>
                      </m:ctrlPr>
                    </m:sSubSupPr>
                    <m:e>
                      <m:r>
                        <w:rPr>
                          <w:rFonts w:ascii="Cambria Math" w:hAnsi="Cambria Math"/>
                        </w:rPr>
                        <m:t>q</m:t>
                      </m:r>
                    </m:e>
                    <m:sub>
                      <m:r>
                        <w:rPr>
                          <w:rFonts w:ascii="Cambria Math" w:hAnsi="Cambria Math"/>
                        </w:rPr>
                        <m:t>a</m:t>
                      </m:r>
                    </m:sub>
                    <m:sup>
                      <m:r>
                        <m:rPr>
                          <m:sty m:val="p"/>
                        </m:rPr>
                        <w:rPr>
                          <w:rFonts w:ascii="Cambria Math" w:hAnsi="Cambria Math"/>
                        </w:rPr>
                        <m:t>⊤</m:t>
                      </m:r>
                    </m:sup>
                  </m:sSubSup>
                  <m:r>
                    <w:rPr>
                      <w:rFonts w:ascii="Cambria Math" w:hAnsi="Cambria Math"/>
                    </w:rPr>
                    <m:t>c</m:t>
                  </m:r>
                </m:sup>
              </m:sSup>
            </m:e>
          </m:nary>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12</m:t>
              </m:r>
            </m:e>
          </m:d>
        </m:oMath>
      </m:oMathPara>
    </w:p>
    <w:p w14:paraId="44036D00" w14:textId="77777777" w:rsidR="00655664" w:rsidRDefault="00000000" w:rsidP="00BD3711">
      <w:pPr>
        <w:pStyle w:val="FirstParagraph"/>
        <w:jc w:val="both"/>
      </w:pPr>
      <w:r>
        <w:t>Every token writes its value into each of its sub-key bins, with multiplicity. This representation is exact for the alternative kernel, but loses joint associations between blocks. Large evidence from one pair can dominate it; ordinary ordered block dot products combine evidence multiplicatively. Appendix A gives two histories with identical marginal count–sum state and very different conjunctive reads.</w:t>
      </w:r>
    </w:p>
    <w:p w14:paraId="52796E91" w14:textId="77777777" w:rsidR="00655664" w:rsidRDefault="00000000" w:rsidP="00BD3711">
      <w:pPr>
        <w:pStyle w:val="BodyText"/>
        <w:jc w:val="both"/>
      </w:pPr>
      <w:r>
        <w:t xml:space="preserve">For </w:t>
      </w:r>
      <m:oMath>
        <m:sSub>
          <m:sSubPr>
            <m:ctrlPr>
              <w:rPr>
                <w:rFonts w:ascii="Cambria Math" w:hAnsi="Cambria Math"/>
              </w:rPr>
            </m:ctrlPr>
          </m:sSubPr>
          <m:e>
            <m:r>
              <w:rPr>
                <w:rFonts w:ascii="Cambria Math" w:hAnsi="Cambria Math"/>
              </w:rPr>
              <m:t>σ</m:t>
            </m:r>
          </m:e>
          <m:sub>
            <m:r>
              <w:rPr>
                <w:rFonts w:ascii="Cambria Math" w:hAnsi="Cambria Math"/>
              </w:rPr>
              <m:t>τ</m:t>
            </m:r>
          </m:sub>
        </m:sSub>
        <m:r>
          <m:rPr>
            <m:sty m:val="p"/>
          </m:rPr>
          <w:rPr>
            <w:rFonts w:ascii="Cambria Math" w:hAnsi="Cambria Math"/>
          </w:rPr>
          <m:t>=</m:t>
        </m:r>
        <m:r>
          <w:rPr>
            <w:rFonts w:ascii="Cambria Math" w:hAnsi="Cambria Math"/>
          </w:rPr>
          <m:t>τ</m:t>
        </m:r>
        <m:r>
          <m:rPr>
            <m:sty m:val="p"/>
          </m:rPr>
          <w:rPr>
            <w:rFonts w:ascii="Cambria Math" w:hAnsi="Cambria Math"/>
          </w:rPr>
          <m:t>log</m:t>
        </m:r>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b</m:t>
            </m:r>
          </m:sub>
          <m:sup>
            <m:r>
              <w:rPr>
                <w:rFonts w:ascii="Cambria Math" w:hAnsi="Cambria Math"/>
              </w:rPr>
              <m:t>​</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x</m:t>
                    </m:r>
                  </m:e>
                  <m:sub>
                    <m:r>
                      <w:rPr>
                        <w:rFonts w:ascii="Cambria Math" w:hAnsi="Cambria Math"/>
                      </w:rPr>
                      <m:t>ab</m:t>
                    </m:r>
                  </m:sub>
                </m:sSub>
                <m:r>
                  <m:rPr>
                    <m:sty m:val="p"/>
                  </m:rPr>
                  <w:rPr>
                    <w:rFonts w:ascii="Cambria Math" w:hAnsi="Cambria Math"/>
                  </w:rPr>
                  <m:t>/</m:t>
                </m:r>
                <m:r>
                  <w:rPr>
                    <w:rFonts w:ascii="Cambria Math" w:hAnsi="Cambria Math"/>
                  </w:rPr>
                  <m:t>τ</m:t>
                </m:r>
              </m:sup>
            </m:sSup>
          </m:e>
        </m:nary>
      </m:oMath>
      <w:r>
        <w:t xml:space="preserve">, exponentiation raises the sum to power </w:t>
      </w:r>
      <m:oMath>
        <m:r>
          <w:rPr>
            <w:rFonts w:ascii="Cambria Math" w:hAnsi="Cambria Math"/>
          </w:rPr>
          <m:t>τ</m:t>
        </m:r>
      </m:oMath>
      <w:r>
        <w:t xml:space="preserve">. The simple first-order marginal statistic applies at </w:t>
      </w:r>
      <m:oMath>
        <m:r>
          <w:rPr>
            <w:rFonts w:ascii="Cambria Math" w:hAnsi="Cambria Math"/>
          </w:rPr>
          <m:t>τ</m:t>
        </m:r>
        <m:r>
          <m:rPr>
            <m:sty m:val="p"/>
          </m:rPr>
          <w:rPr>
            <w:rFonts w:ascii="Cambria Math" w:hAnsi="Cambria Math"/>
          </w:rPr>
          <m:t>=</m:t>
        </m:r>
        <m:r>
          <w:rPr>
            <w:rFonts w:ascii="Cambria Math" w:hAnsi="Cambria Math"/>
          </w:rPr>
          <m:t>1</m:t>
        </m:r>
      </m:oMath>
      <w:r>
        <w:t>. Positive integer temperatures admit higher-order expansions, with potentially large tuple statistics, so an absolute claim that no other temperature can factorize would also be incorrect. Narrowing the full address preserves ordinary dot-product matching and avoids introducing this additional change of kernel.</w:t>
      </w:r>
    </w:p>
    <w:p w14:paraId="17939B27" w14:textId="77777777" w:rsidR="00655664" w:rsidRDefault="00000000" w:rsidP="00BD3711">
      <w:pPr>
        <w:pStyle w:val="Heading1"/>
        <w:jc w:val="both"/>
      </w:pPr>
      <w:bookmarkStart w:id="18" w:name="the-attentionlet-counter-architecture"/>
      <w:bookmarkEnd w:id="17"/>
      <w:r>
        <w:t>8 The Attentionlet counter architecture</w:t>
      </w:r>
    </w:p>
    <w:p w14:paraId="14B3DEEB" w14:textId="77777777" w:rsidR="00655664" w:rsidRDefault="00000000" w:rsidP="00BD3711">
      <w:pPr>
        <w:pStyle w:val="Heading2"/>
        <w:jc w:val="both"/>
      </w:pPr>
      <w:bookmarkStart w:id="19" w:name="Xbc78fb8d2f10608d0c206dd50007573b86e224f"/>
      <w:r>
        <w:t>One normalized read across recent and aggregated memory</w:t>
      </w:r>
    </w:p>
    <w:p w14:paraId="537B963E" w14:textId="77777777" w:rsidR="00655664" w:rsidRDefault="00000000" w:rsidP="00BD3711">
      <w:pPr>
        <w:pStyle w:val="FirstParagraph"/>
        <w:jc w:val="both"/>
      </w:pPr>
      <w:r>
        <w:t xml:space="preserve">Figure 1 shows the proposed NoPE shared-slice configuration. Keep the newest </w:t>
      </w:r>
      <m:oMath>
        <m:r>
          <w:rPr>
            <w:rFonts w:ascii="Cambria Math" w:hAnsi="Cambria Math"/>
          </w:rPr>
          <m:t>W</m:t>
        </m:r>
      </m:oMath>
      <w:r>
        <w:t xml:space="preserve"> exact slices and per-head values. When an entry leaves the window, assign its slice to a codeword, increment the bin count, update the per-head means, and enlarge the bin radius if needed. A fixed set of protected tokens can also remain exact, but its storage must be charged to the budget. Attention-sink preservation is a baseline to test [19], not a consequence of counting.</w:t>
      </w:r>
    </w:p>
    <w:p w14:paraId="473F9D31" w14:textId="77777777" w:rsidR="00655664" w:rsidRDefault="00000000" w:rsidP="00BD3711">
      <w:pPr>
        <w:pStyle w:val="BodyText"/>
        <w:keepNext/>
        <w:spacing w:before="140" w:after="80"/>
        <w:jc w:val="both"/>
      </w:pPr>
      <w:r>
        <w:rPr>
          <w:noProof/>
        </w:rPr>
        <w:lastRenderedPageBreak/>
        <w:drawing>
          <wp:inline distT="0" distB="0" distL="0" distR="0" wp14:anchorId="24167962" wp14:editId="0D3B5E99">
            <wp:extent cx="5715000" cy="2549952"/>
            <wp:effectExtent l="0" t="0" r="0" b="0"/>
            <wp:docPr id="39" name="Picture" descr="Analytical cache storage versus context length. Exact caches grow linearly, while the fully allocated shared-slice counter and window use 8.30 MiB per layer under the stated precision choices."/>
            <wp:cNvGraphicFramePr/>
            <a:graphic xmlns:a="http://schemas.openxmlformats.org/drawingml/2006/main">
              <a:graphicData uri="http://schemas.openxmlformats.org/drawingml/2006/picture">
                <pic:pic xmlns:pic="http://schemas.openxmlformats.org/drawingml/2006/picture">
                  <pic:nvPicPr>
                    <pic:cNvPr id="40" name="Picture" descr="architecture.png"/>
                    <pic:cNvPicPr>
                      <a:picLocks noChangeAspect="1" noChangeArrowheads="1"/>
                    </pic:cNvPicPr>
                  </pic:nvPicPr>
                  <pic:blipFill>
                    <a:blip r:embed="rId9"/>
                    <a:stretch>
                      <a:fillRect/>
                    </a:stretch>
                  </pic:blipFill>
                  <pic:spPr bwMode="auto">
                    <a:xfrm>
                      <a:off x="0" y="0"/>
                      <a:ext cx="5715000" cy="2549952"/>
                    </a:xfrm>
                    <a:prstGeom prst="rect">
                      <a:avLst/>
                    </a:prstGeom>
                    <a:noFill/>
                    <a:ln w="9525">
                      <a:noFill/>
                      <a:headEnd/>
                      <a:tailEnd/>
                    </a:ln>
                  </pic:spPr>
                </pic:pic>
              </a:graphicData>
            </a:graphic>
          </wp:inline>
        </w:drawing>
      </w:r>
    </w:p>
    <w:p w14:paraId="6E7E4461" w14:textId="77777777" w:rsidR="00655664" w:rsidRDefault="00000000" w:rsidP="00BD3711">
      <w:pPr>
        <w:pStyle w:val="Caption"/>
        <w:keepLines/>
        <w:jc w:val="both"/>
      </w:pPr>
      <w:r>
        <w:rPr>
          <w:iCs/>
        </w:rPr>
        <w:t>Figure 1. Exact recent entries and codeword bins contribute to one softmax normalization. Quantization occurs when a token leaves the window. ALiBi replaces counts by head-specific decayed masses and weighted means.</w:t>
      </w:r>
    </w:p>
    <w:p w14:paraId="7D12266F" w14:textId="77777777" w:rsidR="00655664" w:rsidRDefault="00000000" w:rsidP="00BD3711">
      <w:pPr>
        <w:pStyle w:val="BodyText"/>
        <w:jc w:val="both"/>
      </w:pPr>
      <w:r>
        <w:t xml:space="preserve">For head </w:t>
      </w:r>
      <m:oMath>
        <m:r>
          <w:rPr>
            <w:rFonts w:ascii="Cambria Math" w:hAnsi="Cambria Math"/>
          </w:rPr>
          <m:t>h</m:t>
        </m:r>
      </m:oMath>
      <w:r>
        <w:t xml:space="preserve">, compute the exact window scores and the bin scores </w:t>
      </w:r>
      <m:oMath>
        <m:sSubSup>
          <m:sSubSupPr>
            <m:ctrlPr>
              <w:rPr>
                <w:rFonts w:ascii="Cambria Math" w:hAnsi="Cambria Math"/>
              </w:rPr>
            </m:ctrlPr>
          </m:sSubSupPr>
          <m:e>
            <m:r>
              <w:rPr>
                <w:rFonts w:ascii="Cambria Math" w:hAnsi="Cambria Math"/>
              </w:rPr>
              <m:t>u</m:t>
            </m:r>
          </m:e>
          <m:sub>
            <m:r>
              <w:rPr>
                <w:rFonts w:ascii="Cambria Math" w:hAnsi="Cambria Math"/>
              </w:rPr>
              <m:t>h</m:t>
            </m:r>
          </m:sub>
          <m:sup>
            <m:r>
              <m:rPr>
                <m:sty m:val="p"/>
              </m:rPr>
              <w:rPr>
                <w:rFonts w:ascii="Cambria Math" w:hAnsi="Cambria Math"/>
              </w:rPr>
              <m:t>⊤</m:t>
            </m:r>
          </m:sup>
        </m:sSubSup>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+log</m:t>
        </m:r>
        <m:sSub>
          <m:sSubPr>
            <m:ctrlPr>
              <w:rPr>
                <w:rFonts w:ascii="Cambria Math" w:hAnsi="Cambria Math"/>
              </w:rPr>
            </m:ctrlPr>
          </m:sSubPr>
          <m:e>
            <m:r>
              <w:rPr>
                <w:rFonts w:ascii="Cambria Math" w:hAnsi="Cambria Math"/>
              </w:rPr>
              <m:t>n</m:t>
            </m:r>
          </m:e>
          <m:sub>
            <m:r>
              <w:rPr>
                <w:rFonts w:ascii="Cambria Math" w:hAnsi="Cambria Math"/>
              </w:rPr>
              <m:t>j</m:t>
            </m:r>
          </m:sub>
        </m:sSub>
      </m:oMath>
      <w:r>
        <w:t>. Concatenate the two sets of scores, subtract their common maximum, exponentiate, and take a single weighted average of the window values and bin means. Separately normalizing the two memories and averaging their outputs changes the attention operation unless the two normalization masses are restored.</w:t>
      </w:r>
    </w:p>
    <w:p w14:paraId="3C59716D" w14:textId="77777777" w:rsidR="00655664" w:rsidRDefault="00000000" w:rsidP="00BD3711">
      <w:pPr>
        <w:pStyle w:val="BodyText"/>
        <w:jc w:val="both"/>
      </w:pPr>
      <w:r>
        <w:rPr>
          <w:b/>
          <w:bCs/>
        </w:rPr>
        <w:t>Algorithm 1 One causal decoding step</w:t>
      </w:r>
    </w:p>
    <w:p w14:paraId="4E613B3D" w14:textId="77777777" w:rsidR="00655664" w:rsidRDefault="00000000" w:rsidP="00BD3711">
      <w:pPr>
        <w:pStyle w:val="Compact"/>
        <w:numPr>
          <w:ilvl w:val="0"/>
          <w:numId w:val="2"/>
        </w:numPr>
        <w:jc w:val="both"/>
      </w:pPr>
      <w:r>
        <w:t>Compute the current normalized input, slice, and per-head values; append the exact entry to the recent window.</w:t>
      </w:r>
    </w:p>
    <w:p w14:paraId="032A686F" w14:textId="77777777" w:rsidR="00655664" w:rsidRDefault="00000000" w:rsidP="00BD3711">
      <w:pPr>
        <w:pStyle w:val="Compact"/>
        <w:numPr>
          <w:ilvl w:val="0"/>
          <w:numId w:val="2"/>
        </w:numPr>
        <w:jc w:val="both"/>
      </w:pPr>
      <w:r>
        <w:t xml:space="preserve">If the window exceeds </w:t>
      </w:r>
      <m:oMath>
        <m:r>
          <w:rPr>
            <w:rFonts w:ascii="Cambria Math" w:hAnsi="Cambria Math"/>
          </w:rPr>
          <m:t>W</m:t>
        </m:r>
      </m:oMath>
      <w:r>
        <w:t>, remove its oldest entry and assign it to a fixed codeword. Update its count, means, and radius. Under ALiBi, apply Eq. (6) with the entry’s current age.</w:t>
      </w:r>
    </w:p>
    <w:p w14:paraId="0CF51290" w14:textId="77777777" w:rsidR="00655664" w:rsidRDefault="00000000" w:rsidP="00BD3711">
      <w:pPr>
        <w:pStyle w:val="Compact"/>
        <w:numPr>
          <w:ilvl w:val="0"/>
          <w:numId w:val="2"/>
        </w:numPr>
        <w:jc w:val="both"/>
      </w:pPr>
      <w:r>
        <w:t>Form every occupied bin score, including its log-count or current log-mass, and every exact-window score.</w:t>
      </w:r>
    </w:p>
    <w:p w14:paraId="30D5E68C" w14:textId="77777777" w:rsidR="00655664" w:rsidRDefault="00000000" w:rsidP="00BD3711">
      <w:pPr>
        <w:pStyle w:val="Compact"/>
        <w:numPr>
          <w:ilvl w:val="0"/>
          <w:numId w:val="2"/>
        </w:numPr>
        <w:jc w:val="both"/>
      </w:pPr>
      <w:r>
        <w:t>Normalize the combined scores once and aggregate their payloads. Apply the usual output projection and residual computation.</w:t>
      </w:r>
    </w:p>
    <w:p w14:paraId="18FA573A" w14:textId="77777777" w:rsidR="00655664" w:rsidRDefault="00000000" w:rsidP="00BD3711">
      <w:pPr>
        <w:pStyle w:val="Compact"/>
        <w:numPr>
          <w:ilvl w:val="0"/>
          <w:numId w:val="2"/>
        </w:numPr>
        <w:jc w:val="both"/>
      </w:pPr>
      <w:r>
        <w:t>Record diagnostic mass and error bounds. If a query leaves the certified domain, mark the certificate invalid; discarded individual entries cannot be recovered from a bin mean.</w:t>
      </w:r>
    </w:p>
    <w:p w14:paraId="56F11683" w14:textId="77777777" w:rsidR="00655664" w:rsidRDefault="00000000" w:rsidP="00BD3711">
      <w:pPr>
        <w:pStyle w:val="FirstParagraph"/>
        <w:jc w:val="both"/>
      </w:pPr>
      <w:r>
        <w:t>The algorithm includes the current token in its causal attention. For strict past-only variants, shift the append/read order consistently. Codebook parameters remain frozen during a retained counter’s lifetime in the reference implementation.</w:t>
      </w:r>
    </w:p>
    <w:p w14:paraId="79F977E4" w14:textId="77777777" w:rsidR="00655664" w:rsidRDefault="00000000" w:rsidP="00BD3711">
      <w:pPr>
        <w:pStyle w:val="Heading2"/>
        <w:jc w:val="both"/>
      </w:pPr>
      <w:bookmarkStart w:id="20" w:name="explicit-storage-accounting"/>
      <w:bookmarkEnd w:id="19"/>
      <w:r>
        <w:t>Explicit storage accounting</w:t>
      </w:r>
    </w:p>
    <w:p w14:paraId="72795552" w14:textId="77777777" w:rsidR="00655664" w:rsidRDefault="00000000" w:rsidP="00BD3711">
      <w:pPr>
        <w:pStyle w:val="FirstParagraph"/>
        <w:jc w:val="both"/>
      </w:pPr>
      <w:r>
        <w:t xml:space="preserve">For NoPE shared-slice attention, the bin statistic uses </w:t>
      </w:r>
      <m:oMath>
        <m:r>
          <w:rPr>
            <w:rFonts w:ascii="Cambria Math" w:hAnsi="Cambria Math"/>
          </w:rPr>
          <m:t>K</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d</m:t>
                </m:r>
              </m:e>
              <m:sub>
                <m:r>
                  <w:rPr>
                    <w:rFonts w:ascii="Cambria Math" w:hAnsi="Cambria Math"/>
                  </w:rPr>
                  <m:t>v</m:t>
                </m:r>
              </m:sub>
            </m:sSub>
          </m:e>
        </m:d>
      </m:oMath>
      <w:r>
        <w:t xml:space="preserve"> scalar fields before radius metadata. The exact cache uses </w:t>
      </w:r>
      <m:oMath>
        <m:r>
          <w:rPr>
            <w:rFonts w:ascii="Cambria Math" w:hAnsi="Cambria Math"/>
          </w:rPr>
          <m:t>T</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d</m:t>
                </m:r>
              </m:e>
              <m:sub>
                <m:r>
                  <w:rPr>
                    <w:rFonts w:ascii="Cambria Math" w:hAnsi="Cambria Math"/>
                  </w:rPr>
                  <m:t>v</m:t>
                </m:r>
              </m:sub>
            </m:sSub>
          </m:e>
        </m:d>
      </m:oMath>
      <w:r>
        <w:t xml:space="preserve"> scalar fields. These expressions count fields of potentially different precisions. Table 1 instead specifies bytes. It uses </w:t>
      </w:r>
      <m:oMath>
        <m:r>
          <w:rPr>
            <w:rFonts w:ascii="Cambria Math" w:hAnsi="Cambria Math"/>
          </w:rPr>
          <m:t>d</m:t>
        </m:r>
        <m:r>
          <m:rPr>
            <m:sty m:val="p"/>
          </m:rPr>
          <w:rPr>
            <w:rFonts w:ascii="Cambria Math" w:hAnsi="Cambria Math"/>
          </w:rPr>
          <m:t>=</m:t>
        </m:r>
        <m:r>
          <w:rPr>
            <w:rFonts w:ascii="Cambria Math" w:hAnsi="Cambria Math"/>
          </w:rPr>
          <m:t>512</m:t>
        </m:r>
      </m:oMath>
      <w:r>
        <w:t xml:space="preserve">, </w:t>
      </w:r>
      <m:oMath>
        <m:r>
          <w:rPr>
            <w:rFonts w:ascii="Cambria Math" w:hAnsi="Cambria Math"/>
          </w:rPr>
          <m:t>H</m:t>
        </m:r>
        <m:r>
          <m:rPr>
            <m:sty m:val="p"/>
          </m:rPr>
          <w:rPr>
            <w:rFonts w:ascii="Cambria Math" w:hAnsi="Cambria Math"/>
          </w:rPr>
          <m:t>=</m:t>
        </m:r>
        <m:r>
          <w:rPr>
            <w:rFonts w:ascii="Cambria Math" w:hAnsi="Cambria Math"/>
          </w:rPr>
          <m:t>8</m:t>
        </m:r>
      </m:oMath>
      <w:r>
        <w:t xml:space="preserve">, </w:t>
      </w:r>
      <m:oMath>
        <m:r>
          <w:rPr>
            <w:rFonts w:ascii="Cambria Math" w:hAnsi="Cambria Math"/>
          </w:rPr>
          <m:t>r</m:t>
        </m:r>
        <m:r>
          <m:rPr>
            <m:sty m:val="p"/>
          </m:rPr>
          <w:rPr>
            <w:rFonts w:ascii="Cambria Math" w:hAnsi="Cambria Math"/>
          </w:rPr>
          <m:t>=</m:t>
        </m:r>
        <m:r>
          <w:rPr>
            <w:rFonts w:ascii="Cambria Math" w:hAnsi="Cambria Math"/>
          </w:rPr>
          <m:t>16</m:t>
        </m:r>
      </m:oMath>
      <w:r>
        <w:t xml:space="preserve">, </w:t>
      </w:r>
      <m:oMath>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r>
          <w:rPr>
            <w:rFonts w:ascii="Cambria Math" w:hAnsi="Cambria Math"/>
          </w:rPr>
          <m:t>64</m:t>
        </m:r>
      </m:oMath>
      <w:r>
        <w:t xml:space="preserve">, </w:t>
      </w:r>
      <m:oMath>
        <m:r>
          <w:rPr>
            <w:rFonts w:ascii="Cambria Math" w:hAnsi="Cambria Math"/>
          </w:rPr>
          <m:t>T</m:t>
        </m:r>
        <m:r>
          <m:rPr>
            <m:sty m:val="p"/>
          </m:rPr>
          <w:rPr>
            <w:rFonts w:ascii="Cambria Math" w:hAnsi="Cambria Math"/>
          </w:rPr>
          <m:t>=</m:t>
        </m:r>
        <m:r>
          <w:rPr>
            <w:rFonts w:ascii="Cambria Math" w:hAnsi="Cambria Math"/>
          </w:rPr>
          <m:t>131</m:t>
        </m:r>
        <m:r>
          <m:rPr>
            <m:sty m:val="p"/>
          </m:rPr>
          <w:rPr>
            <w:rFonts w:ascii="Cambria Math" w:hAnsi="Cambria Math"/>
          </w:rPr>
          <m:t>,</m:t>
        </m:r>
        <m:r>
          <w:rPr>
            <w:rFonts w:ascii="Cambria Math" w:hAnsi="Cambria Math"/>
          </w:rPr>
          <m:t>072</m:t>
        </m:r>
      </m:oMath>
      <w:r>
        <w:t xml:space="preserve">, </w:t>
      </w:r>
      <m:oMath>
        <m:r>
          <w:rPr>
            <w:rFonts w:ascii="Cambria Math" w:hAnsi="Cambria Math"/>
          </w:rPr>
          <m:t>K</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096</m:t>
        </m:r>
      </m:oMath>
      <w:r>
        <w:t xml:space="preserve">, and </w:t>
      </w:r>
      <m:oMath>
        <m:r>
          <w:rPr>
            <w:rFonts w:ascii="Cambria Math" w:hAnsi="Cambria Math"/>
          </w:rPr>
          <m:t>W</m:t>
        </m:r>
        <m:r>
          <m:rPr>
            <m:sty m:val="p"/>
          </m:rPr>
          <w:rPr>
            <w:rFonts w:ascii="Cambria Math" w:hAnsi="Cambria Math"/>
          </w:rPr>
          <m:t>=</m:t>
        </m:r>
        <m:r>
          <w:rPr>
            <w:rFonts w:ascii="Cambria Math" w:hAnsi="Cambria Math"/>
          </w:rPr>
          <m:t>256</m:t>
        </m:r>
      </m:oMath>
      <w:r>
        <w:t>.</w:t>
      </w:r>
    </w:p>
    <w:p w14:paraId="33CB0F6B" w14:textId="77777777" w:rsidR="00655664" w:rsidRDefault="00000000" w:rsidP="00BD3711">
      <w:pPr>
        <w:pStyle w:val="Caption"/>
        <w:keepNext/>
        <w:jc w:val="both"/>
      </w:pPr>
      <w:r>
        <w:rPr>
          <w:iCs/>
        </w:rPr>
        <w:lastRenderedPageBreak/>
        <w:t xml:space="preserve">Table 1. Allocated storage per layer under the stated precision choices. One MiB is </w:t>
      </w:r>
      <m:oMath>
        <m:sSup>
          <m:sSupPr>
            <m:ctrlPr>
              <w:rPr>
                <w:rFonts w:ascii="Cambria Math" w:hAnsi="Cambria Math"/>
              </w:rPr>
            </m:ctrlPr>
          </m:sSupPr>
          <m:e>
            <m:r>
              <w:rPr>
                <w:rFonts w:ascii="Cambria Math" w:hAnsi="Cambria Math"/>
              </w:rPr>
              <m:t>2</m:t>
            </m:r>
          </m:e>
          <m:sup>
            <m:r>
              <w:rPr>
                <w:rFonts w:ascii="Cambria Math" w:hAnsi="Cambria Math"/>
              </w:rPr>
              <m:t>20</m:t>
            </m:r>
          </m:sup>
        </m:sSup>
      </m:oMath>
      <w:r>
        <w:rPr>
          <w:iCs/>
        </w:rPr>
        <w:t xml:space="preserve"> bytes.</w:t>
      </w:r>
    </w:p>
    <w:tbl>
      <w:tblPr>
        <w:tblStyle w:val="Table"/>
        <w:tblW w:w="964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3787"/>
        <w:gridCol w:w="1469"/>
        <w:gridCol w:w="1354"/>
        <w:gridCol w:w="3038"/>
      </w:tblGrid>
      <w:tr w:rsidR="00655664" w14:paraId="2E49F3F4" w14:textId="77777777" w:rsidTr="00655664">
        <w:trPr>
          <w:cnfStyle w:val="100000000000" w:firstRow="1" w:lastRow="0" w:firstColumn="0" w:lastColumn="0" w:oddVBand="0" w:evenVBand="0" w:oddHBand="0" w:evenHBand="0" w:firstRowFirstColumn="0" w:firstRowLastColumn="0" w:lastRowFirstColumn="0" w:lastRowLastColumn="0"/>
          <w:cantSplit/>
          <w:tblHeader/>
          <w:jc w:val="center"/>
        </w:trPr>
        <w:tc>
          <w:tcPr>
            <w:tcW w:w="3787" w:type="dxa"/>
            <w:shd w:val="clear" w:color="auto" w:fill="E7ECF0"/>
            <w:vAlign w:val="center"/>
          </w:tcPr>
          <w:p w14:paraId="101B539E" w14:textId="77777777" w:rsidR="00655664" w:rsidRDefault="00000000" w:rsidP="00BD3711">
            <w:pPr>
              <w:keepLines/>
              <w:spacing w:after="0" w:line="250" w:lineRule="auto"/>
              <w:jc w:val="both"/>
            </w:pPr>
            <w:r>
              <w:rPr>
                <w:b/>
                <w:sz w:val="19"/>
              </w:rPr>
              <w:t>Representation</w:t>
            </w:r>
          </w:p>
        </w:tc>
        <w:tc>
          <w:tcPr>
            <w:tcW w:w="1469" w:type="dxa"/>
            <w:shd w:val="clear" w:color="auto" w:fill="E7ECF0"/>
            <w:vAlign w:val="center"/>
          </w:tcPr>
          <w:p w14:paraId="03637C6A" w14:textId="77777777" w:rsidR="00655664" w:rsidRDefault="00000000" w:rsidP="00BD3711">
            <w:pPr>
              <w:keepLines/>
              <w:spacing w:after="0" w:line="250" w:lineRule="auto"/>
              <w:jc w:val="both"/>
            </w:pPr>
            <w:r>
              <w:rPr>
                <w:b/>
                <w:sz w:val="19"/>
              </w:rPr>
              <w:t>Sequence state MiB</w:t>
            </w:r>
          </w:p>
        </w:tc>
        <w:tc>
          <w:tcPr>
            <w:tcW w:w="1354" w:type="dxa"/>
            <w:shd w:val="clear" w:color="auto" w:fill="E7ECF0"/>
            <w:vAlign w:val="center"/>
          </w:tcPr>
          <w:p w14:paraId="1AA8A1D6" w14:textId="77777777" w:rsidR="00655664" w:rsidRDefault="00000000" w:rsidP="00BD3711">
            <w:pPr>
              <w:keepLines/>
              <w:spacing w:after="0" w:line="250" w:lineRule="auto"/>
              <w:jc w:val="both"/>
            </w:pPr>
            <w:r>
              <w:rPr>
                <w:b/>
                <w:sz w:val="19"/>
              </w:rPr>
              <w:t>Codebook MiB</w:t>
            </w:r>
          </w:p>
        </w:tc>
        <w:tc>
          <w:tcPr>
            <w:tcW w:w="3038" w:type="dxa"/>
            <w:shd w:val="clear" w:color="auto" w:fill="E7ECF0"/>
            <w:vAlign w:val="center"/>
          </w:tcPr>
          <w:p w14:paraId="5255527A" w14:textId="77777777" w:rsidR="00655664" w:rsidRDefault="00000000" w:rsidP="00BD3711">
            <w:pPr>
              <w:keepLines/>
              <w:spacing w:after="0" w:line="250" w:lineRule="auto"/>
              <w:jc w:val="both"/>
            </w:pPr>
            <w:r>
              <w:rPr>
                <w:b/>
                <w:sz w:val="19"/>
              </w:rPr>
              <w:t>Precision of retained state</w:t>
            </w:r>
          </w:p>
        </w:tc>
      </w:tr>
      <w:tr w:rsidR="00655664" w14:paraId="57A2E13B" w14:textId="77777777" w:rsidTr="00655664">
        <w:trPr>
          <w:cantSplit/>
          <w:jc w:val="center"/>
        </w:trPr>
        <w:tc>
          <w:tcPr>
            <w:tcW w:w="3787" w:type="dxa"/>
            <w:shd w:val="clear" w:color="auto" w:fill="FFFFFF"/>
            <w:vAlign w:val="center"/>
          </w:tcPr>
          <w:p w14:paraId="6620A51D" w14:textId="77777777" w:rsidR="00655664" w:rsidRDefault="00000000" w:rsidP="00BD3711">
            <w:pPr>
              <w:keepLines/>
              <w:spacing w:after="0" w:line="250" w:lineRule="auto"/>
              <w:jc w:val="both"/>
            </w:pPr>
            <w:r>
              <w:rPr>
                <w:sz w:val="19"/>
              </w:rPr>
              <w:t>Standard MHA with 64-dimensional keys</w:t>
            </w:r>
          </w:p>
        </w:tc>
        <w:tc>
          <w:tcPr>
            <w:tcW w:w="1469" w:type="dxa"/>
            <w:shd w:val="clear" w:color="auto" w:fill="FFFFFF"/>
            <w:vAlign w:val="center"/>
          </w:tcPr>
          <w:p w14:paraId="0D6B42B3" w14:textId="77777777" w:rsidR="00655664" w:rsidRDefault="00000000" w:rsidP="00BD3711">
            <w:pPr>
              <w:keepLines/>
              <w:spacing w:after="0" w:line="250" w:lineRule="auto"/>
              <w:jc w:val="both"/>
            </w:pPr>
            <w:r>
              <w:rPr>
                <w:sz w:val="19"/>
              </w:rPr>
              <w:t>256.000</w:t>
            </w:r>
          </w:p>
        </w:tc>
        <w:tc>
          <w:tcPr>
            <w:tcW w:w="1354" w:type="dxa"/>
            <w:shd w:val="clear" w:color="auto" w:fill="FFFFFF"/>
            <w:vAlign w:val="center"/>
          </w:tcPr>
          <w:p w14:paraId="66EA757D" w14:textId="77777777" w:rsidR="00655664" w:rsidRDefault="00000000" w:rsidP="00BD3711">
            <w:pPr>
              <w:keepLines/>
              <w:spacing w:after="0" w:line="250" w:lineRule="auto"/>
              <w:jc w:val="both"/>
            </w:pPr>
            <w:r>
              <w:rPr>
                <w:sz w:val="19"/>
              </w:rPr>
              <w:t>0</w:t>
            </w:r>
          </w:p>
        </w:tc>
        <w:tc>
          <w:tcPr>
            <w:tcW w:w="3038" w:type="dxa"/>
            <w:shd w:val="clear" w:color="auto" w:fill="FFFFFF"/>
            <w:vAlign w:val="center"/>
          </w:tcPr>
          <w:p w14:paraId="4BAA198C" w14:textId="77777777" w:rsidR="00655664" w:rsidRDefault="00000000" w:rsidP="00BD3711">
            <w:pPr>
              <w:keepLines/>
              <w:spacing w:after="0" w:line="250" w:lineRule="auto"/>
              <w:jc w:val="both"/>
            </w:pPr>
            <w:r>
              <w:rPr>
                <w:sz w:val="19"/>
              </w:rPr>
              <w:t>FP16 keys and values</w:t>
            </w:r>
          </w:p>
        </w:tc>
      </w:tr>
      <w:tr w:rsidR="00655664" w14:paraId="78543B4A" w14:textId="77777777" w:rsidTr="00655664">
        <w:trPr>
          <w:cantSplit/>
          <w:jc w:val="center"/>
        </w:trPr>
        <w:tc>
          <w:tcPr>
            <w:tcW w:w="3787" w:type="dxa"/>
            <w:shd w:val="clear" w:color="auto" w:fill="F7F8F9"/>
            <w:vAlign w:val="center"/>
          </w:tcPr>
          <w:p w14:paraId="1EA77851" w14:textId="77777777" w:rsidR="00655664" w:rsidRDefault="00000000" w:rsidP="00BD3711">
            <w:pPr>
              <w:keepLines/>
              <w:spacing w:after="0" w:line="250" w:lineRule="auto"/>
              <w:jc w:val="both"/>
            </w:pPr>
            <w:r>
              <w:rPr>
                <w:sz w:val="19"/>
              </w:rPr>
              <w:t>Attentionlet with per-head cached keys</w:t>
            </w:r>
          </w:p>
        </w:tc>
        <w:tc>
          <w:tcPr>
            <w:tcW w:w="1469" w:type="dxa"/>
            <w:shd w:val="clear" w:color="auto" w:fill="F7F8F9"/>
            <w:vAlign w:val="center"/>
          </w:tcPr>
          <w:p w14:paraId="19BF73C6" w14:textId="77777777" w:rsidR="00655664" w:rsidRDefault="00000000" w:rsidP="00BD3711">
            <w:pPr>
              <w:keepLines/>
              <w:spacing w:after="0" w:line="250" w:lineRule="auto"/>
              <w:jc w:val="both"/>
            </w:pPr>
            <w:r>
              <w:rPr>
                <w:sz w:val="19"/>
              </w:rPr>
              <w:t>160.000</w:t>
            </w:r>
          </w:p>
        </w:tc>
        <w:tc>
          <w:tcPr>
            <w:tcW w:w="1354" w:type="dxa"/>
            <w:shd w:val="clear" w:color="auto" w:fill="F7F8F9"/>
            <w:vAlign w:val="center"/>
          </w:tcPr>
          <w:p w14:paraId="60C93D2F" w14:textId="77777777" w:rsidR="00655664" w:rsidRDefault="00000000" w:rsidP="00BD3711">
            <w:pPr>
              <w:keepLines/>
              <w:spacing w:after="0" w:line="250" w:lineRule="auto"/>
              <w:jc w:val="both"/>
            </w:pPr>
            <w:r>
              <w:rPr>
                <w:sz w:val="19"/>
              </w:rPr>
              <w:t>0</w:t>
            </w:r>
          </w:p>
        </w:tc>
        <w:tc>
          <w:tcPr>
            <w:tcW w:w="3038" w:type="dxa"/>
            <w:shd w:val="clear" w:color="auto" w:fill="F7F8F9"/>
            <w:vAlign w:val="center"/>
          </w:tcPr>
          <w:p w14:paraId="233D0E24" w14:textId="77777777" w:rsidR="00655664" w:rsidRDefault="00000000" w:rsidP="00BD3711">
            <w:pPr>
              <w:keepLines/>
              <w:spacing w:after="0" w:line="250" w:lineRule="auto"/>
              <w:jc w:val="both"/>
            </w:pPr>
            <w:r>
              <w:rPr>
                <w:sz w:val="19"/>
              </w:rPr>
              <w:t>FP16 keys and values</w:t>
            </w:r>
          </w:p>
        </w:tc>
      </w:tr>
      <w:tr w:rsidR="00655664" w14:paraId="5BE7C48F" w14:textId="77777777" w:rsidTr="00655664">
        <w:trPr>
          <w:cantSplit/>
          <w:jc w:val="center"/>
        </w:trPr>
        <w:tc>
          <w:tcPr>
            <w:tcW w:w="3787" w:type="dxa"/>
            <w:shd w:val="clear" w:color="auto" w:fill="FFFFFF"/>
            <w:vAlign w:val="center"/>
          </w:tcPr>
          <w:p w14:paraId="52737946" w14:textId="77777777" w:rsidR="00655664" w:rsidRDefault="00000000" w:rsidP="00BD3711">
            <w:pPr>
              <w:keepLines/>
              <w:spacing w:after="0" w:line="250" w:lineRule="auto"/>
              <w:jc w:val="both"/>
            </w:pPr>
            <w:r>
              <w:rPr>
                <w:sz w:val="19"/>
              </w:rPr>
              <w:t>Attentionlet with one cached shared slice</w:t>
            </w:r>
          </w:p>
        </w:tc>
        <w:tc>
          <w:tcPr>
            <w:tcW w:w="1469" w:type="dxa"/>
            <w:shd w:val="clear" w:color="auto" w:fill="FFFFFF"/>
            <w:vAlign w:val="center"/>
          </w:tcPr>
          <w:p w14:paraId="330041C8" w14:textId="77777777" w:rsidR="00655664" w:rsidRDefault="00000000" w:rsidP="00BD3711">
            <w:pPr>
              <w:keepLines/>
              <w:spacing w:after="0" w:line="250" w:lineRule="auto"/>
              <w:jc w:val="both"/>
            </w:pPr>
            <w:r>
              <w:rPr>
                <w:sz w:val="19"/>
              </w:rPr>
              <w:t>132.000</w:t>
            </w:r>
          </w:p>
        </w:tc>
        <w:tc>
          <w:tcPr>
            <w:tcW w:w="1354" w:type="dxa"/>
            <w:shd w:val="clear" w:color="auto" w:fill="FFFFFF"/>
            <w:vAlign w:val="center"/>
          </w:tcPr>
          <w:p w14:paraId="2BE856D8" w14:textId="77777777" w:rsidR="00655664" w:rsidRDefault="00000000" w:rsidP="00BD3711">
            <w:pPr>
              <w:keepLines/>
              <w:spacing w:after="0" w:line="250" w:lineRule="auto"/>
              <w:jc w:val="both"/>
            </w:pPr>
            <w:r>
              <w:rPr>
                <w:sz w:val="19"/>
              </w:rPr>
              <w:t>0</w:t>
            </w:r>
          </w:p>
        </w:tc>
        <w:tc>
          <w:tcPr>
            <w:tcW w:w="3038" w:type="dxa"/>
            <w:shd w:val="clear" w:color="auto" w:fill="FFFFFF"/>
            <w:vAlign w:val="center"/>
          </w:tcPr>
          <w:p w14:paraId="0B58775C" w14:textId="77777777" w:rsidR="00655664" w:rsidRDefault="00000000" w:rsidP="00BD3711">
            <w:pPr>
              <w:keepLines/>
              <w:spacing w:after="0" w:line="250" w:lineRule="auto"/>
              <w:jc w:val="both"/>
            </w:pPr>
            <w:r>
              <w:rPr>
                <w:sz w:val="19"/>
              </w:rPr>
              <w:t>FP16 slices and values</w:t>
            </w:r>
          </w:p>
        </w:tc>
      </w:tr>
      <w:tr w:rsidR="00655664" w14:paraId="4DC4481F" w14:textId="77777777" w:rsidTr="00655664">
        <w:trPr>
          <w:cantSplit/>
          <w:jc w:val="center"/>
        </w:trPr>
        <w:tc>
          <w:tcPr>
            <w:tcW w:w="3787" w:type="dxa"/>
            <w:shd w:val="clear" w:color="auto" w:fill="F7F8F9"/>
            <w:vAlign w:val="center"/>
          </w:tcPr>
          <w:p w14:paraId="656C8E5E" w14:textId="77777777" w:rsidR="00655664" w:rsidRDefault="00000000" w:rsidP="00BD3711">
            <w:pPr>
              <w:keepLines/>
              <w:spacing w:after="0" w:line="250" w:lineRule="auto"/>
              <w:jc w:val="both"/>
            </w:pPr>
            <w:r>
              <w:rPr>
                <w:sz w:val="19"/>
              </w:rPr>
              <w:t>Shared-slice counter without a window</w:t>
            </w:r>
          </w:p>
        </w:tc>
        <w:tc>
          <w:tcPr>
            <w:tcW w:w="1469" w:type="dxa"/>
            <w:shd w:val="clear" w:color="auto" w:fill="F7F8F9"/>
            <w:vAlign w:val="center"/>
          </w:tcPr>
          <w:p w14:paraId="109EA5FC" w14:textId="77777777" w:rsidR="00655664" w:rsidRDefault="00000000" w:rsidP="00BD3711">
            <w:pPr>
              <w:keepLines/>
              <w:spacing w:after="0" w:line="250" w:lineRule="auto"/>
              <w:jc w:val="both"/>
            </w:pPr>
            <w:r>
              <w:rPr>
                <w:sz w:val="19"/>
              </w:rPr>
              <w:t>8.047</w:t>
            </w:r>
          </w:p>
        </w:tc>
        <w:tc>
          <w:tcPr>
            <w:tcW w:w="1354" w:type="dxa"/>
            <w:shd w:val="clear" w:color="auto" w:fill="F7F8F9"/>
            <w:vAlign w:val="center"/>
          </w:tcPr>
          <w:p w14:paraId="3152755C" w14:textId="77777777" w:rsidR="00655664" w:rsidRDefault="00000000" w:rsidP="00BD3711">
            <w:pPr>
              <w:keepLines/>
              <w:spacing w:after="0" w:line="250" w:lineRule="auto"/>
              <w:jc w:val="both"/>
            </w:pPr>
            <w:r>
              <w:rPr>
                <w:sz w:val="19"/>
              </w:rPr>
              <w:t>0.125</w:t>
            </w:r>
          </w:p>
        </w:tc>
        <w:tc>
          <w:tcPr>
            <w:tcW w:w="3038" w:type="dxa"/>
            <w:shd w:val="clear" w:color="auto" w:fill="F7F8F9"/>
            <w:vAlign w:val="center"/>
          </w:tcPr>
          <w:p w14:paraId="436D28D5" w14:textId="77777777" w:rsidR="00655664" w:rsidRDefault="00000000" w:rsidP="00BD3711">
            <w:pPr>
              <w:keepLines/>
              <w:spacing w:after="0" w:line="250" w:lineRule="auto"/>
              <w:jc w:val="both"/>
            </w:pPr>
            <w:r>
              <w:rPr>
                <w:sz w:val="19"/>
              </w:rPr>
              <w:t>FP32 means and radii; uint64 counts</w:t>
            </w:r>
          </w:p>
        </w:tc>
      </w:tr>
      <w:tr w:rsidR="00655664" w14:paraId="6BF93619" w14:textId="77777777" w:rsidTr="00655664">
        <w:trPr>
          <w:cantSplit/>
          <w:jc w:val="center"/>
        </w:trPr>
        <w:tc>
          <w:tcPr>
            <w:tcW w:w="3787" w:type="dxa"/>
            <w:shd w:val="clear" w:color="auto" w:fill="FFFFFF"/>
            <w:vAlign w:val="center"/>
          </w:tcPr>
          <w:p w14:paraId="7E0FB7CE" w14:textId="77777777" w:rsidR="00655664" w:rsidRDefault="00000000" w:rsidP="00BD3711">
            <w:pPr>
              <w:keepLines/>
              <w:spacing w:after="0" w:line="250" w:lineRule="auto"/>
              <w:jc w:val="both"/>
            </w:pPr>
            <w:r>
              <w:rPr>
                <w:sz w:val="19"/>
              </w:rPr>
              <w:t>Shared-slice counter with 256 exact tokens</w:t>
            </w:r>
          </w:p>
        </w:tc>
        <w:tc>
          <w:tcPr>
            <w:tcW w:w="1469" w:type="dxa"/>
            <w:shd w:val="clear" w:color="auto" w:fill="FFFFFF"/>
            <w:vAlign w:val="center"/>
          </w:tcPr>
          <w:p w14:paraId="3C0B6547" w14:textId="77777777" w:rsidR="00655664" w:rsidRDefault="00000000" w:rsidP="00BD3711">
            <w:pPr>
              <w:keepLines/>
              <w:spacing w:after="0" w:line="250" w:lineRule="auto"/>
              <w:jc w:val="both"/>
            </w:pPr>
            <w:r>
              <w:rPr>
                <w:sz w:val="19"/>
              </w:rPr>
              <w:t>8.305</w:t>
            </w:r>
          </w:p>
        </w:tc>
        <w:tc>
          <w:tcPr>
            <w:tcW w:w="1354" w:type="dxa"/>
            <w:shd w:val="clear" w:color="auto" w:fill="FFFFFF"/>
            <w:vAlign w:val="center"/>
          </w:tcPr>
          <w:p w14:paraId="1C392FFC" w14:textId="77777777" w:rsidR="00655664" w:rsidRDefault="00000000" w:rsidP="00BD3711">
            <w:pPr>
              <w:keepLines/>
              <w:spacing w:after="0" w:line="250" w:lineRule="auto"/>
              <w:jc w:val="both"/>
            </w:pPr>
            <w:r>
              <w:rPr>
                <w:sz w:val="19"/>
              </w:rPr>
              <w:t>0.125</w:t>
            </w:r>
          </w:p>
        </w:tc>
        <w:tc>
          <w:tcPr>
            <w:tcW w:w="3038" w:type="dxa"/>
            <w:shd w:val="clear" w:color="auto" w:fill="FFFFFF"/>
            <w:vAlign w:val="center"/>
          </w:tcPr>
          <w:p w14:paraId="58F28C32" w14:textId="77777777" w:rsidR="00655664" w:rsidRDefault="00000000" w:rsidP="00BD3711">
            <w:pPr>
              <w:keepLines/>
              <w:spacing w:after="0" w:line="250" w:lineRule="auto"/>
              <w:jc w:val="both"/>
            </w:pPr>
            <w:r>
              <w:rPr>
                <w:sz w:val="19"/>
              </w:rPr>
              <w:t>Same bins; FP16 exact window</w:t>
            </w:r>
          </w:p>
        </w:tc>
      </w:tr>
      <w:tr w:rsidR="00655664" w14:paraId="60BD8775" w14:textId="77777777" w:rsidTr="00655664">
        <w:trPr>
          <w:cantSplit/>
          <w:jc w:val="center"/>
        </w:trPr>
        <w:tc>
          <w:tcPr>
            <w:tcW w:w="3787" w:type="dxa"/>
            <w:shd w:val="clear" w:color="auto" w:fill="F7F8F9"/>
            <w:vAlign w:val="center"/>
          </w:tcPr>
          <w:p w14:paraId="529D586A" w14:textId="77777777" w:rsidR="00655664" w:rsidRDefault="00000000" w:rsidP="00BD3711">
            <w:pPr>
              <w:keepLines/>
              <w:spacing w:after="0" w:line="250" w:lineRule="auto"/>
              <w:jc w:val="both"/>
            </w:pPr>
            <w:r>
              <w:rPr>
                <w:sz w:val="19"/>
              </w:rPr>
              <w:t>Per-head counter with 256 exact tokens</w:t>
            </w:r>
          </w:p>
        </w:tc>
        <w:tc>
          <w:tcPr>
            <w:tcW w:w="1469" w:type="dxa"/>
            <w:shd w:val="clear" w:color="auto" w:fill="F7F8F9"/>
            <w:vAlign w:val="center"/>
          </w:tcPr>
          <w:p w14:paraId="7955B3BF" w14:textId="77777777" w:rsidR="00655664" w:rsidRDefault="00000000" w:rsidP="00BD3711">
            <w:pPr>
              <w:keepLines/>
              <w:spacing w:after="0" w:line="250" w:lineRule="auto"/>
              <w:jc w:val="both"/>
            </w:pPr>
            <w:r>
              <w:rPr>
                <w:sz w:val="19"/>
              </w:rPr>
              <w:t>8.688</w:t>
            </w:r>
          </w:p>
        </w:tc>
        <w:tc>
          <w:tcPr>
            <w:tcW w:w="1354" w:type="dxa"/>
            <w:shd w:val="clear" w:color="auto" w:fill="F7F8F9"/>
            <w:vAlign w:val="center"/>
          </w:tcPr>
          <w:p w14:paraId="67DD8D09" w14:textId="77777777" w:rsidR="00655664" w:rsidRDefault="00000000" w:rsidP="00BD3711">
            <w:pPr>
              <w:keepLines/>
              <w:spacing w:after="0" w:line="250" w:lineRule="auto"/>
              <w:jc w:val="both"/>
            </w:pPr>
            <w:r>
              <w:rPr>
                <w:sz w:val="19"/>
              </w:rPr>
              <w:t>1.000</w:t>
            </w:r>
          </w:p>
        </w:tc>
        <w:tc>
          <w:tcPr>
            <w:tcW w:w="3038" w:type="dxa"/>
            <w:shd w:val="clear" w:color="auto" w:fill="F7F8F9"/>
            <w:vAlign w:val="center"/>
          </w:tcPr>
          <w:p w14:paraId="39788CC7" w14:textId="77777777" w:rsidR="00655664" w:rsidRDefault="00000000" w:rsidP="00BD3711">
            <w:pPr>
              <w:keepLines/>
              <w:spacing w:after="0" w:line="250" w:lineRule="auto"/>
              <w:jc w:val="both"/>
            </w:pPr>
            <w:r>
              <w:rPr>
                <w:sz w:val="19"/>
              </w:rPr>
              <w:t>FP32 means and radii; uint64 counts; FP16 window</w:t>
            </w:r>
          </w:p>
        </w:tc>
      </w:tr>
    </w:tbl>
    <w:p w14:paraId="62027330" w14:textId="77777777" w:rsidR="00655664" w:rsidRDefault="00000000" w:rsidP="00BD3711">
      <w:pPr>
        <w:pStyle w:val="BodyText"/>
        <w:jc w:val="both"/>
      </w:pPr>
      <w:r>
        <w:t>Codebooks use FP16 in this accounting; their actual stored coordinates define the keys used by the quantized model and its error audit. Tables exclude model projection weights, allocator padding, read workspaces, and negligible scalar window bookkeeping. Dense bin arrays make the capacity explicit, even before all bins are occupied. Sparse allocation needs indices and an allocator. ALiBi requires additional mass and timestamp fields and is not included in these NoPE rows.</w:t>
      </w:r>
    </w:p>
    <w:p w14:paraId="1309D08E" w14:textId="77777777" w:rsidR="00655664" w:rsidRDefault="00000000" w:rsidP="00BD3711">
      <w:pPr>
        <w:pStyle w:val="BodyText"/>
        <w:keepNext/>
        <w:jc w:val="both"/>
      </w:pPr>
      <w:r>
        <w:t>For the shared-slice hybrid, the state budget is</w:t>
      </w:r>
    </w:p>
    <w:p w14:paraId="7A92A270" w14:textId="77777777" w:rsidR="00655664" w:rsidRDefault="00000000" w:rsidP="00BD3711">
      <w:pPr>
        <w:pStyle w:val="BodyText"/>
        <w:keepLines/>
        <w:spacing w:before="100" w:after="160"/>
        <w:jc w:val="both"/>
      </w:pPr>
      <m:oMathPara>
        <m:oMathParaPr>
          <m:jc m:val="center"/>
        </m:oMathParaPr>
        <m:oMath>
          <m:sSub>
            <m:sSubPr>
              <m:ctrlPr>
                <w:rPr>
                  <w:rFonts w:ascii="Cambria Math" w:hAnsi="Cambria Math"/>
                </w:rPr>
              </m:ctrlPr>
            </m:sSubPr>
            <m:e>
              <m:r>
                <w:rPr>
                  <w:rFonts w:ascii="Cambria Math" w:hAnsi="Cambria Math"/>
                </w:rPr>
                <m:t>B</m:t>
              </m:r>
            </m:e>
            <m:sub>
              <m:r>
                <m:rPr>
                  <m:sty m:val="p"/>
                </m:rPr>
                <w:rPr>
                  <w:rFonts w:ascii="Cambria Math" w:hAnsi="Cambria Math"/>
                </w:rPr>
                <m:t>state</m:t>
              </m:r>
            </m:sub>
          </m:sSub>
          <m:r>
            <m:rPr>
              <m:sty m:val="p"/>
            </m:rPr>
            <w:rPr>
              <w:rFonts w:ascii="Cambria Math" w:hAnsi="Cambria Math"/>
            </w:rPr>
            <m:t>=</m:t>
          </m:r>
          <m:r>
            <w:rPr>
              <w:rFonts w:ascii="Cambria Math" w:hAnsi="Cambria Math"/>
            </w:rPr>
            <m:t>K</m:t>
          </m:r>
          <m:d>
            <m:dPr>
              <m:ctrlPr>
                <w:rPr>
                  <w:rFonts w:ascii="Cambria Math" w:hAnsi="Cambria Math"/>
                </w:rPr>
              </m:ctrlPr>
            </m:dPr>
            <m:e>
              <m:r>
                <w:rPr>
                  <w:rFonts w:ascii="Cambria Math" w:hAnsi="Cambria Math"/>
                </w:rPr>
                <m:t>4H</m:t>
              </m:r>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4</m:t>
              </m:r>
            </m:e>
          </m:d>
          <m:r>
            <m:rPr>
              <m:sty m:val="p"/>
            </m:rPr>
            <w:rPr>
              <w:rFonts w:ascii="Cambria Math" w:hAnsi="Cambria Math"/>
            </w:rPr>
            <m:t>+</m:t>
          </m:r>
          <m:r>
            <w:rPr>
              <w:rFonts w:ascii="Cambria Math" w:hAnsi="Cambria Math"/>
            </w:rPr>
            <m:t>2W</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d</m:t>
                  </m:r>
                </m:e>
                <m:sub>
                  <m:r>
                    <w:rPr>
                      <w:rFonts w:ascii="Cambria Math" w:hAnsi="Cambria Math"/>
                    </w:rPr>
                    <m:t>v</m:t>
                  </m:r>
                </m:sub>
              </m:sSub>
            </m:e>
          </m:d>
          <m:r>
            <w:rPr>
              <w:rFonts w:ascii="Cambria Math" w:hAnsi="Cambria Math"/>
            </w:rPr>
            <m:t> </m:t>
          </m:r>
          <m:r>
            <m:rPr>
              <m:nor/>
            </m:rPr>
            <m:t>bytes</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13</m:t>
              </m:r>
            </m:e>
          </m:d>
        </m:oMath>
      </m:oMathPara>
    </w:p>
    <w:p w14:paraId="666E8E22" w14:textId="77777777" w:rsidR="00655664" w:rsidRDefault="00000000" w:rsidP="00BD3711">
      <w:pPr>
        <w:pStyle w:val="FirstParagraph"/>
        <w:jc w:val="both"/>
      </w:pPr>
      <w:r>
        <w:t xml:space="preserve">The three bin terms are FP32 means, uint64 counts, and FP32 radii. At the example settings, state alone is smaller than the exact shared-slice cache for integer context lengths </w:t>
      </w:r>
      <m:oMath>
        <m:r>
          <w:rPr>
            <w:rFonts w:ascii="Cambria Math" w:hAnsi="Cambria Math"/>
          </w:rPr>
          <m:t>T</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247</m:t>
        </m:r>
      </m:oMath>
      <w:r>
        <w:t xml:space="preserve">. Charging the full codebook to one sequence raises this threshold to </w:t>
      </w:r>
      <m:oMath>
        <m:r>
          <w:rPr>
            <w:rFonts w:ascii="Cambria Math" w:hAnsi="Cambria Math"/>
          </w:rPr>
          <m:t>T</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371</m:t>
        </m:r>
      </m:oMath>
      <w:r>
        <w:t>. The state-only ratio at 131,072 tokens is approximately 15.9, conditional on the chosen bin budget delivering adequate quality. The ratio is not evidence that it does so.</w:t>
      </w:r>
    </w:p>
    <w:p w14:paraId="3A4F9A79" w14:textId="77777777" w:rsidR="00655664" w:rsidRDefault="00000000" w:rsidP="00BD3711">
      <w:pPr>
        <w:pStyle w:val="BodyText"/>
        <w:keepNext/>
        <w:spacing w:before="140" w:after="80"/>
        <w:jc w:val="both"/>
      </w:pPr>
      <w:r>
        <w:rPr>
          <w:noProof/>
        </w:rPr>
        <w:drawing>
          <wp:inline distT="0" distB="0" distL="0" distR="0" wp14:anchorId="39A8DDB0" wp14:editId="1E4D7511">
            <wp:extent cx="5623560" cy="2499705"/>
            <wp:effectExtent l="0" t="0" r="0" b="0"/>
            <wp:docPr id="43" name="Picture" descr="Analytical cache storage versus context length. Exact caches grow linearly, while the fully allocated shared-slice counter and window use 8.30 MiB per layer under the stated precision choices."/>
            <wp:cNvGraphicFramePr/>
            <a:graphic xmlns:a="http://schemas.openxmlformats.org/drawingml/2006/main">
              <a:graphicData uri="http://schemas.openxmlformats.org/drawingml/2006/picture">
                <pic:pic xmlns:pic="http://schemas.openxmlformats.org/drawingml/2006/picture">
                  <pic:nvPicPr>
                    <pic:cNvPr id="44" name="Picture" descr="memory.png"/>
                    <pic:cNvPicPr>
                      <a:picLocks noChangeAspect="1" noChangeArrowheads="1"/>
                    </pic:cNvPicPr>
                  </pic:nvPicPr>
                  <pic:blipFill>
                    <a:blip r:embed="rId10"/>
                    <a:stretch>
                      <a:fillRect/>
                    </a:stretch>
                  </pic:blipFill>
                  <pic:spPr bwMode="auto">
                    <a:xfrm>
                      <a:off x="0" y="0"/>
                      <a:ext cx="5623560" cy="2499705"/>
                    </a:xfrm>
                    <a:prstGeom prst="rect">
                      <a:avLst/>
                    </a:prstGeom>
                    <a:noFill/>
                    <a:ln w="9525">
                      <a:noFill/>
                      <a:headEnd/>
                      <a:tailEnd/>
                    </a:ln>
                  </pic:spPr>
                </pic:pic>
              </a:graphicData>
            </a:graphic>
          </wp:inline>
        </w:drawing>
      </w:r>
    </w:p>
    <w:p w14:paraId="1AE5F1EB" w14:textId="77777777" w:rsidR="00655664" w:rsidRDefault="00000000" w:rsidP="00BD3711">
      <w:pPr>
        <w:pStyle w:val="Caption"/>
        <w:keepLines/>
        <w:jc w:val="both"/>
      </w:pPr>
      <w:r>
        <w:rPr>
          <w:iCs/>
        </w:rPr>
        <w:t>Figure 2. Storage computed from Eq. (13) and the exact-cache formulas. The horizontal counter line is its full allocated NoPE state, including the window. Codebooks, model weights, workspaces, and measured performance are outside this plot.</w:t>
      </w:r>
    </w:p>
    <w:p w14:paraId="027E95AC" w14:textId="77777777" w:rsidR="00655664" w:rsidRDefault="00000000" w:rsidP="00BD3711">
      <w:pPr>
        <w:pStyle w:val="Heading2"/>
        <w:jc w:val="both"/>
      </w:pPr>
      <w:bookmarkStart w:id="21" w:name="work-and-precision-limits"/>
      <w:bookmarkEnd w:id="20"/>
      <w:r>
        <w:lastRenderedPageBreak/>
        <w:t>Work and precision limits</w:t>
      </w:r>
    </w:p>
    <w:p w14:paraId="4D409E08" w14:textId="77777777" w:rsidR="00655664" w:rsidRDefault="00000000" w:rsidP="00BD3711">
      <w:pPr>
        <w:pStyle w:val="FirstParagraph"/>
        <w:jc w:val="both"/>
      </w:pPr>
      <w:r>
        <w:t xml:space="preserve">A shared-slice counter read costs </w:t>
      </w:r>
      <m:oMath>
        <m:r>
          <w:rPr>
            <w:rFonts w:ascii="Cambria Math" w:hAnsi="Cambria Math"/>
          </w:rPr>
          <m:t>O</m:t>
        </m:r>
        <m:d>
          <m:dPr>
            <m:ctrlPr>
              <w:rPr>
                <w:rFonts w:ascii="Cambria Math" w:hAnsi="Cambria Math"/>
              </w:rPr>
            </m:ctrlPr>
          </m:dPr>
          <m:e>
            <m:r>
              <w:rPr>
                <w:rFonts w:ascii="Cambria Math" w:hAnsi="Cambria Math"/>
              </w:rPr>
              <m:t>H</m:t>
            </m:r>
            <m:d>
              <m:dPr>
                <m:begChr m:val="|"/>
                <m:endChr m:val="|"/>
                <m:ctrlPr>
                  <w:rPr>
                    <w:rFonts w:ascii="Cambria Math" w:hAnsi="Cambria Math"/>
                  </w:rPr>
                </m:ctrlPr>
              </m:dPr>
              <m:e>
                <m:r>
                  <w:rPr>
                    <w:rFonts w:ascii="Cambria Math" w:hAnsi="Cambria Math"/>
                  </w:rPr>
                  <m:t>J</m:t>
                </m:r>
              </m:e>
            </m:d>
            <m:d>
              <m:dPr>
                <m:ctrlPr>
                  <w:rPr>
                    <w:rFonts w:ascii="Cambria Math" w:hAnsi="Cambria Math"/>
                  </w:rPr>
                </m:ctrlPr>
              </m:dPr>
              <m:e>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e>
            </m:d>
          </m:e>
        </m:d>
      </m:oMath>
      <w:r>
        <w:t xml:space="preserve"> plus the exact-window work, where </w:t>
      </w:r>
      <m:oMath>
        <m:r>
          <w:rPr>
            <w:rFonts w:ascii="Cambria Math" w:hAnsi="Cambria Math"/>
          </w:rPr>
          <m:t>J</m:t>
        </m:r>
      </m:oMath>
      <w:r>
        <w:t xml:space="preserve"> is the occupied-bin set. Brute-force assignment costs </w:t>
      </w:r>
      <m:oMath>
        <m:r>
          <w:rPr>
            <w:rFonts w:ascii="Cambria Math" w:hAnsi="Cambria Math"/>
          </w:rPr>
          <m:t>O</m:t>
        </m:r>
        <m:d>
          <m:dPr>
            <m:ctrlPr>
              <w:rPr>
                <w:rFonts w:ascii="Cambria Math" w:hAnsi="Cambria Math"/>
              </w:rPr>
            </m:ctrlPr>
          </m:dPr>
          <m:e>
            <m:r>
              <w:rPr>
                <w:rFonts w:ascii="Cambria Math" w:hAnsi="Cambria Math"/>
              </w:rPr>
              <m:t>Kr</m:t>
            </m:r>
          </m:e>
        </m:d>
      </m:oMath>
      <w:r>
        <w:t xml:space="preserve"> per expired entry; updating means costs </w:t>
      </w:r>
      <m:oMath>
        <m:r>
          <w:rPr>
            <w:rFonts w:ascii="Cambria Math" w:hAnsi="Cambria Math"/>
          </w:rPr>
          <m:t>O</m:t>
        </m:r>
        <m:d>
          <m:dPr>
            <m:ctrlPr>
              <w:rPr>
                <w:rFonts w:ascii="Cambria Math" w:hAnsi="Cambria Math"/>
              </w:rPr>
            </m:ctrlPr>
          </m:dPr>
          <m:e>
            <m:r>
              <w:rPr>
                <w:rFonts w:ascii="Cambria Math" w:hAnsi="Cambria Math"/>
              </w:rPr>
              <m:t>H</m:t>
            </m:r>
            <m:sSub>
              <m:sSubPr>
                <m:ctrlPr>
                  <w:rPr>
                    <w:rFonts w:ascii="Cambria Math" w:hAnsi="Cambria Math"/>
                  </w:rPr>
                </m:ctrlPr>
              </m:sSubPr>
              <m:e>
                <m:r>
                  <w:rPr>
                    <w:rFonts w:ascii="Cambria Math" w:hAnsi="Cambria Math"/>
                  </w:rPr>
                  <m:t>d</m:t>
                </m:r>
              </m:e>
              <m:sub>
                <m:r>
                  <w:rPr>
                    <w:rFonts w:ascii="Cambria Math" w:hAnsi="Cambria Math"/>
                  </w:rPr>
                  <m:t>v</m:t>
                </m:r>
              </m:sub>
            </m:sSub>
          </m:e>
        </m:d>
      </m:oMath>
      <w:r>
        <w:t>. Per-head assignment can multiply search work by the number of heads or key–value groups. Indexing can reduce search cost in favorable distributions, but no universal sublinear bound is assumed. Prefill and training must account for causal prefix aggregation and backpropagation; a small inference state is not a small training-memory guarantee.</w:t>
      </w:r>
    </w:p>
    <w:p w14:paraId="42FB7BBD" w14:textId="77777777" w:rsidR="00655664" w:rsidRDefault="00000000" w:rsidP="00BD3711">
      <w:pPr>
        <w:pStyle w:val="BodyText"/>
        <w:jc w:val="both"/>
      </w:pPr>
      <w:r>
        <w:t xml:space="preserve">Fixed </w:t>
      </w:r>
      <m:oMath>
        <m:r>
          <w:rPr>
            <w:rFonts w:ascii="Cambria Math" w:hAnsi="Cambria Math"/>
          </w:rPr>
          <m:t>K</m:t>
        </m:r>
      </m:oMath>
      <w:r>
        <w:t xml:space="preserve"> and </w:t>
      </w:r>
      <m:oMath>
        <m:r>
          <w:rPr>
            <w:rFonts w:ascii="Cambria Math" w:hAnsi="Cambria Math"/>
          </w:rPr>
          <m:t>W</m:t>
        </m:r>
      </m:oMath>
      <w:r>
        <w:t xml:space="preserve"> bound the number of machine words. They do not make exact arbitrary-duration storage possible in a fixed number of bits. Integer counts need </w:t>
      </w:r>
      <m:oMath>
        <m:r>
          <w:rPr>
            <w:rFonts w:ascii="Cambria Math" w:hAnsi="Cambria Math"/>
          </w:rPr>
          <m:t>Ω</m:t>
        </m:r>
        <m:d>
          <m:dPr>
            <m:ctrlPr>
              <w:rPr>
                <w:rFonts w:ascii="Cambria Math" w:hAnsi="Cambria Math"/>
              </w:rPr>
            </m:ctrlPr>
          </m:dPr>
          <m:e>
            <m:r>
              <m:rPr>
                <m:sty m:val="p"/>
              </m:rPr>
              <w:rPr>
                <w:rFonts w:ascii="Cambria Math" w:hAnsi="Cambria Math"/>
              </w:rPr>
              <m:t>log</m:t>
            </m:r>
            <m:r>
              <w:rPr>
                <w:rFonts w:ascii="Cambria Math" w:hAnsi="Cambria Math"/>
              </w:rPr>
              <m:t>T</m:t>
            </m:r>
          </m:e>
        </m:d>
      </m:oMath>
      <w:r>
        <w:t xml:space="preserve"> bits, and accumulated values also face precision limits. Uint64 counts define a finite horizon; FP32 averaging can eventually stop incorporating sufficiently small changes. Compensated accumulation, higher precision, or deliberate decay are engineering options with different costs. All exactness results are identities over exact arithmetic; finite-precision implementations must be checked at their target horizon.</w:t>
      </w:r>
    </w:p>
    <w:p w14:paraId="44C6E28B" w14:textId="77777777" w:rsidR="00655664" w:rsidRDefault="00000000" w:rsidP="00BD3711">
      <w:pPr>
        <w:pStyle w:val="Heading1"/>
        <w:jc w:val="both"/>
      </w:pPr>
      <w:bookmarkStart w:id="22" w:name="learning-and-maintaining-the-memory"/>
      <w:bookmarkEnd w:id="18"/>
      <w:bookmarkEnd w:id="21"/>
      <w:r>
        <w:t>9 Learning and maintaining the memory</w:t>
      </w:r>
    </w:p>
    <w:p w14:paraId="1CEDC305" w14:textId="77777777" w:rsidR="00655664" w:rsidRDefault="00000000" w:rsidP="00BD3711">
      <w:pPr>
        <w:pStyle w:val="Heading2"/>
        <w:jc w:val="both"/>
      </w:pPr>
      <w:bookmarkStart w:id="23" w:name="X0f9acb653dc472682fe96523e85ebef87025dc5"/>
      <w:r>
        <w:t>Separate architectural loss from compression loss</w:t>
      </w:r>
    </w:p>
    <w:p w14:paraId="685F4618" w14:textId="77777777" w:rsidR="00655664" w:rsidRDefault="00000000" w:rsidP="00BD3711">
      <w:pPr>
        <w:pStyle w:val="FirstParagraph"/>
        <w:jc w:val="both"/>
      </w:pPr>
      <w:r>
        <w:t>Post-hoc calibration first freezes a trained model, collects keys and reference queries from a calibration partition, fits the codebook, and then tests it on a disjoint evaluation partition. This isolates compression error. Testing a narrow-key checkpoint against its own uncompressed version isolates the counter; comparing that checkpoint against a full-width model also includes the cost of narrowing the architecture.</w:t>
      </w:r>
    </w:p>
    <w:p w14:paraId="2A10F829" w14:textId="77777777" w:rsidR="00655664" w:rsidRDefault="00000000" w:rsidP="00BD3711">
      <w:pPr>
        <w:pStyle w:val="BodyText"/>
        <w:jc w:val="both"/>
      </w:pPr>
      <w:r>
        <w:t>Training with the counter in the forward pass can adapt addressing to its finite codebook. A straight-through quantizer and a commitment objective are reasonable starting points [12], but they provide surrogate gradients. Dead bins, codebook collapse, and unstable assignment changes remain possible. The quantized reference forward pass must be causally defined, and the duration of gradient propagation through accumulated state must be reported. Full backpropagation through an indefinitely retained memory is not implied by the inference recurrence.</w:t>
      </w:r>
    </w:p>
    <w:p w14:paraId="680D16E2" w14:textId="77777777" w:rsidR="00655664" w:rsidRDefault="00000000" w:rsidP="00BD3711">
      <w:pPr>
        <w:pStyle w:val="BodyText"/>
        <w:jc w:val="both"/>
      </w:pPr>
      <w:r>
        <w:t>Randomly initialized codewords may supply an initial repertoire. Their counts start at zero, so unwritten bins contribute no invented experience. A uniform distribution requires a specified bounded domain; there is no uniform probability distribution on all of Euclidean space. Calibration-based initialization and random initialization should be compared rather than treated as interchangeable.</w:t>
      </w:r>
    </w:p>
    <w:p w14:paraId="5933BBB5" w14:textId="77777777" w:rsidR="00655664" w:rsidRDefault="00000000" w:rsidP="00BD3711">
      <w:pPr>
        <w:pStyle w:val="Heading2"/>
        <w:jc w:val="both"/>
      </w:pPr>
      <w:bookmarkStart w:id="24" w:name="Xeba6806d9b750e9b6673fb64c72302b5a8a9e82"/>
      <w:bookmarkEnd w:id="23"/>
      <w:r>
        <w:t>Changing a codebook changes the meaning of old state</w:t>
      </w:r>
    </w:p>
    <w:p w14:paraId="30B50644" w14:textId="77777777" w:rsidR="00655664" w:rsidRDefault="00000000" w:rsidP="00BD3711">
      <w:pPr>
        <w:pStyle w:val="FirstParagraph"/>
        <w:jc w:val="both"/>
      </w:pPr>
      <w:r>
        <w:t>Moving a codeword after many keys have entered its bin changes the score assigned to all of them. Without their individual residuals, one cannot generally reassign the original entries or reconstruct their former attention. Training can define a model in which old assignments follow moving codewords, but that is a different memory semantics from retaining write-time keys.</w:t>
      </w:r>
    </w:p>
    <w:p w14:paraId="2BBE2DAE" w14:textId="77777777" w:rsidR="00655664" w:rsidRDefault="00000000" w:rsidP="00BD3711">
      <w:pPr>
        <w:pStyle w:val="BodyText"/>
        <w:jc w:val="both"/>
      </w:pPr>
      <w:r>
        <w:t xml:space="preserve">The reference design freezes codebooks and encoder weights while a counter is retained. Alternatives are explicit memory epochs, bounded replay with rebuilding, or versioned codebooks. Versions increase state and need a retention policy. Replacing a bin by children cannot recover historical child </w:t>
      </w:r>
      <w:r>
        <w:lastRenderedPageBreak/>
        <w:t>counts from its parent count and mean; splitting can govern future writes, or require retained samples or raw records for retrospective rebuilding.</w:t>
      </w:r>
    </w:p>
    <w:p w14:paraId="39EB30EC" w14:textId="77777777" w:rsidR="00655664" w:rsidRDefault="00000000" w:rsidP="00BD3711">
      <w:pPr>
        <w:pStyle w:val="Heading2"/>
        <w:jc w:val="both"/>
      </w:pPr>
      <w:bookmarkStart w:id="25" w:name="persistent-memory-and-projection-drift"/>
      <w:bookmarkEnd w:id="24"/>
      <w:r>
        <w:t>Persistent memory and projection drift</w:t>
      </w:r>
    </w:p>
    <w:p w14:paraId="0EC096DE" w14:textId="77777777" w:rsidR="00655664" w:rsidRDefault="00000000" w:rsidP="00BD3711">
      <w:pPr>
        <w:pStyle w:val="FirstParagraph"/>
        <w:keepNext/>
        <w:jc w:val="both"/>
      </w:pPr>
      <w:r>
        <w:t xml:space="preserve">A counter can persist across sessions only if its addressing and payload spaces remain compatible. If each bin stores the mean of the fixed layer inputs </w:t>
      </w:r>
      <m:oMath>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j</m:t>
            </m:r>
          </m:sub>
        </m:sSub>
      </m:oMath>
      <w:r>
        <w:t xml:space="preserve"> instead of projected value means, then changing a linear value map permits exact reprojection of those stored inputs:</w:t>
      </w:r>
    </w:p>
    <w:p w14:paraId="0D6880EB" w14:textId="77777777" w:rsidR="00655664" w:rsidRDefault="00000000" w:rsidP="00BD3711">
      <w:pPr>
        <w:pStyle w:val="BodyText"/>
        <w:keepLines/>
        <w:spacing w:before="100" w:after="160"/>
        <w:jc w:val="both"/>
      </w:pPr>
      <m:oMathPara>
        <m:oMathParaPr>
          <m:jc m:val="center"/>
        </m:oMathParaP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j</m:t>
                  </m:r>
                </m:sub>
              </m:sSub>
            </m:e>
          </m:nary>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V</m:t>
                      </m:r>
                    </m:sub>
                    <m:sup>
                      <m:d>
                        <m:dPr>
                          <m:ctrlPr>
                            <w:rPr>
                              <w:rFonts w:ascii="Cambria Math" w:hAnsi="Cambria Math"/>
                            </w:rPr>
                          </m:ctrlPr>
                        </m:dPr>
                        <m:e>
                          <m:r>
                            <w:rPr>
                              <w:rFonts w:ascii="Cambria Math" w:hAnsi="Cambria Math"/>
                            </w:rPr>
                            <m:t>h</m:t>
                          </m:r>
                        </m:e>
                      </m:d>
                    </m:sup>
                  </m:sSubSup>
                </m:e>
              </m:d>
            </m:e>
            <m:sup>
              <m:r>
                <m:rPr>
                  <m:sty m:val="p"/>
                </m:rPr>
                <w:rPr>
                  <w:rFonts w:ascii="Cambria Math" w:hAnsi="Cambria Math"/>
                </w:rPr>
                <m:t>⊤</m:t>
              </m:r>
            </m:sup>
          </m:sSup>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j</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V</m:t>
                      </m:r>
                    </m:sub>
                    <m:sup>
                      <m:d>
                        <m:dPr>
                          <m:ctrlPr>
                            <w:rPr>
                              <w:rFonts w:ascii="Cambria Math" w:hAnsi="Cambria Math"/>
                            </w:rPr>
                          </m:ctrlPr>
                        </m:dPr>
                        <m:e>
                          <m:r>
                            <w:rPr>
                              <w:rFonts w:ascii="Cambria Math" w:hAnsi="Cambria Math"/>
                            </w:rPr>
                            <m:t>h</m:t>
                          </m:r>
                        </m:e>
                      </m:d>
                    </m:sup>
                  </m:sSubSup>
                </m:e>
              </m:d>
            </m:e>
            <m:sup>
              <m:r>
                <m:rPr>
                  <m:sty m:val="p"/>
                </m:rPr>
                <w:rPr>
                  <w:rFonts w:ascii="Cambria Math" w:hAnsi="Cambria Math"/>
                </w:rPr>
                <m:t>⊤</m:t>
              </m:r>
            </m:sup>
          </m:sSup>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j</m:t>
                  </m:r>
                </m:sub>
              </m:sSub>
            </m:e>
          </m:nary>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j</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14</m:t>
              </m:r>
            </m:e>
          </m:d>
        </m:oMath>
      </m:oMathPara>
    </w:p>
    <w:p w14:paraId="7D2668AC" w14:textId="77777777" w:rsidR="00655664" w:rsidRDefault="00000000" w:rsidP="00BD3711">
      <w:pPr>
        <w:pStyle w:val="FirstParagraph"/>
        <w:jc w:val="both"/>
      </w:pPr>
      <w:r>
        <w:t xml:space="preserve">This observation can help with value-map updates. It does not reconstruct the individual keys, revise old assignments exactly, or update representations produced by changed earlier layers. When </w:t>
      </w:r>
      <m:oMath>
        <m:r>
          <w:rPr>
            <w:rFonts w:ascii="Cambria Math" w:hAnsi="Cambria Math"/>
          </w:rPr>
          <m:t>d</m:t>
        </m:r>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d</m:t>
            </m:r>
          </m:e>
          <m:sub>
            <m:r>
              <w:rPr>
                <w:rFonts w:ascii="Cambria Math" w:hAnsi="Cambria Math"/>
              </w:rPr>
              <m:t>v</m:t>
            </m:r>
          </m:sub>
        </m:sSub>
      </m:oMath>
      <w:r>
        <w:t>, storing input means costs as many scalar payload fields as storing all head value means, but computing an input-space weighted average separately for each head increases bin-read arithmetic. It is a tradeoff, not a general cure for representation drift.</w:t>
      </w:r>
    </w:p>
    <w:p w14:paraId="458A7C41" w14:textId="77777777" w:rsidR="00655664" w:rsidRDefault="00000000" w:rsidP="00BD3711">
      <w:pPr>
        <w:pStyle w:val="BodyText"/>
        <w:jc w:val="both"/>
      </w:pPr>
      <w:r>
        <w:t>For engineering memory, the averaged payload may summarize recurring patterns while an external record preserves drawings, revisions, units, and source identifiers. The counter alone cannot identify which original observation supplied a detail once those records have been merged. Applications requiring auditability must budget provenance separately.</w:t>
      </w:r>
    </w:p>
    <w:p w14:paraId="6CCDA77F" w14:textId="77777777" w:rsidR="00655664" w:rsidRDefault="00000000" w:rsidP="00BD3711">
      <w:pPr>
        <w:pStyle w:val="Heading1"/>
        <w:jc w:val="both"/>
      </w:pPr>
      <w:bookmarkStart w:id="26" w:name="Xba49c89bbb4475b6535fde0e565cbfcee8f588b"/>
      <w:bookmarkEnd w:id="22"/>
      <w:bookmarkEnd w:id="25"/>
      <w:r>
        <w:t>10 Relation to context reduction and human memory</w:t>
      </w:r>
    </w:p>
    <w:p w14:paraId="289FA3D5" w14:textId="77777777" w:rsidR="00655664" w:rsidRDefault="00000000" w:rsidP="00BD3711">
      <w:pPr>
        <w:pStyle w:val="Heading2"/>
        <w:jc w:val="both"/>
      </w:pPr>
      <w:bookmarkStart w:id="27" w:name="Xc1538facb042cd51527d1bad9753d176cd28f4c"/>
      <w:r>
        <w:t>An operational instance of context reduction</w:t>
      </w:r>
    </w:p>
    <w:p w14:paraId="0F5CDD0D" w14:textId="77777777" w:rsidR="00655664" w:rsidRDefault="00000000" w:rsidP="00BD3711">
      <w:pPr>
        <w:pStyle w:val="FirstParagraph"/>
        <w:jc w:val="both"/>
      </w:pPr>
      <w:r>
        <w:t>The context-reduction programme described in the accompanying conceptual work [20] asks whether a bounded working window and retrieved memory can replace the full history for a specified task family and tolerance. Exact count–sum aggregation supplies one instance for a fixed model when the keys are truly equivalent. Quantized aggregation supplies a local approximation whose limits are given in Section 5. Neither establishes sufficiency for all tasks an organism or a general intelligence might later encounter.</w:t>
      </w:r>
    </w:p>
    <w:p w14:paraId="7898F7D0" w14:textId="77777777" w:rsidR="00655664" w:rsidRDefault="00000000" w:rsidP="00BD3711">
      <w:pPr>
        <w:pStyle w:val="BodyText"/>
        <w:jc w:val="both"/>
      </w:pPr>
      <w:r>
        <w:t>A counter aggregates length-one addressed payloads. An ordered store can retain episode identifiers, temporal transitions, or source sequences. Contextual keys and values can already contain order-related information, so it would be incorrect to say that every counter necessarily has no access to order. The precise limitation is that aggregation does not preserve arbitrary distinctions between the original entries. If two histories have the same counter state, this readout cannot distinguish them. Keeping ordered traces is one explicit way to preserve distinctions that matter for replay and source-specific recall.</w:t>
      </w:r>
    </w:p>
    <w:p w14:paraId="1F67DA54" w14:textId="77777777" w:rsidR="00655664" w:rsidRDefault="00000000" w:rsidP="00BD3711">
      <w:pPr>
        <w:pStyle w:val="BodyText"/>
        <w:jc w:val="both"/>
      </w:pPr>
      <w:r>
        <w:t xml:space="preserve">The averaging gain and retrieval multiplicity are coupled in the undamped exact model: after </w:t>
      </w:r>
      <m:oMath>
        <m:r>
          <w:rPr>
            <w:rFonts w:ascii="Cambria Math" w:hAnsi="Cambria Math"/>
          </w:rPr>
          <m:t>n</m:t>
        </m:r>
      </m:oMath>
      <w:r>
        <w:t xml:space="preserve"> writes, the next update gain is </w:t>
      </w:r>
      <m:oMath>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oMath>
      <w:r>
        <w:t xml:space="preserve">, while the existing bin’s unnormalized retrieval weight includes </w:t>
      </w:r>
      <m:oMath>
        <m:r>
          <w:rPr>
            <w:rFonts w:ascii="Cambria Math" w:hAnsi="Cambria Math"/>
          </w:rPr>
          <m:t>n</m:t>
        </m:r>
      </m:oMath>
      <w:r>
        <w:t>. This is an algorithmic relationship. It does not establish that one biological variable implements both functions. Evidence that myelin constrains plasticity in mouse visual cortex [27] motivates a possible mechanism for changing plasticity, but does not demonstrate reciprocal count coding, attention logits, or a retrieval gain proportional to experience count.</w:t>
      </w:r>
    </w:p>
    <w:p w14:paraId="6E2F946A" w14:textId="77777777" w:rsidR="00655664" w:rsidRDefault="00000000" w:rsidP="00BD3711">
      <w:pPr>
        <w:pStyle w:val="Heading2"/>
        <w:jc w:val="both"/>
      </w:pPr>
      <w:bookmarkStart w:id="28" w:name="familiarity-requires-a-defined-readout"/>
      <w:bookmarkEnd w:id="27"/>
      <w:r>
        <w:lastRenderedPageBreak/>
        <w:t>Familiarity requires a defined readout</w:t>
      </w:r>
    </w:p>
    <w:p w14:paraId="325DA6C9" w14:textId="77777777" w:rsidR="00655664" w:rsidRDefault="00000000" w:rsidP="00BD3711">
      <w:pPr>
        <w:pStyle w:val="FirstParagraph"/>
        <w:jc w:val="both"/>
      </w:pPr>
      <w:r>
        <w:t xml:space="preserve">The normalization denominator </w:t>
      </w:r>
      <m:oMath>
        <m:r>
          <w:rPr>
            <w:rFonts w:ascii="Cambria Math" w:hAnsi="Cambria Math"/>
          </w:rPr>
          <m:t>Z</m:t>
        </m:r>
        <m:d>
          <m:dPr>
            <m:ctrlPr>
              <w:rPr>
                <w:rFonts w:ascii="Cambria Math" w:hAnsi="Cambria Math"/>
              </w:rPr>
            </m:ctrlPr>
          </m:dPr>
          <m:e>
            <m:r>
              <w:rPr>
                <w:rFonts w:ascii="Cambria Math" w:hAnsi="Cambria Math"/>
              </w:rPr>
              <m:t>q</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j</m:t>
                </m:r>
              </m:sub>
            </m:sSub>
          </m:e>
        </m:nary>
        <m:sSup>
          <m:sSupPr>
            <m:ctrlPr>
              <w:rPr>
                <w:rFonts w:ascii="Cambria Math" w:hAnsi="Cambria Math"/>
              </w:rPr>
            </m:ctrlPr>
          </m:sSupPr>
          <m:e>
            <m:r>
              <w:rPr>
                <w:rFonts w:ascii="Cambria Math" w:hAnsi="Cambria Math"/>
              </w:rPr>
              <m:t>e</m:t>
            </m:r>
          </m:e>
          <m:sup>
            <m:sSub>
              <m:sSubPr>
                <m:ctrlPr>
                  <w:rPr>
                    <w:rFonts w:ascii="Cambria Math" w:hAnsi="Cambria Math"/>
                  </w:rPr>
                </m:ctrlPr>
              </m:sSubPr>
              <m:e>
                <m:r>
                  <m:rPr>
                    <m:scr m:val="script"/>
                    <m:sty m:val="p"/>
                  </m:rPr>
                  <w:rPr>
                    <w:rFonts w:ascii="Cambria Math" w:hAnsi="Cambria Math"/>
                  </w:rPr>
                  <m:t>l</m:t>
                </m:r>
              </m:e>
              <m:sub>
                <m:r>
                  <w:rPr>
                    <w:rFonts w:ascii="Cambria Math" w:hAnsi="Cambria Math"/>
                  </w:rPr>
                  <m:t>j</m:t>
                </m:r>
              </m:sub>
            </m:sSub>
            <m:d>
              <m:dPr>
                <m:ctrlPr>
                  <w:rPr>
                    <w:rFonts w:ascii="Cambria Math" w:hAnsi="Cambria Math"/>
                  </w:rPr>
                </m:ctrlPr>
              </m:dPr>
              <m:e>
                <m:r>
                  <w:rPr>
                    <w:rFonts w:ascii="Cambria Math" w:hAnsi="Cambria Math"/>
                  </w:rPr>
                  <m:t>q</m:t>
                </m:r>
              </m:e>
            </m:d>
          </m:sup>
        </m:sSup>
      </m:oMath>
      <w:r>
        <w:t xml:space="preserve"> measures total matching mass under a specified scale. It is not automatically a calibrated familiarity signal. Duplicating all observations doubles </w:t>
      </w:r>
      <m:oMath>
        <m:r>
          <w:rPr>
            <w:rFonts w:ascii="Cambria Math" w:hAnsi="Cambria Math"/>
          </w:rPr>
          <m:t>Z</m:t>
        </m:r>
      </m:oMath>
      <w:r>
        <w:t xml:space="preserve"> without changing the normalized attention output. Rescaling stored counts also changes </w:t>
      </w:r>
      <m:oMath>
        <m:r>
          <w:rPr>
            <w:rFonts w:ascii="Cambria Math" w:hAnsi="Cambria Math"/>
          </w:rPr>
          <m:t>Z</m:t>
        </m:r>
      </m:oMath>
      <w:r>
        <w:t xml:space="preserve"> unless the scale is restored, while query norms and codeword offsets can change it for unrelated reasons.</w:t>
      </w:r>
    </w:p>
    <w:p w14:paraId="4DD445A9" w14:textId="77777777" w:rsidR="00655664" w:rsidRDefault="00000000" w:rsidP="00BD3711">
      <w:pPr>
        <w:pStyle w:val="BodyText"/>
        <w:jc w:val="both"/>
      </w:pPr>
      <w:r>
        <w:t xml:space="preserve">One explicitly defined scale-invariant summary is </w:t>
      </w:r>
      <m:oMath>
        <m:r>
          <w:rPr>
            <w:rFonts w:ascii="Cambria Math" w:hAnsi="Cambria Math"/>
          </w:rPr>
          <m:t>F</m:t>
        </m:r>
        <m:d>
          <m:dPr>
            <m:ctrlPr>
              <w:rPr>
                <w:rFonts w:ascii="Cambria Math" w:hAnsi="Cambria Math"/>
              </w:rPr>
            </m:ctrlPr>
          </m:dPr>
          <m:e>
            <m:r>
              <w:rPr>
                <w:rFonts w:ascii="Cambria Math" w:hAnsi="Cambria Math"/>
              </w:rPr>
              <m:t>q</m:t>
            </m:r>
          </m:e>
        </m:d>
        <m:r>
          <m:rPr>
            <m:sty m:val="p"/>
          </m:rPr>
          <w:rPr>
            <w:rFonts w:ascii="Cambria Math" w:hAnsi="Cambria Math"/>
          </w:rPr>
          <m:t>=log</m:t>
        </m:r>
        <m:r>
          <w:rPr>
            <w:rFonts w:ascii="Cambria Math" w:hAnsi="Cambria Math"/>
          </w:rPr>
          <m:t>Z</m:t>
        </m:r>
        <m:d>
          <m:dPr>
            <m:ctrlPr>
              <w:rPr>
                <w:rFonts w:ascii="Cambria Math" w:hAnsi="Cambria Math"/>
              </w:rPr>
            </m:ctrlPr>
          </m:dPr>
          <m:e>
            <m:r>
              <w:rPr>
                <w:rFonts w:ascii="Cambria Math" w:hAnsi="Cambria Math"/>
              </w:rPr>
              <m:t>q</m:t>
            </m:r>
          </m:e>
        </m:d>
        <m:r>
          <m:rPr>
            <m:sty m:val="p"/>
          </m:rPr>
          <w:rPr>
            <w:rFonts w:ascii="Cambria Math" w:hAnsi="Cambria Math"/>
          </w:rPr>
          <m:t>-log</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j</m:t>
                </m:r>
              </m:sub>
            </m:sSub>
          </m:e>
        </m:nary>
      </m:oMath>
      <w:r>
        <w:t>, which measures mean matching strength. It deliberately discards overall exposure count. A separate exposure variable or a comparison with a background distribution can supply additional evidence if the task requires it. Recognition performance must be evaluated with these readouts specified. A denominator hidden by softmax cannot be assumed to function as an observable confidence signal.</w:t>
      </w:r>
    </w:p>
    <w:p w14:paraId="638139A9" w14:textId="77777777" w:rsidR="00655664" w:rsidRDefault="00000000" w:rsidP="00BD3711">
      <w:pPr>
        <w:pStyle w:val="BodyText"/>
        <w:jc w:val="both"/>
      </w:pPr>
      <w:r>
        <w:t>Bin updates are local in storage, but not free of interference. Values competing for one approximate address alter the same mean, and all future reads influenced by that bin can change. Locality avoids rewriting unrelated bins; it does not eliminate within-bin interference or protect rare exceptions from dilution.</w:t>
      </w:r>
    </w:p>
    <w:p w14:paraId="6F8DFD5B" w14:textId="77777777" w:rsidR="00655664" w:rsidRDefault="00000000" w:rsidP="00BD3711">
      <w:pPr>
        <w:pStyle w:val="Heading2"/>
        <w:jc w:val="both"/>
      </w:pPr>
      <w:bookmarkStart w:id="29" w:name="amnesia-as-a-component-test"/>
      <w:bookmarkEnd w:id="28"/>
      <w:r>
        <w:t>Amnesia as a component test</w:t>
      </w:r>
    </w:p>
    <w:p w14:paraId="353D7AA7" w14:textId="77777777" w:rsidR="00655664" w:rsidRDefault="00000000" w:rsidP="00BD3711">
      <w:pPr>
        <w:pStyle w:val="FirstParagraph"/>
        <w:jc w:val="both"/>
      </w:pPr>
      <w:r>
        <w:t>H.M.’s severe memory impairment after bilateral medial temporal surgery [21] motivates a separation between ongoing processing and the formation of durable memories. Postmortem reconstruction documents a lesion extending across several medial temporal structures [22], so the case does not isolate a single hypothetical counter. Some new semantic learning was also observed [23], which rules out treating his profile as a simple prohibition on every form of learning.</w:t>
      </w:r>
    </w:p>
    <w:p w14:paraId="12973668" w14:textId="77777777" w:rsidR="00655664" w:rsidRDefault="00000000" w:rsidP="00BD3711">
      <w:pPr>
        <w:pStyle w:val="BodyText"/>
        <w:jc w:val="both"/>
      </w:pPr>
      <w:r>
        <w:t>In a model whose only writable long-term store is the counter, disabling counter writes while preserving its previous contents and the working window prevents durable storage through that route. Information can remain available in the window or be rehearsed into it. This follows by construction. If an ordered store or slow weight learner remains writable, new learning can continue through those components; disabling the counter alone then cannot imply global anterograde amnesia.</w:t>
      </w:r>
    </w:p>
    <w:p w14:paraId="4E0EF02C" w14:textId="77777777" w:rsidR="00655664" w:rsidRDefault="00000000" w:rsidP="00BD3711">
      <w:pPr>
        <w:pStyle w:val="BodyText"/>
        <w:jc w:val="both"/>
      </w:pPr>
      <w:r>
        <w:t>Studies reporting relatively spared recollection with impaired familiarity [24], and the reverse pattern after extended hippocampal-system damage [25], motivate separable functional readouts. Other experiments support a hippocampal contribution to both processes [26]. These findings constrain models but do not uniquely assign counted summaries to perirhinal cortex, ordered records to the hippocampus, or log-counts to a thalamic nucleus. Those anatomical identifications would require additional evidence beyond behavioral resemblance.</w:t>
      </w:r>
    </w:p>
    <w:p w14:paraId="2E20B143" w14:textId="77777777" w:rsidR="00655664" w:rsidRDefault="00000000" w:rsidP="00BD3711">
      <w:pPr>
        <w:pStyle w:val="Caption"/>
        <w:keepNext/>
        <w:jc w:val="both"/>
      </w:pPr>
      <w:r>
        <w:rPr>
          <w:iCs/>
        </w:rPr>
        <w:t>Table 2. Computational interventions and what they can establish. Every prediction assumes the explicitly named alternative stores and learning paths are controlled.</w:t>
      </w:r>
    </w:p>
    <w:tbl>
      <w:tblPr>
        <w:tblStyle w:val="Table"/>
        <w:tblW w:w="964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2764"/>
        <w:gridCol w:w="3658"/>
        <w:gridCol w:w="3226"/>
      </w:tblGrid>
      <w:tr w:rsidR="00655664" w14:paraId="2B619EF9" w14:textId="77777777" w:rsidTr="00655664">
        <w:trPr>
          <w:cnfStyle w:val="100000000000" w:firstRow="1" w:lastRow="0" w:firstColumn="0" w:lastColumn="0" w:oddVBand="0" w:evenVBand="0" w:oddHBand="0" w:evenHBand="0" w:firstRowFirstColumn="0" w:firstRowLastColumn="0" w:lastRowFirstColumn="0" w:lastRowLastColumn="0"/>
          <w:cantSplit/>
          <w:tblHeader/>
          <w:jc w:val="center"/>
        </w:trPr>
        <w:tc>
          <w:tcPr>
            <w:tcW w:w="2765" w:type="dxa"/>
            <w:shd w:val="clear" w:color="auto" w:fill="E7ECF0"/>
            <w:vAlign w:val="center"/>
          </w:tcPr>
          <w:p w14:paraId="373D12AF" w14:textId="77777777" w:rsidR="00655664" w:rsidRDefault="00000000" w:rsidP="00BD3711">
            <w:pPr>
              <w:keepLines/>
              <w:spacing w:after="0" w:line="250" w:lineRule="auto"/>
              <w:jc w:val="both"/>
            </w:pPr>
            <w:r>
              <w:rPr>
                <w:b/>
                <w:sz w:val="19"/>
              </w:rPr>
              <w:t>Intervention</w:t>
            </w:r>
          </w:p>
        </w:tc>
        <w:tc>
          <w:tcPr>
            <w:tcW w:w="3658" w:type="dxa"/>
            <w:shd w:val="clear" w:color="auto" w:fill="E7ECF0"/>
            <w:vAlign w:val="center"/>
          </w:tcPr>
          <w:p w14:paraId="3D029805" w14:textId="77777777" w:rsidR="00655664" w:rsidRDefault="00000000" w:rsidP="00BD3711">
            <w:pPr>
              <w:keepLines/>
              <w:spacing w:after="0" w:line="250" w:lineRule="auto"/>
              <w:jc w:val="both"/>
            </w:pPr>
            <w:r>
              <w:rPr>
                <w:b/>
                <w:sz w:val="19"/>
              </w:rPr>
              <w:t>Predicted effect</w:t>
            </w:r>
          </w:p>
        </w:tc>
        <w:tc>
          <w:tcPr>
            <w:tcW w:w="3226" w:type="dxa"/>
            <w:shd w:val="clear" w:color="auto" w:fill="E7ECF0"/>
            <w:vAlign w:val="center"/>
          </w:tcPr>
          <w:p w14:paraId="278EC67E" w14:textId="77777777" w:rsidR="00655664" w:rsidRDefault="00000000" w:rsidP="00BD3711">
            <w:pPr>
              <w:keepLines/>
              <w:spacing w:after="0" w:line="250" w:lineRule="auto"/>
              <w:jc w:val="both"/>
            </w:pPr>
            <w:r>
              <w:rPr>
                <w:b/>
                <w:sz w:val="19"/>
              </w:rPr>
              <w:t>Interpretation</w:t>
            </w:r>
          </w:p>
        </w:tc>
      </w:tr>
      <w:tr w:rsidR="00655664" w14:paraId="63367CA0" w14:textId="77777777" w:rsidTr="00655664">
        <w:trPr>
          <w:cantSplit/>
          <w:jc w:val="center"/>
        </w:trPr>
        <w:tc>
          <w:tcPr>
            <w:tcW w:w="2765" w:type="dxa"/>
            <w:shd w:val="clear" w:color="auto" w:fill="FFFFFF"/>
            <w:vAlign w:val="center"/>
          </w:tcPr>
          <w:p w14:paraId="5B1C9012" w14:textId="77777777" w:rsidR="00655664" w:rsidRDefault="00000000" w:rsidP="00BD3711">
            <w:pPr>
              <w:keepLines/>
              <w:spacing w:after="0" w:line="250" w:lineRule="auto"/>
              <w:jc w:val="both"/>
            </w:pPr>
            <w:r>
              <w:rPr>
                <w:sz w:val="19"/>
              </w:rPr>
              <w:t>Disable all fast durable writes; freeze weights</w:t>
            </w:r>
          </w:p>
        </w:tc>
        <w:tc>
          <w:tcPr>
            <w:tcW w:w="3658" w:type="dxa"/>
            <w:shd w:val="clear" w:color="auto" w:fill="FFFFFF"/>
            <w:vAlign w:val="center"/>
          </w:tcPr>
          <w:p w14:paraId="71CFE5AB" w14:textId="77777777" w:rsidR="00655664" w:rsidRDefault="00000000" w:rsidP="00BD3711">
            <w:pPr>
              <w:keepLines/>
              <w:spacing w:after="0" w:line="250" w:lineRule="auto"/>
              <w:jc w:val="both"/>
            </w:pPr>
            <w:r>
              <w:rPr>
                <w:sz w:val="19"/>
              </w:rPr>
              <w:t>Retention ends when the working representation is lost</w:t>
            </w:r>
          </w:p>
        </w:tc>
        <w:tc>
          <w:tcPr>
            <w:tcW w:w="3226" w:type="dxa"/>
            <w:shd w:val="clear" w:color="auto" w:fill="FFFFFF"/>
            <w:vAlign w:val="center"/>
          </w:tcPr>
          <w:p w14:paraId="4FAAB6E0" w14:textId="77777777" w:rsidR="00655664" w:rsidRDefault="00000000" w:rsidP="00BD3711">
            <w:pPr>
              <w:keepLines/>
              <w:spacing w:after="0" w:line="250" w:lineRule="auto"/>
              <w:jc w:val="both"/>
            </w:pPr>
            <w:r>
              <w:rPr>
                <w:sz w:val="19"/>
              </w:rPr>
              <w:t>Implementation check; broad analogue of impaired encoding</w:t>
            </w:r>
          </w:p>
        </w:tc>
      </w:tr>
      <w:tr w:rsidR="00655664" w14:paraId="21E21F9C" w14:textId="77777777" w:rsidTr="00655664">
        <w:trPr>
          <w:cantSplit/>
          <w:jc w:val="center"/>
        </w:trPr>
        <w:tc>
          <w:tcPr>
            <w:tcW w:w="2765" w:type="dxa"/>
            <w:shd w:val="clear" w:color="auto" w:fill="F7F8F9"/>
            <w:vAlign w:val="center"/>
          </w:tcPr>
          <w:p w14:paraId="3C57EA61" w14:textId="77777777" w:rsidR="00655664" w:rsidRDefault="00000000" w:rsidP="00BD3711">
            <w:pPr>
              <w:keepLines/>
              <w:spacing w:after="0" w:line="250" w:lineRule="auto"/>
              <w:jc w:val="both"/>
            </w:pPr>
            <w:r>
              <w:rPr>
                <w:sz w:val="19"/>
              </w:rPr>
              <w:t>Remove log-counts but keep means</w:t>
            </w:r>
          </w:p>
        </w:tc>
        <w:tc>
          <w:tcPr>
            <w:tcW w:w="3658" w:type="dxa"/>
            <w:shd w:val="clear" w:color="auto" w:fill="F7F8F9"/>
            <w:vAlign w:val="center"/>
          </w:tcPr>
          <w:p w14:paraId="13C7666E" w14:textId="77777777" w:rsidR="00655664" w:rsidRDefault="00000000" w:rsidP="00BD3711">
            <w:pPr>
              <w:keepLines/>
              <w:spacing w:after="0" w:line="250" w:lineRule="auto"/>
              <w:jc w:val="both"/>
            </w:pPr>
            <w:r>
              <w:rPr>
                <w:sz w:val="19"/>
              </w:rPr>
              <w:t>Reads ignore multiplicity between otherwise equal-scoring bins</w:t>
            </w:r>
          </w:p>
        </w:tc>
        <w:tc>
          <w:tcPr>
            <w:tcW w:w="3226" w:type="dxa"/>
            <w:shd w:val="clear" w:color="auto" w:fill="F7F8F9"/>
            <w:vAlign w:val="center"/>
          </w:tcPr>
          <w:p w14:paraId="63B13F9C" w14:textId="77777777" w:rsidR="00655664" w:rsidRDefault="00000000" w:rsidP="00BD3711">
            <w:pPr>
              <w:keepLines/>
              <w:spacing w:after="0" w:line="250" w:lineRule="auto"/>
              <w:jc w:val="both"/>
            </w:pPr>
            <w:r>
              <w:rPr>
                <w:sz w:val="19"/>
              </w:rPr>
              <w:t>Direct test of count-aware retrieval</w:t>
            </w:r>
          </w:p>
        </w:tc>
      </w:tr>
      <w:tr w:rsidR="00655664" w14:paraId="374889DA" w14:textId="77777777" w:rsidTr="00655664">
        <w:trPr>
          <w:cantSplit/>
          <w:jc w:val="center"/>
        </w:trPr>
        <w:tc>
          <w:tcPr>
            <w:tcW w:w="2765" w:type="dxa"/>
            <w:shd w:val="clear" w:color="auto" w:fill="FFFFFF"/>
            <w:vAlign w:val="center"/>
          </w:tcPr>
          <w:p w14:paraId="7AE378A3" w14:textId="77777777" w:rsidR="00655664" w:rsidRDefault="00000000" w:rsidP="00BD3711">
            <w:pPr>
              <w:keepLines/>
              <w:spacing w:after="0" w:line="250" w:lineRule="auto"/>
              <w:jc w:val="both"/>
            </w:pPr>
            <w:r>
              <w:rPr>
                <w:sz w:val="19"/>
              </w:rPr>
              <w:t>Remove ordered traces; retain summary memory</w:t>
            </w:r>
          </w:p>
        </w:tc>
        <w:tc>
          <w:tcPr>
            <w:tcW w:w="3658" w:type="dxa"/>
            <w:shd w:val="clear" w:color="auto" w:fill="FFFFFF"/>
            <w:vAlign w:val="center"/>
          </w:tcPr>
          <w:p w14:paraId="039804AC" w14:textId="77777777" w:rsidR="00655664" w:rsidRDefault="00000000" w:rsidP="00BD3711">
            <w:pPr>
              <w:keepLines/>
              <w:spacing w:after="0" w:line="250" w:lineRule="auto"/>
              <w:jc w:val="both"/>
            </w:pPr>
            <w:r>
              <w:rPr>
                <w:sz w:val="19"/>
              </w:rPr>
              <w:t>Loss of distinctions available only in the traces</w:t>
            </w:r>
          </w:p>
        </w:tc>
        <w:tc>
          <w:tcPr>
            <w:tcW w:w="3226" w:type="dxa"/>
            <w:shd w:val="clear" w:color="auto" w:fill="FFFFFF"/>
            <w:vAlign w:val="center"/>
          </w:tcPr>
          <w:p w14:paraId="79F7ECE8" w14:textId="77777777" w:rsidR="00655664" w:rsidRDefault="00000000" w:rsidP="00BD3711">
            <w:pPr>
              <w:keepLines/>
              <w:spacing w:after="0" w:line="250" w:lineRule="auto"/>
              <w:jc w:val="both"/>
            </w:pPr>
            <w:r>
              <w:rPr>
                <w:sz w:val="19"/>
              </w:rPr>
              <w:t>Test on order and source probes with shortcut controls</w:t>
            </w:r>
          </w:p>
        </w:tc>
      </w:tr>
      <w:tr w:rsidR="00655664" w14:paraId="184600CD" w14:textId="77777777" w:rsidTr="00655664">
        <w:trPr>
          <w:cantSplit/>
          <w:jc w:val="center"/>
        </w:trPr>
        <w:tc>
          <w:tcPr>
            <w:tcW w:w="2765" w:type="dxa"/>
            <w:shd w:val="clear" w:color="auto" w:fill="F7F8F9"/>
            <w:vAlign w:val="center"/>
          </w:tcPr>
          <w:p w14:paraId="74DD368D" w14:textId="77777777" w:rsidR="00655664" w:rsidRDefault="00000000" w:rsidP="00BD3711">
            <w:pPr>
              <w:keepLines/>
              <w:spacing w:after="0" w:line="250" w:lineRule="auto"/>
              <w:jc w:val="both"/>
            </w:pPr>
            <w:r>
              <w:rPr>
                <w:sz w:val="19"/>
              </w:rPr>
              <w:lastRenderedPageBreak/>
              <w:t>Remove counter; retain ordered traces</w:t>
            </w:r>
          </w:p>
        </w:tc>
        <w:tc>
          <w:tcPr>
            <w:tcW w:w="3658" w:type="dxa"/>
            <w:shd w:val="clear" w:color="auto" w:fill="F7F8F9"/>
            <w:vAlign w:val="center"/>
          </w:tcPr>
          <w:p w14:paraId="6582AE90" w14:textId="77777777" w:rsidR="00655664" w:rsidRDefault="00000000" w:rsidP="00BD3711">
            <w:pPr>
              <w:keepLines/>
              <w:spacing w:after="0" w:line="250" w:lineRule="auto"/>
              <w:jc w:val="both"/>
            </w:pPr>
            <w:r>
              <w:rPr>
                <w:sz w:val="19"/>
              </w:rPr>
              <w:t>Loss of summary-based advantages, if the model learned to use them</w:t>
            </w:r>
          </w:p>
        </w:tc>
        <w:tc>
          <w:tcPr>
            <w:tcW w:w="3226" w:type="dxa"/>
            <w:shd w:val="clear" w:color="auto" w:fill="F7F8F9"/>
            <w:vAlign w:val="center"/>
          </w:tcPr>
          <w:p w14:paraId="616FC784" w14:textId="77777777" w:rsidR="00655664" w:rsidRDefault="00000000" w:rsidP="00BD3711">
            <w:pPr>
              <w:keepLines/>
              <w:spacing w:after="0" w:line="250" w:lineRule="auto"/>
              <w:jc w:val="both"/>
            </w:pPr>
            <w:r>
              <w:rPr>
                <w:sz w:val="19"/>
              </w:rPr>
              <w:t>Proposed functional dissociation, not guaranteed recognition failure</w:t>
            </w:r>
          </w:p>
        </w:tc>
      </w:tr>
      <w:tr w:rsidR="00655664" w14:paraId="0450ECF4" w14:textId="77777777" w:rsidTr="00655664">
        <w:trPr>
          <w:cantSplit/>
          <w:jc w:val="center"/>
        </w:trPr>
        <w:tc>
          <w:tcPr>
            <w:tcW w:w="2765" w:type="dxa"/>
            <w:shd w:val="clear" w:color="auto" w:fill="FFFFFF"/>
            <w:vAlign w:val="center"/>
          </w:tcPr>
          <w:p w14:paraId="509976E3" w14:textId="77777777" w:rsidR="00655664" w:rsidRDefault="00000000" w:rsidP="00BD3711">
            <w:pPr>
              <w:keepLines/>
              <w:spacing w:after="0" w:line="250" w:lineRule="auto"/>
              <w:jc w:val="both"/>
            </w:pPr>
            <w:r>
              <w:rPr>
                <w:sz w:val="19"/>
              </w:rPr>
              <w:t>Enable a slow learner during write blockade</w:t>
            </w:r>
          </w:p>
        </w:tc>
        <w:tc>
          <w:tcPr>
            <w:tcW w:w="3658" w:type="dxa"/>
            <w:shd w:val="clear" w:color="auto" w:fill="FFFFFF"/>
            <w:vAlign w:val="center"/>
          </w:tcPr>
          <w:p w14:paraId="2A72C812" w14:textId="77777777" w:rsidR="00655664" w:rsidRDefault="00000000" w:rsidP="00BD3711">
            <w:pPr>
              <w:keepLines/>
              <w:spacing w:after="0" w:line="250" w:lineRule="auto"/>
              <w:jc w:val="both"/>
            </w:pPr>
            <w:r>
              <w:rPr>
                <w:sz w:val="19"/>
              </w:rPr>
              <w:t>Gradual acquisition remains possible</w:t>
            </w:r>
          </w:p>
        </w:tc>
        <w:tc>
          <w:tcPr>
            <w:tcW w:w="3226" w:type="dxa"/>
            <w:shd w:val="clear" w:color="auto" w:fill="FFFFFF"/>
            <w:vAlign w:val="center"/>
          </w:tcPr>
          <w:p w14:paraId="107219B5" w14:textId="77777777" w:rsidR="00655664" w:rsidRDefault="00000000" w:rsidP="00BD3711">
            <w:pPr>
              <w:keepLines/>
              <w:spacing w:after="0" w:line="250" w:lineRule="auto"/>
              <w:jc w:val="both"/>
            </w:pPr>
            <w:r>
              <w:rPr>
                <w:sz w:val="19"/>
              </w:rPr>
              <w:t>Tests the role of an alternative learning path</w:t>
            </w:r>
          </w:p>
        </w:tc>
      </w:tr>
    </w:tbl>
    <w:p w14:paraId="2F9F08F6" w14:textId="77777777" w:rsidR="00655664" w:rsidRDefault="00000000" w:rsidP="00BD3711">
      <w:pPr>
        <w:pStyle w:val="BodyText"/>
        <w:jc w:val="both"/>
      </w:pPr>
      <w:r>
        <w:t xml:space="preserve">Replay into slow weights could reduce dependence on fast memory, but an averaged bin lacks the individual experiences needed for complete episodic replay. If transfer occurs with a constant hazard </w:t>
      </w:r>
      <m:oMath>
        <m:r>
          <w:rPr>
            <w:rFonts w:ascii="Cambria Math" w:hAnsi="Cambria Math"/>
          </w:rPr>
          <m:t>κ</m:t>
        </m:r>
      </m:oMath>
      <w:r>
        <w:t xml:space="preserve">, the probability of transfer by age </w:t>
      </w:r>
      <m:oMath>
        <m:r>
          <w:rPr>
            <w:rFonts w:ascii="Cambria Math" w:hAnsi="Cambria Math"/>
          </w:rPr>
          <m:t>a</m:t>
        </m:r>
      </m:oMath>
      <w:r>
        <w:t xml:space="preserve"> is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κa</m:t>
            </m:r>
          </m:sup>
        </m:sSup>
      </m:oMath>
      <w:r>
        <w:t>. That expression follows from the assumed hazard; it is not an empirical law of human consolidation. A temporally graded lesion effect additionally requires the slow representation to support the particular test. We retain these comparisons as optional mechanistic experiments, separate from the attention-compression evaluation.</w:t>
      </w:r>
    </w:p>
    <w:p w14:paraId="03278150" w14:textId="77777777" w:rsidR="00655664" w:rsidRDefault="00000000" w:rsidP="00BD3711">
      <w:pPr>
        <w:pStyle w:val="Heading1"/>
        <w:jc w:val="both"/>
      </w:pPr>
      <w:bookmarkStart w:id="30" w:name="evaluation-that-can-reject-the-design"/>
      <w:bookmarkEnd w:id="26"/>
      <w:bookmarkEnd w:id="29"/>
      <w:r>
        <w:t>11 Evaluation that can reject the design</w:t>
      </w:r>
    </w:p>
    <w:p w14:paraId="1D989987" w14:textId="77777777" w:rsidR="00655664" w:rsidRDefault="00000000" w:rsidP="00BD3711">
      <w:pPr>
        <w:pStyle w:val="Heading2"/>
        <w:jc w:val="both"/>
      </w:pPr>
      <w:bookmarkStart w:id="31" w:name="completed-numerical-checks"/>
      <w:r>
        <w:t>Completed numerical checks</w:t>
      </w:r>
    </w:p>
    <w:p w14:paraId="0246A41E" w14:textId="77777777" w:rsidR="00655664" w:rsidRDefault="00000000" w:rsidP="00BD3711">
      <w:pPr>
        <w:pStyle w:val="FirstParagraph"/>
        <w:jc w:val="both"/>
      </w:pPr>
      <w:r>
        <w:t xml:space="preserve">We implemented the identities in NumPy and SciPy using float64 arithmetic and random seed 20261001. Repeated-key grouping was checked on 300 random caches. The largest absolute output discrepancy was </w:t>
      </w:r>
      <m:oMath>
        <m:r>
          <w:rPr>
            <w:rFonts w:ascii="Cambria Math" w:hAnsi="Cambria Math"/>
          </w:rPr>
          <m:t>5.56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t xml:space="preserve">. A lazy counter with a 17-token exact window was compared against explicit hybrid attention at every prefix of a 512-token sequence, for slopes 0, 0.02, and 0.5. Across 1,536 comparisons, the largest absolute discrepancy was </w:t>
      </w:r>
      <m:oMath>
        <m:r>
          <w:rPr>
            <w:rFonts w:ascii="Cambria Math" w:hAnsi="Cambria Math"/>
          </w:rPr>
          <m:t>4.45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t>.</w:t>
      </w:r>
    </w:p>
    <w:p w14:paraId="6B12D5BB" w14:textId="77777777" w:rsidR="00655664" w:rsidRDefault="00000000" w:rsidP="00BD3711">
      <w:pPr>
        <w:pStyle w:val="BodyText"/>
        <w:jc w:val="both"/>
      </w:pPr>
      <w:r>
        <w:t xml:space="preserve">Five thousand randomized partial-logit perturbation trials produced no bound violation above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t xml:space="preserve">. Two hundred two-point constructions attained the sharp factor in Eq. (7), with maximum absolute discrepancy </w:t>
      </w:r>
      <m:oMath>
        <m:r>
          <w:rPr>
            <w:rFonts w:ascii="Cambria Math" w:hAnsi="Cambria Math"/>
          </w:rPr>
          <m:t>2.23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t>. The checks also confirmed the max-hull counterexample and the loss of joint associations under marginal sub-key counting. Appendix B specifies their scope. These results check numerical implementations of algebra; they provide no evidence about trained language-model quality, GPU latency, or human memory.</w:t>
      </w:r>
    </w:p>
    <w:p w14:paraId="4C9E6809" w14:textId="77777777" w:rsidR="00655664" w:rsidRDefault="00000000" w:rsidP="00BD3711">
      <w:pPr>
        <w:pStyle w:val="Heading2"/>
        <w:jc w:val="both"/>
      </w:pPr>
      <w:bookmarkStart w:id="32" w:name="comparisons-and-budget-controls"/>
      <w:bookmarkEnd w:id="31"/>
      <w:r>
        <w:t>Comparisons and budget controls</w:t>
      </w:r>
    </w:p>
    <w:p w14:paraId="740A10D6" w14:textId="77777777" w:rsidR="00655664" w:rsidRDefault="00000000" w:rsidP="00BD3711">
      <w:pPr>
        <w:pStyle w:val="FirstParagraph"/>
        <w:jc w:val="both"/>
      </w:pPr>
      <w:r>
        <w:t>Begin with decoder models of width 512, eight layers, and eight heads. Vary addressing width across 8, 16, 32, and 64 while retaining the 64-dimensional payload. Compare standard full-input projections, a shared fixed slice, a learned shared projection, and per-head projections. Hold training tokens and data constant; separately report parameter-matched and compute-matched comparisons, since these controls answer different questions.</w:t>
      </w:r>
    </w:p>
    <w:p w14:paraId="4134CD57" w14:textId="77777777" w:rsidR="00655664" w:rsidRDefault="00000000" w:rsidP="00BD3711">
      <w:pPr>
        <w:pStyle w:val="BodyText"/>
        <w:jc w:val="both"/>
      </w:pPr>
      <w:r>
        <w:t>Use NoPE and ALiBi in the main architecture study. Add RoPE with effective-key quantization as a compatibility arm. Include uncompressed attention for each architecture, a sliding window with protected sink tokens, a reproduced Transformer-VQ baseline [3], and a linear-attention baseline [11]. For trained-checkpoint compression, compare against cache quantization [15, 17] and cache merging [14]. Numerical precision, codebooks, metadata, temporary buffers, and any replay or provenance store must be included in the relevant budget.</w:t>
      </w:r>
    </w:p>
    <w:p w14:paraId="21B65627" w14:textId="77777777" w:rsidR="00655664" w:rsidRDefault="00000000" w:rsidP="00BD3711">
      <w:pPr>
        <w:pStyle w:val="BodyText"/>
        <w:jc w:val="both"/>
      </w:pPr>
      <w:r>
        <w:t xml:space="preserve">Calibrate codebooks on a separate partition. Freeze model weights and codebooks during the primary evaluation. Sweep bin capacity, exact-window length, and codebook metric. Include both post-hoc compression and counter-aware training so that gains from learning compatible representations can be separated from gains due to the memory operator alone. Use at least three independent training </w:t>
      </w:r>
      <w:r>
        <w:lastRenderedPageBreak/>
        <w:t>seeds for decisive comparisons and report uncertainty, hardware, implementation versions, and throughput at specified batch sizes.</w:t>
      </w:r>
    </w:p>
    <w:p w14:paraId="6B13DDF2" w14:textId="77777777" w:rsidR="00655664" w:rsidRDefault="00000000" w:rsidP="00BD3711">
      <w:pPr>
        <w:pStyle w:val="Heading2"/>
        <w:jc w:val="both"/>
      </w:pPr>
      <w:bookmarkStart w:id="33" w:name="measurements-and-decision-rules"/>
      <w:bookmarkEnd w:id="32"/>
      <w:r>
        <w:t>Measurements and decision rules</w:t>
      </w:r>
    </w:p>
    <w:p w14:paraId="74368D90" w14:textId="77777777" w:rsidR="00655664" w:rsidRDefault="00000000" w:rsidP="00BD3711">
      <w:pPr>
        <w:pStyle w:val="Caption"/>
        <w:keepNext/>
        <w:jc w:val="both"/>
      </w:pPr>
      <w:r>
        <w:rPr>
          <w:iCs/>
        </w:rPr>
        <w:t>Table 3. Proposed tests and rejection conditions. Thresholds are study choices to freeze before running the relevant experiments.</w:t>
      </w:r>
    </w:p>
    <w:tbl>
      <w:tblPr>
        <w:tblStyle w:val="Table"/>
        <w:tblW w:w="964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2059"/>
        <w:gridCol w:w="3528"/>
        <w:gridCol w:w="4061"/>
      </w:tblGrid>
      <w:tr w:rsidR="00655664" w14:paraId="0FBF3C5F" w14:textId="77777777" w:rsidTr="00655664">
        <w:trPr>
          <w:cnfStyle w:val="100000000000" w:firstRow="1" w:lastRow="0" w:firstColumn="0" w:lastColumn="0" w:oddVBand="0" w:evenVBand="0" w:oddHBand="0" w:evenHBand="0" w:firstRowFirstColumn="0" w:firstRowLastColumn="0" w:lastRowFirstColumn="0" w:lastRowLastColumn="0"/>
          <w:cantSplit/>
          <w:tblHeader/>
          <w:jc w:val="center"/>
        </w:trPr>
        <w:tc>
          <w:tcPr>
            <w:tcW w:w="2059" w:type="dxa"/>
            <w:shd w:val="clear" w:color="auto" w:fill="E7ECF0"/>
            <w:vAlign w:val="center"/>
          </w:tcPr>
          <w:p w14:paraId="6BE1C8DE" w14:textId="77777777" w:rsidR="00655664" w:rsidRDefault="00000000" w:rsidP="00BD3711">
            <w:pPr>
              <w:keepLines/>
              <w:spacing w:after="0" w:line="250" w:lineRule="auto"/>
              <w:jc w:val="both"/>
            </w:pPr>
            <w:r>
              <w:rPr>
                <w:b/>
                <w:sz w:val="19"/>
              </w:rPr>
              <w:t>Question</w:t>
            </w:r>
          </w:p>
        </w:tc>
        <w:tc>
          <w:tcPr>
            <w:tcW w:w="3528" w:type="dxa"/>
            <w:shd w:val="clear" w:color="auto" w:fill="E7ECF0"/>
            <w:vAlign w:val="center"/>
          </w:tcPr>
          <w:p w14:paraId="4FE3DAB8" w14:textId="77777777" w:rsidR="00655664" w:rsidRDefault="00000000" w:rsidP="00BD3711">
            <w:pPr>
              <w:keepLines/>
              <w:spacing w:after="0" w:line="250" w:lineRule="auto"/>
              <w:jc w:val="both"/>
            </w:pPr>
            <w:r>
              <w:rPr>
                <w:b/>
                <w:sz w:val="19"/>
              </w:rPr>
              <w:t>Measurement</w:t>
            </w:r>
          </w:p>
        </w:tc>
        <w:tc>
          <w:tcPr>
            <w:tcW w:w="4061" w:type="dxa"/>
            <w:shd w:val="clear" w:color="auto" w:fill="E7ECF0"/>
            <w:vAlign w:val="center"/>
          </w:tcPr>
          <w:p w14:paraId="734A983C" w14:textId="77777777" w:rsidR="00655664" w:rsidRDefault="00000000" w:rsidP="00BD3711">
            <w:pPr>
              <w:keepLines/>
              <w:spacing w:after="0" w:line="250" w:lineRule="auto"/>
              <w:jc w:val="both"/>
            </w:pPr>
            <w:r>
              <w:rPr>
                <w:b/>
                <w:sz w:val="19"/>
              </w:rPr>
              <w:t>Rejection or revision condition</w:t>
            </w:r>
          </w:p>
        </w:tc>
      </w:tr>
      <w:tr w:rsidR="00655664" w14:paraId="5D90E710" w14:textId="77777777" w:rsidTr="00655664">
        <w:trPr>
          <w:cantSplit/>
          <w:jc w:val="center"/>
        </w:trPr>
        <w:tc>
          <w:tcPr>
            <w:tcW w:w="2059" w:type="dxa"/>
            <w:shd w:val="clear" w:color="auto" w:fill="FFFFFF"/>
            <w:vAlign w:val="center"/>
          </w:tcPr>
          <w:p w14:paraId="367BC4AE" w14:textId="77777777" w:rsidR="00655664" w:rsidRDefault="00000000" w:rsidP="00BD3711">
            <w:pPr>
              <w:keepLines/>
              <w:spacing w:after="0" w:line="250" w:lineRule="auto"/>
              <w:jc w:val="both"/>
            </w:pPr>
            <w:r>
              <w:rPr>
                <w:sz w:val="19"/>
              </w:rPr>
              <w:t>Are 16 addressing dimensions adequate</w:t>
            </w:r>
          </w:p>
        </w:tc>
        <w:tc>
          <w:tcPr>
            <w:tcW w:w="3528" w:type="dxa"/>
            <w:shd w:val="clear" w:color="auto" w:fill="FFFFFF"/>
            <w:vAlign w:val="center"/>
          </w:tcPr>
          <w:p w14:paraId="45351B95" w14:textId="77777777" w:rsidR="00655664" w:rsidRDefault="00000000" w:rsidP="00BD3711">
            <w:pPr>
              <w:keepLines/>
              <w:spacing w:after="0" w:line="250" w:lineRule="auto"/>
              <w:jc w:val="both"/>
            </w:pPr>
            <w:r>
              <w:rPr>
                <w:sz w:val="19"/>
              </w:rPr>
              <w:t>Loss and retrieval against wider models before counting</w:t>
            </w:r>
          </w:p>
        </w:tc>
        <w:tc>
          <w:tcPr>
            <w:tcW w:w="4061" w:type="dxa"/>
            <w:shd w:val="clear" w:color="auto" w:fill="FFFFFF"/>
            <w:vAlign w:val="center"/>
          </w:tcPr>
          <w:p w14:paraId="216FEAD6" w14:textId="77777777" w:rsidR="00655664" w:rsidRDefault="00000000" w:rsidP="00BD3711">
            <w:pPr>
              <w:keepLines/>
              <w:spacing w:after="0" w:line="250" w:lineRule="auto"/>
              <w:jc w:val="both"/>
            </w:pPr>
            <w:r>
              <w:rPr>
                <w:sz w:val="19"/>
              </w:rPr>
              <w:t>Narrowing already exceeds the agreed task tolerance</w:t>
            </w:r>
          </w:p>
        </w:tc>
      </w:tr>
      <w:tr w:rsidR="00655664" w14:paraId="07B40752" w14:textId="77777777" w:rsidTr="00655664">
        <w:trPr>
          <w:cantSplit/>
          <w:jc w:val="center"/>
        </w:trPr>
        <w:tc>
          <w:tcPr>
            <w:tcW w:w="2059" w:type="dxa"/>
            <w:shd w:val="clear" w:color="auto" w:fill="F7F8F9"/>
            <w:vAlign w:val="center"/>
          </w:tcPr>
          <w:p w14:paraId="1AFD2A0E" w14:textId="77777777" w:rsidR="00655664" w:rsidRDefault="00000000" w:rsidP="00BD3711">
            <w:pPr>
              <w:keepLines/>
              <w:spacing w:after="0" w:line="250" w:lineRule="auto"/>
              <w:jc w:val="both"/>
            </w:pPr>
            <w:r>
              <w:rPr>
                <w:sz w:val="19"/>
              </w:rPr>
              <w:t>Do counts buy useful compression</w:t>
            </w:r>
          </w:p>
        </w:tc>
        <w:tc>
          <w:tcPr>
            <w:tcW w:w="3528" w:type="dxa"/>
            <w:shd w:val="clear" w:color="auto" w:fill="F7F8F9"/>
            <w:vAlign w:val="center"/>
          </w:tcPr>
          <w:p w14:paraId="7D431B5F" w14:textId="77777777" w:rsidR="00655664" w:rsidRDefault="00000000" w:rsidP="00BD3711">
            <w:pPr>
              <w:keepLines/>
              <w:spacing w:after="0" w:line="250" w:lineRule="auto"/>
              <w:jc w:val="both"/>
            </w:pPr>
            <w:r>
              <w:rPr>
                <w:sz w:val="19"/>
              </w:rPr>
              <w:t>Quality versus all-in bytes against the strongest baseline</w:t>
            </w:r>
          </w:p>
        </w:tc>
        <w:tc>
          <w:tcPr>
            <w:tcW w:w="4061" w:type="dxa"/>
            <w:shd w:val="clear" w:color="auto" w:fill="F7F8F9"/>
            <w:vAlign w:val="center"/>
          </w:tcPr>
          <w:p w14:paraId="127E05DF" w14:textId="77777777" w:rsidR="00655664" w:rsidRDefault="00000000" w:rsidP="00BD3711">
            <w:pPr>
              <w:keepLines/>
              <w:spacing w:after="0" w:line="250" w:lineRule="auto"/>
              <w:jc w:val="both"/>
            </w:pPr>
            <w:r>
              <w:rPr>
                <w:sz w:val="19"/>
              </w:rPr>
              <w:t>No operating point improves the measured frontier</w:t>
            </w:r>
          </w:p>
        </w:tc>
      </w:tr>
      <w:tr w:rsidR="00655664" w14:paraId="7181A616" w14:textId="77777777" w:rsidTr="00655664">
        <w:trPr>
          <w:cantSplit/>
          <w:jc w:val="center"/>
        </w:trPr>
        <w:tc>
          <w:tcPr>
            <w:tcW w:w="2059" w:type="dxa"/>
            <w:shd w:val="clear" w:color="auto" w:fill="FFFFFF"/>
            <w:vAlign w:val="center"/>
          </w:tcPr>
          <w:p w14:paraId="208976F5" w14:textId="77777777" w:rsidR="00655664" w:rsidRDefault="00000000" w:rsidP="00BD3711">
            <w:pPr>
              <w:keepLines/>
              <w:spacing w:after="0" w:line="250" w:lineRule="auto"/>
              <w:jc w:val="both"/>
            </w:pPr>
            <w:r>
              <w:rPr>
                <w:sz w:val="19"/>
              </w:rPr>
              <w:t>Does query geometry help</w:t>
            </w:r>
          </w:p>
        </w:tc>
        <w:tc>
          <w:tcPr>
            <w:tcW w:w="3528" w:type="dxa"/>
            <w:shd w:val="clear" w:color="auto" w:fill="FFFFFF"/>
            <w:vAlign w:val="center"/>
          </w:tcPr>
          <w:p w14:paraId="54A56840" w14:textId="77777777" w:rsidR="00655664" w:rsidRDefault="00000000" w:rsidP="00BD3711">
            <w:pPr>
              <w:keepLines/>
              <w:spacing w:after="0" w:line="250" w:lineRule="auto"/>
              <w:jc w:val="both"/>
            </w:pPr>
            <w:r>
              <w:rPr>
                <w:sz w:val="19"/>
              </w:rPr>
              <w:t>Query-weighted versus Euclidean codebooks at equal cost</w:t>
            </w:r>
          </w:p>
        </w:tc>
        <w:tc>
          <w:tcPr>
            <w:tcW w:w="4061" w:type="dxa"/>
            <w:shd w:val="clear" w:color="auto" w:fill="FFFFFF"/>
            <w:vAlign w:val="center"/>
          </w:tcPr>
          <w:p w14:paraId="689D3185" w14:textId="77777777" w:rsidR="00655664" w:rsidRDefault="00000000" w:rsidP="00BD3711">
            <w:pPr>
              <w:keepLines/>
              <w:spacing w:after="0" w:line="250" w:lineRule="auto"/>
              <w:jc w:val="both"/>
            </w:pPr>
            <w:r>
              <w:rPr>
                <w:sz w:val="19"/>
              </w:rPr>
              <w:t>No improvement on held-out and shifted queries</w:t>
            </w:r>
          </w:p>
        </w:tc>
      </w:tr>
      <w:tr w:rsidR="00655664" w14:paraId="41204DBF" w14:textId="77777777" w:rsidTr="00655664">
        <w:trPr>
          <w:cantSplit/>
          <w:jc w:val="center"/>
        </w:trPr>
        <w:tc>
          <w:tcPr>
            <w:tcW w:w="2059" w:type="dxa"/>
            <w:shd w:val="clear" w:color="auto" w:fill="F7F8F9"/>
            <w:vAlign w:val="center"/>
          </w:tcPr>
          <w:p w14:paraId="15CD93FA" w14:textId="77777777" w:rsidR="00655664" w:rsidRDefault="00000000" w:rsidP="00BD3711">
            <w:pPr>
              <w:keepLines/>
              <w:spacing w:after="0" w:line="250" w:lineRule="auto"/>
              <w:jc w:val="both"/>
            </w:pPr>
            <w:r>
              <w:rPr>
                <w:sz w:val="19"/>
              </w:rPr>
              <w:t>Are rare distinctions retained</w:t>
            </w:r>
          </w:p>
        </w:tc>
        <w:tc>
          <w:tcPr>
            <w:tcW w:w="3528" w:type="dxa"/>
            <w:shd w:val="clear" w:color="auto" w:fill="F7F8F9"/>
            <w:vAlign w:val="center"/>
          </w:tcPr>
          <w:p w14:paraId="0AB2AC93" w14:textId="77777777" w:rsidR="00655664" w:rsidRDefault="00000000" w:rsidP="00BD3711">
            <w:pPr>
              <w:keepLines/>
              <w:spacing w:after="0" w:line="250" w:lineRule="auto"/>
              <w:jc w:val="both"/>
            </w:pPr>
            <w:r>
              <w:rPr>
                <w:sz w:val="19"/>
              </w:rPr>
              <w:t>Exact-match conjunction, revision, order, and rare-item probes</w:t>
            </w:r>
          </w:p>
        </w:tc>
        <w:tc>
          <w:tcPr>
            <w:tcW w:w="4061" w:type="dxa"/>
            <w:shd w:val="clear" w:color="auto" w:fill="F7F8F9"/>
            <w:vAlign w:val="center"/>
          </w:tcPr>
          <w:p w14:paraId="03933336" w14:textId="77777777" w:rsidR="00655664" w:rsidRDefault="00000000" w:rsidP="00BD3711">
            <w:pPr>
              <w:keepLines/>
              <w:spacing w:after="0" w:line="250" w:lineRule="auto"/>
              <w:jc w:val="both"/>
            </w:pPr>
            <w:r>
              <w:rPr>
                <w:sz w:val="19"/>
              </w:rPr>
              <w:t>Average loss passes but required probes fail</w:t>
            </w:r>
          </w:p>
        </w:tc>
      </w:tr>
      <w:tr w:rsidR="00655664" w14:paraId="5B4E30E3" w14:textId="77777777" w:rsidTr="00655664">
        <w:trPr>
          <w:cantSplit/>
          <w:jc w:val="center"/>
        </w:trPr>
        <w:tc>
          <w:tcPr>
            <w:tcW w:w="2059" w:type="dxa"/>
            <w:shd w:val="clear" w:color="auto" w:fill="FFFFFF"/>
            <w:vAlign w:val="center"/>
          </w:tcPr>
          <w:p w14:paraId="0F537BE5" w14:textId="77777777" w:rsidR="00655664" w:rsidRDefault="00000000" w:rsidP="00BD3711">
            <w:pPr>
              <w:keepLines/>
              <w:spacing w:after="0" w:line="250" w:lineRule="auto"/>
              <w:jc w:val="both"/>
            </w:pPr>
            <w:r>
              <w:rPr>
                <w:sz w:val="19"/>
              </w:rPr>
              <w:t>Does bounded state yield faster execution</w:t>
            </w:r>
          </w:p>
        </w:tc>
        <w:tc>
          <w:tcPr>
            <w:tcW w:w="3528" w:type="dxa"/>
            <w:shd w:val="clear" w:color="auto" w:fill="FFFFFF"/>
            <w:vAlign w:val="center"/>
          </w:tcPr>
          <w:p w14:paraId="10C4BC10" w14:textId="77777777" w:rsidR="00655664" w:rsidRDefault="00000000" w:rsidP="00BD3711">
            <w:pPr>
              <w:keepLines/>
              <w:spacing w:after="0" w:line="250" w:lineRule="auto"/>
              <w:jc w:val="both"/>
            </w:pPr>
            <w:r>
              <w:rPr>
                <w:sz w:val="19"/>
              </w:rPr>
              <w:t>End-to-end prefill and decoding latency, including search</w:t>
            </w:r>
          </w:p>
        </w:tc>
        <w:tc>
          <w:tcPr>
            <w:tcW w:w="4061" w:type="dxa"/>
            <w:shd w:val="clear" w:color="auto" w:fill="FFFFFF"/>
            <w:vAlign w:val="center"/>
          </w:tcPr>
          <w:p w14:paraId="666F6A4E" w14:textId="77777777" w:rsidR="00655664" w:rsidRDefault="00000000" w:rsidP="00BD3711">
            <w:pPr>
              <w:keepLines/>
              <w:spacing w:after="0" w:line="250" w:lineRule="auto"/>
              <w:jc w:val="both"/>
            </w:pPr>
            <w:r>
              <w:rPr>
                <w:sz w:val="19"/>
              </w:rPr>
              <w:t>Search, reads, or kernel overhead remove the latency gain</w:t>
            </w:r>
          </w:p>
        </w:tc>
      </w:tr>
      <w:tr w:rsidR="00655664" w14:paraId="15EE953F" w14:textId="77777777" w:rsidTr="00655664">
        <w:trPr>
          <w:cantSplit/>
          <w:jc w:val="center"/>
        </w:trPr>
        <w:tc>
          <w:tcPr>
            <w:tcW w:w="2059" w:type="dxa"/>
            <w:shd w:val="clear" w:color="auto" w:fill="F7F8F9"/>
            <w:vAlign w:val="center"/>
          </w:tcPr>
          <w:p w14:paraId="61B66CA6" w14:textId="77777777" w:rsidR="00655664" w:rsidRDefault="00000000" w:rsidP="00BD3711">
            <w:pPr>
              <w:keepLines/>
              <w:spacing w:after="0" w:line="250" w:lineRule="auto"/>
              <w:jc w:val="both"/>
            </w:pPr>
            <w:r>
              <w:rPr>
                <w:sz w:val="19"/>
              </w:rPr>
              <w:t>Is persistent state compatible with learning</w:t>
            </w:r>
          </w:p>
        </w:tc>
        <w:tc>
          <w:tcPr>
            <w:tcW w:w="3528" w:type="dxa"/>
            <w:shd w:val="clear" w:color="auto" w:fill="F7F8F9"/>
            <w:vAlign w:val="center"/>
          </w:tcPr>
          <w:p w14:paraId="2E7303A2" w14:textId="77777777" w:rsidR="00655664" w:rsidRDefault="00000000" w:rsidP="00BD3711">
            <w:pPr>
              <w:keepLines/>
              <w:spacing w:after="0" w:line="250" w:lineRule="auto"/>
              <w:jc w:val="both"/>
            </w:pPr>
            <w:r>
              <w:rPr>
                <w:sz w:val="19"/>
              </w:rPr>
              <w:t>Performance before and after encoder or codebook updates</w:t>
            </w:r>
          </w:p>
        </w:tc>
        <w:tc>
          <w:tcPr>
            <w:tcW w:w="4061" w:type="dxa"/>
            <w:shd w:val="clear" w:color="auto" w:fill="F7F8F9"/>
            <w:vAlign w:val="center"/>
          </w:tcPr>
          <w:p w14:paraId="0D5F23D7" w14:textId="77777777" w:rsidR="00655664" w:rsidRDefault="00000000" w:rsidP="00BD3711">
            <w:pPr>
              <w:keepLines/>
              <w:spacing w:after="0" w:line="250" w:lineRule="auto"/>
              <w:jc w:val="both"/>
            </w:pPr>
            <w:r>
              <w:rPr>
                <w:sz w:val="19"/>
              </w:rPr>
              <w:t>Drift cannot be controlled within the retention budget</w:t>
            </w:r>
          </w:p>
        </w:tc>
      </w:tr>
    </w:tbl>
    <w:p w14:paraId="7CE056D1" w14:textId="77777777" w:rsidR="00655664" w:rsidRDefault="00000000" w:rsidP="00BD3711">
      <w:pPr>
        <w:pStyle w:val="BodyText"/>
        <w:jc w:val="both"/>
      </w:pPr>
      <w:r>
        <w:t>As an initial feasibility target, require relative perplexity degradation no greater than 1% against the same architecture’s exact cache, no more than a two-percentage-point absolute loss on prespecified retrieval probes, and at least a fourfold reduction in total attention-memory bytes at the target context. A practical speed claim additionally requires lower measured decoding latency. These thresholds are proposed experimental criteria, not reported outcomes or guarantees suitable for every application.</w:t>
      </w:r>
    </w:p>
    <w:p w14:paraId="456F9453" w14:textId="77777777" w:rsidR="00655664" w:rsidRDefault="00000000" w:rsidP="00BD3711">
      <w:pPr>
        <w:pStyle w:val="BodyText"/>
        <w:jc w:val="both"/>
      </w:pPr>
      <w:r>
        <w:t>At fixed error tolerance, allow bin capacity to grow and measure the required capacity as context increases. At fixed capacity, measure how error changes after bins fill. A plateau in occupied bins under a fixed finite codebook is inevitable and is not evidence of discovered redundancy. A power-law fit to occupancy over a short range does not prove asymptotic compression either. The decisive quantity is the quality–memory–latency frontier over the intended context range.</w:t>
      </w:r>
    </w:p>
    <w:p w14:paraId="649A0C7E" w14:textId="77777777" w:rsidR="00655664" w:rsidRDefault="00000000" w:rsidP="00BD3711">
      <w:pPr>
        <w:pStyle w:val="BodyText"/>
        <w:jc w:val="both"/>
      </w:pPr>
      <w:r>
        <w:t>The conjunctive probe should randomize associations and include unseen attribute combinations so that marginal frequencies cannot solve it. Order probes must control positional or contextual information carried in payloads. An engineering variant can ask for the current dimension of an item whose earlier revisions recur much more often than the final revision. This exposes a counter that substitutes frequency-weighted consensus for required revision identity.</w:t>
      </w:r>
    </w:p>
    <w:p w14:paraId="04DE1D89" w14:textId="77777777" w:rsidR="00655664" w:rsidRDefault="00000000" w:rsidP="00BD3711">
      <w:pPr>
        <w:pStyle w:val="BodyText"/>
        <w:jc w:val="both"/>
      </w:pPr>
      <w:r>
        <w:t>Local audits should record query norms, bin radii, exact and approximate counter mass where feasible, and the gap between the certified and observed output error. Counter-aware training succeeds only if it improves the task frontier rather than merely making keys collide. If all useful operating points require an almost uncompressed exception store, the proposed bounded summary is unsuitable for that task, even though the aggregation identities remain correct.</w:t>
      </w:r>
    </w:p>
    <w:p w14:paraId="581FC97D" w14:textId="77777777" w:rsidR="00655664" w:rsidRDefault="00000000" w:rsidP="00BD3711">
      <w:pPr>
        <w:pStyle w:val="Heading1"/>
        <w:jc w:val="both"/>
      </w:pPr>
      <w:bookmarkStart w:id="34" w:name="conclusion"/>
      <w:bookmarkEnd w:id="30"/>
      <w:bookmarkEnd w:id="33"/>
      <w:r>
        <w:lastRenderedPageBreak/>
        <w:t>12 Conclusion</w:t>
      </w:r>
    </w:p>
    <w:p w14:paraId="5681AD81" w14:textId="77777777" w:rsidR="00655664" w:rsidRDefault="00000000" w:rsidP="00BD3711">
      <w:pPr>
        <w:pStyle w:val="FirstParagraph"/>
        <w:jc w:val="both"/>
      </w:pPr>
      <w:r>
        <w:t>Attentionlet offers a specific place to test counted attention memory: a narrow addressing channel whose payload remains wide. Count–sum aggregation preserves softmax reads when score responses coincide; vector quantization extends that identity to a finite-address model. Established work already supplies this foundation. The unresolved contribution of narrow addressing is whether it makes the required codebook small enough at a useful task accuracy.</w:t>
      </w:r>
    </w:p>
    <w:p w14:paraId="47EA19AF" w14:textId="77777777" w:rsidR="00655664" w:rsidRDefault="00000000" w:rsidP="00BD3711">
      <w:pPr>
        <w:pStyle w:val="BodyText"/>
        <w:jc w:val="both"/>
      </w:pPr>
      <w:r>
        <w:t>The analysis gives concrete conditions for pursuing that question. Quantization must respect future queries, positional weights must be represented in the state, window and counter masses must share one normalization, and byte accounting must include accumulation precision. A small local perturbation bound cannot substitute for end-to-end validation. Nor can a bounded number of fields preserve unlimited detail, recover irreversible merges, or remain compatible with arbitrary representation changes.</w:t>
      </w:r>
    </w:p>
    <w:p w14:paraId="7AE83705" w14:textId="77777777" w:rsidR="00655664" w:rsidRDefault="00000000" w:rsidP="00BD3711">
      <w:pPr>
        <w:pStyle w:val="BodyText"/>
        <w:jc w:val="both"/>
      </w:pPr>
      <w:r>
        <w:t>The next experiment is a controlled comparison of exact and counted 16-dimensional Attentionlet against wider and established vector-quantized baselines. A successful result would show a better measured quality–memory frontier and, separately, an execution advantage. Persistent and biologically motivated memory extensions become credible only after the retention and update semantics are demonstrated on that foundation.</w:t>
      </w:r>
    </w:p>
    <w:p w14:paraId="3993C2F6" w14:textId="77777777" w:rsidR="00655664" w:rsidRDefault="00000000" w:rsidP="00BD3711">
      <w:pPr>
        <w:pStyle w:val="Heading1"/>
        <w:pageBreakBefore/>
        <w:jc w:val="both"/>
      </w:pPr>
      <w:bookmarkStart w:id="35" w:name="X4c8ccb27a4412b9e640445454f01bb20914bb49"/>
      <w:bookmarkEnd w:id="34"/>
      <w:r>
        <w:lastRenderedPageBreak/>
        <w:t>Appendix A Proof examples and counterexamples</w:t>
      </w:r>
    </w:p>
    <w:p w14:paraId="74AB32DA" w14:textId="77777777" w:rsidR="00655664" w:rsidRDefault="00000000" w:rsidP="00BD3711">
      <w:pPr>
        <w:pStyle w:val="Heading2"/>
        <w:jc w:val="both"/>
      </w:pPr>
      <w:bookmarkStart w:id="36" w:name="a1-attaining-the-perturbation-bound"/>
      <w:r>
        <w:t>A1 Attaining the perturbation bound</w:t>
      </w:r>
    </w:p>
    <w:p w14:paraId="66CACD14" w14:textId="77777777" w:rsidR="00655664" w:rsidRDefault="00000000" w:rsidP="00BD3711">
      <w:pPr>
        <w:pStyle w:val="FirstParagraph"/>
        <w:keepNext/>
        <w:jc w:val="both"/>
      </w:pPr>
      <w:r>
        <w:t xml:space="preserve">Take scalar values </w:t>
      </w:r>
      <m:oMath>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r>
          <w:rPr>
            <w:rFonts w:ascii="Cambria Math" w:hAnsi="Cambria Math"/>
          </w:rPr>
          <m:t>0</m:t>
        </m:r>
      </m:oMath>
      <w:r>
        <w:t xml:space="preserve">, </w:t>
      </w:r>
      <m:oMath>
        <m:sSub>
          <m:sSubPr>
            <m:ctrlPr>
              <w:rPr>
                <w:rFonts w:ascii="Cambria Math" w:hAnsi="Cambria Math"/>
              </w:rPr>
            </m:ctrlPr>
          </m:sSubPr>
          <m:e>
            <m:r>
              <w:rPr>
                <w:rFonts w:ascii="Cambria Math" w:hAnsi="Cambria Math"/>
              </w:rPr>
              <m:t>v</m:t>
            </m:r>
          </m:e>
          <m:sub>
            <m:r>
              <w:rPr>
                <w:rFonts w:ascii="Cambria Math" w:hAnsi="Cambria Math"/>
              </w:rPr>
              <m:t>2</m:t>
            </m:r>
          </m:sub>
        </m:sSub>
        <m:r>
          <m:rPr>
            <m:sty m:val="p"/>
          </m:rPr>
          <w:rPr>
            <w:rFonts w:ascii="Cambria Math" w:hAnsi="Cambria Math"/>
          </w:rPr>
          <m:t>=</m:t>
        </m:r>
        <m:r>
          <w:rPr>
            <w:rFonts w:ascii="Cambria Math" w:hAnsi="Cambria Math"/>
          </w:rPr>
          <m:t>1</m:t>
        </m:r>
      </m:oMath>
      <w:r>
        <w:t xml:space="preserve"> and logits </w:t>
      </w:r>
      <m:oMath>
        <m:d>
          <m:dPr>
            <m:ctrlPr>
              <w:rPr>
                <w:rFonts w:ascii="Cambria Math" w:hAnsi="Cambria Math"/>
              </w:rPr>
            </m:ctrlPr>
          </m:dPr>
          <m:e>
            <m:r>
              <w:rPr>
                <w:rFonts w:ascii="Cambria Math" w:hAnsi="Cambria Math"/>
              </w:rPr>
              <m:t>ε</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2</m:t>
            </m:r>
          </m:e>
        </m:d>
      </m:oMath>
      <w:r>
        <w:t xml:space="preserve">. Perturb them by </w:t>
      </w:r>
      <m:oMath>
        <m:d>
          <m:dPr>
            <m:ctrlPr>
              <w:rPr>
                <w:rFonts w:ascii="Cambria Math" w:hAnsi="Cambria Math"/>
              </w:rPr>
            </m:ctrlPr>
          </m:dPr>
          <m:e>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ε</m:t>
            </m:r>
          </m:e>
        </m:d>
      </m:oMath>
      <w:r>
        <w:t>, so the logits swap. Their output difference is</w:t>
      </w:r>
    </w:p>
    <w:p w14:paraId="0D2A6A16" w14:textId="77777777" w:rsidR="00655664" w:rsidRDefault="00000000" w:rsidP="00BD3711">
      <w:pPr>
        <w:pStyle w:val="BodyText"/>
        <w:keepLines/>
        <w:spacing w:before="100" w:after="160"/>
        <w:jc w:val="both"/>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ε</m:t>
                  </m:r>
                </m:sup>
              </m:sSup>
              <m:r>
                <m:rPr>
                  <m:sty m:val="p"/>
                </m:rPr>
                <w:rPr>
                  <w:rFonts w:ascii="Cambria Math" w:hAnsi="Cambria Math"/>
                </w:rPr>
                <m:t>-</m:t>
              </m:r>
              <m:r>
                <w:rPr>
                  <w:rFonts w:ascii="Cambria Math" w:hAnsi="Cambria Math"/>
                </w:rPr>
                <m:t>1</m:t>
              </m:r>
            </m:num>
            <m:den>
              <m:sSup>
                <m:sSupPr>
                  <m:ctrlPr>
                    <w:rPr>
                      <w:rFonts w:ascii="Cambria Math" w:hAnsi="Cambria Math"/>
                    </w:rPr>
                  </m:ctrlPr>
                </m:sSupPr>
                <m:e>
                  <m:r>
                    <w:rPr>
                      <w:rFonts w:ascii="Cambria Math" w:hAnsi="Cambria Math"/>
                    </w:rPr>
                    <m:t>e</m:t>
                  </m:r>
                </m:e>
                <m:sup>
                  <m:r>
                    <w:rPr>
                      <w:rFonts w:ascii="Cambria Math" w:hAnsi="Cambria Math"/>
                    </w:rPr>
                    <m:t>ε</m:t>
                  </m:r>
                </m:sup>
              </m:sSup>
              <m:r>
                <m:rPr>
                  <m:sty m:val="p"/>
                </m:rPr>
                <w:rPr>
                  <w:rFonts w:ascii="Cambria Math" w:hAnsi="Cambria Math"/>
                </w:rPr>
                <m:t>+</m:t>
              </m:r>
              <m:r>
                <w:rPr>
                  <w:rFonts w:ascii="Cambria Math" w:hAnsi="Cambria Math"/>
                </w:rPr>
                <m:t>1</m:t>
              </m:r>
            </m:den>
          </m:f>
          <m:r>
            <m:rPr>
              <m:sty m:val="p"/>
            </m:rPr>
            <w:rPr>
              <w:rFonts w:ascii="Cambria Math" w:hAnsi="Cambria Math"/>
            </w:rPr>
            <m:t>=tanh</m:t>
          </m:r>
          <m:d>
            <m:dPr>
              <m:ctrlPr>
                <w:rPr>
                  <w:rFonts w:ascii="Cambria Math" w:hAnsi="Cambria Math"/>
                </w:rPr>
              </m:ctrlPr>
            </m:dPr>
            <m:e>
              <m:r>
                <w:rPr>
                  <w:rFonts w:ascii="Cambria Math" w:hAnsi="Cambria Math"/>
                </w:rPr>
                <m:t>ε</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15</m:t>
              </m:r>
            </m:e>
          </m:d>
        </m:oMath>
      </m:oMathPara>
    </w:p>
    <w:p w14:paraId="2F347E19" w14:textId="77777777" w:rsidR="00655664" w:rsidRDefault="00000000" w:rsidP="00BD3711">
      <w:pPr>
        <w:pStyle w:val="FirstParagraph"/>
        <w:jc w:val="both"/>
      </w:pPr>
      <w:r>
        <w:t>The value diameter is one, establishing sharpness of Eq. (7). When all perturbations are identical, the oscillation is zero and the output does not change, even if that common perturbation is large.</w:t>
      </w:r>
    </w:p>
    <w:p w14:paraId="0BD65017" w14:textId="77777777" w:rsidR="00655664" w:rsidRDefault="00000000" w:rsidP="00BD3711">
      <w:pPr>
        <w:pStyle w:val="Heading2"/>
        <w:jc w:val="both"/>
      </w:pPr>
      <w:bookmarkStart w:id="37" w:name="X3593abd537553c4b85e45b3e9a342520a80e7c1"/>
      <w:bookmarkEnd w:id="36"/>
      <w:r>
        <w:t>A2 Low logit rank and full attention rank</w:t>
      </w:r>
    </w:p>
    <w:p w14:paraId="37CB2F03" w14:textId="77777777" w:rsidR="00655664" w:rsidRDefault="00000000" w:rsidP="00BD3711">
      <w:pPr>
        <w:pStyle w:val="FirstParagraph"/>
        <w:keepNext/>
        <w:jc w:val="both"/>
      </w:pPr>
      <w:r>
        <w:t xml:space="preserve">Let </w:t>
      </w:r>
      <m:oMath>
        <m:r>
          <w:rPr>
            <w:rFonts w:ascii="Cambria Math" w:hAnsi="Cambria Math"/>
          </w:rPr>
          <m:t>q</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e>
          <m:sup>
            <m:r>
              <m:rPr>
                <m:sty m:val="p"/>
              </m:rPr>
              <w:rPr>
                <w:rFonts w:ascii="Cambria Math" w:hAnsi="Cambria Math"/>
              </w:rPr>
              <m:t>⊤</m:t>
            </m:r>
          </m:sup>
        </m:sSup>
      </m:oMath>
      <w:r>
        <w:t xml:space="preserve"> and </w:t>
      </w:r>
      <m:oMath>
        <m:r>
          <w:rPr>
            <w:rFonts w:ascii="Cambria Math" w:hAnsi="Cambria Math"/>
          </w:rPr>
          <m:t>k</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log</m:t>
                </m:r>
                <m:r>
                  <w:rPr>
                    <w:rFonts w:ascii="Cambria Math" w:hAnsi="Cambria Math"/>
                  </w:rPr>
                  <m:t>1</m:t>
                </m:r>
                <m:r>
                  <m:rPr>
                    <m:sty m:val="p"/>
                  </m:rPr>
                  <w:rPr>
                    <w:rFonts w:ascii="Cambria Math" w:hAnsi="Cambria Math"/>
                  </w:rPr>
                  <m:t>,log</m:t>
                </m:r>
                <m:r>
                  <w:rPr>
                    <w:rFonts w:ascii="Cambria Math" w:hAnsi="Cambria Math"/>
                  </w:rPr>
                  <m:t>2</m:t>
                </m:r>
                <m:r>
                  <m:rPr>
                    <m:sty m:val="p"/>
                  </m:rPr>
                  <w:rPr>
                    <w:rFonts w:ascii="Cambria Math" w:hAnsi="Cambria Math"/>
                  </w:rPr>
                  <m:t>,log</m:t>
                </m:r>
                <m:r>
                  <w:rPr>
                    <w:rFonts w:ascii="Cambria Math" w:hAnsi="Cambria Math"/>
                  </w:rPr>
                  <m:t>3</m:t>
                </m:r>
              </m:e>
            </m:d>
          </m:e>
          <m:sup>
            <m:r>
              <m:rPr>
                <m:sty m:val="p"/>
              </m:rPr>
              <w:rPr>
                <w:rFonts w:ascii="Cambria Math" w:hAnsi="Cambria Math"/>
              </w:rPr>
              <m:t>⊤</m:t>
            </m:r>
          </m:sup>
        </m:sSup>
      </m:oMath>
      <w:r>
        <w:t xml:space="preserve">. The matrix </w:t>
      </w:r>
      <m:oMath>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rPr>
              <m:t>⊤</m:t>
            </m:r>
          </m:sup>
        </m:sSup>
      </m:oMath>
      <w:r>
        <w:t xml:space="preserve"> has rank one. Elementwise exponentiation gives</w:t>
      </w:r>
    </w:p>
    <w:p w14:paraId="08D769D3" w14:textId="77777777" w:rsidR="00655664" w:rsidRDefault="00000000" w:rsidP="00BD3711">
      <w:pPr>
        <w:pStyle w:val="BodyText"/>
        <w:keepLines/>
        <w:spacing w:before="100" w:after="160"/>
        <w:jc w:val="both"/>
      </w:pPr>
      <m:oMathPara>
        <m:oMathParaPr>
          <m:jc m:val="center"/>
        </m:oMathParaPr>
        <m:oMath>
          <m:r>
            <m:rPr>
              <m:sty m:val="p"/>
            </m:rPr>
            <w:rPr>
              <w:rFonts w:ascii="Cambria Math" w:hAnsi="Cambria Math"/>
            </w:rPr>
            <m:t>exp</m:t>
          </m:r>
          <m:d>
            <m:dPr>
              <m:ctrlPr>
                <w:rPr>
                  <w:rFonts w:ascii="Cambria Math" w:hAnsi="Cambria Math"/>
                </w:rPr>
              </m:ctrlPr>
            </m:dPr>
            <m:e>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rPr>
                    <m:t>⊤</m:t>
                  </m:r>
                </m:sup>
              </m:sSup>
            </m:e>
          </m:d>
          <m:r>
            <m:rPr>
              <m:sty m:val="p"/>
            </m:rPr>
            <w:rPr>
              <w:rFonts w:ascii="Cambria Math" w:hAnsi="Cambria Math"/>
            </w:rPr>
            <m:t>=</m:t>
          </m:r>
          <m:d>
            <m:dPr>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2</m:t>
                    </m:r>
                  </m:e>
                  <m:e>
                    <m:r>
                      <w:rPr>
                        <w:rFonts w:ascii="Cambria Math" w:hAnsi="Cambria Math"/>
                      </w:rPr>
                      <m:t>3</m:t>
                    </m:r>
                  </m:e>
                </m:mr>
                <m:mr>
                  <m:e>
                    <m:r>
                      <w:rPr>
                        <w:rFonts w:ascii="Cambria Math" w:hAnsi="Cambria Math"/>
                      </w:rPr>
                      <m:t>1</m:t>
                    </m:r>
                  </m:e>
                  <m:e>
                    <m:r>
                      <w:rPr>
                        <w:rFonts w:ascii="Cambria Math" w:hAnsi="Cambria Math"/>
                      </w:rPr>
                      <m:t>4</m:t>
                    </m:r>
                  </m:e>
                  <m:e>
                    <m:r>
                      <w:rPr>
                        <w:rFonts w:ascii="Cambria Math" w:hAnsi="Cambria Math"/>
                      </w:rPr>
                      <m:t>9</m:t>
                    </m:r>
                  </m:e>
                </m:mr>
              </m:m>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16</m:t>
              </m:r>
            </m:e>
          </m:d>
        </m:oMath>
      </m:oMathPara>
    </w:p>
    <w:p w14:paraId="4B036E10" w14:textId="77777777" w:rsidR="00655664" w:rsidRDefault="00000000" w:rsidP="00BD3711">
      <w:pPr>
        <w:pStyle w:val="FirstParagraph"/>
        <w:jc w:val="both"/>
      </w:pPr>
      <w:r>
        <w:t>Its determinant is two. Row normalization multiplies it by an invertible diagonal matrix, so its softmax also has rank three. This establishes the distinction without an empirical rank assumption.</w:t>
      </w:r>
    </w:p>
    <w:p w14:paraId="5DA22E4F" w14:textId="77777777" w:rsidR="00655664" w:rsidRDefault="00000000" w:rsidP="00BD3711">
      <w:pPr>
        <w:pStyle w:val="Heading2"/>
        <w:jc w:val="both"/>
      </w:pPr>
      <w:bookmarkStart w:id="38" w:name="X9b9c70ecf87dbb1a23b07c40681c423b55a4b49"/>
      <w:bookmarkEnd w:id="37"/>
      <w:r>
        <w:t>A3 Marginal counting can erase a conjunction</w:t>
      </w:r>
    </w:p>
    <w:p w14:paraId="31D76604" w14:textId="77777777" w:rsidR="00655664" w:rsidRDefault="00000000" w:rsidP="00BD3711">
      <w:pPr>
        <w:pStyle w:val="FirstParagraph"/>
        <w:jc w:val="both"/>
      </w:pPr>
      <w:r>
        <w:t xml:space="preserve">Consider four ordered address pairs </w:t>
      </w:r>
      <m:oMath>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 xml:space="preserve">, </w:t>
      </w:r>
      <m:oMath>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d</m:t>
            </m:r>
          </m:e>
        </m:d>
      </m:oMath>
      <w:r>
        <w:t xml:space="preserve">, </w:t>
      </w:r>
      <m:oMath>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b</m:t>
            </m:r>
          </m:e>
        </m:d>
      </m:oMath>
      <w:r>
        <w:t xml:space="preserve">, and </w:t>
      </w:r>
      <m:oMath>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d</m:t>
            </m:r>
          </m:e>
        </m:d>
      </m:oMath>
      <w:r>
        <w:t xml:space="preserve">. History A assigns payloads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oMath>
      <w:r>
        <w:t xml:space="preserve">; history B assigns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e>
        </m:d>
      </m:oMath>
      <w:r>
        <w:t>. In both histories, every individual sub-key occurs twice and has payload sum one. Their marginal sub-key counters are identical.</w:t>
      </w:r>
    </w:p>
    <w:p w14:paraId="2F716EB6" w14:textId="77777777" w:rsidR="00655664" w:rsidRDefault="00000000" w:rsidP="00BD3711">
      <w:pPr>
        <w:pStyle w:val="BodyText"/>
        <w:jc w:val="both"/>
      </w:pPr>
      <w:r>
        <w:t xml:space="preserve">A conjunctive query can assign the four joint addresses logits </w:t>
      </w:r>
      <m:oMath>
        <m:d>
          <m:dPr>
            <m:ctrlPr>
              <w:rPr>
                <w:rFonts w:ascii="Cambria Math" w:hAnsi="Cambria Math"/>
              </w:rPr>
            </m:ctrlPr>
          </m:dPr>
          <m:e>
            <m:r>
              <w:rPr>
                <w:rFonts w:ascii="Cambria Math" w:hAnsi="Cambria Math"/>
              </w:rPr>
              <m:t>10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0</m:t>
            </m:r>
          </m:e>
        </m:d>
      </m:oMath>
      <w:r>
        <w:t xml:space="preserve"> through additive ordered-block scores. The softmax outputs are approximately 0.9867 for history A and 0.0133 for history B. Any read depending only on the identical marginal counters must return the same answer for both. The example isolates loss of joint information rather than a numerical instability in counting.</w:t>
      </w:r>
    </w:p>
    <w:p w14:paraId="2DB10BFE" w14:textId="77777777" w:rsidR="00655664" w:rsidRDefault="00000000" w:rsidP="00BD3711">
      <w:pPr>
        <w:pStyle w:val="Heading2"/>
        <w:jc w:val="both"/>
      </w:pPr>
      <w:bookmarkStart w:id="39" w:name="X565d528d7dc3aa92b18030a1b6209d69c1ef795"/>
      <w:bookmarkEnd w:id="38"/>
      <w:r>
        <w:t>A4 Content identity is insufficient under rotation</w:t>
      </w:r>
    </w:p>
    <w:p w14:paraId="7C25DADF" w14:textId="77777777" w:rsidR="00655664" w:rsidRDefault="00000000" w:rsidP="00BD3711">
      <w:pPr>
        <w:pStyle w:val="FirstParagraph"/>
        <w:jc w:val="both"/>
      </w:pPr>
      <w:r>
        <w:t xml:space="preserve">Take a repeated two-dimensional content key </w:t>
      </w:r>
      <m:oMath>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e>
          <m:sup>
            <m:r>
              <m:rPr>
                <m:sty m:val="p"/>
              </m:rPr>
              <w:rPr>
                <w:rFonts w:ascii="Cambria Math" w:hAnsi="Cambria Math"/>
              </w:rPr>
              <m:t>⊤</m:t>
            </m:r>
          </m:sup>
        </m:sSup>
      </m:oMath>
      <w:r>
        <w:t xml:space="preserve">. Rotations of zero and </w:t>
      </w:r>
      <m:oMath>
        <m:r>
          <w:rPr>
            <w:rFonts w:ascii="Cambria Math" w:hAnsi="Cambria Math"/>
          </w:rPr>
          <m:t>π</m:t>
        </m:r>
        <m:r>
          <m:rPr>
            <m:sty m:val="p"/>
          </m:rPr>
          <w:rPr>
            <w:rFonts w:ascii="Cambria Math" w:hAnsi="Cambria Math"/>
          </w:rPr>
          <m:t>/</m:t>
        </m:r>
        <m:r>
          <w:rPr>
            <w:rFonts w:ascii="Cambria Math" w:hAnsi="Cambria Math"/>
          </w:rPr>
          <m:t>2</m:t>
        </m:r>
      </m:oMath>
      <w:r>
        <w:t xml:space="preserve"> give effective keys </w:t>
      </w:r>
      <m:oMath>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e>
          <m:sup>
            <m:r>
              <m:rPr>
                <m:sty m:val="p"/>
              </m:rPr>
              <w:rPr>
                <w:rFonts w:ascii="Cambria Math" w:hAnsi="Cambria Math"/>
              </w:rPr>
              <m:t>⊤</m:t>
            </m:r>
          </m:sup>
        </m:sSup>
      </m:oMath>
      <w:r>
        <w:t xml:space="preserve"> and </w:t>
      </w:r>
      <m:oMath>
        <m:sSup>
          <m:sSupPr>
            <m:ctrlPr>
              <w:rPr>
                <w:rFonts w:ascii="Cambria Math" w:hAnsi="Cambria Math"/>
              </w:rPr>
            </m:ctrlPr>
          </m:sSupPr>
          <m:e>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m:rPr>
                <m:sty m:val="p"/>
              </m:rPr>
              <w:rPr>
                <w:rFonts w:ascii="Cambria Math" w:hAnsi="Cambria Math"/>
              </w:rPr>
              <m:t>⊤</m:t>
            </m:r>
          </m:sup>
        </m:sSup>
      </m:oMath>
      <w:r>
        <w:t xml:space="preserve">. Choose a scaled query giving scores 1 and 0, and values 0 and 1. Direct attention returns </w:t>
      </w:r>
      <m:oMath>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0.2689</m:t>
        </m:r>
      </m:oMath>
      <w:r>
        <w:t>; merging by content identity returns 0.5. Merging by effective-key identity would not combine these entries and is consistent with Proposition 1.</w:t>
      </w:r>
    </w:p>
    <w:p w14:paraId="534AA7C7" w14:textId="77777777" w:rsidR="00655664" w:rsidRDefault="00000000" w:rsidP="00BD3711">
      <w:pPr>
        <w:pStyle w:val="Heading1"/>
        <w:jc w:val="both"/>
      </w:pPr>
      <w:bookmarkStart w:id="40" w:name="X8fed7a7e1e870be272ed3bf454a20589071acae"/>
      <w:bookmarkEnd w:id="35"/>
      <w:bookmarkEnd w:id="39"/>
      <w:r>
        <w:t>Appendix B Numerical verification protocol</w:t>
      </w:r>
    </w:p>
    <w:p w14:paraId="7213666A" w14:textId="77777777" w:rsidR="00655664" w:rsidRDefault="00000000" w:rsidP="00BD3711">
      <w:pPr>
        <w:pStyle w:val="FirstParagraph"/>
        <w:jc w:val="both"/>
      </w:pPr>
      <w:r>
        <w:t>The checks use a single NumPy default random generator initialized with seed 20261001. Repeated-key tests draw 11 codewords of width seven, 100 random assignments, five-dimensional Gaussian values, and a Gaussian query per trial. They compare tokenwise softmax with grouped counts and sums using the same codewords and values.</w:t>
      </w:r>
    </w:p>
    <w:p w14:paraId="6D4CEAA3" w14:textId="77777777" w:rsidR="00655664" w:rsidRDefault="00000000" w:rsidP="00BD3711">
      <w:pPr>
        <w:pStyle w:val="BodyText"/>
        <w:jc w:val="both"/>
      </w:pPr>
      <w:r>
        <w:t xml:space="preserve">Perturbation trials draw between two and 89 logits, four-dimensional Gaussian values, a randomly selected quantized subset, and a perturbation cap drawn log-uniformly from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to </w:t>
      </w:r>
      <m:oMath>
        <m:sSup>
          <m:sSupPr>
            <m:ctrlPr>
              <w:rPr>
                <w:rFonts w:ascii="Cambria Math" w:hAnsi="Cambria Math"/>
              </w:rPr>
            </m:ctrlPr>
          </m:sSupPr>
          <m:e>
            <m:r>
              <w:rPr>
                <w:rFonts w:ascii="Cambria Math" w:hAnsi="Cambria Math"/>
              </w:rPr>
              <m:t>10</m:t>
            </m:r>
          </m:e>
          <m:sup>
            <m:r>
              <w:rPr>
                <w:rFonts w:ascii="Cambria Math" w:hAnsi="Cambria Math"/>
              </w:rPr>
              <m:t>0.5</m:t>
            </m:r>
          </m:sup>
        </m:sSup>
      </m:oMath>
      <w:r>
        <w:t xml:space="preserve">. Selected </w:t>
      </w:r>
      <w:r>
        <w:lastRenderedPageBreak/>
        <w:t xml:space="preserve">logits receive uniform perturbations within that cap; the rest receive zero. Each trial computes total variation, value diameter, actual output error, perturbation oscillation, and both exact and approximate subset masses. It checks Eqs. (7)–(9) with absolute tolerance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t>.</w:t>
      </w:r>
    </w:p>
    <w:p w14:paraId="3AD2726A" w14:textId="77777777" w:rsidR="00655664" w:rsidRDefault="00000000" w:rsidP="00BD3711">
      <w:pPr>
        <w:pStyle w:val="BodyText"/>
        <w:jc w:val="both"/>
      </w:pPr>
      <w:r>
        <w:t>The lazy-counter comparison uses nine six-dimensional codewords, 512 Gaussian keys and queries, four-dimensional values, nearest-codeword assignment, and a 17-token exact window. At every prefix, direct attention uses quantized keys only for the expired portion and the same exponential age weights as the recurrent read. Slopes are 0, 0.02, and 0.5. Separate deterministic examples check sharpness, the RoPE mismatch, and the conjunction counterexample.</w:t>
      </w:r>
    </w:p>
    <w:p w14:paraId="367C2872" w14:textId="77777777" w:rsidR="00655664" w:rsidRDefault="00000000" w:rsidP="00BD3711">
      <w:pPr>
        <w:pStyle w:val="BodyText"/>
        <w:jc w:val="both"/>
      </w:pPr>
      <w:r>
        <w:t>All comparisons use float64 to isolate algebra from low-precision deployment effects. The results do not validate FP16 kernels, long-duration FP32 accumulation, quantizer training, or model behavior. Those require the evaluations in Section 11.</w:t>
      </w:r>
    </w:p>
    <w:p w14:paraId="54287262" w14:textId="77777777" w:rsidR="00655664" w:rsidRDefault="00000000" w:rsidP="00BD3711">
      <w:pPr>
        <w:pStyle w:val="Heading1"/>
        <w:pageBreakBefore/>
        <w:jc w:val="both"/>
      </w:pPr>
      <w:bookmarkStart w:id="41" w:name="references"/>
      <w:bookmarkEnd w:id="40"/>
      <w:r>
        <w:lastRenderedPageBreak/>
        <w:t>References</w:t>
      </w:r>
    </w:p>
    <w:p w14:paraId="2EB8F2B1" w14:textId="77777777" w:rsidR="00655664" w:rsidRDefault="00000000" w:rsidP="00BD3711">
      <w:pPr>
        <w:pStyle w:val="FirstParagraph"/>
        <w:spacing w:after="100" w:line="240" w:lineRule="auto"/>
        <w:ind w:left="389" w:hanging="389"/>
        <w:jc w:val="both"/>
      </w:pPr>
      <w:r>
        <w:rPr>
          <w:sz w:val="20"/>
        </w:rPr>
        <w:t xml:space="preserve">[1] Ghosh, Dibya, Ghosh, Dyuti, and Ghosh, Debi Prasad (2025). </w:t>
      </w:r>
      <w:r>
        <w:rPr>
          <w:i/>
          <w:iCs/>
          <w:sz w:val="20"/>
        </w:rPr>
        <w:t>Attentionlet Is All You Need</w:t>
      </w:r>
      <w:r>
        <w:rPr>
          <w:sz w:val="20"/>
        </w:rPr>
        <w:t xml:space="preserve">. ResearchGate preprint, manuscript dated 7 August 2025. </w:t>
      </w:r>
      <w:hyperlink r:id="rId11">
        <w:r w:rsidR="00655664">
          <w:rPr>
            <w:rStyle w:val="Hyperlink"/>
          </w:rPr>
          <w:t>doi:10.13140/RG.2.2.35155.90404</w:t>
        </w:r>
      </w:hyperlink>
      <w:r>
        <w:rPr>
          <w:sz w:val="20"/>
        </w:rPr>
        <w:t>.</w:t>
      </w:r>
    </w:p>
    <w:p w14:paraId="08434905" w14:textId="77777777" w:rsidR="00655664" w:rsidRDefault="00000000" w:rsidP="00BD3711">
      <w:pPr>
        <w:pStyle w:val="BodyText"/>
        <w:spacing w:after="100" w:line="240" w:lineRule="auto"/>
        <w:ind w:left="389" w:hanging="389"/>
        <w:jc w:val="both"/>
      </w:pPr>
      <w:r>
        <w:rPr>
          <w:sz w:val="20"/>
        </w:rPr>
        <w:t xml:space="preserve">[2] Vaswani, A., et al. (2017). Attention Is All You Need. </w:t>
      </w:r>
      <w:r>
        <w:rPr>
          <w:i/>
          <w:iCs/>
          <w:sz w:val="20"/>
        </w:rPr>
        <w:t>Advances in Neural Information Processing Systems 30</w:t>
      </w:r>
      <w:r>
        <w:rPr>
          <w:sz w:val="20"/>
        </w:rPr>
        <w:t xml:space="preserve">. </w:t>
      </w:r>
      <w:hyperlink r:id="rId12">
        <w:r w:rsidR="00655664">
          <w:rPr>
            <w:rStyle w:val="Hyperlink"/>
          </w:rPr>
          <w:t>arXiv:1706.03762</w:t>
        </w:r>
      </w:hyperlink>
      <w:r>
        <w:rPr>
          <w:sz w:val="20"/>
        </w:rPr>
        <w:t>.</w:t>
      </w:r>
    </w:p>
    <w:p w14:paraId="1854FAB1" w14:textId="77777777" w:rsidR="00655664" w:rsidRDefault="00000000" w:rsidP="00BD3711">
      <w:pPr>
        <w:pStyle w:val="BodyText"/>
        <w:spacing w:after="100" w:line="240" w:lineRule="auto"/>
        <w:ind w:left="389" w:hanging="389"/>
        <w:jc w:val="both"/>
      </w:pPr>
      <w:r>
        <w:rPr>
          <w:sz w:val="20"/>
        </w:rPr>
        <w:t xml:space="preserve">[3] Lingle, L. D. (2024). Transformer-VQ: Linear-Time Transformers via Vector Quantization. </w:t>
      </w:r>
      <w:r>
        <w:rPr>
          <w:i/>
          <w:iCs/>
          <w:sz w:val="20"/>
        </w:rPr>
        <w:t>International Conference on Learning Representations</w:t>
      </w:r>
      <w:r>
        <w:rPr>
          <w:sz w:val="20"/>
        </w:rPr>
        <w:t xml:space="preserve">. </w:t>
      </w:r>
      <w:hyperlink r:id="rId13">
        <w:r w:rsidR="00655664">
          <w:rPr>
            <w:rStyle w:val="Hyperlink"/>
          </w:rPr>
          <w:t>arXiv:2309.16354</w:t>
        </w:r>
      </w:hyperlink>
      <w:r>
        <w:rPr>
          <w:sz w:val="20"/>
        </w:rPr>
        <w:t>.</w:t>
      </w:r>
    </w:p>
    <w:p w14:paraId="0F2222C8" w14:textId="77777777" w:rsidR="00655664" w:rsidRDefault="00000000" w:rsidP="00BD3711">
      <w:pPr>
        <w:pStyle w:val="BodyText"/>
        <w:spacing w:after="100" w:line="240" w:lineRule="auto"/>
        <w:ind w:left="389" w:hanging="389"/>
        <w:jc w:val="both"/>
      </w:pPr>
      <w:r>
        <w:rPr>
          <w:sz w:val="20"/>
        </w:rPr>
        <w:t xml:space="preserve">[4] Bolya, D., Fu, C.-Y., Dai, X., Zhang, P., Feichtenhofer, C., and Hoffman, J. (2023). Token Merging: Your ViT But Faster. </w:t>
      </w:r>
      <w:r>
        <w:rPr>
          <w:i/>
          <w:iCs/>
          <w:sz w:val="20"/>
        </w:rPr>
        <w:t>International Conference on Learning Representations</w:t>
      </w:r>
      <w:r>
        <w:rPr>
          <w:sz w:val="20"/>
        </w:rPr>
        <w:t xml:space="preserve">. </w:t>
      </w:r>
      <w:hyperlink r:id="rId14">
        <w:r w:rsidR="00655664">
          <w:rPr>
            <w:rStyle w:val="Hyperlink"/>
          </w:rPr>
          <w:t>arXiv:2210.09461</w:t>
        </w:r>
      </w:hyperlink>
      <w:r>
        <w:rPr>
          <w:sz w:val="20"/>
        </w:rPr>
        <w:t>.</w:t>
      </w:r>
    </w:p>
    <w:p w14:paraId="2B9D1B43" w14:textId="77777777" w:rsidR="00655664" w:rsidRDefault="00000000" w:rsidP="00BD3711">
      <w:pPr>
        <w:pStyle w:val="BodyText"/>
        <w:spacing w:after="100" w:line="240" w:lineRule="auto"/>
        <w:ind w:left="389" w:hanging="389"/>
        <w:jc w:val="both"/>
      </w:pPr>
      <w:r>
        <w:rPr>
          <w:sz w:val="20"/>
        </w:rPr>
        <w:t xml:space="preserve">[5] Bhojanapalli, S., Yun, C., Rawat, A. S., Reddi, S. J., and Kumar, S. (2020). Low-Rank Bottleneck in Multi-head Attention Models. </w:t>
      </w:r>
      <w:r>
        <w:rPr>
          <w:i/>
          <w:iCs/>
          <w:sz w:val="20"/>
        </w:rPr>
        <w:t>Proceedings of Machine Learning Research</w:t>
      </w:r>
      <w:r>
        <w:rPr>
          <w:sz w:val="20"/>
        </w:rPr>
        <w:t xml:space="preserve">, 119, 864–873. </w:t>
      </w:r>
      <w:hyperlink r:id="rId15">
        <w:r w:rsidR="00655664">
          <w:rPr>
            <w:rStyle w:val="Hyperlink"/>
          </w:rPr>
          <w:t>Proceedings</w:t>
        </w:r>
      </w:hyperlink>
      <w:r>
        <w:rPr>
          <w:sz w:val="20"/>
        </w:rPr>
        <w:t>.</w:t>
      </w:r>
    </w:p>
    <w:p w14:paraId="452BB38E" w14:textId="77777777" w:rsidR="00655664" w:rsidRDefault="00000000" w:rsidP="00BD3711">
      <w:pPr>
        <w:pStyle w:val="BodyText"/>
        <w:spacing w:after="100" w:line="240" w:lineRule="auto"/>
        <w:ind w:left="389" w:hanging="389"/>
        <w:jc w:val="both"/>
      </w:pPr>
      <w:r>
        <w:rPr>
          <w:sz w:val="20"/>
        </w:rPr>
        <w:t xml:space="preserve">[6] Freksen, C. B. (2021). An Introduction to Johnson–Lindenstrauss Transforms. </w:t>
      </w:r>
      <w:hyperlink r:id="rId16">
        <w:r w:rsidR="00655664">
          <w:rPr>
            <w:rStyle w:val="Hyperlink"/>
          </w:rPr>
          <w:t>arXiv:2103.00564</w:t>
        </w:r>
      </w:hyperlink>
      <w:r>
        <w:rPr>
          <w:sz w:val="20"/>
        </w:rPr>
        <w:t>.</w:t>
      </w:r>
    </w:p>
    <w:p w14:paraId="38941CBD" w14:textId="77777777" w:rsidR="00655664" w:rsidRDefault="00000000" w:rsidP="00BD3711">
      <w:pPr>
        <w:pStyle w:val="BodyText"/>
        <w:spacing w:after="100" w:line="240" w:lineRule="auto"/>
        <w:ind w:left="389" w:hanging="389"/>
        <w:jc w:val="both"/>
      </w:pPr>
      <w:r>
        <w:rPr>
          <w:sz w:val="20"/>
        </w:rPr>
        <w:t xml:space="preserve">[7] Dao, T., Fu, D. Y., Ermon, S., Rudra, A., and Ré, C. (2022). FlashAttention: Fast and Memory-Efficient Exact Attention with IO-Awareness. </w:t>
      </w:r>
      <w:r>
        <w:rPr>
          <w:i/>
          <w:iCs/>
          <w:sz w:val="20"/>
        </w:rPr>
        <w:t>Advances in Neural Information Processing Systems 35</w:t>
      </w:r>
      <w:r>
        <w:rPr>
          <w:sz w:val="20"/>
        </w:rPr>
        <w:t xml:space="preserve">. </w:t>
      </w:r>
      <w:hyperlink r:id="rId17">
        <w:r w:rsidR="00655664">
          <w:rPr>
            <w:rStyle w:val="Hyperlink"/>
          </w:rPr>
          <w:t>arXiv:2205.14135</w:t>
        </w:r>
      </w:hyperlink>
      <w:r>
        <w:rPr>
          <w:sz w:val="20"/>
        </w:rPr>
        <w:t>.</w:t>
      </w:r>
    </w:p>
    <w:p w14:paraId="251F4372" w14:textId="77777777" w:rsidR="00655664" w:rsidRDefault="00000000" w:rsidP="00BD3711">
      <w:pPr>
        <w:pStyle w:val="BodyText"/>
        <w:spacing w:after="100" w:line="240" w:lineRule="auto"/>
        <w:ind w:left="389" w:hanging="389"/>
        <w:jc w:val="both"/>
      </w:pPr>
      <w:r>
        <w:rPr>
          <w:sz w:val="20"/>
        </w:rPr>
        <w:t xml:space="preserve">[8] Haviv, A., Ram, O., Press, O., Izsak, P., and Levy, O. (2022). Transformer Language Models without Positional Encodings Still Learn Positional Information. </w:t>
      </w:r>
      <w:r>
        <w:rPr>
          <w:i/>
          <w:iCs/>
          <w:sz w:val="20"/>
        </w:rPr>
        <w:t>Findings of EMNLP</w:t>
      </w:r>
      <w:r>
        <w:rPr>
          <w:sz w:val="20"/>
        </w:rPr>
        <w:t xml:space="preserve">, 1382–1390. </w:t>
      </w:r>
      <w:hyperlink r:id="rId18">
        <w:r w:rsidR="00655664">
          <w:rPr>
            <w:rStyle w:val="Hyperlink"/>
          </w:rPr>
          <w:t>ACL Anthology</w:t>
        </w:r>
      </w:hyperlink>
      <w:r>
        <w:rPr>
          <w:sz w:val="20"/>
        </w:rPr>
        <w:t>.</w:t>
      </w:r>
    </w:p>
    <w:p w14:paraId="3B6B3C83" w14:textId="77777777" w:rsidR="00655664" w:rsidRDefault="00000000" w:rsidP="00BD3711">
      <w:pPr>
        <w:pStyle w:val="BodyText"/>
        <w:spacing w:after="100" w:line="240" w:lineRule="auto"/>
        <w:ind w:left="389" w:hanging="389"/>
        <w:jc w:val="both"/>
      </w:pPr>
      <w:r>
        <w:rPr>
          <w:sz w:val="20"/>
        </w:rPr>
        <w:t xml:space="preserve">[9] Press, O., Smith, N. A., and Lewis, M. (2022). Train Short, Test Long: Attention with Linear Biases Enables Input Length Extrapolation. </w:t>
      </w:r>
      <w:r>
        <w:rPr>
          <w:i/>
          <w:iCs/>
          <w:sz w:val="20"/>
        </w:rPr>
        <w:t>International Conference on Learning Representations</w:t>
      </w:r>
      <w:r>
        <w:rPr>
          <w:sz w:val="20"/>
        </w:rPr>
        <w:t xml:space="preserve">. </w:t>
      </w:r>
      <w:hyperlink r:id="rId19">
        <w:r w:rsidR="00655664">
          <w:rPr>
            <w:rStyle w:val="Hyperlink"/>
          </w:rPr>
          <w:t>arXiv:2108.12409</w:t>
        </w:r>
      </w:hyperlink>
      <w:r>
        <w:rPr>
          <w:sz w:val="20"/>
        </w:rPr>
        <w:t>.</w:t>
      </w:r>
    </w:p>
    <w:p w14:paraId="1BFD4E1A" w14:textId="77777777" w:rsidR="00655664" w:rsidRDefault="00000000" w:rsidP="00BD3711">
      <w:pPr>
        <w:pStyle w:val="BodyText"/>
        <w:spacing w:after="100" w:line="240" w:lineRule="auto"/>
        <w:ind w:left="389" w:hanging="389"/>
        <w:jc w:val="both"/>
      </w:pPr>
      <w:r>
        <w:rPr>
          <w:sz w:val="20"/>
        </w:rPr>
        <w:t xml:space="preserve">[10] Su, J., Ahmed, M., Lu, Y., Pan, S., Bo, W., and Liu, Y. (2024). RoFormer: Enhanced Transformer with Rotary Position Embedding. </w:t>
      </w:r>
      <w:r>
        <w:rPr>
          <w:i/>
          <w:iCs/>
          <w:sz w:val="20"/>
        </w:rPr>
        <w:t>Neurocomputing</w:t>
      </w:r>
      <w:r>
        <w:rPr>
          <w:sz w:val="20"/>
        </w:rPr>
        <w:t xml:space="preserve">, 568, 127063. </w:t>
      </w:r>
      <w:hyperlink r:id="rId20">
        <w:r w:rsidR="00655664">
          <w:rPr>
            <w:rStyle w:val="Hyperlink"/>
          </w:rPr>
          <w:t>arXiv:2104.09864</w:t>
        </w:r>
      </w:hyperlink>
      <w:r>
        <w:rPr>
          <w:sz w:val="20"/>
        </w:rPr>
        <w:t>.</w:t>
      </w:r>
    </w:p>
    <w:p w14:paraId="5FA9ED1F" w14:textId="77777777" w:rsidR="00655664" w:rsidRDefault="00000000" w:rsidP="00BD3711">
      <w:pPr>
        <w:pStyle w:val="BodyText"/>
        <w:spacing w:after="100" w:line="240" w:lineRule="auto"/>
        <w:ind w:left="389" w:hanging="389"/>
        <w:jc w:val="both"/>
      </w:pPr>
      <w:r>
        <w:rPr>
          <w:sz w:val="20"/>
        </w:rPr>
        <w:t xml:space="preserve">[11] Katharopoulos, A., Vyas, A., Pappas, N., and Fleuret, F. (2020). Transformers are RNNs: Fast Autoregressive Transformers with Linear Attention. </w:t>
      </w:r>
      <w:r>
        <w:rPr>
          <w:i/>
          <w:iCs/>
          <w:sz w:val="20"/>
        </w:rPr>
        <w:t>Proceedings of Machine Learning Research</w:t>
      </w:r>
      <w:r>
        <w:rPr>
          <w:sz w:val="20"/>
        </w:rPr>
        <w:t xml:space="preserve">, 119, 5156–5165. </w:t>
      </w:r>
      <w:hyperlink r:id="rId21">
        <w:r w:rsidR="00655664">
          <w:rPr>
            <w:rStyle w:val="Hyperlink"/>
          </w:rPr>
          <w:t>Proceedings</w:t>
        </w:r>
      </w:hyperlink>
      <w:r>
        <w:rPr>
          <w:sz w:val="20"/>
        </w:rPr>
        <w:t>.</w:t>
      </w:r>
    </w:p>
    <w:p w14:paraId="14FAA883" w14:textId="77777777" w:rsidR="00655664" w:rsidRDefault="00000000" w:rsidP="00BD3711">
      <w:pPr>
        <w:pStyle w:val="BodyText"/>
        <w:spacing w:after="100" w:line="240" w:lineRule="auto"/>
        <w:ind w:left="389" w:hanging="389"/>
        <w:jc w:val="both"/>
      </w:pPr>
      <w:r>
        <w:rPr>
          <w:sz w:val="20"/>
        </w:rPr>
        <w:t xml:space="preserve">[12] van den Oord, A., Vinyals, O., and Kavukcuoglu, K. (2017). Neural Discrete Representation Learning. </w:t>
      </w:r>
      <w:r>
        <w:rPr>
          <w:i/>
          <w:iCs/>
          <w:sz w:val="20"/>
        </w:rPr>
        <w:t>Advances in Neural Information Processing Systems 30</w:t>
      </w:r>
      <w:r>
        <w:rPr>
          <w:sz w:val="20"/>
        </w:rPr>
        <w:t xml:space="preserve">. </w:t>
      </w:r>
      <w:hyperlink r:id="rId22">
        <w:r w:rsidR="00655664">
          <w:rPr>
            <w:rStyle w:val="Hyperlink"/>
          </w:rPr>
          <w:t>arXiv:1711.00937</w:t>
        </w:r>
      </w:hyperlink>
      <w:r>
        <w:rPr>
          <w:sz w:val="20"/>
        </w:rPr>
        <w:t>.</w:t>
      </w:r>
    </w:p>
    <w:p w14:paraId="6F1F72CB" w14:textId="77777777" w:rsidR="00655664" w:rsidRDefault="00000000" w:rsidP="00BD3711">
      <w:pPr>
        <w:pStyle w:val="BodyText"/>
        <w:spacing w:after="100" w:line="240" w:lineRule="auto"/>
        <w:ind w:left="389" w:hanging="389"/>
        <w:jc w:val="both"/>
      </w:pPr>
      <w:r>
        <w:rPr>
          <w:sz w:val="20"/>
        </w:rPr>
        <w:t xml:space="preserve">[13] Ainslie, J., Lee-Thorp, J., de Jong, M., Zemlyanskiy, Y., Lebrón, F., and Sanghai, S. (2023). GQA: Training Generalized Multi-Query Transformer Models from Multi-Head Checkpoints. </w:t>
      </w:r>
      <w:r>
        <w:rPr>
          <w:i/>
          <w:iCs/>
          <w:sz w:val="20"/>
        </w:rPr>
        <w:t>EMNLP</w:t>
      </w:r>
      <w:r>
        <w:rPr>
          <w:sz w:val="20"/>
        </w:rPr>
        <w:t xml:space="preserve">, 4895–4901. </w:t>
      </w:r>
      <w:hyperlink r:id="rId23">
        <w:r w:rsidR="00655664">
          <w:rPr>
            <w:rStyle w:val="Hyperlink"/>
          </w:rPr>
          <w:t>ACL Anthology</w:t>
        </w:r>
      </w:hyperlink>
      <w:r>
        <w:rPr>
          <w:sz w:val="20"/>
        </w:rPr>
        <w:t>.</w:t>
      </w:r>
    </w:p>
    <w:p w14:paraId="2483C158" w14:textId="77777777" w:rsidR="00655664" w:rsidRDefault="00000000" w:rsidP="00BD3711">
      <w:pPr>
        <w:pStyle w:val="BodyText"/>
        <w:spacing w:after="100" w:line="240" w:lineRule="auto"/>
        <w:ind w:left="389" w:hanging="389"/>
        <w:jc w:val="both"/>
      </w:pPr>
      <w:r>
        <w:rPr>
          <w:sz w:val="20"/>
        </w:rPr>
        <w:t xml:space="preserve">[14] Zhang, Y., Du, Y., Luo, G., Zhong, Y., Zhang, Z., Liu, S., and Ji, R. (2024). CaM: Cache Merging for Memory-efficient LLMs Inference. </w:t>
      </w:r>
      <w:r>
        <w:rPr>
          <w:i/>
          <w:iCs/>
          <w:sz w:val="20"/>
        </w:rPr>
        <w:t>Proceedings of Machine Learning Research</w:t>
      </w:r>
      <w:r>
        <w:rPr>
          <w:sz w:val="20"/>
        </w:rPr>
        <w:t xml:space="preserve">, 235, 58840–58850. </w:t>
      </w:r>
      <w:hyperlink r:id="rId24">
        <w:r w:rsidR="00655664">
          <w:rPr>
            <w:rStyle w:val="Hyperlink"/>
          </w:rPr>
          <w:t>Proceedings</w:t>
        </w:r>
      </w:hyperlink>
      <w:r>
        <w:rPr>
          <w:sz w:val="20"/>
        </w:rPr>
        <w:t>.</w:t>
      </w:r>
    </w:p>
    <w:p w14:paraId="6D9D2083" w14:textId="77777777" w:rsidR="00655664" w:rsidRDefault="00000000" w:rsidP="00BD3711">
      <w:pPr>
        <w:pStyle w:val="BodyText"/>
        <w:spacing w:after="100" w:line="240" w:lineRule="auto"/>
        <w:ind w:left="389" w:hanging="389"/>
        <w:jc w:val="both"/>
      </w:pPr>
      <w:r>
        <w:rPr>
          <w:sz w:val="20"/>
        </w:rPr>
        <w:t xml:space="preserve">[15] Liu, Z., et al. (2024). KIVI: A Tuning-Free Asymmetric 2bit Quantization for KV Cache. </w:t>
      </w:r>
      <w:r>
        <w:rPr>
          <w:i/>
          <w:iCs/>
          <w:sz w:val="20"/>
        </w:rPr>
        <w:t>International Conference on Machine Learning</w:t>
      </w:r>
      <w:r>
        <w:rPr>
          <w:sz w:val="20"/>
        </w:rPr>
        <w:t xml:space="preserve">. </w:t>
      </w:r>
      <w:hyperlink r:id="rId25">
        <w:r w:rsidR="00655664">
          <w:rPr>
            <w:rStyle w:val="Hyperlink"/>
          </w:rPr>
          <w:t>arXiv:2402.02750</w:t>
        </w:r>
      </w:hyperlink>
      <w:r>
        <w:rPr>
          <w:sz w:val="20"/>
        </w:rPr>
        <w:t>.</w:t>
      </w:r>
    </w:p>
    <w:p w14:paraId="3FF52FBC" w14:textId="77777777" w:rsidR="00655664" w:rsidRDefault="00000000" w:rsidP="00BD3711">
      <w:pPr>
        <w:pStyle w:val="BodyText"/>
        <w:spacing w:after="100" w:line="240" w:lineRule="auto"/>
        <w:ind w:left="389" w:hanging="389"/>
        <w:jc w:val="both"/>
      </w:pPr>
      <w:r>
        <w:rPr>
          <w:sz w:val="20"/>
        </w:rPr>
        <w:t xml:space="preserve">[16] Li, J., et al. (2025). CommVQ: Commutative Vector Quantization for KV Cache Compression. </w:t>
      </w:r>
      <w:r>
        <w:rPr>
          <w:i/>
          <w:iCs/>
          <w:sz w:val="20"/>
        </w:rPr>
        <w:t>International Conference on Machine Learning</w:t>
      </w:r>
      <w:r>
        <w:rPr>
          <w:sz w:val="20"/>
        </w:rPr>
        <w:t xml:space="preserve">. </w:t>
      </w:r>
      <w:hyperlink r:id="rId26">
        <w:r w:rsidR="00655664">
          <w:rPr>
            <w:rStyle w:val="Hyperlink"/>
          </w:rPr>
          <w:t>arXiv:2506.18879</w:t>
        </w:r>
      </w:hyperlink>
      <w:r>
        <w:rPr>
          <w:sz w:val="20"/>
        </w:rPr>
        <w:t>.</w:t>
      </w:r>
    </w:p>
    <w:p w14:paraId="3C3519BC" w14:textId="77777777" w:rsidR="00655664" w:rsidRDefault="00000000" w:rsidP="00BD3711">
      <w:pPr>
        <w:pStyle w:val="BodyText"/>
        <w:spacing w:after="100" w:line="240" w:lineRule="auto"/>
        <w:ind w:left="389" w:hanging="389"/>
        <w:jc w:val="both"/>
      </w:pPr>
      <w:r>
        <w:rPr>
          <w:sz w:val="20"/>
        </w:rPr>
        <w:t xml:space="preserve">[17] Zandieh, A., Daliri, M., Hadian, M., and Mirrokni, V. (2025). TurboQuant: Online Vector Quantization with Near-optimal Distortion Rate. </w:t>
      </w:r>
      <w:hyperlink r:id="rId27">
        <w:r w:rsidR="00655664">
          <w:rPr>
            <w:rStyle w:val="Hyperlink"/>
          </w:rPr>
          <w:t>arXiv:2504.19874</w:t>
        </w:r>
      </w:hyperlink>
      <w:r>
        <w:rPr>
          <w:sz w:val="20"/>
        </w:rPr>
        <w:t>.</w:t>
      </w:r>
    </w:p>
    <w:p w14:paraId="5C29245A" w14:textId="77777777" w:rsidR="00655664" w:rsidRDefault="00000000" w:rsidP="00BD3711">
      <w:pPr>
        <w:pStyle w:val="BodyText"/>
        <w:spacing w:after="100" w:line="240" w:lineRule="auto"/>
        <w:ind w:left="389" w:hanging="389"/>
        <w:jc w:val="both"/>
      </w:pPr>
      <w:r>
        <w:rPr>
          <w:sz w:val="20"/>
        </w:rPr>
        <w:t xml:space="preserve">[18] Fernández-Menduiña, S., Ziashahabi, A., Pavez, E., Ortega, A., and Avestimehr, S. (2026). Spend Bits Where Queries Look: KV Cache Vector Quantization with Attention-Preserving Transforms. Preprint. </w:t>
      </w:r>
      <w:hyperlink r:id="rId28">
        <w:r w:rsidR="00655664">
          <w:rPr>
            <w:rStyle w:val="Hyperlink"/>
          </w:rPr>
          <w:t>arXiv:2608.04074</w:t>
        </w:r>
      </w:hyperlink>
      <w:r>
        <w:rPr>
          <w:sz w:val="20"/>
        </w:rPr>
        <w:t>.</w:t>
      </w:r>
    </w:p>
    <w:p w14:paraId="31646F7B" w14:textId="77777777" w:rsidR="00655664" w:rsidRDefault="00000000" w:rsidP="00BD3711">
      <w:pPr>
        <w:pStyle w:val="BodyText"/>
        <w:spacing w:after="100" w:line="240" w:lineRule="auto"/>
        <w:ind w:left="389" w:hanging="389"/>
        <w:jc w:val="both"/>
      </w:pPr>
      <w:r>
        <w:rPr>
          <w:sz w:val="20"/>
        </w:rPr>
        <w:lastRenderedPageBreak/>
        <w:t xml:space="preserve">[19] Xiao, G., Tian, Y., Chen, B., Han, S., and Lewis, M. (2024). Efficient Streaming Language Models with Attention Sinks. </w:t>
      </w:r>
      <w:r>
        <w:rPr>
          <w:i/>
          <w:iCs/>
          <w:sz w:val="20"/>
        </w:rPr>
        <w:t>International Conference on Learning Representations</w:t>
      </w:r>
      <w:r>
        <w:rPr>
          <w:sz w:val="20"/>
        </w:rPr>
        <w:t xml:space="preserve">. </w:t>
      </w:r>
      <w:hyperlink r:id="rId29">
        <w:r w:rsidR="00655664">
          <w:rPr>
            <w:rStyle w:val="Hyperlink"/>
          </w:rPr>
          <w:t>arXiv:2309.17453</w:t>
        </w:r>
      </w:hyperlink>
      <w:r>
        <w:rPr>
          <w:sz w:val="20"/>
        </w:rPr>
        <w:t>.</w:t>
      </w:r>
    </w:p>
    <w:p w14:paraId="751592E7" w14:textId="77777777" w:rsidR="00655664" w:rsidRDefault="00000000" w:rsidP="00BD3711">
      <w:pPr>
        <w:pStyle w:val="BodyText"/>
        <w:spacing w:after="100" w:line="240" w:lineRule="auto"/>
        <w:ind w:left="389" w:hanging="389"/>
        <w:jc w:val="both"/>
      </w:pPr>
      <w:r>
        <w:rPr>
          <w:sz w:val="20"/>
        </w:rPr>
        <w:t xml:space="preserve">[20] Ghosh, D. P. (2026). </w:t>
      </w:r>
      <w:r>
        <w:rPr>
          <w:i/>
          <w:iCs/>
          <w:sz w:val="20"/>
        </w:rPr>
        <w:t>The Purpose of Long-term Memory is Context-Free Short-term Memory</w:t>
      </w:r>
      <w:r>
        <w:rPr>
          <w:sz w:val="20"/>
        </w:rPr>
        <w:t>. Conceptual manuscript.</w:t>
      </w:r>
    </w:p>
    <w:p w14:paraId="57B1A439" w14:textId="77777777" w:rsidR="00655664" w:rsidRDefault="00000000" w:rsidP="00BD3711">
      <w:pPr>
        <w:pStyle w:val="BodyText"/>
        <w:spacing w:after="100" w:line="240" w:lineRule="auto"/>
        <w:ind w:left="389" w:hanging="389"/>
        <w:jc w:val="both"/>
      </w:pPr>
      <w:r>
        <w:rPr>
          <w:sz w:val="20"/>
        </w:rPr>
        <w:t xml:space="preserve">[21] Scoville, W. B., and Milner, B. (1957). Loss of recent memory after bilateral hippocampal lesions. </w:t>
      </w:r>
      <w:r>
        <w:rPr>
          <w:i/>
          <w:iCs/>
          <w:sz w:val="20"/>
        </w:rPr>
        <w:t>Journal of Neurology, Neurosurgery, and Psychiatry</w:t>
      </w:r>
      <w:r>
        <w:rPr>
          <w:sz w:val="20"/>
        </w:rPr>
        <w:t xml:space="preserve">, 20, 11–21. </w:t>
      </w:r>
      <w:hyperlink r:id="rId30">
        <w:r w:rsidR="00655664">
          <w:rPr>
            <w:rStyle w:val="Hyperlink"/>
          </w:rPr>
          <w:t>PubMed</w:t>
        </w:r>
      </w:hyperlink>
      <w:r>
        <w:rPr>
          <w:sz w:val="20"/>
        </w:rPr>
        <w:t>.</w:t>
      </w:r>
    </w:p>
    <w:p w14:paraId="54F605BC" w14:textId="77777777" w:rsidR="00655664" w:rsidRDefault="00000000" w:rsidP="00BD3711">
      <w:pPr>
        <w:pStyle w:val="BodyText"/>
        <w:spacing w:after="100" w:line="240" w:lineRule="auto"/>
        <w:ind w:left="389" w:hanging="389"/>
        <w:jc w:val="both"/>
      </w:pPr>
      <w:r>
        <w:rPr>
          <w:sz w:val="20"/>
        </w:rPr>
        <w:t xml:space="preserve">[22] Annese, J., et al. (2014). Postmortem examination of patient H.M.’s brain based on histological sectioning and digital 3D reconstruction. </w:t>
      </w:r>
      <w:r>
        <w:rPr>
          <w:i/>
          <w:iCs/>
          <w:sz w:val="20"/>
        </w:rPr>
        <w:t>Nature Communications</w:t>
      </w:r>
      <w:r>
        <w:rPr>
          <w:sz w:val="20"/>
        </w:rPr>
        <w:t xml:space="preserve">, 5, 3122. </w:t>
      </w:r>
      <w:hyperlink r:id="rId31">
        <w:r w:rsidR="00655664">
          <w:rPr>
            <w:rStyle w:val="Hyperlink"/>
          </w:rPr>
          <w:t>doi:10.1038/ncomms4122</w:t>
        </w:r>
      </w:hyperlink>
      <w:r>
        <w:rPr>
          <w:sz w:val="20"/>
        </w:rPr>
        <w:t>.</w:t>
      </w:r>
    </w:p>
    <w:p w14:paraId="7D46CDC4" w14:textId="77777777" w:rsidR="00655664" w:rsidRDefault="00000000" w:rsidP="00BD3711">
      <w:pPr>
        <w:pStyle w:val="BodyText"/>
        <w:spacing w:after="100" w:line="240" w:lineRule="auto"/>
        <w:ind w:left="389" w:hanging="389"/>
        <w:jc w:val="both"/>
      </w:pPr>
      <w:r>
        <w:rPr>
          <w:sz w:val="20"/>
        </w:rPr>
        <w:t xml:space="preserve">[23] O’Kane, G., Kensinger, E. A., and Corkin, S. (2004). Evidence for semantic learning in profound amnesia: An investigation with patient H.M. </w:t>
      </w:r>
      <w:r>
        <w:rPr>
          <w:i/>
          <w:iCs/>
          <w:sz w:val="20"/>
        </w:rPr>
        <w:t>Hippocampus</w:t>
      </w:r>
      <w:r>
        <w:rPr>
          <w:sz w:val="20"/>
        </w:rPr>
        <w:t xml:space="preserve">, 14, 417–425. </w:t>
      </w:r>
      <w:hyperlink r:id="rId32">
        <w:r w:rsidR="00655664">
          <w:rPr>
            <w:rStyle w:val="Hyperlink"/>
          </w:rPr>
          <w:t>PubMed</w:t>
        </w:r>
      </w:hyperlink>
      <w:r>
        <w:rPr>
          <w:sz w:val="20"/>
        </w:rPr>
        <w:t>.</w:t>
      </w:r>
    </w:p>
    <w:p w14:paraId="2050DB8E" w14:textId="77777777" w:rsidR="00655664" w:rsidRDefault="00000000" w:rsidP="00BD3711">
      <w:pPr>
        <w:pStyle w:val="BodyText"/>
        <w:spacing w:after="100" w:line="240" w:lineRule="auto"/>
        <w:ind w:left="389" w:hanging="389"/>
        <w:jc w:val="both"/>
      </w:pPr>
      <w:r>
        <w:rPr>
          <w:sz w:val="20"/>
        </w:rPr>
        <w:t xml:space="preserve">[24] Bowles, B., et al. (2007). Impaired familiarity with preserved recollection after anterior temporal-lobe resection that spares the hippocampus. </w:t>
      </w:r>
      <w:r>
        <w:rPr>
          <w:i/>
          <w:iCs/>
          <w:sz w:val="20"/>
        </w:rPr>
        <w:t>Proceedings of the National Academy of Sciences</w:t>
      </w:r>
      <w:r>
        <w:rPr>
          <w:sz w:val="20"/>
        </w:rPr>
        <w:t xml:space="preserve">, 104, 16382–16387. </w:t>
      </w:r>
      <w:hyperlink r:id="rId33">
        <w:r w:rsidR="00655664">
          <w:rPr>
            <w:rStyle w:val="Hyperlink"/>
          </w:rPr>
          <w:t>PubMed</w:t>
        </w:r>
      </w:hyperlink>
      <w:r>
        <w:rPr>
          <w:sz w:val="20"/>
        </w:rPr>
        <w:t>.</w:t>
      </w:r>
    </w:p>
    <w:p w14:paraId="59039A18" w14:textId="77777777" w:rsidR="00655664" w:rsidRDefault="00000000" w:rsidP="00BD3711">
      <w:pPr>
        <w:pStyle w:val="BodyText"/>
        <w:spacing w:after="100" w:line="240" w:lineRule="auto"/>
        <w:ind w:left="389" w:hanging="389"/>
        <w:jc w:val="both"/>
      </w:pPr>
      <w:r>
        <w:rPr>
          <w:sz w:val="20"/>
        </w:rPr>
        <w:t xml:space="preserve">[25] Vann, S. D., et al. (2009). Impaired recollection but spared familiarity in patients with extended hippocampal system damage revealed by 3 convergent methods. </w:t>
      </w:r>
      <w:r>
        <w:rPr>
          <w:i/>
          <w:iCs/>
          <w:sz w:val="20"/>
        </w:rPr>
        <w:t>Proceedings of the National Academy of Sciences</w:t>
      </w:r>
      <w:r>
        <w:rPr>
          <w:sz w:val="20"/>
        </w:rPr>
        <w:t xml:space="preserve">, 106, 5442–5447. </w:t>
      </w:r>
      <w:hyperlink r:id="rId34">
        <w:r w:rsidR="00655664">
          <w:rPr>
            <w:rStyle w:val="Hyperlink"/>
          </w:rPr>
          <w:t>PubMed</w:t>
        </w:r>
      </w:hyperlink>
      <w:r>
        <w:rPr>
          <w:sz w:val="20"/>
        </w:rPr>
        <w:t>.</w:t>
      </w:r>
    </w:p>
    <w:p w14:paraId="7A3B7DCE" w14:textId="77777777" w:rsidR="00655664" w:rsidRDefault="00000000" w:rsidP="00BD3711">
      <w:pPr>
        <w:pStyle w:val="BodyText"/>
        <w:spacing w:after="100" w:line="240" w:lineRule="auto"/>
        <w:ind w:left="389" w:hanging="389"/>
        <w:jc w:val="both"/>
      </w:pPr>
      <w:r>
        <w:rPr>
          <w:sz w:val="20"/>
        </w:rPr>
        <w:t xml:space="preserve">[26] Kirwan, C. B., Wixted, J. T., and Squire, L. R. (2010). A demonstration that the hippocampus supports both recollection and familiarity. </w:t>
      </w:r>
      <w:r>
        <w:rPr>
          <w:i/>
          <w:iCs/>
          <w:sz w:val="20"/>
        </w:rPr>
        <w:t>Proceedings of the National Academy of Sciences</w:t>
      </w:r>
      <w:r>
        <w:rPr>
          <w:sz w:val="20"/>
        </w:rPr>
        <w:t xml:space="preserve">, 107, 344–348. </w:t>
      </w:r>
      <w:hyperlink r:id="rId35">
        <w:r w:rsidR="00655664">
          <w:rPr>
            <w:rStyle w:val="Hyperlink"/>
          </w:rPr>
          <w:t>Full text</w:t>
        </w:r>
      </w:hyperlink>
      <w:r>
        <w:rPr>
          <w:sz w:val="20"/>
        </w:rPr>
        <w:t>.</w:t>
      </w:r>
    </w:p>
    <w:p w14:paraId="5756480A" w14:textId="77777777" w:rsidR="00655664" w:rsidRDefault="00000000" w:rsidP="00BD3711">
      <w:pPr>
        <w:pStyle w:val="BodyText"/>
        <w:spacing w:after="100" w:line="240" w:lineRule="auto"/>
        <w:ind w:left="389" w:hanging="389"/>
        <w:jc w:val="both"/>
      </w:pPr>
      <w:r>
        <w:rPr>
          <w:sz w:val="20"/>
        </w:rPr>
        <w:t xml:space="preserve">[27] Xin, W., et al. (2024). Oligodendrocytes and myelin limit neuronal plasticity in visual cortex. </w:t>
      </w:r>
      <w:r>
        <w:rPr>
          <w:i/>
          <w:iCs/>
          <w:sz w:val="20"/>
        </w:rPr>
        <w:t>Nature</w:t>
      </w:r>
      <w:r>
        <w:rPr>
          <w:sz w:val="20"/>
        </w:rPr>
        <w:t xml:space="preserve">, 633, 856–863. </w:t>
      </w:r>
      <w:hyperlink r:id="rId36">
        <w:r w:rsidR="00655664">
          <w:rPr>
            <w:rStyle w:val="Hyperlink"/>
          </w:rPr>
          <w:t>doi:10.1038/s41586-024-07853-8</w:t>
        </w:r>
      </w:hyperlink>
      <w:r>
        <w:rPr>
          <w:sz w:val="20"/>
        </w:rPr>
        <w:t>.</w:t>
      </w:r>
      <w:bookmarkEnd w:id="41"/>
    </w:p>
    <w:sectPr w:rsidR="00655664">
      <w:headerReference w:type="default" r:id="rId37"/>
      <w:footerReference w:type="default" r:id="rId38"/>
      <w:pgSz w:w="12240" w:h="15840"/>
      <w:pgMar w:top="1152" w:right="1296" w:bottom="1152" w:left="1296" w:header="432"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5B9A8" w14:textId="77777777" w:rsidR="008638D5" w:rsidRDefault="008638D5">
      <w:pPr>
        <w:spacing w:after="0" w:line="240" w:lineRule="auto"/>
      </w:pPr>
      <w:r>
        <w:separator/>
      </w:r>
    </w:p>
  </w:endnote>
  <w:endnote w:type="continuationSeparator" w:id="0">
    <w:p w14:paraId="34181554" w14:textId="77777777" w:rsidR="008638D5" w:rsidRDefault="008638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6DC2D" w14:textId="77777777" w:rsidR="00655664" w:rsidRDefault="00000000">
    <w:pPr>
      <w:jc w:val="center"/>
    </w:pPr>
    <w:r>
      <w:fldChar w:fldCharType="begin"/>
    </w:r>
    <w:r>
      <w:instrText>PAGE</w:instrText>
    </w:r>
    <w:r>
      <w:fldChar w:fldCharType="separate"/>
    </w:r>
    <w:r w:rsidR="00BD371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F2B56" w14:textId="77777777" w:rsidR="008638D5" w:rsidRDefault="008638D5">
      <w:r>
        <w:separator/>
      </w:r>
    </w:p>
  </w:footnote>
  <w:footnote w:type="continuationSeparator" w:id="0">
    <w:p w14:paraId="0BA54267" w14:textId="77777777" w:rsidR="008638D5" w:rsidRDefault="008638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77BFD" w14:textId="77777777" w:rsidR="00655664" w:rsidRDefault="00000000">
    <w:pPr>
      <w:jc w:val="right"/>
    </w:pPr>
    <w:r>
      <w:rPr>
        <w:sz w:val="16"/>
      </w:rPr>
      <w:t>KV Counter Memory for Attentionlet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570C24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37F65D3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394892843">
    <w:abstractNumId w:val="0"/>
  </w:num>
  <w:num w:numId="2" w16cid:durableId="2827308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55664"/>
    <w:rsid w:val="004A0424"/>
    <w:rsid w:val="005602C1"/>
    <w:rsid w:val="005F7846"/>
    <w:rsid w:val="00655664"/>
    <w:rsid w:val="007648DC"/>
    <w:rsid w:val="007A4B8F"/>
    <w:rsid w:val="0086351A"/>
    <w:rsid w:val="008638D5"/>
    <w:rsid w:val="00A22BB0"/>
    <w:rsid w:val="00A80BEE"/>
    <w:rsid w:val="00AD34DF"/>
    <w:rsid w:val="00BD3711"/>
    <w:rsid w:val="00D201C4"/>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16102"/>
  <w15:docId w15:val="{4E67D52F-42A8-4F16-8BB4-271354EBF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62" w:lineRule="auto"/>
    </w:pPr>
    <w:rPr>
      <w:rFonts w:ascii="Cambria" w:hAnsi="Cambria"/>
      <w:color w:val="000000"/>
      <w:sz w:val="22"/>
    </w:rPr>
  </w:style>
  <w:style w:type="paragraph" w:styleId="Heading1">
    <w:name w:val="heading 1"/>
    <w:basedOn w:val="Normal"/>
    <w:next w:val="BodyText"/>
    <w:uiPriority w:val="9"/>
    <w:qFormat/>
    <w:pPr>
      <w:keepNext/>
      <w:keepLines/>
      <w:spacing w:before="240"/>
      <w:outlineLvl w:val="0"/>
    </w:pPr>
    <w:rPr>
      <w:b/>
      <w:bCs/>
      <w:sz w:val="28"/>
      <w:szCs w:val="32"/>
    </w:rPr>
  </w:style>
  <w:style w:type="paragraph" w:styleId="Heading2">
    <w:name w:val="heading 2"/>
    <w:basedOn w:val="Normal"/>
    <w:next w:val="BodyText"/>
    <w:uiPriority w:val="9"/>
    <w:unhideWhenUsed/>
    <w:qFormat/>
    <w:pPr>
      <w:keepNext/>
      <w:keepLines/>
      <w:spacing w:before="240"/>
      <w:outlineLvl w:val="1"/>
    </w:pPr>
    <w:rPr>
      <w:b/>
      <w:bCs/>
      <w:sz w:val="23"/>
      <w:szCs w:val="28"/>
    </w:rPr>
  </w:style>
  <w:style w:type="paragraph" w:styleId="Heading3">
    <w:name w:val="heading 3"/>
    <w:basedOn w:val="Normal"/>
    <w:next w:val="BodyText"/>
    <w:uiPriority w:val="9"/>
    <w:unhideWhenUsed/>
    <w:qFormat/>
    <w:pPr>
      <w:keepNext/>
      <w:keepLines/>
      <w:spacing w:before="240"/>
      <w:outlineLvl w:val="2"/>
    </w:pPr>
    <w:rPr>
      <w:b/>
      <w:bCs/>
    </w:rPr>
  </w:style>
  <w:style w:type="paragraph" w:styleId="Heading4">
    <w:name w:val="heading 4"/>
    <w:basedOn w:val="Normal"/>
    <w:next w:val="BodyText"/>
    <w:uiPriority w:val="9"/>
    <w:unhideWhenUsed/>
    <w:qFormat/>
    <w:pPr>
      <w:keepNext/>
      <w:keepLines/>
      <w:spacing w:before="200" w:after="0"/>
      <w:outlineLvl w:val="3"/>
    </w:pPr>
    <w:rPr>
      <w:bCs/>
      <w:i/>
      <w:sz w:val="24"/>
    </w:rPr>
  </w:style>
  <w:style w:type="paragraph" w:styleId="Heading5">
    <w:name w:val="heading 5"/>
    <w:basedOn w:val="Normal"/>
    <w:next w:val="BodyText"/>
    <w:uiPriority w:val="9"/>
    <w:unhideWhenUsed/>
    <w:qFormat/>
    <w:pPr>
      <w:keepNext/>
      <w:keepLines/>
      <w:spacing w:before="200" w:after="0"/>
      <w:outlineLvl w:val="4"/>
    </w:pPr>
    <w:rPr>
      <w:iCs/>
      <w:sz w:val="24"/>
    </w:rPr>
  </w:style>
  <w:style w:type="paragraph" w:styleId="Heading6">
    <w:name w:val="heading 6"/>
    <w:basedOn w:val="Normal"/>
    <w:next w:val="BodyText"/>
    <w:uiPriority w:val="9"/>
    <w:unhideWhenUsed/>
    <w:qFormat/>
    <w:pPr>
      <w:keepNext/>
      <w:keepLines/>
      <w:spacing w:before="200" w:after="0"/>
      <w:outlineLvl w:val="5"/>
    </w:pPr>
    <w:rPr>
      <w:sz w:val="24"/>
    </w:rPr>
  </w:style>
  <w:style w:type="paragraph" w:styleId="Heading7">
    <w:name w:val="heading 7"/>
    <w:basedOn w:val="Normal"/>
    <w:next w:val="BodyText"/>
    <w:uiPriority w:val="9"/>
    <w:unhideWhenUsed/>
    <w:qFormat/>
    <w:pPr>
      <w:keepNext/>
      <w:keepLines/>
      <w:spacing w:before="200" w:after="0"/>
      <w:outlineLvl w:val="6"/>
    </w:pPr>
    <w:rPr>
      <w:sz w:val="24"/>
    </w:rPr>
  </w:style>
  <w:style w:type="paragraph" w:styleId="Heading8">
    <w:name w:val="heading 8"/>
    <w:basedOn w:val="Normal"/>
    <w:next w:val="BodyText"/>
    <w:uiPriority w:val="9"/>
    <w:unhideWhenUsed/>
    <w:qFormat/>
    <w:pPr>
      <w:keepNext/>
      <w:keepLines/>
      <w:spacing w:before="200" w:after="0"/>
      <w:outlineLvl w:val="7"/>
    </w:pPr>
    <w:rPr>
      <w:sz w:val="24"/>
    </w:rPr>
  </w:style>
  <w:style w:type="paragraph" w:styleId="Heading9">
    <w:name w:val="heading 9"/>
    <w:basedOn w:val="Normal"/>
    <w:next w:val="BodyText"/>
    <w:uiPriority w:val="9"/>
    <w:unhideWhenUsed/>
    <w:qFormat/>
    <w:pPr>
      <w:keepNext/>
      <w:keepLines/>
      <w:spacing w:before="200" w:after="0"/>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pPr>
  </w:style>
  <w:style w:type="paragraph" w:styleId="Title">
    <w:name w:val="Title"/>
    <w:basedOn w:val="Normal"/>
    <w:next w:val="BodyText"/>
    <w:qFormat/>
    <w:pPr>
      <w:keepNext/>
      <w:keepLines/>
      <w:spacing w:after="100" w:line="247" w:lineRule="auto"/>
      <w:jc w:val="center"/>
    </w:pPr>
    <w:rPr>
      <w:bCs/>
      <w:sz w:val="46"/>
      <w:szCs w:val="36"/>
    </w:rPr>
  </w:style>
  <w:style w:type="paragraph" w:styleId="Subtitle">
    <w:name w:val="Subtitle"/>
    <w:basedOn w:val="Title"/>
    <w:next w:val="BodyText"/>
    <w:qFormat/>
    <w:pPr>
      <w:spacing w:after="200"/>
    </w:pPr>
    <w:rPr>
      <w:sz w:val="25"/>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spacing w:after="140"/>
    </w:pPr>
    <w:rPr>
      <w:sz w:val="19"/>
    </w:rPr>
  </w:style>
  <w:style w:type="paragraph" w:customStyle="1" w:styleId="ImageCaption">
    <w:name w:val="Image Caption"/>
    <w:basedOn w:val="Caption"/>
    <w:pPr>
      <w:spacing w:after="140"/>
    </w:pPr>
    <w:rPr>
      <w:sz w:val="19"/>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AD34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abs/2309.16354" TargetMode="External"/><Relationship Id="rId18" Type="http://schemas.openxmlformats.org/officeDocument/2006/relationships/hyperlink" Target="https://aclanthology.org/2022.findings-emnlp.99/" TargetMode="External"/><Relationship Id="rId26" Type="http://schemas.openxmlformats.org/officeDocument/2006/relationships/hyperlink" Target="https://arxiv.org/abs/2506.18879" TargetMode="External"/><Relationship Id="rId39" Type="http://schemas.openxmlformats.org/officeDocument/2006/relationships/fontTable" Target="fontTable.xml"/><Relationship Id="rId21" Type="http://schemas.openxmlformats.org/officeDocument/2006/relationships/hyperlink" Target="https://proceedings.mlr.press/v119/katharopoulos20a.html" TargetMode="External"/><Relationship Id="rId34" Type="http://schemas.openxmlformats.org/officeDocument/2006/relationships/hyperlink" Target="https://pubmed.ncbi.nlm.nih.gov/19289844/" TargetMode="External"/><Relationship Id="rId7" Type="http://schemas.openxmlformats.org/officeDocument/2006/relationships/hyperlink" Target="https://doi.org/10.13140/RG.2.2.35155.90404" TargetMode="External"/><Relationship Id="rId12" Type="http://schemas.openxmlformats.org/officeDocument/2006/relationships/hyperlink" Target="https://arxiv.org/abs/1706.03762" TargetMode="External"/><Relationship Id="rId17" Type="http://schemas.openxmlformats.org/officeDocument/2006/relationships/hyperlink" Target="https://arxiv.org/abs/2205.14135" TargetMode="External"/><Relationship Id="rId25" Type="http://schemas.openxmlformats.org/officeDocument/2006/relationships/hyperlink" Target="https://arxiv.org/abs/2402.02750" TargetMode="External"/><Relationship Id="rId33" Type="http://schemas.openxmlformats.org/officeDocument/2006/relationships/hyperlink" Target="https://pubmed.ncbi.nlm.nih.gov/17905870/" TargetMode="External"/><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arxiv.org/abs/2103.00564" TargetMode="External"/><Relationship Id="rId20" Type="http://schemas.openxmlformats.org/officeDocument/2006/relationships/hyperlink" Target="https://arxiv.org/abs/2104.09864" TargetMode="External"/><Relationship Id="rId29" Type="http://schemas.openxmlformats.org/officeDocument/2006/relationships/hyperlink" Target="https://arxiv.org/abs/2309.1745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3140/RG.2.2.35155.90404" TargetMode="External"/><Relationship Id="rId24" Type="http://schemas.openxmlformats.org/officeDocument/2006/relationships/hyperlink" Target="https://proceedings.mlr.press/v235/zhang24n.html" TargetMode="External"/><Relationship Id="rId32" Type="http://schemas.openxmlformats.org/officeDocument/2006/relationships/hyperlink" Target="https://pubmed.ncbi.nlm.nih.gov/15224979/"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proceedings.mlr.press/v119/bhojanapalli20a.html" TargetMode="External"/><Relationship Id="rId23" Type="http://schemas.openxmlformats.org/officeDocument/2006/relationships/hyperlink" Target="https://aclanthology.org/2023.emnlp-main.298/" TargetMode="External"/><Relationship Id="rId28" Type="http://schemas.openxmlformats.org/officeDocument/2006/relationships/hyperlink" Target="https://arxiv.org/abs/2608.04074" TargetMode="External"/><Relationship Id="rId36" Type="http://schemas.openxmlformats.org/officeDocument/2006/relationships/hyperlink" Target="https://doi.org/10.1038/s41586-024-07853-8" TargetMode="External"/><Relationship Id="rId10" Type="http://schemas.openxmlformats.org/officeDocument/2006/relationships/image" Target="media/image2.png"/><Relationship Id="rId19" Type="http://schemas.openxmlformats.org/officeDocument/2006/relationships/hyperlink" Target="https://arxiv.org/abs/2108.12409" TargetMode="External"/><Relationship Id="rId31" Type="http://schemas.openxmlformats.org/officeDocument/2006/relationships/hyperlink" Target="https://doi.org/10.1038/ncomms4122"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arxiv.org/abs/2210.09461" TargetMode="External"/><Relationship Id="rId22" Type="http://schemas.openxmlformats.org/officeDocument/2006/relationships/hyperlink" Target="https://arxiv.org/abs/1711.00937" TargetMode="External"/><Relationship Id="rId27" Type="http://schemas.openxmlformats.org/officeDocument/2006/relationships/hyperlink" Target="https://arxiv.org/abs/2504.19874" TargetMode="External"/><Relationship Id="rId30" Type="http://schemas.openxmlformats.org/officeDocument/2006/relationships/hyperlink" Target="https://pubmed.ncbi.nlm.nih.gov/13406589/" TargetMode="External"/><Relationship Id="rId35" Type="http://schemas.openxmlformats.org/officeDocument/2006/relationships/hyperlink" Target="https://pmc.ncbi.nlm.nih.gov/articles/PMC2806702/" TargetMode="External"/><Relationship Id="rId8" Type="http://schemas.openxmlformats.org/officeDocument/2006/relationships/hyperlink" Target="https://doi.org/10.13140/RG.2.2.23622.43842"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20</Pages>
  <Words>8336</Words>
  <Characters>47517</Characters>
  <Application>Microsoft Office Word</Application>
  <DocSecurity>0</DocSecurity>
  <Lines>395</Lines>
  <Paragraphs>111</Paragraphs>
  <ScaleCrop>false</ScaleCrop>
  <Company/>
  <LinksUpToDate>false</LinksUpToDate>
  <CharactersWithSpaces>55742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KV Counter Memory for Attentionlet</dc:title>
  <dc:subject>Narrow keys and bounded attention state</dc:subject>
  <dc:creator>Debi Prasad Ghosh</dc:creator>
  <cp:keywords>Attentionlet, KV cache, vector quantization, recurrent memory</cp:keywords>
  <cp:lastModifiedBy>Debiprasad Ghosh</cp:lastModifiedBy>
  <cp:revision>8</cp:revision>
  <cp:lastPrinted>2026-10-06T10:48:00Z</cp:lastPrinted>
  <dcterms:created xsi:type="dcterms:W3CDTF">2026-10-01T06:59:00Z</dcterms:created>
  <dcterms:modified xsi:type="dcterms:W3CDTF">2026-10-06T10:58:00Z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 October 2026</vt:lpwstr>
  </property>
  <property fmtid="{D5CDD505-2E9C-101B-9397-08002B2CF9AE}" pid="3" name="subtitle">
    <vt:lpwstr>Narrow keys and bounded attention state</vt:lpwstr>
  </property>
</Properties>
</file>