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0019" w14:textId="77777777" w:rsidR="0094261F" w:rsidRPr="008C4423" w:rsidRDefault="00000000">
      <w:pPr>
        <w:pStyle w:val="Title"/>
        <w:rPr>
          <w:rFonts w:hint="eastAsia"/>
          <w:sz w:val="40"/>
          <w:szCs w:val="40"/>
        </w:rPr>
      </w:pPr>
      <w:r w:rsidRPr="008C4423">
        <w:rPr>
          <w:sz w:val="40"/>
          <w:szCs w:val="40"/>
        </w:rPr>
        <w:t>Causal Bayes for Autoregressive Diffusion Evolution</w:t>
      </w:r>
    </w:p>
    <w:p w14:paraId="6BC5CBDF" w14:textId="77777777" w:rsidR="0094261F" w:rsidRPr="008C4423" w:rsidRDefault="00000000">
      <w:pPr>
        <w:pStyle w:val="Subtitle"/>
        <w:rPr>
          <w:rFonts w:hint="eastAsia"/>
          <w:color w:val="00B0F0"/>
          <w:sz w:val="28"/>
          <w:szCs w:val="28"/>
        </w:rPr>
      </w:pPr>
      <w:r w:rsidRPr="008C4423">
        <w:rPr>
          <w:color w:val="00B0F0"/>
          <w:sz w:val="28"/>
          <w:szCs w:val="28"/>
        </w:rPr>
        <w:t>Rigorous adaptive integration and engineering harness design</w:t>
      </w:r>
    </w:p>
    <w:p w14:paraId="1E2B0F8B" w14:textId="77777777" w:rsidR="0094261F" w:rsidRDefault="00000000">
      <w:pPr>
        <w:pStyle w:val="Author"/>
        <w:keepLines/>
        <w:rPr>
          <w:rFonts w:hint="eastAsia"/>
        </w:rPr>
      </w:pPr>
      <w:r>
        <w:t>Debi Prasad Ghosh</w:t>
      </w:r>
      <w:r>
        <w:br/>
        <w:t>Founder and Principal Engineer</w:t>
      </w:r>
      <w:r>
        <w:br/>
        <w:t>Debias Parametric Guru, Kolkata, India</w:t>
      </w:r>
    </w:p>
    <w:p w14:paraId="74FFFFC4" w14:textId="77777777" w:rsidR="0094261F" w:rsidRDefault="00000000">
      <w:pPr>
        <w:pStyle w:val="Date1"/>
        <w:rPr>
          <w:rFonts w:hint="eastAsia"/>
        </w:rPr>
      </w:pPr>
      <w:r>
        <w:t>Revised 17 October 2026</w:t>
      </w:r>
    </w:p>
    <w:p w14:paraId="1C03EBDB" w14:textId="77777777" w:rsidR="0094261F" w:rsidRDefault="00000000">
      <w:pPr>
        <w:pStyle w:val="Heading1"/>
        <w:spacing w:before="240"/>
        <w:rPr>
          <w:rFonts w:hint="eastAsia"/>
        </w:rPr>
      </w:pPr>
      <w:bookmarkStart w:id="0" w:name="abstract"/>
      <w:r>
        <w:t>Abstract</w:t>
      </w:r>
    </w:p>
    <w:p w14:paraId="5D7BE887" w14:textId="77777777" w:rsidR="0094261F" w:rsidRDefault="00000000">
      <w:pPr>
        <w:pStyle w:val="FirstParagraph"/>
        <w:rPr>
          <w:rFonts w:hint="eastAsia"/>
        </w:rPr>
      </w:pPr>
      <w:r>
        <w:t xml:space="preserve">Autoregressive Diffusion Evolution (ADE) builds numerical proposals from an archive of earlier evaluations. This paper gives that archive a precise statistical interpretation through generalized Bayes and adaptive importance sampling. A predictable defensive proposal and a positive observation floor yield exact conditional integration, bounded weights, and strong consistency. A measure formulation includes continuous, discrete, and mixed design spaces and identifies when deterministic proposal atoms receive zero or positive weight. Component-label weighting requires a separate support condition; full-mixture weighting is a one-step Rao–Blackwellization under a shared observation rule. At positive inverse temperature, exponential loss damping bounds every weighted polynomial loss moment. A variance-sensitive martingale argument gives a finite-sample ratio bound and an annealing condition of order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under isolated nondegenerate minima. Gaussian observation kernels yield Tweedie denoisers and uniform consistency on compact query, layer, and positive-temperature sets, without requiring compact design support. New numerical checks verify the measure identities, tempering, denoising, and Laplace limits; earlier algorithmic summaries are identified separately. Recent neural recordings motivate functional analogies involving uncertainty, feedback, and selective memory, without establishing a biological implementation of ADE. An engineering harness separates fixed model weights, changing runtime state, numerical proposals, exact observations, and verification gates. The term causal denotes nonanticipating computation; intervention effects require an additional experimental design.</w:t>
      </w:r>
    </w:p>
    <w:p w14:paraId="7594772E" w14:textId="77777777" w:rsidR="0094261F" w:rsidRDefault="00000000">
      <w:pPr>
        <w:pStyle w:val="BodyText"/>
        <w:rPr>
          <w:rFonts w:hint="eastAsia"/>
        </w:rPr>
      </w:pPr>
      <w:r>
        <w:rPr>
          <w:b/>
          <w:bCs/>
        </w:rPr>
        <w:t>Keywords:</w:t>
      </w:r>
      <w:r>
        <w:t xml:space="preserve"> ADE; generalized Bayes; adaptive importance sampling; martingales; diffusion denoising; neural uncertainty; AI agent harness; construction engineering.</w:t>
      </w:r>
    </w:p>
    <w:p w14:paraId="5BAD0E61" w14:textId="77777777" w:rsidR="0094261F" w:rsidRDefault="00000000">
      <w:pPr>
        <w:pStyle w:val="Heading1"/>
        <w:rPr>
          <w:rFonts w:hint="eastAsia"/>
        </w:rPr>
      </w:pPr>
      <w:bookmarkStart w:id="1" w:name="introduction"/>
      <w:bookmarkEnd w:id="0"/>
      <w:r>
        <w:t>1 Introduction</w:t>
      </w:r>
    </w:p>
    <w:p w14:paraId="190D8405" w14:textId="77777777" w:rsidR="0094261F" w:rsidRDefault="00000000">
      <w:pPr>
        <w:pStyle w:val="FirstParagraph"/>
        <w:rPr>
          <w:rFonts w:hint="eastAsia"/>
        </w:rPr>
      </w:pPr>
      <w:r>
        <w:t>An engineering search system may repeatedly propose a geometry, call a solver, record the response, and use the enlarged record to choose its next action. Autoregressive Diffusion Evolution organizes this process as sequential retrieval and proposal generation. Its archive can support exact conditional integration even when every proposal depends on the preceding run. That conclusion requires recording the law that generated each state and the probability that its response entered the archive.</w:t>
      </w:r>
    </w:p>
    <w:p w14:paraId="368E730F" w14:textId="77777777" w:rsidR="0094261F" w:rsidRDefault="00000000">
      <w:pPr>
        <w:pStyle w:val="BodyText"/>
        <w:rPr>
          <w:rFonts w:hint="eastAsia"/>
        </w:rPr>
      </w:pPr>
      <w:r>
        <w:t>The paper develops this claim for a fixed engineering objective and a fixed reference probability measure. It distinguishes three mathematical objects: a preference density over designs, a likelihood for a Gaussian noising model, and an epistemic posterior for uncertain physical parameters. They can coexist in one system, but they answer different questions. In particular, exponentiating a design loss does not establish a measurement likelihood or a causal effect.</w:t>
      </w:r>
    </w:p>
    <w:p w14:paraId="11E0C59E" w14:textId="77777777" w:rsidR="0094261F" w:rsidRDefault="00000000">
      <w:pPr>
        <w:pStyle w:val="BodyText"/>
        <w:rPr>
          <w:rFonts w:hint="eastAsia"/>
        </w:rPr>
      </w:pPr>
      <w:r>
        <w:t xml:space="preserve">The ADE research collection [13] supplies the surrounding engineering context. The contribution is an engineering account of what can be computed and verified. Sections 2–5 establish the integration </w:t>
      </w:r>
      <w:r>
        <w:lastRenderedPageBreak/>
        <w:t>contract and its limits. Sections 6–8 treat diffusion retrieval, re-tempering, low-temperature limits, and search coverage. Section 9 reports fresh mathematical checks and preserves a small, explicitly qualified subset of the earlier numerical summaries. Sections 10–11 connect the construction to recent neuroscience and an AI agent harness. Appendix A supplies proof details; Appendix B gives an executed numerical kernel and the production record contract. Throughout, ADE denotes Autoregressive Diffusion Evolution.</w:t>
      </w:r>
    </w:p>
    <w:p w14:paraId="7709F697" w14:textId="77777777" w:rsidR="0094261F" w:rsidRDefault="00000000">
      <w:pPr>
        <w:pStyle w:val="Heading1"/>
        <w:rPr>
          <w:rFonts w:hint="eastAsia"/>
        </w:rPr>
      </w:pPr>
      <w:bookmarkStart w:id="2" w:name="X7ce3410ecbfa7cc237158d872bd29b9b359d6de"/>
      <w:bookmarkEnd w:id="1"/>
      <w:r>
        <w:t>2 Probability model and engineering contract</w:t>
      </w:r>
    </w:p>
    <w:p w14:paraId="544607E6" w14:textId="77777777" w:rsidR="0094261F" w:rsidRDefault="00000000">
      <w:pPr>
        <w:pStyle w:val="Heading2"/>
        <w:rPr>
          <w:rFonts w:hint="eastAsia"/>
        </w:rPr>
      </w:pPr>
      <w:bookmarkStart w:id="3" w:name="fixed-target-and-predictable-proposals"/>
      <w:r>
        <w:t>2.1 Fixed target and predictable proposals</w:t>
      </w:r>
    </w:p>
    <w:p w14:paraId="1DA9E4F0" w14:textId="77777777" w:rsidR="0094261F" w:rsidRDefault="00000000">
      <w:pPr>
        <w:pStyle w:val="FirstParagraph"/>
        <w:keepNext/>
        <w:rPr>
          <w:rFonts w:hint="eastAsia"/>
        </w:rPr>
      </w:pPr>
      <w:r>
        <w:t xml:space="preserve">Let </w:t>
      </w:r>
      <m:oMath>
        <m:d>
          <m:dPr>
            <m:ctrlPr>
              <w:rPr>
                <w:rFonts w:ascii="Cambria Math" w:hAnsi="Cambria Math"/>
              </w:rPr>
            </m:ctrlPr>
          </m:dPr>
          <m:e>
            <m:r>
              <m:rPr>
                <m:scr m:val="script"/>
                <m:sty m:val="p"/>
              </m:rPr>
              <w:rPr>
                <w:rFonts w:ascii="Cambria Math" w:hAnsi="Cambria Math"/>
              </w:rPr>
              <m:t>X,B</m:t>
            </m:r>
          </m:e>
        </m:d>
      </m:oMath>
      <w:r>
        <w:t xml:space="preserve"> be a standard Borel design space and let </w:t>
      </w:r>
      <m:oMath>
        <m:r>
          <w:rPr>
            <w:rFonts w:ascii="Cambria Math" w:hAnsi="Cambria Math"/>
          </w:rPr>
          <m:t>μ</m:t>
        </m:r>
      </m:oMath>
      <w:r>
        <w:t xml:space="preserve"> be a probability measure. Continuous dimensions, categorical choices, integer variables, and their products are permitted. Let </w:t>
      </w:r>
      <m:oMath>
        <m:r>
          <w:rPr>
            <w:rFonts w:ascii="Cambria Math" w:hAnsi="Cambria Math"/>
          </w:rPr>
          <m:t>J</m:t>
        </m:r>
        <m:r>
          <m:rPr>
            <m:scr m:val="script"/>
            <m:sty m:val="p"/>
          </m:rPr>
          <w:rPr>
            <w:rFonts w:ascii="Cambria Math" w:hAnsi="Cambria Math"/>
          </w:rPr>
          <m:t>:X→[</m:t>
        </m:r>
        <m:r>
          <w:rPr>
            <w:rFonts w:ascii="Cambria Math" w:hAnsi="Cambria Math"/>
          </w:rPr>
          <m:t>0</m:t>
        </m:r>
        <m:r>
          <m:rPr>
            <m:sty m:val="p"/>
          </m:rPr>
          <w:rPr>
            <w:rFonts w:ascii="Cambria Math" w:hAnsi="Cambria Math"/>
          </w:rPr>
          <m:t>,∞)</m:t>
        </m:r>
      </m:oMath>
      <w:r>
        <w:t xml:space="preserve"> be measurable and finite </w:t>
      </w:r>
      <m:oMath>
        <m:r>
          <w:rPr>
            <w:rFonts w:ascii="Cambria Math" w:hAnsi="Cambria Math"/>
          </w:rPr>
          <m:t>μ</m:t>
        </m:r>
      </m:oMath>
      <w:r>
        <w:t xml:space="preserve"> almost everywhere. For a finite inverse temperature </w:t>
      </w:r>
      <m:oMath>
        <m:r>
          <w:rPr>
            <w:rFonts w:ascii="Cambria Math" w:hAnsi="Cambria Math"/>
          </w:rPr>
          <m:t>β</m:t>
        </m:r>
        <m:r>
          <m:rPr>
            <m:sty m:val="p"/>
          </m:rPr>
          <w:rPr>
            <w:rFonts w:ascii="Cambria Math" w:hAnsi="Cambria Math"/>
          </w:rPr>
          <m:t>≥</m:t>
        </m:r>
        <m:r>
          <w:rPr>
            <w:rFonts w:ascii="Cambria Math" w:hAnsi="Cambria Math"/>
          </w:rPr>
          <m:t>0</m:t>
        </m:r>
      </m:oMath>
      <w:r>
        <w:t>, define the finite measure and normalized target</w:t>
      </w:r>
    </w:p>
    <w:p w14:paraId="19C0919F"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m:rPr>
                  <m:scr m:val="script"/>
                  <m:sty m:val="p"/>
                </m:rPr>
                <w:rPr>
                  <w:rFonts w:ascii="Cambria Math" w:hAnsi="Cambria Math"/>
                </w:rPr>
                <m:t>X</m:t>
              </m:r>
            </m:e>
          </m:d>
          <m:r>
            <m:rPr>
              <m:sty m:val="p"/>
            </m:rPr>
            <w:rPr>
              <w:rFonts w:ascii="Cambria Math" w:hAnsi="Cambria Math"/>
            </w:rPr>
            <m:t>&gt;</m:t>
          </m:r>
          <m:r>
            <w:rPr>
              <w:rFonts w:ascii="Cambria Math" w:hAnsi="Cambria Math"/>
            </w:rPr>
            <m:t>0</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(1)</m:t>
          </m:r>
        </m:oMath>
      </m:oMathPara>
    </w:p>
    <w:p w14:paraId="0B9F50B7" w14:textId="77777777" w:rsidR="0094261F" w:rsidRDefault="00000000">
      <w:pPr>
        <w:pStyle w:val="FirstParagraph"/>
        <w:rPr>
          <w:rFonts w:hint="eastAsia"/>
        </w:rPr>
      </w:pPr>
      <w:r>
        <w:t xml:space="preserve">For a loss bounded below, a fixed known lower bound may be subtracted. A common additive constant leaves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unchanged. Here </w:t>
      </w:r>
      <m:oMath>
        <m:r>
          <w:rPr>
            <w:rFonts w:ascii="Cambria Math" w:hAnsi="Cambria Math"/>
          </w:rPr>
          <m:t>β</m:t>
        </m:r>
      </m:oMath>
      <w:r>
        <w:t xml:space="preserve"> has reciprocal loss units; changing the units or normalization of </w:t>
      </w:r>
      <m:oMath>
        <m:r>
          <w:rPr>
            <w:rFonts w:ascii="Cambria Math" w:hAnsi="Cambria Math"/>
          </w:rPr>
          <m:t>J</m:t>
        </m:r>
      </m:oMath>
      <w:r>
        <w:t xml:space="preserve"> requires changing </w:t>
      </w:r>
      <m:oMath>
        <m:r>
          <w:rPr>
            <w:rFonts w:ascii="Cambria Math" w:hAnsi="Cambria Math"/>
          </w:rPr>
          <m:t>β</m:t>
        </m:r>
      </m:oMath>
      <w:r>
        <w:t xml:space="preserve"> accordingly.</w:t>
      </w:r>
    </w:p>
    <w:p w14:paraId="79E828AF" w14:textId="77777777" w:rsidR="0094261F" w:rsidRDefault="00000000">
      <w:pPr>
        <w:pStyle w:val="BodyText"/>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all information available before attempt </w:t>
      </w:r>
      <m:oMath>
        <m:r>
          <w:rPr>
            <w:rFonts w:ascii="Cambria Math" w:hAnsi="Cambria Math"/>
          </w:rPr>
          <m:t>i</m:t>
        </m:r>
      </m:oMath>
      <w:r>
        <w:t xml:space="preserve">, including earlier proposals, observations, and random choices. Select an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-measurable probability kernel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the measure inequality</w:t>
      </w:r>
    </w:p>
    <w:p w14:paraId="5A6DC838"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εμ</m:t>
          </m:r>
          <m:d>
            <m:dPr>
              <m:ctrlPr>
                <w:rPr>
                  <w:rFonts w:ascii="Cambria Math" w:hAnsi="Cambria Math"/>
                </w:rPr>
              </m:ctrlPr>
            </m:dPr>
            <m:e>
              <m:r>
                <w:rPr>
                  <w:rFonts w:ascii="Cambria Math" w:hAnsi="Cambria Math"/>
                </w:rPr>
                <m:t>A</m:t>
              </m:r>
            </m:e>
          </m:d>
          <m:r>
            <m:rPr>
              <m:nor/>
            </m:rPr>
            <m:t xml:space="preserve">    for every </m:t>
          </m:r>
          <m:r>
            <w:rPr>
              <w:rFonts w:ascii="Cambria Math" w:hAnsi="Cambria Math"/>
            </w:rPr>
            <m:t>A</m:t>
          </m:r>
          <m:r>
            <m:rPr>
              <m:scr m:val="script"/>
              <m:sty m:val="p"/>
            </m:rPr>
            <w:rPr>
              <w:rFonts w:ascii="Cambria Math" w:hAnsi="Cambria Math"/>
            </w:rPr>
            <m:t>∈B,</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(2)</m:t>
          </m:r>
        </m:oMath>
      </m:oMathPara>
    </w:p>
    <w:p w14:paraId="40A6F5EB" w14:textId="77777777" w:rsidR="0094261F" w:rsidRDefault="00000000">
      <w:pPr>
        <w:pStyle w:val="FirstParagraph"/>
        <w:rPr>
          <w:rFonts w:hint="eastAsia"/>
        </w:rPr>
      </w:pPr>
      <w:r>
        <w:t xml:space="preserve">A defensive mixture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satisfies (2) for any predictable probability kernel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The local proposal may depend on surrogates, archive retrieval, or an agent’s earlier reasoning. Conditional on the past, draw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numerical importance weighting, the Radon–Nikodym derivative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must be known at the realized state. Domination alone establishes existence, not computational availability.</w:t>
      </w:r>
    </w:p>
    <w:p w14:paraId="60350F96" w14:textId="77777777" w:rsidR="0094261F" w:rsidRDefault="00000000">
      <w:pPr>
        <w:pStyle w:val="Heading2"/>
        <w:rPr>
          <w:rFonts w:hint="eastAsia"/>
        </w:rPr>
      </w:pPr>
      <w:bookmarkStart w:id="4" w:name="observation-and-archive-weights"/>
      <w:bookmarkEnd w:id="3"/>
      <w:r>
        <w:t>2.2 Observation and archive weights</w:t>
      </w:r>
    </w:p>
    <w:p w14:paraId="6EA3D7D0" w14:textId="77777777" w:rsidR="0094261F" w:rsidRDefault="00000000">
      <w:pPr>
        <w:pStyle w:val="FirstParagraph"/>
        <w:keepNext/>
        <w:rPr>
          <w:rFonts w:hint="eastAsia"/>
        </w:rPr>
      </w:pPr>
      <w:r>
        <w:t xml:space="preserve">Choose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using the past and the candidate state before seeing its expensive response. Draw an inclusion indicator with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When included, the recorded loss must equal the fixed function </w:t>
      </w:r>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Define</w:t>
      </w:r>
    </w:p>
    <w:p w14:paraId="1E9B3D1A"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(3)</m:t>
          </m:r>
        </m:oMath>
      </m:oMathPara>
    </w:p>
    <w:p w14:paraId="4483CFB5" w14:textId="77777777" w:rsidR="0094261F" w:rsidRDefault="00000000">
      <w:pPr>
        <w:pStyle w:val="FirstParagraph"/>
        <w:keepNext/>
        <w:rPr>
          <w:rFonts w:hint="eastAsia"/>
        </w:rPr>
      </w:pPr>
      <w:r>
        <w:t xml:space="preserve">For a skipped response set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xml:space="preserve"> directly, without evaluating the formal product containing its unknown loss. Domination gives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almost everywhere, hence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B</m:t>
        </m:r>
      </m:oMath>
      <w:r>
        <w:t xml:space="preserve">. For measurable </w:t>
      </w:r>
      <m:oMath>
        <m:r>
          <w:rPr>
            <w:rFonts w:ascii="Cambria Math" w:hAnsi="Cambria Math"/>
          </w:rPr>
          <m:t>h</m:t>
        </m:r>
      </m:oMath>
      <w:r>
        <w:t>, write</w:t>
      </w:r>
    </w:p>
    <w:p w14:paraId="0FC4349D"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β</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β</m:t>
                  </m:r>
                </m:e>
              </m:d>
            </m:den>
          </m:f>
          <m:r>
            <m:rPr>
              <m:sty m:val="p"/>
            </m:rPr>
            <w:rPr>
              <w:rFonts w:ascii="Cambria Math" w:hAnsi="Cambria Math"/>
            </w:rPr>
            <m:t>.</m:t>
          </m:r>
          <m:r>
            <m:rPr>
              <m:nor/>
            </m:rPr>
            <m:t>    (4)</m:t>
          </m:r>
        </m:oMath>
      </m:oMathPara>
    </w:p>
    <w:p w14:paraId="7523270D" w14:textId="77777777" w:rsidR="0094261F" w:rsidRDefault="00000000">
      <w:pPr>
        <w:pStyle w:val="FirstParagraph"/>
        <w:rPr>
          <w:rFonts w:hint="eastAsia"/>
        </w:rPr>
      </w:pPr>
      <w:r>
        <w:t xml:space="preserve">This ratio is defined only when its denominator is positive. A numerical implementation must report an empty positive-weight archive rather than fabricate a value. An exact cached response with compatible model and input versions counts as observed, with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it is always available. </w:t>
      </w:r>
      <w:r>
        <w:lastRenderedPageBreak/>
        <w:t>Inclusion is the probability of response availability under the sampling protocol, not the probability of making a new solver call.</w:t>
      </w:r>
    </w:p>
    <w:p w14:paraId="609E0A84" w14:textId="77777777" w:rsidR="0094261F" w:rsidRDefault="00000000">
      <w:pPr>
        <w:pStyle w:val="Caption"/>
        <w:keepNext/>
        <w:rPr>
          <w:rFonts w:hint="eastAsia"/>
        </w:rPr>
      </w:pPr>
      <w:r>
        <w:t>Table 1. Main symbols and their distinct roles.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240"/>
        <w:gridCol w:w="5112"/>
      </w:tblGrid>
      <w:tr w:rsidR="0094261F" w14:paraId="56DB339D" w14:textId="77777777">
        <w:trPr>
          <w:cantSplit/>
          <w:tblHeader/>
          <w:jc w:val="center"/>
        </w:trPr>
        <w:tc>
          <w:tcPr>
            <w:tcW w:w="1584" w:type="dxa"/>
            <w:shd w:val="clear" w:color="auto" w:fill="EAEAEA"/>
            <w:tcMar>
              <w:top w:w="80" w:type="dxa"/>
              <w:left w:w="85" w:type="dxa"/>
              <w:bottom w:w="80" w:type="dxa"/>
              <w:right w:w="85" w:type="dxa"/>
            </w:tcMar>
            <w:vAlign w:val="center"/>
          </w:tcPr>
          <w:p w14:paraId="2A066044" w14:textId="77777777" w:rsidR="0094261F" w:rsidRDefault="00000000">
            <w:pPr>
              <w:keepNext/>
              <w:keepLines/>
              <w:spacing w:after="0" w:line="247" w:lineRule="auto"/>
              <w:jc w:val="left"/>
              <w:rPr>
                <w:rFonts w:hint="eastAsia"/>
              </w:rPr>
            </w:pPr>
            <w:r>
              <w:rPr>
                <w:b/>
                <w:sz w:val="21"/>
              </w:rPr>
              <w:t>Symbol</w:t>
            </w:r>
          </w:p>
        </w:tc>
        <w:tc>
          <w:tcPr>
            <w:tcW w:w="3240" w:type="dxa"/>
            <w:shd w:val="clear" w:color="auto" w:fill="EAEAEA"/>
            <w:tcMar>
              <w:top w:w="80" w:type="dxa"/>
              <w:left w:w="85" w:type="dxa"/>
              <w:bottom w:w="80" w:type="dxa"/>
              <w:right w:w="85" w:type="dxa"/>
            </w:tcMar>
            <w:vAlign w:val="center"/>
          </w:tcPr>
          <w:p w14:paraId="51A7E346" w14:textId="77777777" w:rsidR="0094261F" w:rsidRDefault="00000000">
            <w:pPr>
              <w:keepNext/>
              <w:keepLines/>
              <w:spacing w:after="0" w:line="247" w:lineRule="auto"/>
              <w:jc w:val="left"/>
              <w:rPr>
                <w:rFonts w:hint="eastAsia"/>
              </w:rPr>
            </w:pPr>
            <w:r>
              <w:rPr>
                <w:b/>
                <w:sz w:val="21"/>
              </w:rPr>
              <w:t>Meaning</w:t>
            </w:r>
          </w:p>
        </w:tc>
        <w:tc>
          <w:tcPr>
            <w:tcW w:w="5112" w:type="dxa"/>
            <w:shd w:val="clear" w:color="auto" w:fill="EAEAEA"/>
            <w:tcMar>
              <w:top w:w="80" w:type="dxa"/>
              <w:left w:w="85" w:type="dxa"/>
              <w:bottom w:w="80" w:type="dxa"/>
              <w:right w:w="85" w:type="dxa"/>
            </w:tcMar>
            <w:vAlign w:val="center"/>
          </w:tcPr>
          <w:p w14:paraId="30C6D4B7" w14:textId="77777777" w:rsidR="0094261F" w:rsidRDefault="00000000">
            <w:pPr>
              <w:keepNext/>
              <w:keepLines/>
              <w:spacing w:after="0" w:line="247" w:lineRule="auto"/>
              <w:jc w:val="left"/>
              <w:rPr>
                <w:rFonts w:hint="eastAsia"/>
              </w:rPr>
            </w:pPr>
            <w:r>
              <w:rPr>
                <w:b/>
                <w:sz w:val="21"/>
              </w:rPr>
              <w:t>Engineering interpretation</w:t>
            </w:r>
          </w:p>
        </w:tc>
      </w:tr>
      <w:tr w:rsidR="0094261F" w14:paraId="0F2410EA" w14:textId="77777777">
        <w:trPr>
          <w:cantSplit/>
          <w:jc w:val="center"/>
        </w:trPr>
        <w:tc>
          <w:tcPr>
            <w:tcW w:w="1584" w:type="dxa"/>
            <w:shd w:val="clear" w:color="auto" w:fill="FFFFFF"/>
            <w:tcMar>
              <w:top w:w="80" w:type="dxa"/>
              <w:left w:w="85" w:type="dxa"/>
              <w:bottom w:w="80" w:type="dxa"/>
              <w:right w:w="85" w:type="dxa"/>
            </w:tcMar>
            <w:vAlign w:val="center"/>
          </w:tcPr>
          <w:p w14:paraId="325804A6" w14:textId="77777777" w:rsidR="0094261F" w:rsidRDefault="00000000">
            <w:pPr>
              <w:keepNext/>
              <w:keepLines/>
              <w:spacing w:after="0" w:line="247" w:lineRule="auto"/>
              <w:jc w:val="left"/>
              <w:rPr>
                <w:rFonts w:hint="eastAsia"/>
              </w:rPr>
            </w:pPr>
            <m:oMath>
              <m:r>
                <w:rPr>
                  <w:rFonts w:ascii="Cambria Math" w:hAnsi="Cambria Math"/>
                </w:rPr>
                <m:t>μ</m:t>
              </m:r>
            </m:oMath>
            <w:r>
              <w:rPr>
                <w:sz w:val="21"/>
              </w:rPr>
              <w:t xml:space="preserve">, </w:t>
            </w:r>
            <m:oMath>
              <m:r>
                <w:rPr>
                  <w:rFonts w:ascii="Cambria Math" w:hAnsi="Cambria Math"/>
                </w:rPr>
                <m:t>J</m:t>
              </m:r>
            </m:oMath>
          </w:p>
        </w:tc>
        <w:tc>
          <w:tcPr>
            <w:tcW w:w="3240" w:type="dxa"/>
            <w:shd w:val="clear" w:color="auto" w:fill="FFFFFF"/>
            <w:tcMar>
              <w:top w:w="80" w:type="dxa"/>
              <w:left w:w="85" w:type="dxa"/>
              <w:bottom w:w="80" w:type="dxa"/>
              <w:right w:w="85" w:type="dxa"/>
            </w:tcMar>
            <w:vAlign w:val="center"/>
          </w:tcPr>
          <w:p w14:paraId="75B71C62" w14:textId="77777777" w:rsidR="0094261F" w:rsidRDefault="00000000">
            <w:pPr>
              <w:keepNext/>
              <w:keepLines/>
              <w:spacing w:after="0" w:line="247" w:lineRule="auto"/>
              <w:jc w:val="left"/>
              <w:rPr>
                <w:rFonts w:hint="eastAsia"/>
              </w:rPr>
            </w:pPr>
            <w:r>
              <w:rPr>
                <w:sz w:val="21"/>
              </w:rPr>
              <w:t>Fixed reference law and loss</w:t>
            </w:r>
          </w:p>
        </w:tc>
        <w:tc>
          <w:tcPr>
            <w:tcW w:w="5112" w:type="dxa"/>
            <w:shd w:val="clear" w:color="auto" w:fill="FFFFFF"/>
            <w:tcMar>
              <w:top w:w="80" w:type="dxa"/>
              <w:left w:w="85" w:type="dxa"/>
              <w:bottom w:w="80" w:type="dxa"/>
              <w:right w:w="85" w:type="dxa"/>
            </w:tcMar>
            <w:vAlign w:val="center"/>
          </w:tcPr>
          <w:p w14:paraId="0CC8D1C4" w14:textId="77777777" w:rsidR="0094261F" w:rsidRDefault="00000000">
            <w:pPr>
              <w:keepNext/>
              <w:keepLines/>
              <w:spacing w:after="0" w:line="247" w:lineRule="auto"/>
              <w:jc w:val="left"/>
              <w:rPr>
                <w:rFonts w:hint="eastAsia"/>
              </w:rPr>
            </w:pPr>
            <w:r>
              <w:rPr>
                <w:sz w:val="21"/>
              </w:rPr>
              <w:t>Design prior and versioned evaluator</w:t>
            </w:r>
          </w:p>
        </w:tc>
      </w:tr>
      <w:tr w:rsidR="0094261F" w14:paraId="09DB6C7F" w14:textId="77777777">
        <w:trPr>
          <w:cantSplit/>
          <w:jc w:val="center"/>
        </w:trPr>
        <w:tc>
          <w:tcPr>
            <w:tcW w:w="1584" w:type="dxa"/>
            <w:shd w:val="clear" w:color="auto" w:fill="FFFFFF"/>
            <w:tcMar>
              <w:top w:w="80" w:type="dxa"/>
              <w:left w:w="85" w:type="dxa"/>
              <w:bottom w:w="80" w:type="dxa"/>
              <w:right w:w="85" w:type="dxa"/>
            </w:tcMar>
            <w:vAlign w:val="center"/>
          </w:tcPr>
          <w:p w14:paraId="75A9AA23" w14:textId="77777777" w:rsidR="0094261F" w:rsidRDefault="00000000">
            <w:pPr>
              <w:keepNext/>
              <w:keepLines/>
              <w:spacing w:after="0" w:line="247" w:lineRule="auto"/>
              <w:jc w:val="left"/>
              <w:rPr>
                <w:rFonts w:hint="eastAsia"/>
              </w:rPr>
            </w:pPr>
            <m:oMath>
              <m:r>
                <w:rPr>
                  <w:rFonts w:ascii="Cambria Math" w:hAnsi="Cambria Math"/>
                </w:rPr>
                <m:t>β</m:t>
              </m:r>
            </m:oMath>
            <w:r>
              <w:rPr>
                <w:sz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β</m:t>
                  </m:r>
                </m:sub>
              </m:sSub>
            </m:oMath>
          </w:p>
        </w:tc>
        <w:tc>
          <w:tcPr>
            <w:tcW w:w="3240" w:type="dxa"/>
            <w:shd w:val="clear" w:color="auto" w:fill="FFFFFF"/>
            <w:tcMar>
              <w:top w:w="80" w:type="dxa"/>
              <w:left w:w="85" w:type="dxa"/>
              <w:bottom w:w="80" w:type="dxa"/>
              <w:right w:w="85" w:type="dxa"/>
            </w:tcMar>
            <w:vAlign w:val="center"/>
          </w:tcPr>
          <w:p w14:paraId="08F0E559" w14:textId="77777777" w:rsidR="0094261F" w:rsidRDefault="00000000">
            <w:pPr>
              <w:keepNext/>
              <w:keepLines/>
              <w:spacing w:after="0" w:line="247" w:lineRule="auto"/>
              <w:jc w:val="left"/>
              <w:rPr>
                <w:rFonts w:hint="eastAsia"/>
              </w:rPr>
            </w:pPr>
            <w:r>
              <w:rPr>
                <w:sz w:val="21"/>
              </w:rPr>
              <w:t>Preference strength and target</w:t>
            </w:r>
          </w:p>
        </w:tc>
        <w:tc>
          <w:tcPr>
            <w:tcW w:w="5112" w:type="dxa"/>
            <w:shd w:val="clear" w:color="auto" w:fill="FFFFFF"/>
            <w:tcMar>
              <w:top w:w="80" w:type="dxa"/>
              <w:left w:w="85" w:type="dxa"/>
              <w:bottom w:w="80" w:type="dxa"/>
              <w:right w:w="85" w:type="dxa"/>
            </w:tcMar>
            <w:vAlign w:val="center"/>
          </w:tcPr>
          <w:p w14:paraId="1C9B38B6" w14:textId="77777777" w:rsidR="0094261F" w:rsidRDefault="00000000">
            <w:pPr>
              <w:keepNext/>
              <w:keepLines/>
              <w:spacing w:after="0" w:line="247" w:lineRule="auto"/>
              <w:jc w:val="left"/>
              <w:rPr>
                <w:rFonts w:hint="eastAsia"/>
              </w:rPr>
            </w:pPr>
            <w:r>
              <w:rPr>
                <w:sz w:val="21"/>
              </w:rPr>
              <w:t>Tradeoff between reference mass and loss</w:t>
            </w:r>
          </w:p>
        </w:tc>
      </w:tr>
      <w:tr w:rsidR="0094261F" w14:paraId="74C41955" w14:textId="77777777">
        <w:trPr>
          <w:cantSplit/>
          <w:jc w:val="center"/>
        </w:trPr>
        <w:tc>
          <w:tcPr>
            <w:tcW w:w="1584" w:type="dxa"/>
            <w:shd w:val="clear" w:color="auto" w:fill="FFFFFF"/>
            <w:tcMar>
              <w:top w:w="80" w:type="dxa"/>
              <w:left w:w="85" w:type="dxa"/>
              <w:bottom w:w="80" w:type="dxa"/>
              <w:right w:w="85" w:type="dxa"/>
            </w:tcMar>
            <w:vAlign w:val="center"/>
          </w:tcPr>
          <w:p w14:paraId="41DDF776" w14:textId="77777777" w:rsidR="0094261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7B6B53F6" w14:textId="77777777" w:rsidR="0094261F" w:rsidRDefault="00000000">
            <w:pPr>
              <w:keepNext/>
              <w:keepLines/>
              <w:spacing w:after="0" w:line="247" w:lineRule="auto"/>
              <w:jc w:val="left"/>
              <w:rPr>
                <w:rFonts w:hint="eastAsia"/>
              </w:rPr>
            </w:pPr>
            <w:r>
              <w:rPr>
                <w:sz w:val="21"/>
              </w:rPr>
              <w:t>Proposal and reference derivative</w:t>
            </w:r>
          </w:p>
        </w:tc>
        <w:tc>
          <w:tcPr>
            <w:tcW w:w="5112" w:type="dxa"/>
            <w:shd w:val="clear" w:color="auto" w:fill="FFFFFF"/>
            <w:tcMar>
              <w:top w:w="80" w:type="dxa"/>
              <w:left w:w="85" w:type="dxa"/>
              <w:bottom w:w="80" w:type="dxa"/>
              <w:right w:w="85" w:type="dxa"/>
            </w:tcMar>
            <w:vAlign w:val="center"/>
          </w:tcPr>
          <w:p w14:paraId="5F810C5C" w14:textId="77777777" w:rsidR="0094261F" w:rsidRDefault="00000000">
            <w:pPr>
              <w:keepNext/>
              <w:keepLines/>
              <w:spacing w:after="0" w:line="247" w:lineRule="auto"/>
              <w:jc w:val="left"/>
              <w:rPr>
                <w:rFonts w:hint="eastAsia"/>
              </w:rPr>
            </w:pPr>
            <w:r>
              <w:rPr>
                <w:sz w:val="21"/>
              </w:rPr>
              <w:t>Recorded sampling law and correction</w:t>
            </w:r>
          </w:p>
        </w:tc>
      </w:tr>
      <w:tr w:rsidR="0094261F" w14:paraId="011D4198" w14:textId="77777777">
        <w:trPr>
          <w:cantSplit/>
          <w:jc w:val="center"/>
        </w:trPr>
        <w:tc>
          <w:tcPr>
            <w:tcW w:w="1584" w:type="dxa"/>
            <w:shd w:val="clear" w:color="auto" w:fill="FFFFFF"/>
            <w:tcMar>
              <w:top w:w="80" w:type="dxa"/>
              <w:left w:w="85" w:type="dxa"/>
              <w:bottom w:w="80" w:type="dxa"/>
              <w:right w:w="85" w:type="dxa"/>
            </w:tcMar>
            <w:vAlign w:val="center"/>
          </w:tcPr>
          <w:p w14:paraId="220CD202" w14:textId="77777777" w:rsidR="0094261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δ</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60E16194" w14:textId="77777777" w:rsidR="0094261F" w:rsidRDefault="00000000">
            <w:pPr>
              <w:keepNext/>
              <w:keepLines/>
              <w:spacing w:after="0" w:line="247" w:lineRule="auto"/>
              <w:jc w:val="left"/>
              <w:rPr>
                <w:rFonts w:hint="eastAsia"/>
              </w:rPr>
            </w:pPr>
            <w:r>
              <w:rPr>
                <w:sz w:val="21"/>
              </w:rPr>
              <w:t>Inclusion probability and outcome</w:t>
            </w:r>
          </w:p>
        </w:tc>
        <w:tc>
          <w:tcPr>
            <w:tcW w:w="5112" w:type="dxa"/>
            <w:shd w:val="clear" w:color="auto" w:fill="FFFFFF"/>
            <w:tcMar>
              <w:top w:w="80" w:type="dxa"/>
              <w:left w:w="85" w:type="dxa"/>
              <w:bottom w:w="80" w:type="dxa"/>
              <w:right w:w="85" w:type="dxa"/>
            </w:tcMar>
            <w:vAlign w:val="center"/>
          </w:tcPr>
          <w:p w14:paraId="41695637" w14:textId="77777777" w:rsidR="0094261F" w:rsidRDefault="00000000">
            <w:pPr>
              <w:keepNext/>
              <w:keepLines/>
              <w:spacing w:after="0" w:line="247" w:lineRule="auto"/>
              <w:jc w:val="left"/>
              <w:rPr>
                <w:rFonts w:hint="eastAsia"/>
              </w:rPr>
            </w:pPr>
            <w:r>
              <w:rPr>
                <w:sz w:val="21"/>
              </w:rPr>
              <w:t>Selective measurement protocol</w:t>
            </w:r>
          </w:p>
        </w:tc>
      </w:tr>
      <w:tr w:rsidR="0094261F" w14:paraId="2E2383BB" w14:textId="77777777">
        <w:trPr>
          <w:cantSplit/>
          <w:jc w:val="center"/>
        </w:trPr>
        <w:tc>
          <w:tcPr>
            <w:tcW w:w="1584" w:type="dxa"/>
            <w:shd w:val="clear" w:color="auto" w:fill="FFFFFF"/>
            <w:tcMar>
              <w:top w:w="80" w:type="dxa"/>
              <w:left w:w="85" w:type="dxa"/>
              <w:bottom w:w="80" w:type="dxa"/>
              <w:right w:w="85" w:type="dxa"/>
            </w:tcMar>
            <w:vAlign w:val="center"/>
          </w:tcPr>
          <w:p w14:paraId="5A6A0DE1" w14:textId="77777777" w:rsidR="0094261F" w:rsidRDefault="00000000">
            <w:pPr>
              <w:keepLines/>
              <w:spacing w:after="0" w:line="247" w:lineRule="auto"/>
              <w:jc w:val="left"/>
              <w:rPr>
                <w:rFonts w:hint="eastAsia"/>
              </w:rPr>
            </w:pPr>
            <m:oMath>
              <m:r>
                <w:rPr>
                  <w:rFonts w:ascii="Cambria Math" w:hAnsi="Cambria Math"/>
                </w:rPr>
                <m:t>θ</m:t>
              </m:r>
            </m:oMath>
            <w:r>
              <w:rPr>
                <w:sz w:val="21"/>
              </w:rPr>
              <w:t xml:space="preserve">, </w:t>
            </w:r>
            <m:oMath>
              <m:r>
                <w:rPr>
                  <w:rFonts w:ascii="Cambria Math" w:hAnsi="Cambria Math"/>
                </w:rPr>
                <m:t>ψ</m:t>
              </m:r>
            </m:oMath>
            <w:r>
              <w:rPr>
                <w:sz w:val="21"/>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31A34A48" w14:textId="77777777" w:rsidR="0094261F" w:rsidRDefault="00000000">
            <w:pPr>
              <w:keepLines/>
              <w:spacing w:after="0" w:line="247" w:lineRule="auto"/>
              <w:jc w:val="left"/>
              <w:rPr>
                <w:rFonts w:hint="eastAsia"/>
              </w:rPr>
            </w:pPr>
            <w:r>
              <w:rPr>
                <w:sz w:val="21"/>
              </w:rPr>
              <w:t>Model weights, harness version, runtime state</w:t>
            </w:r>
          </w:p>
        </w:tc>
        <w:tc>
          <w:tcPr>
            <w:tcW w:w="5112" w:type="dxa"/>
            <w:shd w:val="clear" w:color="auto" w:fill="FFFFFF"/>
            <w:tcMar>
              <w:top w:w="80" w:type="dxa"/>
              <w:left w:w="85" w:type="dxa"/>
              <w:bottom w:w="80" w:type="dxa"/>
              <w:right w:w="85" w:type="dxa"/>
            </w:tcMar>
            <w:vAlign w:val="center"/>
          </w:tcPr>
          <w:p w14:paraId="60656D6B" w14:textId="77777777" w:rsidR="0094261F" w:rsidRDefault="00000000">
            <w:pPr>
              <w:keepLines/>
              <w:spacing w:after="0" w:line="247" w:lineRule="auto"/>
              <w:jc w:val="left"/>
              <w:rPr>
                <w:rFonts w:hint="eastAsia"/>
              </w:rPr>
            </w:pPr>
            <w:r>
              <w:rPr>
                <w:sz w:val="21"/>
              </w:rPr>
              <w:t>Separate sources of behavior change</w:t>
            </w:r>
          </w:p>
        </w:tc>
      </w:tr>
    </w:tbl>
    <w:p w14:paraId="238158F4" w14:textId="77777777" w:rsidR="0094261F" w:rsidRDefault="00000000">
      <w:pPr>
        <w:pStyle w:val="Heading1"/>
        <w:rPr>
          <w:rFonts w:hint="eastAsia"/>
        </w:rPr>
      </w:pPr>
      <w:bookmarkStart w:id="5" w:name="Xd4b75bf3feeeb8c4dc23ace8b04f74dc41817ac"/>
      <w:bookmarkEnd w:id="2"/>
      <w:bookmarkEnd w:id="4"/>
      <w:r>
        <w:t>3 Generalized Bayes and the meaning of causal</w:t>
      </w:r>
    </w:p>
    <w:p w14:paraId="343E4F13" w14:textId="77777777" w:rsidR="0094261F" w:rsidRDefault="00000000">
      <w:pPr>
        <w:pStyle w:val="Heading2"/>
        <w:rPr>
          <w:rFonts w:hint="eastAsia"/>
        </w:rPr>
      </w:pPr>
      <w:bookmarkStart w:id="6" w:name="X134c190cefe471770273428b3da252ef5aeae12"/>
      <w:r>
        <w:t>3.1 A preference update with an exact variational meaning</w:t>
      </w:r>
    </w:p>
    <w:p w14:paraId="556C5BDA" w14:textId="77777777" w:rsidR="0094261F" w:rsidRDefault="00000000">
      <w:pPr>
        <w:pStyle w:val="FirstParagraph"/>
        <w:rPr>
          <w:rFonts w:hint="eastAsia"/>
        </w:rPr>
      </w:pPr>
      <w:r>
        <w:t xml:space="preserve">The exponential factor in (1) is a generalized-Bayes loss update [1]. It expresses a chosen preference for low-loss designs relative to </w:t>
      </w:r>
      <m:oMath>
        <m:r>
          <w:rPr>
            <w:rFonts w:ascii="Cambria Math" w:hAnsi="Cambria Math"/>
          </w:rPr>
          <m:t>μ</m:t>
        </m:r>
      </m:oMath>
      <w:r>
        <w:t xml:space="preserve">. It need not be a likelihood for observed physical data. An ordinary Bayes representation can be manufactured by defining an artificial Bernoulli variable </w:t>
      </w:r>
      <m:oMath>
        <m:r>
          <w:rPr>
            <w:rFonts w:ascii="Cambria Math" w:hAnsi="Cambria Math"/>
          </w:rPr>
          <m:t>O</m:t>
        </m:r>
      </m:oMath>
      <w:r>
        <w:t xml:space="preserve"> with </w:t>
      </w:r>
      <m:oMath>
        <m:r>
          <m:rPr>
            <m:sty m:val="p"/>
          </m:rPr>
          <w:rPr>
            <w:rFonts w:ascii="Cambria Math" w:hAnsi="Cambria Math"/>
          </w:rPr>
          <m:t>Pr</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Then </w:t>
      </w:r>
      <m:oMath>
        <m:r>
          <m:rPr>
            <m:sty m:val="p"/>
          </m:rPr>
          <w:rPr>
            <w:rFonts w:ascii="Cambria Math" w:hAnsi="Cambria Math"/>
          </w:rPr>
          <m:t>Pr</m:t>
        </m:r>
        <m:d>
          <m:dPr>
            <m:ctrlPr>
              <w:rPr>
                <w:rFonts w:ascii="Cambria Math" w:hAnsi="Cambria Math"/>
              </w:rPr>
            </m:ctrlPr>
          </m:dPr>
          <m:e>
            <m:r>
              <w:rPr>
                <w:rFonts w:ascii="Cambria Math" w:hAnsi="Cambria Math"/>
              </w:rPr>
              <m:t>dy</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dy</m:t>
            </m:r>
          </m:e>
        </m:d>
      </m:oMath>
      <w:r>
        <w:t>. This construction defines a soft optimality event; it supplies no independent validation that a design is physically acceptable.</w:t>
      </w:r>
    </w:p>
    <w:p w14:paraId="390C8CC4" w14:textId="77777777" w:rsidR="0094261F" w:rsidRDefault="00000000">
      <w:pPr>
        <w:pStyle w:val="BodyText"/>
        <w:keepNext/>
        <w:rPr>
          <w:rFonts w:hint="eastAsia"/>
        </w:rPr>
      </w:pPr>
      <w:r>
        <w:t xml:space="preserve">For </w:t>
      </w:r>
      <m:oMath>
        <m:r>
          <w:rPr>
            <w:rFonts w:ascii="Cambria Math" w:hAnsi="Cambria Math"/>
          </w:rPr>
          <m:t>β</m:t>
        </m:r>
        <m:r>
          <m:rPr>
            <m:sty m:val="p"/>
          </m:rPr>
          <w:rPr>
            <w:rFonts w:ascii="Cambria Math" w:hAnsi="Cambria Math"/>
          </w:rPr>
          <m:t>&gt;</m:t>
        </m:r>
        <m:r>
          <w:rPr>
            <w:rFonts w:ascii="Cambria Math" w:hAnsi="Cambria Math"/>
          </w:rPr>
          <m:t>0</m:t>
        </m:r>
      </m:oMath>
      <w:r>
        <w:t xml:space="preserve">, the target has a useful optimization interpretation. For any probability </w:t>
      </w:r>
      <m:oMath>
        <m:r>
          <w:rPr>
            <w:rFonts w:ascii="Cambria Math" w:hAnsi="Cambria Math"/>
          </w:rPr>
          <m:t>ρ</m:t>
        </m:r>
        <m:r>
          <m:rPr>
            <m:sty m:val="p"/>
          </m:rPr>
          <w:rPr>
            <w:rFonts w:ascii="Cambria Math" w:hAnsi="Cambria Math"/>
          </w:rPr>
          <m:t>≪</m:t>
        </m:r>
        <m:r>
          <w:rPr>
            <w:rFonts w:ascii="Cambria Math" w:hAnsi="Cambria Math"/>
          </w:rPr>
          <m:t>μ</m:t>
        </m:r>
      </m:oMath>
      <w:r>
        <w:t xml:space="preserve"> with finite objective terms,</w:t>
      </w:r>
    </w:p>
    <w:p w14:paraId="31811B7D"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ρ</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μ</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(5)</m:t>
          </m:r>
        </m:oMath>
      </m:oMathPara>
    </w:p>
    <w:p w14:paraId="41084D8C" w14:textId="77777777" w:rsidR="0094261F" w:rsidRDefault="00000000">
      <w:pPr>
        <w:pStyle w:val="FirstParagraph"/>
        <w:rPr>
          <w:rFonts w:hint="eastAsia"/>
        </w:rPr>
      </w:pPr>
      <w:r>
        <w:t xml:space="preserve">Substitute </w:t>
      </w:r>
      <m:oMath>
        <m:r>
          <m:rPr>
            <m:sty m:val="p"/>
          </m:rPr>
          <w:rPr>
            <w:rFonts w:ascii="Cambria Math" w:hAnsi="Cambria Math"/>
          </w:rPr>
          <m:t>log</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dμ</m:t>
            </m:r>
          </m:e>
        </m:d>
        <m:r>
          <m:rPr>
            <m:sty m:val="p"/>
          </m:rPr>
          <w:rPr>
            <w:rFonts w:ascii="Cambria Math" w:hAnsi="Cambria Math"/>
          </w:rPr>
          <m:t>=-</m:t>
        </m:r>
        <m:r>
          <w:rPr>
            <w:rFonts w:ascii="Cambria Math" w:hAnsi="Cambria Math"/>
          </w:rPr>
          <m:t>βJ</m:t>
        </m:r>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to obtain (5). Nonnegativity of relative entropy makes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the unique minimizer, up to equality of measures. Its own objective is finite: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t xml:space="preserve"> ensures finite target mean loss and finite </w:t>
      </w:r>
      <m:oMath>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μ</m:t>
            </m:r>
          </m:e>
        </m:d>
      </m:oMath>
      <w:r>
        <w:t>. Thus the density is an entropy-regularized design preference, with an explicit regularization scale.</w:t>
      </w:r>
    </w:p>
    <w:p w14:paraId="7693C41B" w14:textId="77777777" w:rsidR="0094261F" w:rsidRDefault="00000000">
      <w:pPr>
        <w:pStyle w:val="BodyText"/>
        <w:rPr>
          <w:rFonts w:hint="eastAsia"/>
        </w:rPr>
      </w:pPr>
      <w:r>
        <w:t xml:space="preserve">An uncorrected archive with masses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xml:space="preserve"> is also a valid Gibbs update of the finite empirical reference measure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w:r>
        <w:t xml:space="preserve">. It becomes a different claim when presented as an estimator of the fixed target (1). For independent draws from a density </w:t>
      </w:r>
      <m:oMath>
        <m:r>
          <w:rPr>
            <w:rFonts w:ascii="Cambria Math" w:hAnsi="Cambria Math"/>
          </w:rPr>
          <m:t>p</m:t>
        </m:r>
      </m:oMath>
      <w:r>
        <w:t xml:space="preserve">, the uncorrected ratio converges, when the required integrals exist, to the law proportional to </w:t>
      </w:r>
      <m:oMath>
        <m:r>
          <w:rPr>
            <w:rFonts w:ascii="Cambria Math" w:hAnsi="Cambria Math"/>
          </w:rPr>
          <m:t>p</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rather than the law proportional to </w:t>
      </w:r>
      <m:oMath>
        <m:r>
          <w:rPr>
            <w:rFonts w:ascii="Cambria Math" w:hAnsi="Cambria Math"/>
          </w:rPr>
          <m:t>ν</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Here </w:t>
      </w:r>
      <m:oMath>
        <m:r>
          <w:rPr>
            <w:rFonts w:ascii="Cambria Math" w:hAnsi="Cambria Math"/>
          </w:rPr>
          <m:t>ν</m:t>
        </m:r>
      </m:oMath>
      <w:r>
        <w:t xml:space="preserve"> is the density of </w:t>
      </w:r>
      <m:oMath>
        <m:r>
          <w:rPr>
            <w:rFonts w:ascii="Cambria Math" w:hAnsi="Cambria Math"/>
          </w:rPr>
          <m:t>μ</m:t>
        </m:r>
      </m:oMath>
      <w:r>
        <w:t xml:space="preserve"> against a common reference measure. Adaptive archives likewise need their actual sampling laws accounted for.</w:t>
      </w:r>
    </w:p>
    <w:p w14:paraId="1DD72E41" w14:textId="77777777" w:rsidR="0094261F" w:rsidRDefault="00000000">
      <w:pPr>
        <w:pStyle w:val="Heading2"/>
        <w:rPr>
          <w:rFonts w:hint="eastAsia"/>
        </w:rPr>
      </w:pPr>
      <w:bookmarkStart w:id="7" w:name="X344fa2334d968d7b45cb5a573f46bd33f756a87"/>
      <w:bookmarkEnd w:id="6"/>
      <w:r>
        <w:t>3.2 Sequential dependence does not identify interventions</w:t>
      </w:r>
    </w:p>
    <w:p w14:paraId="6316438F" w14:textId="77777777" w:rsidR="0094261F" w:rsidRDefault="00000000">
      <w:pPr>
        <w:pStyle w:val="FirstParagraph"/>
        <w:rPr>
          <w:rFonts w:hint="eastAsia"/>
        </w:rPr>
      </w:pPr>
      <w:r>
        <w:t>Causal in this paper means that each proposal depends only on information already available. This is the nonanticipation used in the martingale proofs. It does not assert that changing a harness component causes an observed performance difference.</w:t>
      </w:r>
    </w:p>
    <w:p w14:paraId="682ABDE2" w14:textId="77777777" w:rsidR="0094261F" w:rsidRDefault="00000000">
      <w:pPr>
        <w:pStyle w:val="BodyText"/>
        <w:rPr>
          <w:rFonts w:hint="eastAsia"/>
        </w:rPr>
      </w:pPr>
      <w:r>
        <w:t xml:space="preserve">For example, suppose easy and hard tasks occur equally often. Two harness versions have identical success probabilities, 0.9 on easy tasks and 0.2 on hard tasks. If version A is selected with probability </w:t>
      </w:r>
      <w:r>
        <w:lastRenderedPageBreak/>
        <w:t>0.9 for easy tasks and 0.1 for hard tasks, then its observed success rate is 0.83, while B’s is 0.27. Under random assignment, both succeed with probability 0.55. All choices can be sequential and predictable while the observational difference remains confounded. Harness ablations therefore need controlled assignments or a justified causal identification strategy, in addition to the integration contract.</w:t>
      </w:r>
    </w:p>
    <w:p w14:paraId="4AC36762" w14:textId="77777777" w:rsidR="0094261F" w:rsidRDefault="00000000">
      <w:pPr>
        <w:pStyle w:val="Heading1"/>
        <w:rPr>
          <w:rFonts w:hint="eastAsia"/>
        </w:rPr>
      </w:pPr>
      <w:bookmarkStart w:id="8" w:name="X947b91611d0a53862dff362c0b4c53a5c7b6957"/>
      <w:bookmarkEnd w:id="5"/>
      <w:bookmarkEnd w:id="7"/>
      <w:r>
        <w:t>4 Exact integration with continuous and atomic proposals</w:t>
      </w:r>
    </w:p>
    <w:p w14:paraId="4562041A" w14:textId="77777777" w:rsidR="0094261F" w:rsidRDefault="00000000">
      <w:pPr>
        <w:pStyle w:val="Heading2"/>
        <w:rPr>
          <w:rFonts w:hint="eastAsia"/>
        </w:rPr>
      </w:pPr>
      <w:bookmarkStart w:id="9" w:name="conditional-integration"/>
      <w:r>
        <w:t>4.1 Conditional integration</w:t>
      </w:r>
    </w:p>
    <w:p w14:paraId="5C4429B1" w14:textId="77777777" w:rsidR="0094261F" w:rsidRDefault="00000000">
      <w:pPr>
        <w:pStyle w:val="FirstParagraph"/>
        <w:keepNext/>
        <w:keepLines/>
        <w:rPr>
          <w:rFonts w:hint="eastAsia"/>
        </w:rPr>
      </w:pPr>
      <w:r>
        <w:rPr>
          <w:b/>
          <w:bCs/>
        </w:rPr>
        <w:t>Theorem 1 — Conditional identity and fixed temperature consistency.</w:t>
      </w:r>
      <w:r>
        <w:t xml:space="preserve"> Assume (1)–(3). For bounded measurable </w:t>
      </w:r>
      <m:oMath>
        <m:r>
          <w:rPr>
            <w:rFonts w:ascii="Cambria Math" w:hAnsi="Cambria Math"/>
          </w:rPr>
          <m:t>h</m:t>
        </m:r>
      </m:oMath>
      <w:r>
        <w:t>,</w:t>
      </w:r>
    </w:p>
    <w:p w14:paraId="3E0059BF" w14:textId="77777777" w:rsidR="0094261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r>
            <m:rPr>
              <m:sty m:val="p"/>
            </m:rPr>
            <w:rPr>
              <w:rFonts w:ascii="Cambria Math" w:hAnsi="Cambria Math"/>
            </w:rPr>
            <m:t>.</m:t>
          </m:r>
          <m:r>
            <m:rPr>
              <m:nor/>
            </m:rPr>
            <m:t>    (6)</m:t>
          </m:r>
        </m:oMath>
      </m:oMathPara>
    </w:p>
    <w:p w14:paraId="2E7FC430" w14:textId="77777777" w:rsidR="0094261F" w:rsidRDefault="00000000">
      <w:pPr>
        <w:pStyle w:val="FirstParagraph"/>
        <w:rPr>
          <w:rFonts w:hint="eastAsia"/>
        </w:rPr>
      </w:pPr>
      <w:r>
        <w:t xml:space="preserve">Moreover,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oMath>
      <w:r>
        <w:t xml:space="preserve"> almost surely. The denominator is eventually positive almost surely.</w:t>
      </w:r>
    </w:p>
    <w:p w14:paraId="76962A12" w14:textId="77777777" w:rsidR="0094261F" w:rsidRDefault="00000000">
      <w:pPr>
        <w:pStyle w:val="BodyText"/>
        <w:rPr>
          <w:rFonts w:hint="eastAsia"/>
        </w:rPr>
      </w:pPr>
      <w:r>
        <w:rPr>
          <w:b/>
          <w:bCs/>
        </w:rPr>
        <w:t>Proof.</w:t>
      </w:r>
      <w:r>
        <w:t xml:space="preserve"> Conditional expectation over inclusion cancels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Integration under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then cancels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giving (6). The differences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are bounded martingale differences. Azuma’s inequality followed by Borel–Cantelli yields their average converging to zero; apply the same argument with </w:t>
      </w:r>
      <m:oMath>
        <m:r>
          <w:rPr>
            <w:rFonts w:ascii="Cambria Math" w:hAnsi="Cambria Math"/>
          </w:rPr>
          <m:t>h</m:t>
        </m:r>
        <m:r>
          <m:rPr>
            <m:sty m:val="p"/>
          </m:rPr>
          <w:rPr>
            <w:rFonts w:ascii="Cambria Math" w:hAnsi="Cambria Math"/>
          </w:rPr>
          <m:t>=</m:t>
        </m:r>
        <m:r>
          <w:rPr>
            <w:rFonts w:ascii="Cambria Math" w:hAnsi="Cambria Math"/>
          </w:rPr>
          <m:t>1</m:t>
        </m:r>
      </m:oMath>
      <w:r>
        <w:t xml:space="preserve">. Division is valid eventually because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No independence between successive proposals is required. </w:t>
      </w:r>
      <m:oMath>
        <m:r>
          <m:rPr>
            <m:sty m:val="p"/>
          </m:rPr>
          <w:rPr>
            <w:rFonts w:ascii="Cambria Math" w:hAnsi="Cambria Math"/>
          </w:rPr>
          <m:t>▫</m:t>
        </m:r>
      </m:oMath>
    </w:p>
    <w:p w14:paraId="79D8DD10" w14:textId="77777777" w:rsidR="0094261F" w:rsidRDefault="00000000">
      <w:pPr>
        <w:pStyle w:val="BodyText"/>
        <w:rPr>
          <w:rFonts w:hint="eastAsia"/>
        </w:rPr>
      </w:pPr>
      <w:r>
        <w:t xml:space="preserve">The averages estimating </w:t>
      </w:r>
      <m:oMath>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are unbiased at every fixed </w:t>
      </w:r>
      <m:oMath>
        <m:r>
          <w:rPr>
            <w:rFonts w:ascii="Cambria Math" w:hAnsi="Cambria Math"/>
          </w:rPr>
          <m:t>N</m:t>
        </m:r>
      </m:oMath>
      <w:r>
        <w:t>. Their ratio generally has finite-sample bias. Conditional exactness does not imply unbiased self-normalization, monotonically improving realized error, or reliable uncertainty assessment from effective sample size alone.</w:t>
      </w:r>
    </w:p>
    <w:p w14:paraId="0FA597A4" w14:textId="77777777" w:rsidR="0094261F" w:rsidRDefault="00000000">
      <w:pPr>
        <w:pStyle w:val="BodyText"/>
        <w:keepNext/>
        <w:keepLines/>
        <w:rPr>
          <w:rFonts w:hint="eastAsia"/>
        </w:rPr>
      </w:pPr>
      <w:r>
        <w:rPr>
          <w:b/>
          <w:bCs/>
        </w:rPr>
        <w:t>Corollary 1 — Unbounded loss moments at positive temperature.</w:t>
      </w:r>
      <w:r>
        <w:t xml:space="preserve"> For every fixed </w:t>
      </w:r>
      <m:oMath>
        <m:r>
          <w:rPr>
            <w:rFonts w:ascii="Cambria Math" w:hAnsi="Cambria Math"/>
          </w:rPr>
          <m:t>β</m:t>
        </m:r>
        <m:r>
          <m:rPr>
            <m:sty m:val="p"/>
          </m:rPr>
          <w:rPr>
            <w:rFonts w:ascii="Cambria Math" w:hAnsi="Cambria Math"/>
          </w:rPr>
          <m:t>&gt;</m:t>
        </m:r>
        <m:r>
          <w:rPr>
            <w:rFonts w:ascii="Cambria Math" w:hAnsi="Cambria Math"/>
          </w:rPr>
          <m:t>0</m:t>
        </m:r>
      </m:oMath>
      <w:r>
        <w:t xml:space="preserve"> and real </w:t>
      </w:r>
      <m:oMath>
        <m:r>
          <w:rPr>
            <w:rFonts w:ascii="Cambria Math" w:hAnsi="Cambria Math"/>
          </w:rPr>
          <m:t>r</m:t>
        </m:r>
        <m:r>
          <m:rPr>
            <m:sty m:val="p"/>
          </m:rPr>
          <w:rPr>
            <w:rFonts w:ascii="Cambria Math" w:hAnsi="Cambria Math"/>
          </w:rPr>
          <m:t>&gt;</m:t>
        </m:r>
        <m:r>
          <w:rPr>
            <w:rFonts w:ascii="Cambria Math" w:hAnsi="Cambria Math"/>
          </w:rPr>
          <m:t>0</m:t>
        </m:r>
      </m:oMath>
      <w:r>
        <w:t xml:space="preserve">, the same conclusions hold for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because</w:t>
      </w:r>
    </w:p>
    <w:p w14:paraId="5EB7268C" w14:textId="77777777" w:rsidR="0094261F" w:rsidRDefault="00000000">
      <w:pPr>
        <w:pStyle w:val="BodyText"/>
        <w:keepLines/>
        <w:spacing w:before="60" w:after="120"/>
        <w:jc w:val="center"/>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w:rPr>
              <w:rFonts w:ascii="Cambria Math" w:hAnsi="Cambria Math"/>
            </w:rPr>
            <m:t>J</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r</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eβ</m:t>
                      </m:r>
                    </m:den>
                  </m:f>
                </m:e>
              </m:d>
            </m:e>
            <m:sup>
              <m:r>
                <w:rPr>
                  <w:rFonts w:ascii="Cambria Math" w:hAnsi="Cambria Math"/>
                </w:rPr>
                <m:t>r</m:t>
              </m:r>
            </m:sup>
          </m:sSup>
          <m:r>
            <m:rPr>
              <m:sty m:val="p"/>
            </m:rPr>
            <w:rPr>
              <w:rFonts w:ascii="Cambria Math" w:hAnsi="Cambria Math"/>
            </w:rPr>
            <m:t>.</m:t>
          </m:r>
          <m:r>
            <m:rPr>
              <m:nor/>
            </m:rPr>
            <m:t>    (7)</m:t>
          </m:r>
        </m:oMath>
      </m:oMathPara>
    </w:p>
    <w:p w14:paraId="334EBD00" w14:textId="77777777" w:rsidR="0094261F" w:rsidRDefault="00000000">
      <w:pPr>
        <w:pStyle w:val="FirstParagraph"/>
        <w:rPr>
          <w:rFonts w:hint="eastAsia"/>
        </w:rPr>
      </w:pPr>
      <w:r>
        <w:t xml:space="preserve">The bound follows by maximizing </w:t>
      </w:r>
      <m:oMath>
        <m:sSup>
          <m:sSupPr>
            <m:ctrlPr>
              <w:rPr>
                <w:rFonts w:ascii="Cambria Math" w:hAnsi="Cambria Math"/>
              </w:rPr>
            </m:ctrlPr>
          </m:sSupPr>
          <m:e>
            <m:r>
              <w:rPr>
                <w:rFonts w:ascii="Cambria Math" w:hAnsi="Cambria Math"/>
              </w:rPr>
              <m:t>u</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over </w:t>
      </w:r>
      <m:oMath>
        <m:r>
          <w:rPr>
            <w:rFonts w:ascii="Cambria Math" w:hAnsi="Cambria Math"/>
          </w:rPr>
          <m:t>u</m:t>
        </m:r>
        <m:r>
          <m:rPr>
            <m:sty m:val="p"/>
          </m:rPr>
          <w:rPr>
            <w:rFonts w:ascii="Cambria Math" w:hAnsi="Cambria Math"/>
          </w:rPr>
          <m:t>≥</m:t>
        </m:r>
        <m:r>
          <w:rPr>
            <w:rFonts w:ascii="Cambria Math" w:hAnsi="Cambria Math"/>
          </w:rPr>
          <m:t>0</m:t>
        </m:r>
      </m:oMath>
      <w:r>
        <w:t xml:space="preserve">. It resolves consistency for an unbounded quartic loss without compactifying the design space. At </w:t>
      </w:r>
      <m:oMath>
        <m:r>
          <w:rPr>
            <w:rFonts w:ascii="Cambria Math" w:hAnsi="Cambria Math"/>
          </w:rPr>
          <m:t>β</m:t>
        </m:r>
        <m:r>
          <m:rPr>
            <m:sty m:val="p"/>
          </m:rPr>
          <w:rPr>
            <w:rFonts w:ascii="Cambria Math" w:hAnsi="Cambria Math"/>
          </w:rPr>
          <m:t>=</m:t>
        </m:r>
        <m:r>
          <w:rPr>
            <w:rFonts w:ascii="Cambria Math" w:hAnsi="Cambria Math"/>
          </w:rPr>
          <m:t>0</m:t>
        </m:r>
      </m:oMath>
      <w:r>
        <w:t>, this exponential envelope disappears and additional moment conditions are needed for unbounded test functions.</w:t>
      </w:r>
    </w:p>
    <w:p w14:paraId="6EB5714E" w14:textId="77777777" w:rsidR="0094261F" w:rsidRDefault="00000000">
      <w:pPr>
        <w:pStyle w:val="Heading2"/>
        <w:rPr>
          <w:rFonts w:hint="eastAsia"/>
        </w:rPr>
      </w:pPr>
      <w:bookmarkStart w:id="10" w:name="Xfafa544131f6620885a423ff526bfbac824011a"/>
      <w:bookmarkEnd w:id="9"/>
      <w:r>
        <w:t>4.2 Deterministic steps depend on the reference measure</w:t>
      </w:r>
    </w:p>
    <w:p w14:paraId="41C8A20A" w14:textId="77777777" w:rsidR="0094261F" w:rsidRDefault="00000000">
      <w:pPr>
        <w:pStyle w:val="FirstParagraph"/>
        <w:rPr>
          <w:rFonts w:hint="eastAsia"/>
        </w:rPr>
      </w:pPr>
      <w:r>
        <w:t xml:space="preserve">Consider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with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r>
          <w:rPr>
            <w:rFonts w:ascii="Cambria Math" w:hAnsi="Cambria Math"/>
          </w:rPr>
          <m:t>1</m:t>
        </m:r>
      </m:oMath>
      <w:r>
        <w:t xml:space="preserve">. If </w:t>
      </w:r>
      <m:oMath>
        <m:r>
          <w:rPr>
            <w:rFonts w:ascii="Cambria Math" w:hAnsi="Cambria Math"/>
          </w:rPr>
          <m:t>μ</m:t>
        </m:r>
      </m:oMath>
      <w:r>
        <w:t xml:space="preserve"> is nonatomic, its derivative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off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0</m:t>
        </m:r>
      </m:oMath>
      <w:r>
        <w:t>. A deterministic draw from the atom therefore receives zero integration weight. It may still be evaluated and may improve the best observed feasible design. Integration weight and engineering usefulness are different quantities.</w:t>
      </w:r>
    </w:p>
    <w:p w14:paraId="48FD3844" w14:textId="77777777" w:rsidR="0094261F" w:rsidRDefault="00000000">
      <w:pPr>
        <w:pStyle w:val="BodyText"/>
        <w:keepNext/>
        <w:rPr>
          <w:rFonts w:hint="eastAsia"/>
        </w:rPr>
      </w:pPr>
      <w:r>
        <w:t xml:space="preserve">If instead </w:t>
      </w:r>
      <m:oMath>
        <m:r>
          <w:rPr>
            <w:rFonts w:ascii="Cambria Math" w:hAnsi="Cambria Math"/>
          </w:rPr>
          <m:t>m</m:t>
        </m:r>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&gt;</m:t>
        </m:r>
        <m:r>
          <w:rPr>
            <w:rFonts w:ascii="Cambria Math" w:hAnsi="Cambria Math"/>
          </w:rPr>
          <m:t>0</m:t>
        </m:r>
      </m:oMath>
      <w:r>
        <w:t>, the derivative at the atom is</w:t>
      </w:r>
    </w:p>
    <w:p w14:paraId="3564725A"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εm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den>
          </m:f>
          <m:r>
            <m:rPr>
              <m:sty m:val="p"/>
            </m:rPr>
            <w:rPr>
              <w:rFonts w:ascii="Cambria Math" w:hAnsi="Cambria Math"/>
            </w:rPr>
            <m:t>,</m:t>
          </m:r>
          <m:r>
            <m:rPr>
              <m:nor/>
            </m:rPr>
            <m:t>    (8)</m:t>
          </m:r>
        </m:oMath>
      </m:oMathPara>
    </w:p>
    <w:p w14:paraId="6983C4E1" w14:textId="77777777" w:rsidR="0094261F" w:rsidRDefault="00000000">
      <w:pPr>
        <w:pStyle w:val="FirstParagraph"/>
        <w:rPr>
          <w:rFonts w:hint="eastAsia"/>
        </w:rPr>
      </w:pPr>
      <w:r>
        <w:t xml:space="preserve">which is positive. With </w:t>
      </w:r>
      <m:oMath>
        <m:r>
          <w:rPr>
            <w:rFonts w:ascii="Cambria Math" w:hAnsi="Cambria Math"/>
          </w:rPr>
          <m:t>m</m:t>
        </m:r>
        <m:r>
          <m:rPr>
            <m:sty m:val="p"/>
          </m:rPr>
          <w:rPr>
            <w:rFonts w:ascii="Cambria Math" w:hAnsi="Cambria Math"/>
          </w:rPr>
          <m:t>=</m:t>
        </m:r>
        <m:r>
          <w:rPr>
            <w:rFonts w:ascii="Cambria Math" w:hAnsi="Cambria Math"/>
          </w:rPr>
          <m:t>0.25</m:t>
        </m:r>
      </m:oMath>
      <w:r>
        <w:t xml:space="preserve"> and </w:t>
      </w:r>
      <m:oMath>
        <m:r>
          <w:rPr>
            <w:rFonts w:ascii="Cambria Math" w:hAnsi="Cambria Math"/>
          </w:rPr>
          <m:t>ε</m:t>
        </m:r>
        <m:r>
          <m:rPr>
            <m:sty m:val="p"/>
          </m:rPr>
          <w:rPr>
            <w:rFonts w:ascii="Cambria Math" w:hAnsi="Cambria Math"/>
          </w:rPr>
          <m:t>=</m:t>
        </m:r>
        <m:r>
          <w:rPr>
            <w:rFonts w:ascii="Cambria Math" w:hAnsi="Cambria Math"/>
          </w:rPr>
          <m:t>0.2</m:t>
        </m:r>
      </m:oMath>
      <w:r>
        <w:t xml:space="preserve">, the proposal mass at the atom is 0.85 and the derivative is </w:t>
      </w:r>
      <m:oMath>
        <m:r>
          <w:rPr>
            <w:rFonts w:ascii="Cambria Math" w:hAnsi="Cambria Math"/>
          </w:rPr>
          <m:t>5</m:t>
        </m:r>
        <m:r>
          <m:rPr>
            <m:sty m:val="p"/>
          </m:rPr>
          <w:rPr>
            <w:rFonts w:ascii="Cambria Math" w:hAnsi="Cambria Math"/>
          </w:rPr>
          <m:t>/</m:t>
        </m:r>
        <m:r>
          <w:rPr>
            <w:rFonts w:ascii="Cambria Math" w:hAnsi="Cambria Math"/>
          </w:rPr>
          <m:t>17</m:t>
        </m:r>
      </m:oMath>
      <w:r>
        <w:t xml:space="preserve">. Setting every deterministic draw to zero would be incorrect for this mixed or discrete reference. When </w:t>
      </w:r>
      <m:oMath>
        <m:r>
          <w:rPr>
            <w:rFonts w:ascii="Cambria Math" w:hAnsi="Cambria Math"/>
          </w:rPr>
          <m:t>ε</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μ</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oMath>
      <w:r>
        <w:t xml:space="preserve"> everywhere, </w:t>
      </w:r>
      <m:oMath>
        <m:r>
          <w:rPr>
            <w:rFonts w:ascii="Cambria Math" w:hAnsi="Cambria Math"/>
          </w:rPr>
          <m:t>μ</m:t>
        </m:r>
      </m:oMath>
      <w:r>
        <w:t xml:space="preserve"> almost surely. A pure Dirac proposal </w:t>
      </w:r>
      <w:r>
        <w:lastRenderedPageBreak/>
        <w:t>cannot dominate a nonatomic reference; it can be valid if the reference itself is the same Dirac measure.</w:t>
      </w:r>
    </w:p>
    <w:p w14:paraId="7F24D1F0" w14:textId="77777777" w:rsidR="0094261F" w:rsidRDefault="00000000">
      <w:pPr>
        <w:pStyle w:val="BodyText"/>
        <w:rPr>
          <w:rFonts w:hint="eastAsia"/>
        </w:rPr>
      </w:pPr>
      <w:r>
        <w:t xml:space="preserve">For ordinary densities,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mixed laws, an infinite log density sentinel is not a replacement for measure bookkeeping. Store a law type, branch or atom identity where needed, and the evaluated log derivative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 zero derivative is represented by </w:t>
      </w:r>
      <m:oMath>
        <m:r>
          <m:rPr>
            <m:sty m:val="p"/>
          </m:rPr>
          <w:rPr>
            <w:rFonts w:ascii="Cambria Math" w:hAnsi="Cambria Math"/>
          </w:rPr>
          <m:t>-∞</m:t>
        </m:r>
      </m:oMath>
      <w:r>
        <w:t xml:space="preserve"> in this log derivative. It is not represented as a physical probability density of </w:t>
      </w:r>
      <m:oMath>
        <m:r>
          <m:rPr>
            <m:sty m:val="p"/>
          </m:rPr>
          <w:rPr>
            <w:rFonts w:ascii="Cambria Math" w:hAnsi="Cambria Math"/>
          </w:rPr>
          <m:t>+∞</m:t>
        </m:r>
      </m:oMath>
      <w:r>
        <w:t>.</w:t>
      </w:r>
    </w:p>
    <w:p w14:paraId="4296DB19" w14:textId="77777777" w:rsidR="0094261F" w:rsidRDefault="00000000">
      <w:pPr>
        <w:pStyle w:val="Heading2"/>
        <w:rPr>
          <w:rFonts w:hint="eastAsia"/>
        </w:rPr>
      </w:pPr>
      <w:bookmarkStart w:id="11" w:name="full-mixture-and-component-label-weights"/>
      <w:bookmarkEnd w:id="10"/>
      <w:r>
        <w:t>4.3 Full mixture and component-label weights</w:t>
      </w:r>
    </w:p>
    <w:p w14:paraId="3060321D" w14:textId="77777777" w:rsidR="0094261F"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ic</m:t>
                </m:r>
              </m:sub>
            </m:sSub>
          </m:e>
        </m:nary>
        <m:sSub>
          <m:sSubPr>
            <m:ctrlPr>
              <w:rPr>
                <w:rFonts w:ascii="Cambria Math" w:hAnsi="Cambria Math"/>
              </w:rPr>
            </m:ctrlPr>
          </m:sSubPr>
          <m:e>
            <m:r>
              <w:rPr>
                <w:rFonts w:ascii="Cambria Math" w:hAnsi="Cambria Math"/>
              </w:rPr>
              <m:t>Q</m:t>
            </m:r>
          </m:e>
          <m:sub>
            <m:r>
              <w:rPr>
                <w:rFonts w:ascii="Cambria Math" w:hAnsi="Cambria Math"/>
              </w:rPr>
              <m:t>ic</m:t>
            </m:r>
          </m:sub>
        </m:sSub>
      </m:oMath>
      <w:r>
        <w:t xml:space="preserve"> and first sample a label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with probabilities </w:t>
      </w:r>
      <m:oMath>
        <m:sSub>
          <m:sSubPr>
            <m:ctrlPr>
              <w:rPr>
                <w:rFonts w:ascii="Cambria Math" w:hAnsi="Cambria Math"/>
              </w:rPr>
            </m:ctrlPr>
          </m:sSubPr>
          <m:e>
            <m:r>
              <w:rPr>
                <w:rFonts w:ascii="Cambria Math" w:hAnsi="Cambria Math"/>
              </w:rPr>
              <m:t>α</m:t>
            </m:r>
          </m:e>
          <m:sub>
            <m:r>
              <w:rPr>
                <w:rFonts w:ascii="Cambria Math" w:hAnsi="Cambria Math"/>
              </w:rPr>
              <m:t>ic</m:t>
            </m:r>
          </m:sub>
        </m:sSub>
      </m:oMath>
      <w:r>
        <w:t xml:space="preserve">. Component weighting uses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instead of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this to reproduce the whole target conditional on every selected label, </w:t>
      </w:r>
      <w:r>
        <w:rPr>
          <w:b/>
          <w:bCs/>
        </w:rPr>
        <w:t xml:space="preserve">each positive-probability component must dominate </w:t>
      </w:r>
      <m:oMath>
        <m:r>
          <w:rPr>
            <w:rFonts w:ascii="Cambria Math" w:hAnsi="Cambria Math"/>
          </w:rPr>
          <m:t>μ</m:t>
        </m:r>
      </m:oMath>
      <w:r>
        <w:t>, or more generally dominate the target measure. Without that support condition the component integral covers only the target mass visible to that component. The defensive full mixture can be valid even when this component construction is invalid.</w:t>
      </w:r>
    </w:p>
    <w:p w14:paraId="756F48D1" w14:textId="77777777" w:rsidR="0094261F" w:rsidRDefault="00000000">
      <w:pPr>
        <w:pStyle w:val="BodyText"/>
        <w:keepNext/>
        <w:keepLines/>
        <w:rPr>
          <w:rFonts w:hint="eastAsia"/>
        </w:rPr>
      </w:pPr>
      <w:r>
        <w:rPr>
          <w:b/>
          <w:bCs/>
        </w:rPr>
        <w:t>Proposition 1 — One-step Rao–Blackwellization.</w:t>
      </w:r>
      <w:r>
        <w:t xml:space="preserve"> Suppose all positive-weight component densities </w:t>
      </w:r>
      <m:oMath>
        <m:sSub>
          <m:sSubPr>
            <m:ctrlPr>
              <w:rPr>
                <w:rFonts w:ascii="Cambria Math" w:hAnsi="Cambria Math"/>
              </w:rPr>
            </m:ctrlPr>
          </m:sSubPr>
          <m:e>
            <m:r>
              <w:rPr>
                <w:rFonts w:ascii="Cambria Math" w:hAnsi="Cambria Math"/>
              </w:rPr>
              <m:t>q</m:t>
            </m:r>
          </m:e>
          <m:sub>
            <m:r>
              <w:rPr>
                <w:rFonts w:ascii="Cambria Math" w:hAnsi="Cambria Math"/>
              </w:rPr>
              <m:t>ic</m:t>
            </m:r>
          </m:sub>
        </m:sSub>
      </m:oMath>
      <w:r>
        <w:t xml:space="preserve"> are positive </w:t>
      </w:r>
      <m:oMath>
        <m:r>
          <w:rPr>
            <w:rFonts w:ascii="Cambria Math" w:hAnsi="Cambria Math"/>
          </w:rPr>
          <m:t>μ</m:t>
        </m:r>
      </m:oMath>
      <w:r>
        <w:t xml:space="preserve"> almost everywhere, relative to a common dominating measure. Suppose also that inclusion uses the same function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irrespective of component label. With </w:t>
      </w:r>
      <m:oMath>
        <m:sSub>
          <m:sSubPr>
            <m:ctrlPr>
              <w:rPr>
                <w:rFonts w:ascii="Cambria Math" w:hAnsi="Cambria Math"/>
              </w:rPr>
            </m:ctrlPr>
          </m:sSubPr>
          <m:e>
            <m:r>
              <w:rPr>
                <w:rFonts w:ascii="Cambria Math" w:hAnsi="Cambria Math"/>
              </w:rPr>
              <m:t>f</m:t>
            </m:r>
          </m:e>
          <m:sub>
            <m:r>
              <w:rPr>
                <w:rFonts w:ascii="Cambria Math" w:hAnsi="Cambria Math"/>
              </w:rPr>
              <m:t>β</m:t>
            </m:r>
          </m:sub>
        </m:sSub>
        <m:r>
          <m:rPr>
            <m:sty m:val="p"/>
          </m:rPr>
          <w:rPr>
            <w:rFonts w:ascii="Cambria Math" w:hAnsi="Cambria Math"/>
          </w:rPr>
          <m:t>=</m:t>
        </m:r>
        <m:r>
          <w:rPr>
            <w:rFonts w:ascii="Cambria Math" w:hAnsi="Cambria Math"/>
          </w:rPr>
          <m:t>ν</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the full-mixture integrand is the conditional expectation of the component integrand:</w:t>
      </w:r>
    </w:p>
    <w:p w14:paraId="4949624D" w14:textId="77777777" w:rsidR="0094261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q</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nor/>
            </m:rPr>
            <m:t>    </m:t>
          </m:r>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(9)</m:t>
          </m:r>
        </m:oMath>
      </m:oMathPara>
    </w:p>
    <w:p w14:paraId="1F4CFEDD" w14:textId="77777777" w:rsidR="0094261F" w:rsidRDefault="00000000">
      <w:pPr>
        <w:pStyle w:val="FirstParagraph"/>
        <w:rPr>
          <w:rFonts w:hint="eastAsia"/>
        </w:rPr>
      </w:pPr>
      <w:r>
        <w:rPr>
          <w:b/>
          <w:bCs/>
        </w:rPr>
        <w:t>Proof.</w:t>
      </w:r>
      <w:r>
        <w:t xml:space="preserve"> Given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oMath>
      <w:r>
        <w:t xml:space="preserve">, label probabilities are </w:t>
      </w:r>
      <m:oMath>
        <m:sSub>
          <m:sSubPr>
            <m:ctrlPr>
              <w:rPr>
                <w:rFonts w:ascii="Cambria Math" w:hAnsi="Cambria Math"/>
              </w:rPr>
            </m:ctrlPr>
          </m:sSubPr>
          <m:e>
            <m:r>
              <w:rPr>
                <w:rFonts w:ascii="Cambria Math" w:hAnsi="Cambria Math"/>
              </w:rPr>
              <m:t>α</m:t>
            </m:r>
          </m:e>
          <m:sub>
            <m:r>
              <w:rPr>
                <w:rFonts w:ascii="Cambria Math" w:hAnsi="Cambria Math"/>
              </w:rPr>
              <m:t>ic</m:t>
            </m:r>
          </m:sub>
        </m:sSub>
        <m:sSub>
          <m:sSubPr>
            <m:ctrlPr>
              <w:rPr>
                <w:rFonts w:ascii="Cambria Math" w:hAnsi="Cambria Math"/>
              </w:rPr>
            </m:ctrlPr>
          </m:sSubPr>
          <m:e>
            <m:r>
              <w:rPr>
                <w:rFonts w:ascii="Cambria Math" w:hAnsi="Cambria Math"/>
              </w:rPr>
              <m:t>q</m:t>
            </m:r>
          </m:e>
          <m:sub>
            <m:r>
              <w:rPr>
                <w:rFonts w:ascii="Cambria Math" w:hAnsi="Cambria Math"/>
              </w:rPr>
              <m:t>ic</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The label-independent inclusion rule leaves them unchanged after conditioning on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Summing the component integrand against these probabilities yields (9). Conditional variance decomposition gives no larger one-step variance for the full-mixture integrand, allowing an infinite component variance. </w:t>
      </w:r>
      <m:oMath>
        <m:r>
          <m:rPr>
            <m:sty m:val="p"/>
          </m:rPr>
          <w:rPr>
            <w:rFonts w:ascii="Cambria Math" w:hAnsi="Cambria Math"/>
          </w:rPr>
          <m:t>▫</m:t>
        </m:r>
      </m:oMath>
    </w:p>
    <w:p w14:paraId="67DA246C" w14:textId="77777777" w:rsidR="0094261F" w:rsidRDefault="00000000">
      <w:pPr>
        <w:pStyle w:val="BodyText"/>
        <w:rPr>
          <w:rFonts w:hint="eastAsia"/>
        </w:rPr>
      </w:pPr>
      <w:r>
        <w:t>This comparison concerns an unnormalized integral at the same history and proposal. It does not order the finite-sample mean squared errors of self-normalized ratios, or entire adaptive runs whose future proposals change with their weights. A full-support Gaussian component can support valid component weighting while losing the uniform defensive bound. A deterministic component over a continuous reference fails the required support condition altogether.</w:t>
      </w:r>
    </w:p>
    <w:p w14:paraId="36B42FA8" w14:textId="77777777" w:rsidR="0094261F" w:rsidRDefault="00000000">
      <w:pPr>
        <w:pStyle w:val="Heading2"/>
        <w:rPr>
          <w:rFonts w:hint="eastAsia"/>
        </w:rPr>
      </w:pPr>
      <w:bookmarkStart w:id="12" w:name="a-precise-infinite-variance-example"/>
      <w:bookmarkEnd w:id="11"/>
      <w:r>
        <w:t>4.4 A precise infinite variance example</w:t>
      </w:r>
    </w:p>
    <w:p w14:paraId="39951381" w14:textId="77777777" w:rsidR="0094261F" w:rsidRDefault="00000000">
      <w:pPr>
        <w:pStyle w:val="FirstParagraph"/>
        <w:keepNext/>
        <w:rPr>
          <w:rFonts w:hint="eastAsia"/>
        </w:rPr>
      </w:pPr>
      <w:r>
        <w:t xml:space="preserve">Take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the nondefensive proposal </w:t>
      </w:r>
      <m:oMath>
        <m:r>
          <w:rPr>
            <w:rFonts w:ascii="Cambria Math" w:hAnsi="Cambria Math"/>
          </w:rPr>
          <m:t>q</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e>
        </m:d>
      </m:oMath>
      <w:r>
        <w:t>. For the ordinary weight, its second moment is</w:t>
      </w:r>
    </w:p>
    <w:p w14:paraId="2719FCAE"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ν</m:t>
              </m:r>
              <m:sSup>
                <m:sSupPr>
                  <m:ctrlPr>
                    <w:rPr>
                      <w:rFonts w:ascii="Cambria Math" w:hAnsi="Cambria Math"/>
                    </w:rPr>
                  </m:ctrlPr>
                </m:sSupPr>
                <m:e>
                  <m:d>
                    <m:dPr>
                      <m:ctrlPr>
                        <w:rPr>
                          <w:rFonts w:ascii="Cambria Math" w:hAnsi="Cambria Math"/>
                        </w:rPr>
                      </m:ctrlPr>
                    </m:dPr>
                    <m:e>
                      <m:r>
                        <w:rPr>
                          <w:rFonts w:ascii="Cambria Math" w:hAnsi="Cambria Math"/>
                        </w:rPr>
                        <m:t>y</m:t>
                      </m:r>
                    </m:e>
                  </m:d>
                </m:e>
                <m:sup>
                  <m:r>
                    <w:rPr>
                      <w:rFonts w:ascii="Cambria Math" w:hAnsi="Cambria Math"/>
                    </w:rPr>
                    <m:t>2</m:t>
                  </m:r>
                </m:sup>
              </m:sSup>
            </m:num>
            <m:den>
              <m:r>
                <w:rPr>
                  <w:rFonts w:ascii="Cambria Math" w:hAnsi="Cambria Math"/>
                </w:rPr>
                <m:t>q</m:t>
              </m:r>
              <m:d>
                <m:dPr>
                  <m:ctrlPr>
                    <w:rPr>
                      <w:rFonts w:ascii="Cambria Math" w:hAnsi="Cambria Math"/>
                    </w:rPr>
                  </m:ctrlPr>
                </m:dPr>
                <m:e>
                  <m:r>
                    <w:rPr>
                      <w:rFonts w:ascii="Cambria Math" w:hAnsi="Cambria Math"/>
                    </w:rPr>
                    <m:t>y</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d>
                <m:dPr>
                  <m:ctrlPr>
                    <w:rPr>
                      <w:rFonts w:ascii="Cambria Math" w:hAnsi="Cambria Math"/>
                    </w:rPr>
                  </m:ctrlPr>
                </m:dPr>
                <m:e>
                  <m:r>
                    <w:rPr>
                      <w:rFonts w:ascii="Cambria Math" w:hAnsi="Cambria Math"/>
                    </w:rPr>
                    <m:t>y</m:t>
                  </m:r>
                </m:e>
              </m:d>
            </m:sup>
          </m:sSup>
          <m:r>
            <m:rPr>
              <m:nor/>
            </m:rPr>
            <m:t>    </m:t>
          </m:r>
          <m:r>
            <w:rPr>
              <w:rFonts w:ascii="Cambria Math" w:hAnsi="Cambria Math"/>
            </w:rPr>
            <m:t>dy</m:t>
          </m:r>
          <m:r>
            <m:rPr>
              <m:sty m:val="p"/>
            </m:rPr>
            <w:rPr>
              <w:rFonts w:ascii="Cambria Math" w:hAnsi="Cambria Math"/>
            </w:rPr>
            <m:t>.</m:t>
          </m:r>
          <m:r>
            <m:rPr>
              <m:nor/>
            </m:rPr>
            <m:t>    (10)</m:t>
          </m:r>
        </m:oMath>
      </m:oMathPara>
    </w:p>
    <w:p w14:paraId="2AFF5742" w14:textId="77777777" w:rsidR="0094261F" w:rsidRDefault="00000000">
      <w:pPr>
        <w:pStyle w:val="FirstParagraph"/>
        <w:keepNext/>
        <w:rPr>
          <w:rFonts w:hint="eastAsia"/>
        </w:rPr>
      </w:pPr>
      <w:r>
        <w:t xml:space="preserve">If </w:t>
      </w:r>
      <m:oMath>
        <m:r>
          <w:rPr>
            <w:rFonts w:ascii="Cambria Math" w:hAnsi="Cambria Math"/>
          </w:rPr>
          <m:t>J</m:t>
        </m:r>
      </m:oMath>
      <w:r>
        <w:t xml:space="preserve"> is bounded above and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this integral is infinite, including the boundary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for every </w:t>
      </w:r>
      <m:oMath>
        <m:r>
          <w:rPr>
            <w:rFonts w:ascii="Cambria Math" w:hAnsi="Cambria Math"/>
          </w:rPr>
          <m:t>m</m:t>
        </m:r>
      </m:oMath>
      <w:r>
        <w:t xml:space="preserve">. The exponent’s quadratic term is nonnegative at the boundary and positive below it; a remaining linear exponential cannot be integrable over the whole space. If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J</m:t>
        </m:r>
        <m:r>
          <m:rPr>
            <m:sty m:val="p"/>
          </m:rPr>
          <w:rPr>
            <w:rFonts w:ascii="Cambria Math" w:hAnsi="Cambria Math"/>
          </w:rPr>
          <m:t>≥</m:t>
        </m:r>
        <m:r>
          <w:rPr>
            <w:rFonts w:ascii="Cambria Math" w:hAnsi="Cambria Math"/>
          </w:rPr>
          <m:t>0</m:t>
        </m:r>
      </m:oMath>
      <w:r>
        <w:t>, it is finite, bounded by the zero-loss value</w:t>
      </w:r>
    </w:p>
    <w:p w14:paraId="20C353B9" w14:textId="77777777" w:rsidR="0094261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q</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e>
                  </m:d>
                </m:e>
                <m:sup>
                  <m:r>
                    <w:rPr>
                      <w:rFonts w:ascii="Cambria Math" w:hAnsi="Cambria Math"/>
                    </w:rPr>
                    <m:t>D</m:t>
                  </m:r>
                </m:sup>
              </m:sSup>
            </m:num>
            <m:den>
              <m:sSup>
                <m:sSupPr>
                  <m:ctrlPr>
                    <w:rPr>
                      <w:rFonts w:ascii="Cambria Math" w:hAnsi="Cambria Math"/>
                    </w:rPr>
                  </m:ctrlPr>
                </m:sSupPr>
                <m:e>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den>
              </m:f>
            </m:e>
          </m:d>
          <m:r>
            <m:rPr>
              <m:sty m:val="p"/>
            </m:rPr>
            <w:rPr>
              <w:rFonts w:ascii="Cambria Math" w:hAnsi="Cambria Math"/>
            </w:rPr>
            <m:t>.</m:t>
          </m:r>
          <m:r>
            <m:rPr>
              <m:nor/>
            </m:rPr>
            <m:t>    (11)</m:t>
          </m:r>
        </m:oMath>
      </m:oMathPara>
    </w:p>
    <w:p w14:paraId="006FA465" w14:textId="77777777" w:rsidR="0094261F" w:rsidRDefault="00000000">
      <w:pPr>
        <w:pStyle w:val="FirstParagraph"/>
        <w:rPr>
          <w:rFonts w:hint="eastAsia"/>
        </w:rPr>
      </w:pPr>
      <w:r>
        <w:lastRenderedPageBreak/>
        <w:t xml:space="preserve">At </w:t>
      </w:r>
      <m:oMath>
        <m:r>
          <w:rPr>
            <w:rFonts w:ascii="Cambria Math" w:hAnsi="Cambria Math"/>
          </w:rPr>
          <m:t>β</m:t>
        </m:r>
        <m:r>
          <m:rPr>
            <m:sty m:val="p"/>
          </m:rPr>
          <w:rPr>
            <w:rFonts w:ascii="Cambria Math" w:hAnsi="Cambria Math"/>
          </w:rPr>
          <m:t>&gt;</m:t>
        </m:r>
        <m:r>
          <w:rPr>
            <w:rFonts w:ascii="Cambria Math" w:hAnsi="Cambria Math"/>
          </w:rPr>
          <m:t>0</m:t>
        </m:r>
      </m:oMath>
      <w:r>
        <w:t xml:space="preserve">, a coercive quartic loss such as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w:r>
        <w:t xml:space="preserve"> makes (10) finite for every fixed </w:t>
      </w:r>
      <m:oMath>
        <m:r>
          <w:rPr>
            <w:rFonts w:ascii="Cambria Math" w:hAnsi="Cambria Math"/>
          </w:rPr>
          <m:t>s</m:t>
        </m:r>
        <m:r>
          <m:rPr>
            <m:sty m:val="p"/>
          </m:rPr>
          <w:rPr>
            <w:rFonts w:ascii="Cambria Math" w:hAnsi="Cambria Math"/>
          </w:rPr>
          <m:t>&gt;</m:t>
        </m:r>
        <m:r>
          <w:rPr>
            <w:rFonts w:ascii="Cambria Math" w:hAnsi="Cambria Math"/>
          </w:rPr>
          <m:t>0</m:t>
        </m:r>
      </m:oMath>
      <w:r>
        <w:t xml:space="preserve"> and finite </w:t>
      </w:r>
      <m:oMath>
        <m:r>
          <w:rPr>
            <w:rFonts w:ascii="Cambria Math" w:hAnsi="Cambria Math"/>
          </w:rPr>
          <m:t>m</m:t>
        </m:r>
      </m:oMath>
      <w:r>
        <w:t xml:space="preserve">, because its negative quartic exponent dominates every quadratic and linear term. At </w:t>
      </w:r>
      <m:oMath>
        <m:r>
          <w:rPr>
            <w:rFonts w:ascii="Cambria Math" w:hAnsi="Cambria Math"/>
          </w:rPr>
          <m:t>β</m:t>
        </m:r>
        <m:r>
          <m:rPr>
            <m:sty m:val="p"/>
          </m:rPr>
          <w:rPr>
            <w:rFonts w:ascii="Cambria Math" w:hAnsi="Cambria Math"/>
          </w:rPr>
          <m:t>=</m:t>
        </m:r>
        <m:r>
          <w:rPr>
            <w:rFonts w:ascii="Cambria Math" w:hAnsi="Cambria Math"/>
          </w:rPr>
          <m:t>0</m:t>
        </m:r>
      </m:oMath>
      <w:r>
        <w:t xml:space="preserve"> the loss has no effect. Even finite second moments at each step do not provide a uniform bound as adaptive proposal parameters vary. Defensive domination supplies that separate guarantee [2].</w:t>
      </w:r>
    </w:p>
    <w:p w14:paraId="56027568" w14:textId="77777777" w:rsidR="0094261F" w:rsidRDefault="00000000">
      <w:pPr>
        <w:pStyle w:val="Heading1"/>
        <w:rPr>
          <w:rFonts w:hint="eastAsia"/>
        </w:rPr>
      </w:pPr>
      <w:bookmarkStart w:id="13" w:name="X26d1759a1028be744c436fe36639afe1bcfa680"/>
      <w:bookmarkEnd w:id="8"/>
      <w:bookmarkEnd w:id="12"/>
      <w:r>
        <w:t>5 A variance sensitive finite sample guarantee</w:t>
      </w:r>
    </w:p>
    <w:p w14:paraId="375EF1E5" w14:textId="77777777" w:rsidR="0094261F" w:rsidRDefault="00000000">
      <w:pPr>
        <w:pStyle w:val="FirstParagraph"/>
        <w:rPr>
          <w:rFonts w:hint="eastAsia"/>
        </w:rPr>
      </w:pPr>
      <w:r>
        <w:t xml:space="preserve">For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and </w:t>
      </w:r>
      <m:oMath>
        <m:r>
          <w:rPr>
            <w:rFonts w:ascii="Cambria Math" w:hAnsi="Cambria Math"/>
          </w:rPr>
          <m:t>H</m:t>
        </m:r>
        <m:r>
          <m:rPr>
            <m:sty m:val="p"/>
          </m:rPr>
          <w:rPr>
            <w:rFonts w:ascii="Cambria Math" w:hAnsi="Cambria Math"/>
          </w:rPr>
          <m:t>&gt;</m:t>
        </m:r>
        <m:r>
          <w:rPr>
            <w:rFonts w:ascii="Cambria Math" w:hAnsi="Cambria Math"/>
          </w:rPr>
          <m:t>0</m:t>
        </m:r>
      </m:oMath>
      <w:r>
        <w:t xml:space="preserve">, (3) and (6) imply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The variable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H</m:t>
        </m:r>
      </m:oMath>
      <w:r>
        <w:t xml:space="preserve"> lies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has conditional variance at most </w:t>
      </w:r>
      <m:oMath>
        <m:r>
          <w:rPr>
            <w:rFonts w:ascii="Cambria Math" w:hAnsi="Cambria Math"/>
          </w:rPr>
          <m:t>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as well. Applying the scalar Freedman inequality [3,4] to both signs of the centered sums gives the following result.</w:t>
      </w:r>
    </w:p>
    <w:p w14:paraId="5072BEB3" w14:textId="77777777" w:rsidR="0094261F" w:rsidRDefault="00000000">
      <w:pPr>
        <w:pStyle w:val="BodyText"/>
        <w:keepNext/>
        <w:keepLines/>
        <w:rPr>
          <w:rFonts w:hint="eastAsia"/>
        </w:rPr>
      </w:pPr>
      <w:r>
        <w:rPr>
          <w:b/>
          <w:bCs/>
        </w:rPr>
        <w:t>Theorem 2 — Ratio deviation bound.</w:t>
      </w:r>
      <w:r>
        <w:t xml:space="preserve"> At a fixed </w:t>
      </w:r>
      <m:oMath>
        <m:r>
          <w:rPr>
            <w:rFonts w:ascii="Cambria Math" w:hAnsi="Cambria Math"/>
          </w:rPr>
          <m:t>N</m:t>
        </m:r>
      </m:oMath>
      <w:r>
        <w:t xml:space="preserve"> and fixed </w:t>
      </w:r>
      <m:oMath>
        <m:r>
          <w:rPr>
            <w:rFonts w:ascii="Cambria Math" w:hAnsi="Cambria Math"/>
          </w:rPr>
          <m:t>β</m:t>
        </m:r>
      </m:oMath>
      <w:r>
        <w:t xml:space="preserve">, for </w:t>
      </w:r>
      <m:oMath>
        <m:r>
          <w:rPr>
            <w:rFonts w:ascii="Cambria Math" w:hAnsi="Cambria Math"/>
          </w:rPr>
          <m:t>0</m:t>
        </m:r>
        <m:r>
          <m:rPr>
            <m:sty m:val="p"/>
          </m:rPr>
          <w:rPr>
            <w:rFonts w:ascii="Cambria Math" w:hAnsi="Cambria Math"/>
          </w:rPr>
          <m:t>&lt;</m:t>
        </m:r>
        <m:r>
          <w:rPr>
            <w:rFonts w:ascii="Cambria Math" w:hAnsi="Cambria Math"/>
          </w:rPr>
          <m:t>d</m:t>
        </m:r>
        <m:r>
          <m:rPr>
            <m:sty m:val="p"/>
          </m:rPr>
          <w:rPr>
            <w:rFonts w:ascii="Cambria Math" w:hAnsi="Cambria Math"/>
          </w:rPr>
          <m:t>&lt;</m:t>
        </m:r>
        <m:r>
          <w:rPr>
            <w:rFonts w:ascii="Cambria Math" w:hAnsi="Cambria Math"/>
          </w:rPr>
          <m:t>1</m:t>
        </m:r>
      </m:oMath>
      <w:r>
        <w:t>,</w:t>
      </w:r>
    </w:p>
    <w:p w14:paraId="5D0AB111" w14:textId="77777777" w:rsidR="0094261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r>
                <m:rPr>
                  <m:sty m:val="p"/>
                </m:rPr>
                <w:rPr>
                  <w:rFonts w:ascii="Cambria Math" w:hAnsi="Cambria Math"/>
                </w:rPr>
                <m:t>|&gt;</m:t>
              </m:r>
              <m:f>
                <m:fPr>
                  <m:ctrlPr>
                    <w:rPr>
                      <w:rFonts w:ascii="Cambria Math" w:hAnsi="Cambria Math"/>
                    </w:rPr>
                  </m:ctrlPr>
                </m:fPr>
                <m:num>
                  <m:r>
                    <w:rPr>
                      <w:rFonts w:ascii="Cambria Math" w:hAnsi="Cambria Math"/>
                    </w:rPr>
                    <m:t>2Hd</m:t>
                  </m:r>
                </m:num>
                <m:den>
                  <m:r>
                    <w:rPr>
                      <w:rFonts w:ascii="Cambria Math" w:hAnsi="Cambria Math"/>
                    </w:rPr>
                    <m:t>1</m:t>
                  </m:r>
                  <m:r>
                    <m:rPr>
                      <m:sty m:val="p"/>
                    </m:rPr>
                    <w:rPr>
                      <w:rFonts w:ascii="Cambria Math" w:hAnsi="Cambria Math"/>
                    </w:rPr>
                    <m:t>-</m:t>
                  </m:r>
                  <m:r>
                    <w:rPr>
                      <w:rFonts w:ascii="Cambria Math" w:hAnsi="Cambria Math"/>
                    </w:rPr>
                    <m:t>d</m:t>
                  </m:r>
                </m:den>
              </m:f>
            </m:e>
          </m:d>
          <m:r>
            <m:rPr>
              <m:sty m:val="p"/>
            </m:rPr>
            <w:rPr>
              <w:rFonts w:ascii="Cambria Math" w:hAnsi="Cambria Math"/>
            </w:rPr>
            <m:t>≤</m:t>
          </m:r>
          <m:r>
            <w:rPr>
              <w:rFonts w:ascii="Cambria Math" w:hAnsi="Cambria Math"/>
            </w:rPr>
            <m:t>4</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Z</m:t>
                  </m:r>
                </m:e>
                <m:sub>
                  <m:r>
                    <w:rPr>
                      <w:rFonts w:ascii="Cambria Math" w:hAnsi="Cambria Math"/>
                    </w:rPr>
                    <m:t>β</m:t>
                  </m:r>
                </m:sub>
              </m:sSub>
            </m:num>
            <m:den>
              <m:r>
                <w:rPr>
                  <w:rFonts w:ascii="Cambria Math" w:hAnsi="Cambria Math"/>
                </w:rPr>
                <m:t>2B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m:t>
                  </m:r>
                </m:e>
              </m:d>
            </m:den>
          </m:f>
          <m:r>
            <m:rPr>
              <m:sty m:val="p"/>
            </m:rPr>
            <w:rPr>
              <w:rFonts w:ascii="Cambria Math" w:hAnsi="Cambria Math"/>
            </w:rPr>
            <m:t>].</m:t>
          </m:r>
          <m:r>
            <m:rPr>
              <m:nor/>
            </m:rPr>
            <m:t>    (12)</m:t>
          </m:r>
        </m:oMath>
      </m:oMathPara>
    </w:p>
    <w:p w14:paraId="7E37C36C" w14:textId="77777777" w:rsidR="0094261F" w:rsidRDefault="00000000">
      <w:pPr>
        <w:pStyle w:val="FirstParagraph"/>
        <w:rPr>
          <w:rFonts w:hint="eastAsia"/>
        </w:rPr>
      </w:pPr>
      <w:r>
        <w:t xml:space="preserve">An undefined ratio is counted as a deviation event. </w:t>
      </w:r>
      <w:r>
        <w:rPr>
          <w:b/>
          <w:bCs/>
        </w:rPr>
        <w:t>Proof.</w:t>
      </w:r>
      <w:r>
        <w:t xml:space="preserve"> The predictable quadratic variations of the two centered sums are at most </w:t>
      </w:r>
      <m:oMath>
        <m:r>
          <w:rPr>
            <w:rFonts w:ascii="Cambria Math" w:hAnsi="Cambria Math"/>
          </w:rPr>
          <m:t>NB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each centered increment has absolute value at most </w:t>
      </w:r>
      <m:oMath>
        <m:r>
          <w:rPr>
            <w:rFonts w:ascii="Cambria Math" w:hAnsi="Cambria Math"/>
          </w:rPr>
          <m:t>B</m:t>
        </m:r>
      </m:oMath>
      <w:r>
        <w:t xml:space="preserve">. For either average, a deviation by </w:t>
      </w: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has two-sided probability at most twice the exponential in (12). On the complement of their union, the denominator average is at least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Ratio algebra, with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w:r>
        <w:t xml:space="preserve">, bounds the error by </w:t>
      </w:r>
      <m:oMath>
        <m:r>
          <w:rPr>
            <w:rFonts w:ascii="Cambria Math" w:hAnsi="Cambria Math"/>
          </w:rPr>
          <m:t>2Hd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w:t>
      </w:r>
      <m:oMath>
        <m:r>
          <m:rPr>
            <m:sty m:val="p"/>
          </m:rPr>
          <w:rPr>
            <w:rFonts w:ascii="Cambria Math" w:hAnsi="Cambria Math"/>
          </w:rPr>
          <m:t>▫</m:t>
        </m:r>
      </m:oMath>
    </w:p>
    <w:p w14:paraId="3C50F5CE" w14:textId="77777777" w:rsidR="0094261F" w:rsidRDefault="00000000">
      <w:pPr>
        <w:pStyle w:val="BodyText"/>
        <w:rPr>
          <w:rFonts w:hint="eastAsia"/>
        </w:rPr>
      </w:pPr>
      <w:r>
        <w:t xml:space="preserve">For signed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apply the theorem to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2H</m:t>
            </m:r>
          </m:e>
        </m:d>
      </m:oMath>
      <w:r>
        <w:t xml:space="preserve">; the error threshold becomes </w:t>
      </w:r>
      <m:oMath>
        <m:r>
          <w:rPr>
            <w:rFonts w:ascii="Cambria Math" w:hAnsi="Cambria Math"/>
          </w:rPr>
          <m:t>4Hd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A certified lower bound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can replace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on the right side of (12). Estimating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from the same run and inserting it without a separate validity argument does not produce a certified bound. The result is fixed-time, not an automatic confidence sequence under arbitrary stopping or post-selection.</w:t>
      </w:r>
    </w:p>
    <w:p w14:paraId="08F2A526" w14:textId="77777777" w:rsidR="0094261F" w:rsidRDefault="00000000">
      <w:pPr>
        <w:pStyle w:val="BodyText"/>
        <w:rPr>
          <w:rFonts w:hint="eastAsia"/>
        </w:rPr>
      </w:pPr>
      <w:r>
        <w:t xml:space="preserve">For the Himmelblau target at </w:t>
      </w:r>
      <m:oMath>
        <m:r>
          <w:rPr>
            <w:rFonts w:ascii="Cambria Math" w:hAnsi="Cambria Math"/>
          </w:rPr>
          <m:t>β</m:t>
        </m:r>
        <m:r>
          <m:rPr>
            <m:sty m:val="p"/>
          </m:rPr>
          <w:rPr>
            <w:rFonts w:ascii="Cambria Math" w:hAnsi="Cambria Math"/>
          </w:rPr>
          <m:t>=</m:t>
        </m:r>
        <m:r>
          <w:rPr>
            <w:rFonts w:ascii="Cambria Math" w:hAnsi="Cambria Math"/>
          </w:rPr>
          <m:t>0.1</m:t>
        </m:r>
      </m:oMath>
      <w:r>
        <w:t xml:space="preserve">, numerical quadrature gives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0.02719187</m:t>
        </m:r>
      </m:oMath>
      <w:r>
        <w:t xml:space="preserve">. With </w:t>
      </w:r>
      <m:oMath>
        <m:r>
          <w:rPr>
            <w:rFonts w:ascii="Cambria Math" w:hAnsi="Cambria Math"/>
          </w:rPr>
          <m:t>B</m:t>
        </m:r>
        <m:r>
          <m:rPr>
            <m:sty m:val="p"/>
          </m:rPr>
          <w:rPr>
            <w:rFonts w:ascii="Cambria Math" w:hAnsi="Cambria Math"/>
          </w:rPr>
          <m:t>=</m:t>
        </m:r>
        <m:r>
          <w:rPr>
            <w:rFonts w:ascii="Cambria Math" w:hAnsi="Cambria Math"/>
          </w:rPr>
          <m:t>10</m:t>
        </m:r>
      </m:oMath>
      <w:r>
        <w:t xml:space="preserve">, </w:t>
      </w:r>
      <m:oMath>
        <m:r>
          <w:rPr>
            <w:rFonts w:ascii="Cambria Math" w:hAnsi="Cambria Math"/>
          </w:rPr>
          <m:t>d</m:t>
        </m:r>
        <m:r>
          <m:rPr>
            <m:sty m:val="p"/>
          </m:rPr>
          <w:rPr>
            <w:rFonts w:ascii="Cambria Math" w:hAnsi="Cambria Math"/>
          </w:rPr>
          <m:t>=</m:t>
        </m:r>
        <m:r>
          <w:rPr>
            <w:rFonts w:ascii="Cambria Math" w:hAnsi="Cambria Math"/>
          </w:rPr>
          <m:t>0.1</m:t>
        </m:r>
      </m:oMath>
      <w:r>
        <w:t xml:space="preserve">, and </w:t>
      </w:r>
      <m:oMath>
        <m:r>
          <w:rPr>
            <w:rFonts w:ascii="Cambria Math" w:hAnsi="Cambria Math"/>
          </w:rPr>
          <m:t>H</m:t>
        </m:r>
        <m:r>
          <m:rPr>
            <m:sty m:val="p"/>
          </m:rPr>
          <w:rPr>
            <w:rFonts w:ascii="Cambria Math" w:hAnsi="Cambria Math"/>
          </w:rPr>
          <m:t>=</m:t>
        </m:r>
        <m:r>
          <w:rPr>
            <w:rFonts w:ascii="Cambria Math" w:hAnsi="Cambria Math"/>
          </w:rPr>
          <m:t>1</m:t>
        </m:r>
      </m:oMath>
      <w:r>
        <w:t xml:space="preserve">, the threshold is </w:t>
      </w:r>
      <m:oMath>
        <m:r>
          <w:rPr>
            <w:rFonts w:ascii="Cambria Math" w:hAnsi="Cambria Math"/>
          </w:rPr>
          <m:t>2</m:t>
        </m:r>
        <m:r>
          <m:rPr>
            <m:sty m:val="p"/>
          </m:rPr>
          <w:rPr>
            <w:rFonts w:ascii="Cambria Math" w:hAnsi="Cambria Math"/>
          </w:rPr>
          <m:t>/</m:t>
        </m:r>
        <m:r>
          <w:rPr>
            <w:rFonts w:ascii="Cambria Math" w:hAnsi="Cambria Math"/>
          </w:rPr>
          <m:t>9</m:t>
        </m:r>
      </m:oMath>
      <w:r>
        <w:t xml:space="preserve">. The attempt count making the right side at most 0.05 is approximately 333,048 when this value of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is used. This is a numerical illustration, not a certificate of the quadrature value. The earlier Azuma expression with the same threshold needs approximately 474 million attempts. At 1,600 attempts both bounds are vacuous. A declining deterministic error envelope never guarantees a decrease in the realized error after every record.</w:t>
      </w:r>
    </w:p>
    <w:p w14:paraId="5FB656F4" w14:textId="77777777" w:rsidR="0094261F" w:rsidRDefault="00000000">
      <w:pPr>
        <w:pStyle w:val="Heading1"/>
        <w:rPr>
          <w:rFonts w:hint="eastAsia"/>
        </w:rPr>
      </w:pPr>
      <w:bookmarkStart w:id="14" w:name="X097ada1d8f0af1776d7842492b2f86e45dfd92c"/>
      <w:bookmarkEnd w:id="13"/>
      <w:r>
        <w:t>6 Gaussian retrieval and uniform query consistency</w:t>
      </w:r>
    </w:p>
    <w:p w14:paraId="7132B8A9" w14:textId="77777777" w:rsidR="0094261F" w:rsidRDefault="00000000">
      <w:pPr>
        <w:pStyle w:val="Heading2"/>
        <w:rPr>
          <w:rFonts w:hint="eastAsia"/>
        </w:rPr>
      </w:pPr>
      <w:bookmarkStart w:id="15" w:name="the-noising-model-and-attention-identity"/>
      <w:r>
        <w:t>6.1 The noising model and attention identity</w:t>
      </w:r>
    </w:p>
    <w:p w14:paraId="41E32C6C" w14:textId="77777777" w:rsidR="0094261F" w:rsidRDefault="00000000">
      <w:pPr>
        <w:pStyle w:val="FirstParagraph"/>
        <w:keepNext/>
        <w:rPr>
          <w:rFonts w:hint="eastAsia"/>
        </w:rPr>
      </w:pPr>
      <w:r>
        <w:t xml:space="preserve">This section assumes </w:t>
      </w: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Given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introduce the actual Gaussian observation model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ξ</m:t>
        </m:r>
      </m:oMath>
      <w:r>
        <w:t xml:space="preserve">, with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independent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Write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for its density, </w:t>
      </w:r>
      <m:oMath>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dy</m:t>
            </m:r>
          </m:e>
        </m:d>
      </m:oMath>
      <w:r>
        <w:t>, and</w:t>
      </w:r>
    </w:p>
    <w:p w14:paraId="432BFCFB"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(13)</m:t>
          </m:r>
        </m:oMath>
      </m:oMathPara>
    </w:p>
    <w:p w14:paraId="0995098C" w14:textId="77777777" w:rsidR="0094261F" w:rsidRDefault="00000000">
      <w:pPr>
        <w:pStyle w:val="FirstParagraph"/>
        <w:keepNext/>
        <w:rPr>
          <w:rFonts w:hint="eastAsia"/>
        </w:rPr>
      </w:pPr>
      <w:r>
        <w:t>Gaussian differentiation under the integral gives the scaled Tweedie identity [5]</w:t>
      </w:r>
    </w:p>
    <w:p w14:paraId="359BE39A"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(14)</m:t>
          </m:r>
        </m:oMath>
      </m:oMathPara>
    </w:p>
    <w:p w14:paraId="38775713" w14:textId="77777777" w:rsidR="0094261F" w:rsidRDefault="00000000">
      <w:pPr>
        <w:pStyle w:val="FirstParagraph"/>
        <w:keepNext/>
        <w:rPr>
          <w:rFonts w:hint="eastAsia"/>
        </w:rPr>
      </w:pPr>
      <w:r>
        <w:lastRenderedPageBreak/>
        <w:t xml:space="preserve">Here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is a genuine likelihood of the specified auxiliary observation. The outer loss tilt remains a design preference. The finite-archive denoiser replaces the integrals in (13) by weighted sums. Its normalized coefficients are softmax attention with log scores</w:t>
      </w:r>
    </w:p>
    <w:p w14:paraId="55543C5B"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(15)</m:t>
          </m:r>
        </m:oMath>
      </m:oMathPara>
    </w:p>
    <w:p w14:paraId="1B9C61B4" w14:textId="77777777" w:rsidR="0094261F" w:rsidRDefault="00000000">
      <w:pPr>
        <w:pStyle w:val="FirstParagraph"/>
        <w:rPr>
          <w:rFonts w:hint="eastAsia"/>
        </w:rPr>
      </w:pPr>
      <w:r>
        <w:t xml:space="preserve">The common query term and Gaussian constant cancel. This is an algebraic identity for this retrieval rule; it does not identify ADE stages with trained Transformer blocks or establish that a resulting iterative trajectory samples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exactly. Denoiser consistency and sampler invariance are separate claims.</w:t>
      </w:r>
    </w:p>
    <w:p w14:paraId="595CE66B" w14:textId="77777777" w:rsidR="0094261F" w:rsidRDefault="00000000">
      <w:pPr>
        <w:pStyle w:val="Heading2"/>
        <w:rPr>
          <w:rFonts w:hint="eastAsia"/>
        </w:rPr>
      </w:pPr>
      <w:bookmarkStart w:id="16" w:name="compact-parameter-sets-suffice"/>
      <w:bookmarkEnd w:id="15"/>
      <w:r>
        <w:t>6.2 Compact parameter sets suffice</w:t>
      </w:r>
    </w:p>
    <w:p w14:paraId="5C008145" w14:textId="77777777" w:rsidR="0094261F" w:rsidRDefault="00000000">
      <w:pPr>
        <w:pStyle w:val="FirstParagraph"/>
        <w:keepLines/>
        <w:rPr>
          <w:rFonts w:hint="eastAsia"/>
        </w:rPr>
      </w:pPr>
      <w:r>
        <w:rPr>
          <w:b/>
          <w:bCs/>
        </w:rPr>
        <w:t>Theorem 3 — Uniform denoising on compact query and parameter sets.</w:t>
      </w:r>
      <w:r>
        <w:t xml:space="preserve"> Assume (1)–(3)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Fix a compact query set </w:t>
      </w:r>
      <m:oMath>
        <m:r>
          <w:rPr>
            <w:rFonts w:ascii="Cambria Math" w:hAnsi="Cambria Math"/>
          </w:rPr>
          <m:t>Q</m:t>
        </m:r>
      </m:oMath>
      <w:r>
        <w:t xml:space="preserve">, a closed interval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a closed interval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e>
        </m:d>
      </m:oMath>
      <w:r>
        <w:t xml:space="preserve">. Then the weighted-sum denoiser converges almost surely to (13), uniformly over </w:t>
      </w:r>
      <m:oMath>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t xml:space="preserve">. The score obtained from (14) converges uniformly there as well. No compactness of the support of </w:t>
      </w:r>
      <m:oMath>
        <m:r>
          <w:rPr>
            <w:rFonts w:ascii="Cambria Math" w:hAnsi="Cambria Math"/>
          </w:rPr>
          <m:t>μ</m:t>
        </m:r>
      </m:oMath>
      <w:r>
        <w:t xml:space="preserve"> is required.</w:t>
      </w:r>
    </w:p>
    <w:p w14:paraId="1A6C0B36" w14:textId="77777777" w:rsidR="0094261F" w:rsidRDefault="00000000">
      <w:pPr>
        <w:pStyle w:val="BodyText"/>
        <w:rPr>
          <w:rFonts w:hint="eastAsia"/>
        </w:rPr>
      </w:pPr>
      <w:r>
        <w:rPr>
          <w:b/>
          <w:bCs/>
        </w:rPr>
        <w:t>Proof.</w:t>
      </w:r>
      <w:r>
        <w:t xml:space="preserve"> For each coordinate, use the integrands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sSub>
          <m:sSubPr>
            <m:ctrlPr>
              <w:rPr>
                <w:rFonts w:ascii="Cambria Math" w:hAnsi="Cambria Math"/>
              </w:rPr>
            </m:ctrlPr>
          </m:sSubPr>
          <m:e>
            <m:r>
              <w:rPr>
                <w:rFonts w:ascii="Cambria Math" w:hAnsi="Cambria Math"/>
              </w:rPr>
              <m:t>y</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On </w:t>
      </w:r>
      <m:oMath>
        <m:r>
          <w:rPr>
            <w:rFonts w:ascii="Cambria Math" w:hAnsi="Cambria Math"/>
          </w:rPr>
          <m:t>Q</m:t>
        </m:r>
        <m:r>
          <m:rPr>
            <m:sty m:val="p"/>
          </m:rPr>
          <w:rPr>
            <w:rFonts w:ascii="Cambria Math" w:hAnsi="Cambria Math"/>
          </w:rPr>
          <m:t>×</m:t>
        </m:r>
        <m:r>
          <w:rPr>
            <w:rFonts w:ascii="Cambria Math" w:hAnsi="Cambria Math"/>
          </w:rPr>
          <m:t>A</m:t>
        </m:r>
      </m:oMath>
      <w:r>
        <w:t xml:space="preserve">, the Gaussian kernel and its first query and layer derivatives, multiplied by either 1 or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are bounded uniformly over all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 Gaussian tail dominates the polynomial factors, with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Their temperature derivatives are also bounded because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oMath>
      <w:r>
        <w:t xml:space="preserve">. Multiply by </w:t>
      </w:r>
      <m:oMath>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B</m:t>
        </m:r>
      </m:oMath>
      <w:r>
        <w:t xml:space="preserve">. At each point of a countable dense parameter set, the bounded martingale strong law applies. A finite-net argument with the common Lipschitz envelope extends convergence uniformly to the compact parameter set. The limiting denominator is continuous and positive everywhere, so it has a positive minimum there. Ratios and (14) preserve uniform convergence. </w:t>
      </w:r>
      <m:oMath>
        <m:r>
          <m:rPr>
            <m:sty m:val="p"/>
          </m:rPr>
          <w:rPr>
            <w:rFonts w:ascii="Cambria Math" w:hAnsi="Cambria Math"/>
          </w:rPr>
          <m:t>▫</m:t>
        </m:r>
      </m:oMath>
    </w:p>
    <w:p w14:paraId="3DF6D39C" w14:textId="77777777" w:rsidR="0094261F" w:rsidRDefault="00000000">
      <w:pPr>
        <w:pStyle w:val="BodyText"/>
        <w:rPr>
          <w:rFonts w:hint="eastAsia"/>
        </w:rPr>
      </w:pPr>
      <w:r>
        <w:t xml:space="preserve">The theorem covers archive-dependent queries and temperatures that remain inside these predeclared sets. It does not cover queries escaping to infinity, </w:t>
      </w:r>
      <m:oMath>
        <m:r>
          <w:rPr>
            <w:rFonts w:ascii="Cambria Math" w:hAnsi="Cambria Math"/>
          </w:rPr>
          <m:t>a</m:t>
        </m:r>
      </m:oMath>
      <w:r>
        <w:t xml:space="preserve"> approaching 0 or 1, or temperature diverging with the archive size. Separately, the same finite-net proof using (7) and its temperature derivative yields uniform consistency of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for </w:t>
      </w:r>
      <m:oMath>
        <m:r>
          <w:rPr>
            <w:rFonts w:ascii="Cambria Math" w:hAnsi="Cambria Math"/>
          </w:rPr>
          <m:t>β</m:t>
        </m:r>
        <m:r>
          <m:rPr>
            <m:sty m:val="p"/>
          </m:rPr>
          <w:rPr>
            <w:rFonts w:ascii="Cambria Math" w:hAnsi="Cambria Math"/>
          </w:rPr>
          <m:t>∈</m:t>
        </m:r>
        <m:r>
          <w:rPr>
            <w:rFonts w:ascii="Cambria Math" w:hAnsi="Cambria Math"/>
          </w:rPr>
          <m:t>I</m:t>
        </m:r>
      </m:oMath>
      <w:r>
        <w:t xml:space="preserve">. Thus a data-selected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N</m:t>
            </m:r>
          </m:sub>
        </m:sSub>
        <m:r>
          <m:rPr>
            <m:sty m:val="p"/>
          </m:rPr>
          <w:rPr>
            <w:rFonts w:ascii="Cambria Math" w:hAnsi="Cambria Math"/>
          </w:rPr>
          <m:t>∈</m:t>
        </m:r>
        <m:r>
          <w:rPr>
            <w:rFonts w:ascii="Cambria Math" w:hAnsi="Cambria Math"/>
          </w:rPr>
          <m:t>I</m:t>
        </m:r>
      </m:oMath>
      <w:r>
        <w:t xml:space="preserve"> is consistent for its corresponding moving target expectation, without supplying a post-selection confidence interval.</w:t>
      </w:r>
    </w:p>
    <w:p w14:paraId="4120DBF7" w14:textId="77777777" w:rsidR="0094261F" w:rsidRDefault="00000000">
      <w:pPr>
        <w:pStyle w:val="Heading1"/>
        <w:rPr>
          <w:rFonts w:hint="eastAsia"/>
        </w:rPr>
      </w:pPr>
      <w:bookmarkStart w:id="17" w:name="re-tempering-and-exact-response-reuse"/>
      <w:bookmarkEnd w:id="14"/>
      <w:bookmarkEnd w:id="16"/>
      <w:r>
        <w:t>7 Re tempering and exact response reuse</w:t>
      </w:r>
    </w:p>
    <w:p w14:paraId="24A379D5" w14:textId="77777777" w:rsidR="0094261F" w:rsidRDefault="00000000">
      <w:pPr>
        <w:pStyle w:val="FirstParagraph"/>
        <w:keepNext/>
        <w:rPr>
          <w:rFonts w:hint="eastAsia"/>
        </w:rPr>
      </w:pPr>
      <w:r>
        <w:t xml:space="preserve">Once the loss, sampling derivative, and inclusion probability have been recorded, a change from </w:t>
      </w:r>
      <m:oMath>
        <m:r>
          <w:rPr>
            <w:rFonts w:ascii="Cambria Math" w:hAnsi="Cambria Math"/>
          </w:rPr>
          <m:t>β</m:t>
        </m:r>
      </m:oMath>
      <w:r>
        <w:t xml:space="preserve"> to </w:t>
      </w:r>
      <m:oMath>
        <m:r>
          <w:rPr>
            <w:rFonts w:ascii="Cambria Math" w:hAnsi="Cambria Math"/>
          </w:rPr>
          <m:t>β</m:t>
        </m:r>
        <m:r>
          <m:rPr>
            <m:sty m:val="p"/>
          </m:rPr>
          <w:rPr>
            <w:rFonts w:ascii="Cambria Math" w:hAnsi="Cambria Math"/>
          </w:rPr>
          <m:t>'</m:t>
        </m:r>
      </m:oMath>
      <w:r>
        <w:t xml:space="preserve"> requires no new physical evaluation:</w:t>
      </w:r>
    </w:p>
    <w:p w14:paraId="2E85B7D2"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e>
              </m:d>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m:rPr>
              <m:sty m:val="p"/>
            </m:rPr>
            <w:rPr>
              <w:rFonts w:ascii="Cambria Math" w:hAnsi="Cambria Math"/>
            </w:rPr>
            <m:t>.</m:t>
          </m:r>
          <m:r>
            <m:rPr>
              <m:nor/>
            </m:rPr>
            <m:t>    (16)</m:t>
          </m:r>
        </m:oMath>
      </m:oMathPara>
    </w:p>
    <w:p w14:paraId="5AE9CC27" w14:textId="77777777" w:rsidR="0094261F" w:rsidRDefault="00000000">
      <w:pPr>
        <w:pStyle w:val="FirstParagraph"/>
        <w:rPr>
          <w:rFonts w:hint="eastAsia"/>
        </w:rPr>
      </w:pPr>
      <w:r>
        <w:t>Recompute log weights directly from the stored loss when numerical underflow has erased an earlier floating-point weight. Algebraic exactness of (16) does not guarantee adequate overlap at a larger inverse temperature. A few records can dominate after re-tempering. For random temperature selection inside a fixed positive compact interval, Section 6 supplies an asymptotic result; for growing temperatures use Section 8’s stronger assumptions and deterministic schedule.</w:t>
      </w:r>
    </w:p>
    <w:p w14:paraId="5649DE57" w14:textId="77777777" w:rsidR="0094261F" w:rsidRDefault="00000000">
      <w:pPr>
        <w:pStyle w:val="BodyText"/>
        <w:rPr>
          <w:rFonts w:hint="eastAsia"/>
        </w:rPr>
      </w:pPr>
      <w:r>
        <w:t xml:space="preserve">Store vector responses whenever later preferences may change. For example, structural cost, embodied carbon, drift, utilization, and vibration outputs can be rescored by a new declared loss while the analysis model remains compatible. The archive’s original proposal laws remain the laws that generated its states. A new objective changes the target; it does not change those historical laws. </w:t>
      </w:r>
      <w:r>
        <w:lastRenderedPageBreak/>
        <w:t>If the prior changes, the corresponding reference-to-proposal derivative must be recomputed and its domination checked. If the response model, load combinations, units, or geometry interpretation change, cached responses require explicit compatibility validation.</w:t>
      </w:r>
    </w:p>
    <w:p w14:paraId="6AE39834" w14:textId="77777777" w:rsidR="0094261F" w:rsidRDefault="00000000">
      <w:pPr>
        <w:pStyle w:val="BodyText"/>
        <w:rPr>
          <w:rFonts w:hint="eastAsia"/>
        </w:rPr>
      </w:pPr>
      <w:r>
        <w:t xml:space="preserve">Selective evaluation may use a predictable surrogate or uncertainty signal to choose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The positive floor is essential to the general guarantee. A deterministic exclusion region with positive target mass cannot be repaired by inverse probability weighting. Surrogate values may guide proposals or selection, but replacing missing exact losses by arbitrary predictions changes (6).</w:t>
      </w:r>
    </w:p>
    <w:p w14:paraId="3852F29C" w14:textId="77777777" w:rsidR="0094261F" w:rsidRDefault="00000000">
      <w:pPr>
        <w:pStyle w:val="BodyText"/>
        <w:rPr>
          <w:rFonts w:hint="eastAsia"/>
        </w:rPr>
      </w:pPr>
      <w:r>
        <w:t xml:space="preserve">For noisy measurements, first define the intended objective. If </w:t>
      </w:r>
      <m:oMath>
        <m:r>
          <w:rPr>
            <w:rFonts w:ascii="Cambria Math" w:hAnsi="Cambria Math"/>
          </w:rPr>
          <m:t>J</m:t>
        </m:r>
        <m:d>
          <m:dPr>
            <m:ctrlPr>
              <w:rPr>
                <w:rFonts w:ascii="Cambria Math" w:hAnsi="Cambria Math"/>
              </w:rPr>
            </m:ctrlPr>
          </m:dPr>
          <m:e>
            <m:r>
              <w:rPr>
                <w:rFonts w:ascii="Cambria Math" w:hAnsi="Cambria Math"/>
              </w:rPr>
              <m:t>y</m:t>
            </m:r>
          </m:e>
        </m:d>
        <m:r>
          <m:rPr>
            <m:scr m:val="double-struck"/>
            <m:sty m:val="p"/>
          </m:rPr>
          <w:rPr>
            <w:rFonts w:ascii="Cambria Math" w:hAnsi="Cambria Math"/>
          </w:rPr>
          <m:t>=E[</m:t>
        </m:r>
        <m: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r>
          <m:rPr>
            <m:sty m:val="p"/>
          </m:rPr>
          <w:rPr>
            <w:rFonts w:ascii="Cambria Math" w:hAnsi="Cambria Math"/>
          </w:rPr>
          <m:t>]</m:t>
        </m:r>
      </m:oMath>
      <w:r>
        <w:t xml:space="preserve">, then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generally differs from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sup>
        </m:sSup>
        <m:r>
          <m:rPr>
            <m:sty m:val="p"/>
          </m:rPr>
          <w:rPr>
            <w:rFonts w:ascii="Cambria Math" w:hAnsi="Cambria Math"/>
          </w:rPr>
          <m:t>]</m:t>
        </m:r>
      </m:oMath>
      <w:r>
        <w:t xml:space="preserve">. For a Bernoulli loss of mean 1/2 at </w:t>
      </w:r>
      <m:oMath>
        <m:r>
          <w:rPr>
            <w:rFonts w:ascii="Cambria Math" w:hAnsi="Cambria Math"/>
          </w:rPr>
          <m:t>β</m:t>
        </m:r>
        <m:r>
          <m:rPr>
            <m:sty m:val="p"/>
          </m:rPr>
          <w:rPr>
            <w:rFonts w:ascii="Cambria Math" w:hAnsi="Cambria Math"/>
          </w:rPr>
          <m:t>=</m:t>
        </m:r>
        <m:r>
          <w:rPr>
            <w:rFonts w:ascii="Cambria Math" w:hAnsi="Cambria Math"/>
          </w:rPr>
          <m:t>1</m:t>
        </m:r>
      </m:oMath>
      <w:r>
        <w:t xml:space="preserve">, these quantities are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0.60653</m:t>
        </m:r>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0.68394</m:t>
        </m:r>
      </m:oMath>
      <w:r>
        <w:t>. Exponentiating a single noisy loss therefore targets a different preference. Exact deterministic-response theorems cannot simply be transferred to this setting.</w:t>
      </w:r>
    </w:p>
    <w:p w14:paraId="61321DEA" w14:textId="77777777" w:rsidR="0094261F" w:rsidRDefault="00000000">
      <w:pPr>
        <w:pStyle w:val="Heading1"/>
        <w:rPr>
          <w:rFonts w:hint="eastAsia"/>
        </w:rPr>
      </w:pPr>
      <w:bookmarkStart w:id="18" w:name="X1db337ee7aabcb5510c183ee6cb1952804f3ae3"/>
      <w:bookmarkEnd w:id="17"/>
      <w:r>
        <w:t>8 Low temperature limits and search coverage</w:t>
      </w:r>
    </w:p>
    <w:p w14:paraId="5AB292A4" w14:textId="77777777" w:rsidR="0094261F" w:rsidRDefault="00000000">
      <w:pPr>
        <w:pStyle w:val="Heading2"/>
        <w:rPr>
          <w:rFonts w:hint="eastAsia"/>
        </w:rPr>
      </w:pPr>
      <w:bookmarkStart w:id="19" w:name="laplace-assumptions-and-target-mass"/>
      <w:r>
        <w:t>8.1 Laplace assumptions and target mass</w:t>
      </w:r>
    </w:p>
    <w:p w14:paraId="0FB0885B" w14:textId="77777777" w:rsidR="0094261F" w:rsidRDefault="00000000">
      <w:pPr>
        <w:pStyle w:val="FirstParagraph"/>
        <w:rPr>
          <w:rFonts w:hint="eastAsia"/>
        </w:rPr>
      </w:pPr>
      <w:r>
        <w:t xml:space="preserve">Assume now that </w:t>
      </w:r>
      <m:oMath>
        <m:r>
          <w:rPr>
            <w:rFonts w:ascii="Cambria Math" w:hAnsi="Cambria Math"/>
          </w:rPr>
          <m:t>J</m:t>
        </m:r>
      </m:oMath>
      <w:r>
        <w:t xml:space="preserve"> is continuous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bounded below by its attained global minimum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with finitely many global minimizers </w:t>
      </w:r>
      <m:oMath>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 Assume </w:t>
      </w:r>
      <m:oMath>
        <m:r>
          <w:rPr>
            <w:rFonts w:ascii="Cambria Math" w:hAnsi="Cambria Math"/>
          </w:rPr>
          <m:t>J</m:t>
        </m:r>
      </m:oMath>
      <w:r>
        <w:t xml:space="preserve"> is twice continuously differentiable near each minimizer and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J</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is positive definite. The reference has a Lebesgue density </w:t>
      </w:r>
      <m:oMath>
        <m:r>
          <w:rPr>
            <w:rFonts w:ascii="Cambria Math" w:hAnsi="Cambria Math"/>
          </w:rPr>
          <m:t>ν</m:t>
        </m:r>
      </m:oMath>
      <w:r>
        <w:t xml:space="preserve"> continuous and positive near these points. Finally, assume global isolation: for every neighborhood </w:t>
      </w:r>
      <m:oMath>
        <m:r>
          <w:rPr>
            <w:rFonts w:ascii="Cambria Math" w:hAnsi="Cambria Math"/>
          </w:rPr>
          <m:t>U</m:t>
        </m:r>
      </m:oMath>
      <w:r>
        <w:t xml:space="preserve"> containing all minimizers, </w:t>
      </w:r>
      <m:oMath>
        <m:sSub>
          <m:sSubPr>
            <m:ctrlPr>
              <w:rPr>
                <w:rFonts w:ascii="Cambria Math" w:hAnsi="Cambria Math"/>
              </w:rPr>
            </m:ctrlPr>
          </m:sSubPr>
          <m:e>
            <m:r>
              <m:rPr>
                <m:sty m:val="p"/>
              </m:rPr>
              <w:rPr>
                <w:rFonts w:ascii="Cambria Math" w:hAnsi="Cambria Math"/>
              </w:rPr>
              <m:t>inf</m:t>
            </m:r>
          </m:e>
          <m:sub>
            <m:r>
              <w:rPr>
                <w:rFonts w:ascii="Cambria Math" w:hAnsi="Cambria Math"/>
              </w:rPr>
              <m:t>y</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&gt;</m:t>
        </m:r>
        <m:r>
          <w:rPr>
            <w:rFonts w:ascii="Cambria Math" w:hAnsi="Cambria Math"/>
          </w:rPr>
          <m:t>0</m:t>
        </m:r>
      </m:oMath>
      <w:r>
        <w:t xml:space="preserve">. Continuity and coercivity are sufficient for this gap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continuity on a compact domain with interior minima is another sufficient setting.</w:t>
      </w:r>
    </w:p>
    <w:p w14:paraId="026BB852" w14:textId="77777777" w:rsidR="0094261F" w:rsidRDefault="00000000">
      <w:pPr>
        <w:pStyle w:val="BodyText"/>
        <w:keepNext/>
        <w:keepLines/>
        <w:rPr>
          <w:rFonts w:hint="eastAsia"/>
        </w:rPr>
      </w:pPr>
      <w:r>
        <w:rPr>
          <w:b/>
          <w:bCs/>
        </w:rPr>
        <w:t>Theorem 4 — Laplace limit.</w:t>
      </w:r>
      <w:r>
        <w:t xml:space="preserve"> Under these assumptions,</w:t>
      </w:r>
    </w:p>
    <w:p w14:paraId="798ACA2C"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β</m:t>
                      </m:r>
                    </m:den>
                  </m:f>
                </m:e>
              </m:d>
            </m:e>
            <m:sup>
              <m:r>
                <w:rPr>
                  <w:rFonts w:ascii="Cambria Math" w:hAnsi="Cambria Math"/>
                </w:rPr>
                <m:t>D</m:t>
              </m:r>
              <m:r>
                <m:rPr>
                  <m:sty m:val="p"/>
                </m:rPr>
                <w:rPr>
                  <w:rFonts w:ascii="Cambria Math" w:hAnsi="Cambria Math"/>
                </w:rPr>
                <m:t>/</m:t>
              </m:r>
              <m:r>
                <w:rPr>
                  <w:rFonts w:ascii="Cambria Math" w:hAnsi="Cambria Math"/>
                </w:rPr>
                <m:t>2</m:t>
              </m:r>
            </m:sup>
          </m:sSup>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num>
                <m:den>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den>
              </m:f>
            </m:e>
          </m:nary>
          <m:r>
            <m:rPr>
              <m:sty m:val="p"/>
            </m:rPr>
            <w:rPr>
              <w:rFonts w:ascii="Cambria Math" w:hAnsi="Cambria Math"/>
            </w:rPr>
            <m:t>,</m:t>
          </m:r>
          <m:r>
            <m:rPr>
              <m:nor/>
            </m:rPr>
            <m:t>    (17)</m:t>
          </m:r>
        </m:oMath>
      </m:oMathPara>
    </w:p>
    <w:p w14:paraId="5C7AF684" w14:textId="77777777" w:rsidR="0094261F"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ρ</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w:rPr>
                      <w:rFonts w:ascii="Cambria Math" w:hAnsi="Cambria Math"/>
                    </w:rPr>
                    <m:t>ν</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den>
          </m:f>
          <m:r>
            <m:rPr>
              <m:sty m:val="p"/>
            </m:rPr>
            <w:rPr>
              <w:rFonts w:ascii="Cambria Math" w:hAnsi="Cambria Math"/>
            </w:rPr>
            <m:t>,</m:t>
          </m:r>
          <m:r>
            <m:rPr>
              <m:nor/>
            </m:rPr>
            <m:t>    </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m:rPr>
              <m:nor/>
            </m:rPr>
            <m:t>    (18)</m:t>
          </m:r>
        </m:oMath>
      </m:oMathPara>
    </w:p>
    <w:p w14:paraId="74501285" w14:textId="77777777" w:rsidR="0094261F" w:rsidRDefault="00000000">
      <w:pPr>
        <w:pStyle w:val="FirstParagraph"/>
        <w:rPr>
          <w:rFonts w:hint="eastAsia"/>
        </w:rPr>
      </w:pPr>
      <w:r>
        <w:rPr>
          <w:b/>
          <w:bCs/>
        </w:rPr>
        <w:t>Proof.</w:t>
      </w:r>
      <w:r>
        <w:t xml:space="preserve"> In disjoint neighborhoods of the minima set </w:t>
      </w: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The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expansion has remainder </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and quadratic upper and lower bounds. Gaussian domination gives each local contribution in (17) and its limiting quadratic loss moment. The gap makes the complement exponentially smaller than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oMath>
      <w:r>
        <w:t xml:space="preserve">. For the loss moment, on a complement with gap </w:t>
      </w:r>
      <m:oMath>
        <m:r>
          <w:rPr>
            <w:rFonts w:ascii="Cambria Math" w:hAnsi="Cambria Math"/>
          </w:rPr>
          <m:t>g</m:t>
        </m:r>
        <m:r>
          <m:rPr>
            <m:sty m:val="p"/>
          </m:rPr>
          <w:rPr>
            <w:rFonts w:ascii="Cambria Math" w:hAnsi="Cambria Math"/>
          </w:rPr>
          <m:t>&gt;</m:t>
        </m:r>
        <m:r>
          <w:rPr>
            <w:rFonts w:ascii="Cambria Math" w:hAnsi="Cambria Math"/>
          </w:rPr>
          <m:t>0</m:t>
        </m:r>
      </m:oMath>
      <w:r>
        <w:t xml:space="preserve">, use </w:t>
      </w:r>
      <m:oMath>
        <m:r>
          <w:rPr>
            <w:rFonts w:ascii="Cambria Math" w:hAnsi="Cambria Math"/>
          </w:rPr>
          <m:t>v</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βv</m:t>
            </m:r>
          </m:sup>
        </m:s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eβ</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βg</m:t>
            </m:r>
            <m:r>
              <m:rPr>
                <m:sty m:val="p"/>
              </m:rPr>
              <w:rPr>
                <w:rFonts w:ascii="Cambria Math" w:hAnsi="Cambria Math"/>
              </w:rPr>
              <m:t>/</m:t>
            </m:r>
            <m:r>
              <w:rPr>
                <w:rFonts w:ascii="Cambria Math" w:hAnsi="Cambria Math"/>
              </w:rPr>
              <m:t>2</m:t>
            </m:r>
          </m:sup>
        </m:sSup>
      </m:oMath>
      <w:r>
        <w:t xml:space="preserve"> for </w:t>
      </w:r>
      <m:oMath>
        <m:r>
          <w:rPr>
            <w:rFonts w:ascii="Cambria Math" w:hAnsi="Cambria Math"/>
          </w:rPr>
          <m:t>v</m:t>
        </m:r>
        <m:r>
          <m:rPr>
            <m:sty m:val="p"/>
          </m:rPr>
          <w:rPr>
            <w:rFonts w:ascii="Cambria Math" w:hAnsi="Cambria Math"/>
          </w:rPr>
          <m:t>≥</m:t>
        </m:r>
        <m:r>
          <w:rPr>
            <w:rFonts w:ascii="Cambria Math" w:hAnsi="Cambria Math"/>
          </w:rPr>
          <m:t>g</m:t>
        </m:r>
      </m:oMath>
      <w:r>
        <w:t xml:space="preserve">. This also controls an unbounded loss without a global prior loss moment. Normalization yields (18), as in the probability-measure formulation of Laplace’s method [6]. </w:t>
      </w:r>
      <m:oMath>
        <m:r>
          <m:rPr>
            <m:sty m:val="p"/>
          </m:rPr>
          <w:rPr>
            <w:rFonts w:ascii="Cambria Math" w:hAnsi="Cambria Math"/>
          </w:rPr>
          <m:t>▫</m:t>
        </m:r>
      </m:oMath>
    </w:p>
    <w:p w14:paraId="3EE38016" w14:textId="77777777" w:rsidR="0094261F" w:rsidRDefault="00000000">
      <w:pPr>
        <w:pStyle w:val="BodyText"/>
        <w:rPr>
          <w:rFonts w:hint="eastAsia"/>
        </w:rPr>
      </w:pPr>
      <w:r>
        <w:t xml:space="preserve">Equal loss minima need not carry equal target mass. Their probabilities reflect the chosen prior and local curvature. The shifted normalizer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β</m:t>
            </m:r>
          </m:sub>
        </m:sSub>
      </m:oMath>
      <w:r>
        <w:t xml:space="preserve"> is essential when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itself then contains the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oMath>
      <w:r>
        <w:t>. No third derivative or cancellation of an unassumed cubic remainder is required.</w:t>
      </w:r>
    </w:p>
    <w:p w14:paraId="38B5AAED" w14:textId="77777777" w:rsidR="0094261F" w:rsidRDefault="00000000">
      <w:pPr>
        <w:pStyle w:val="Heading2"/>
        <w:rPr>
          <w:rFonts w:hint="eastAsia"/>
        </w:rPr>
      </w:pPr>
      <w:bookmarkStart w:id="20" w:name="annealing-an-adaptive-archive"/>
      <w:bookmarkEnd w:id="19"/>
      <w:r>
        <w:lastRenderedPageBreak/>
        <w:t>8.2 Annealing an adaptive archive</w:t>
      </w:r>
    </w:p>
    <w:p w14:paraId="2C6B2542" w14:textId="77777777" w:rsidR="0094261F" w:rsidRDefault="00000000">
      <w:pPr>
        <w:pStyle w:val="FirstParagraph"/>
        <w:keepNext/>
        <w:keepLines/>
        <w:rPr>
          <w:rFonts w:hint="eastAsia"/>
        </w:rPr>
      </w:pPr>
      <w:r>
        <w:rPr>
          <w:b/>
          <w:bCs/>
        </w:rPr>
        <w:t>Theorem 5 — Variance sensitive annealing.</w:t>
      </w:r>
      <w:r>
        <w:t xml:space="preserve"> Assume the setting of Theorem 4 and the fixed floors (2)–(3). Let the schedule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be deterministic and satisfy</w:t>
      </w:r>
    </w:p>
    <w:p w14:paraId="258122AE" w14:textId="77777777" w:rsidR="0094261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r>
                <m:rPr>
                  <m:sty m:val="p"/>
                </m:rPr>
                <w:rPr>
                  <w:rFonts w:ascii="Cambria Math" w:hAnsi="Cambria Math"/>
                </w:rPr>
                <m:t>log</m:t>
              </m:r>
              <m:r>
                <w:rPr>
                  <w:rFonts w:ascii="Cambria Math" w:hAnsi="Cambria Math"/>
                </w:rPr>
                <m:t>N</m:t>
              </m:r>
            </m:num>
            <m:den>
              <m:r>
                <w:rPr>
                  <w:rFonts w:ascii="Cambria Math" w:hAnsi="Cambria Math"/>
                </w:rPr>
                <m:t>N</m:t>
              </m:r>
            </m:den>
          </m:f>
          <m:r>
            <m:rPr>
              <m:sty m:val="p"/>
            </m:rPr>
            <w:rPr>
              <w:rFonts w:ascii="Cambria Math" w:hAnsi="Cambria Math"/>
            </w:rPr>
            <m:t>→</m:t>
          </m:r>
          <m:r>
            <w:rPr>
              <w:rFonts w:ascii="Cambria Math" w:hAnsi="Cambria Math"/>
            </w:rPr>
            <m:t>0</m:t>
          </m:r>
          <m:r>
            <m:rPr>
              <m:sty m:val="p"/>
            </m:rPr>
            <w:rPr>
              <w:rFonts w:ascii="Cambria Math" w:hAnsi="Cambria Math"/>
            </w:rPr>
            <m:t>.</m:t>
          </m:r>
          <m:r>
            <m:rPr>
              <m:nor/>
            </m:rPr>
            <m:t>    (19)</m:t>
          </m:r>
        </m:oMath>
      </m:oMathPara>
    </w:p>
    <w:p w14:paraId="661C2E8C" w14:textId="77777777" w:rsidR="0094261F" w:rsidRDefault="00000000">
      <w:pPr>
        <w:pStyle w:val="FirstParagraph"/>
        <w:keepNext/>
        <w:rPr>
          <w:rFonts w:hint="eastAsia"/>
        </w:rPr>
      </w:pPr>
      <w:r>
        <w:t xml:space="preserve">At archive size </w:t>
      </w:r>
      <m:oMath>
        <m:r>
          <w:rPr>
            <w:rFonts w:ascii="Cambria Math" w:hAnsi="Cambria Math"/>
          </w:rPr>
          <m:t>N</m:t>
        </m:r>
      </m:oMath>
      <w:r>
        <w:t xml:space="preserve">, reweight all attempts at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Then almost surely</w:t>
      </w:r>
    </w:p>
    <w:p w14:paraId="623299AF"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m:rPr>
              <m:nor/>
            </m:rPr>
            <m:t>    (20)</m:t>
          </m:r>
        </m:oMath>
      </m:oMathPara>
    </w:p>
    <w:p w14:paraId="4A3EACD5" w14:textId="77777777" w:rsidR="0094261F" w:rsidRDefault="00000000">
      <w:pPr>
        <w:pStyle w:val="FirstParagraph"/>
        <w:keepNext/>
        <w:rPr>
          <w:rFonts w:hint="eastAsia"/>
        </w:rPr>
      </w:pPr>
      <w:r>
        <w:rPr>
          <w:b/>
          <w:bCs/>
        </w:rPr>
        <w:t>Proof.</w:t>
      </w:r>
      <w:r>
        <w:t xml:space="preserve"> Within row </w:t>
      </w:r>
      <m:oMath>
        <m:r>
          <w:rPr>
            <w:rFonts w:ascii="Cambria Math" w:hAnsi="Cambria Math"/>
          </w:rPr>
          <m:t>N</m:t>
        </m:r>
      </m:oMath>
      <w:r>
        <w:t xml:space="preserve">, use analytically rescaled weights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N</m:t>
                </m:r>
              </m:sub>
            </m:sSub>
          </m:e>
        </m:d>
      </m:oMath>
      <w:r>
        <w:t xml:space="preserve">. They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have conditional mean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and conditional second moment at most </w:t>
      </w:r>
      <m:oMath>
        <m:r>
          <w:rPr>
            <w:rFonts w:ascii="Cambria Math" w:hAnsi="Cambria Math"/>
          </w:rPr>
          <m:t>B</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Freedman’s inequality controls any fixed bounded test function at a relative error of fixed size with probability at most </w:t>
      </w:r>
      <m:oMath>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cN</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r>
              <w:rPr>
                <w:rFonts w:ascii="Cambria Math" w:hAnsi="Cambria Math"/>
              </w:rPr>
              <m:t>B</m:t>
            </m:r>
          </m:e>
        </m:d>
      </m:oMath>
      <w:r>
        <w:t>. By (17) and (19), these probabilities are summable. Borel–Cantelli gives relative convergence for a countable convergence-determining family of bounded continuous functions and for the denominator. For the scaled loss use</w:t>
      </w:r>
    </w:p>
    <w:p w14:paraId="6179548C"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m:rPr>
              <m:nor/>
            </m:rPr>
            <m:t>    </m:t>
          </m:r>
          <m:r>
            <m:rPr>
              <m:scr m:val="double-struck"/>
              <m:sty m:val="p"/>
            </m:rPr>
            <w:rPr>
              <w:rFonts w:ascii="Cambria Math" w:hAnsi="Cambria Math"/>
            </w:rPr>
            <m:t>E[</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4B</m:t>
              </m:r>
            </m:num>
            <m:den>
              <m:sSup>
                <m:sSupPr>
                  <m:ctrlPr>
                    <w:rPr>
                      <w:rFonts w:ascii="Cambria Math" w:hAnsi="Cambria Math"/>
                    </w:rPr>
                  </m:ctrlPr>
                </m:sSupPr>
                <m:e>
                  <m:r>
                    <w:rPr>
                      <w:rFonts w:ascii="Cambria Math" w:hAnsi="Cambria Math"/>
                    </w:rPr>
                    <m:t>e</m:t>
                  </m:r>
                </m:e>
                <m:sup>
                  <m:r>
                    <w:rPr>
                      <w:rFonts w:ascii="Cambria Math" w:hAnsi="Cambria Math"/>
                    </w:rPr>
                    <m:t>2</m:t>
                  </m:r>
                </m:sup>
              </m:sSup>
            </m:den>
          </m:f>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r>
            <m:rPr>
              <m:nor/>
            </m:rPr>
            <m:t>    (21)</m:t>
          </m:r>
        </m:oMath>
      </m:oMathPara>
    </w:p>
    <w:p w14:paraId="06AD71A7" w14:textId="77777777" w:rsidR="0094261F" w:rsidRDefault="00000000">
      <w:pPr>
        <w:pStyle w:val="FirstParagraph"/>
        <w:rPr>
          <w:rFonts w:hint="eastAsia"/>
        </w:rPr>
      </w:pPr>
      <w:r>
        <w:t xml:space="preserve">The second moment follows by bounding </w:t>
      </w:r>
      <m:oMath>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and integrating the remaining loss tilt. The same summability argument gives numerator error </w:t>
      </w:r>
      <m:oMath>
        <m:r>
          <w:rPr>
            <w:rFonts w:ascii="Cambria Math" w:hAnsi="Cambria Math"/>
          </w:rPr>
          <m:t>o</m:t>
        </m:r>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e>
        </m:d>
      </m:oMath>
      <w:r>
        <w:t xml:space="preserve">. Combine with (18) to obtain (20). Appendix A states the row argument in more detail. </w:t>
      </w:r>
      <m:oMath>
        <m:r>
          <m:rPr>
            <m:sty m:val="p"/>
          </m:rPr>
          <w:rPr>
            <w:rFonts w:ascii="Cambria Math" w:hAnsi="Cambria Math"/>
          </w:rPr>
          <m:t>▫</m:t>
        </m:r>
      </m:oMath>
    </w:p>
    <w:p w14:paraId="46EDD1A2" w14:textId="77777777" w:rsidR="0094261F" w:rsidRDefault="00000000">
      <w:pPr>
        <w:pStyle w:val="BodyText"/>
        <w:rPr>
          <w:rFonts w:hint="eastAsia"/>
        </w:rPr>
      </w:pPr>
      <w:r>
        <w:t xml:space="preserve">The schedule condition uses the effective target mass </w:t>
      </w:r>
      <m:oMath>
        <m:r>
          <w:rPr>
            <w:rFonts w:ascii="Cambria Math" w:hAnsi="Cambria Math"/>
          </w:rPr>
          <m:t>N</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It is stronger in conclusion and permits faster annealing than a bound based only on a variance-independent envelope, which would require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sup>
        </m:sSubSup>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It remains a sufficient asymptotic condition. It does not certify a small finite archive, arbitrary data-dependent divergent temperatures, or vanishing proposal and observation floors. The scaling by the unknown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is used only in the proof; normalized computation does not require knowing the optimum.</w:t>
      </w:r>
    </w:p>
    <w:p w14:paraId="2C901602" w14:textId="77777777" w:rsidR="0094261F" w:rsidRDefault="00000000">
      <w:pPr>
        <w:pStyle w:val="Heading2"/>
        <w:rPr>
          <w:rFonts w:hint="eastAsia"/>
        </w:rPr>
      </w:pPr>
      <w:bookmarkStart w:id="21" w:name="coverage-and-the-feasible-incumbent"/>
      <w:bookmarkEnd w:id="20"/>
      <w:r>
        <w:t>8.3 Coverage and the feasible incumbent</w:t>
      </w:r>
    </w:p>
    <w:p w14:paraId="2EA9229E" w14:textId="77777777" w:rsidR="0094261F" w:rsidRDefault="00000000">
      <w:pPr>
        <w:pStyle w:val="FirstParagraph"/>
        <w:keepNext/>
        <w:rPr>
          <w:rFonts w:hint="eastAsia"/>
        </w:rPr>
      </w:pPr>
      <w:r>
        <w:t xml:space="preserve">For a measurable set </w:t>
      </w:r>
      <m:oMath>
        <m:r>
          <w:rPr>
            <w:rFonts w:ascii="Cambria Math" w:hAnsi="Cambria Math"/>
          </w:rPr>
          <m:t>A</m:t>
        </m:r>
      </m:oMath>
      <w:r>
        <w:t xml:space="preserve"> with </w:t>
      </w:r>
      <m:oMath>
        <m:r>
          <w:rPr>
            <w:rFonts w:ascii="Cambria Math" w:hAnsi="Cambria Math"/>
          </w:rPr>
          <m:t>μ</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the conditional probability of an observed candidate in </w:t>
      </w:r>
      <m:oMath>
        <m:r>
          <w:rPr>
            <w:rFonts w:ascii="Cambria Math" w:hAnsi="Cambria Math"/>
          </w:rPr>
          <m:t>A</m:t>
        </m:r>
      </m:oMath>
      <w:r>
        <w:t xml:space="preserve"> is at least </w:t>
      </w:r>
      <m:oMath>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μ</m:t>
        </m:r>
        <m:d>
          <m:dPr>
            <m:ctrlPr>
              <w:rPr>
                <w:rFonts w:ascii="Cambria Math" w:hAnsi="Cambria Math"/>
              </w:rPr>
            </m:ctrlPr>
          </m:dPr>
          <m:e>
            <m:r>
              <w:rPr>
                <w:rFonts w:ascii="Cambria Math" w:hAnsi="Cambria Math"/>
              </w:rPr>
              <m:t>A</m:t>
            </m:r>
          </m:e>
        </m:d>
      </m:oMath>
      <w:r>
        <w:t>. Iterated conditioning yields</w:t>
      </w:r>
    </w:p>
    <w:p w14:paraId="29A1E3B6" w14:textId="77777777" w:rsidR="0094261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d>
            <m:dPr>
              <m:ctrlPr>
                <w:rPr>
                  <w:rFonts w:ascii="Cambria Math" w:hAnsi="Cambria Math"/>
                </w:rPr>
              </m:ctrlPr>
            </m:dPr>
            <m:e>
              <m:r>
                <m:rPr>
                  <m:nor/>
                </m:rPr>
                <m:t xml:space="preserve">no observed visit to </m:t>
              </m:r>
              <m:r>
                <w:rPr>
                  <w:rFonts w:ascii="Cambria Math" w:hAnsi="Cambria Math"/>
                </w:rPr>
                <m:t>A</m:t>
              </m:r>
              <m:r>
                <m:rPr>
                  <m:nor/>
                </m:rPr>
                <m:t xml:space="preserve"> in </m:t>
              </m:r>
              <m:r>
                <w:rPr>
                  <w:rFonts w:ascii="Cambria Math" w:hAnsi="Cambria Math"/>
                </w:rPr>
                <m:t>N</m:t>
              </m:r>
              <m:r>
                <m:rPr>
                  <m:nor/>
                </m:rPr>
                <m:t xml:space="preserve"> attempts</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μ</m:t>
                  </m:r>
                  <m:d>
                    <m:dPr>
                      <m:ctrlPr>
                        <w:rPr>
                          <w:rFonts w:ascii="Cambria Math" w:hAnsi="Cambria Math"/>
                        </w:rPr>
                      </m:ctrlPr>
                    </m:dPr>
                    <m:e>
                      <m:r>
                        <w:rPr>
                          <w:rFonts w:ascii="Cambria Math" w:hAnsi="Cambria Math"/>
                        </w:rPr>
                        <m:t>A</m:t>
                      </m:r>
                    </m:e>
                  </m:d>
                </m:e>
              </m:d>
            </m:e>
            <m:sup>
              <m:r>
                <w:rPr>
                  <w:rFonts w:ascii="Cambria Math" w:hAnsi="Cambria Math"/>
                </w:rPr>
                <m:t>N</m:t>
              </m:r>
            </m:sup>
          </m:sSup>
          <m:r>
            <m:rPr>
              <m:sty m:val="p"/>
            </m:rPr>
            <w:rPr>
              <w:rFonts w:ascii="Cambria Math" w:hAnsi="Cambria Math"/>
            </w:rPr>
            <m:t>.</m:t>
          </m:r>
          <m:r>
            <m:rPr>
              <m:nor/>
            </m:rPr>
            <m:t>    (22)</m:t>
          </m:r>
        </m:oMath>
      </m:oMathPara>
    </w:p>
    <w:p w14:paraId="42A98E90" w14:textId="77777777" w:rsidR="0094261F" w:rsidRDefault="00000000">
      <w:pPr>
        <w:pStyle w:val="FirstParagraph"/>
        <w:rPr>
          <w:rFonts w:hint="eastAsia"/>
        </w:rPr>
      </w:pPr>
      <w:r>
        <w:t>With an exact fixed evaluator and a fixed feasibility rule, the best observed feasible loss is nonincreasing. If every feasible near-optimal sublevel set has positive reference mass, (22) makes that incumbent converge to the corresponding essential infimum. This statement does not require annealing. Individual proposed states and posterior means need not improve monotonically. A posterior mean can violate discrete or nonlinear constraints, so it must not replace a verified feasible incumbent without a new engineering check.</w:t>
      </w:r>
    </w:p>
    <w:p w14:paraId="7DCF1528" w14:textId="77777777" w:rsidR="0094261F" w:rsidRDefault="00000000">
      <w:pPr>
        <w:pStyle w:val="Heading1"/>
        <w:rPr>
          <w:rFonts w:hint="eastAsia"/>
        </w:rPr>
      </w:pPr>
      <w:bookmarkStart w:id="22" w:name="X2e44f824e34644f23bcc23e211eaf496feb4f4a"/>
      <w:bookmarkEnd w:id="18"/>
      <w:bookmarkEnd w:id="21"/>
      <w:r>
        <w:lastRenderedPageBreak/>
        <w:t>9 Numerical verification and reported algorithmic results</w:t>
      </w:r>
    </w:p>
    <w:p w14:paraId="0C6BA07C" w14:textId="77777777" w:rsidR="0094261F" w:rsidRDefault="00000000">
      <w:pPr>
        <w:pStyle w:val="Heading2"/>
        <w:rPr>
          <w:rFonts w:hint="eastAsia"/>
        </w:rPr>
      </w:pPr>
      <w:bookmarkStart w:id="23" w:name="fresh-checks-of-the-mathematics"/>
      <w:r>
        <w:t>9.1 Fresh checks of the mathematics</w:t>
      </w:r>
    </w:p>
    <w:p w14:paraId="17F87FC1" w14:textId="77777777" w:rsidR="0094261F" w:rsidRDefault="00000000">
      <w:pPr>
        <w:pStyle w:val="FirstParagraph"/>
        <w:rPr>
          <w:rFonts w:hint="eastAsia"/>
        </w:rPr>
      </w:pPr>
      <w:r>
        <w:t>The new checks use Python 3.12.14, NumPy 2.3.5, SciPy 1.17.0, and NumPy’s default random generator with seed 20261017. They evaluate the identities in this paper and the kernel in Appendix B. They do not constitute a new industrial case study or a rerun of the earlier full ADE driver.</w:t>
      </w:r>
    </w:p>
    <w:p w14:paraId="3349C643" w14:textId="77777777" w:rsidR="0094261F" w:rsidRDefault="00000000">
      <w:pPr>
        <w:pStyle w:val="BodyText"/>
        <w:rPr>
          <w:rFonts w:hint="eastAsia"/>
        </w:rPr>
      </w:pPr>
      <w:r>
        <w:t xml:space="preserve">For the singular continuous-reference check, use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β</m:t>
        </m:r>
        <m:r>
          <m:rPr>
            <m:sty m:val="p"/>
          </m:rPr>
          <w:rPr>
            <w:rFonts w:ascii="Cambria Math" w:hAnsi="Cambria Math"/>
          </w:rPr>
          <m:t>=</m:t>
        </m:r>
        <m:r>
          <w:rPr>
            <w:rFonts w:ascii="Cambria Math" w:hAnsi="Cambria Math"/>
          </w:rPr>
          <m:t>0.5</m:t>
        </m:r>
      </m:oMath>
      <w:r>
        <w:t xml:space="preserve">, and </w:t>
      </w:r>
      <m:oMath>
        <m:r>
          <w:rPr>
            <w:rFonts w:ascii="Cambria Math" w:hAnsi="Cambria Math"/>
          </w:rPr>
          <m:t>P</m:t>
        </m:r>
        <m:r>
          <m:rPr>
            <m:sty m:val="p"/>
          </m:rPr>
          <w:rPr>
            <w:rFonts w:ascii="Cambria Math" w:hAnsi="Cambria Math"/>
          </w:rPr>
          <m:t>=</m:t>
        </m:r>
        <m:r>
          <w:rPr>
            <w:rFonts w:ascii="Cambria Math" w:hAnsi="Cambria Math"/>
          </w:rPr>
          <m:t>0.1μ</m:t>
        </m:r>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δ</m:t>
            </m:r>
          </m:e>
          <m:sub>
            <m:r>
              <w:rPr>
                <w:rFonts w:ascii="Cambria Math" w:hAnsi="Cambria Math"/>
              </w:rPr>
              <m:t>0.5</m:t>
            </m:r>
          </m:sub>
        </m:sSub>
      </m:oMath>
      <w:r>
        <w:t xml:space="preserve">. The exact target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with mean loss 0.5. Include a response with probability 0.5 for </w:t>
      </w:r>
      <m:oMath>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m:t>
        </m:r>
      </m:oMath>
      <w:r>
        <w:t xml:space="preserve"> and probability 1 otherwise. In 200,000 attempts, 103,487 responses were included and 13,190 received positive integration weight; the others came from the target-null atom. The estimated mean loss was 0.498095, and the largest weight was below the bound </w:t>
      </w:r>
      <m:oMath>
        <m:r>
          <w:rPr>
            <w:rFonts w:ascii="Cambria Math" w:hAnsi="Cambria Math"/>
          </w:rPr>
          <m:t>B</m:t>
        </m:r>
        <m:r>
          <m:rPr>
            <m:sty m:val="p"/>
          </m:rPr>
          <w:rPr>
            <w:rFonts w:ascii="Cambria Math" w:hAnsi="Cambria Math"/>
          </w:rPr>
          <m:t>=</m:t>
        </m:r>
        <m:r>
          <w:rPr>
            <w:rFonts w:ascii="Cambria Math" w:hAnsi="Cambria Math"/>
          </w:rPr>
          <m:t>20</m:t>
        </m:r>
      </m:oMath>
      <w:r>
        <w:t>.</w:t>
      </w:r>
    </w:p>
    <w:p w14:paraId="3047C631" w14:textId="77777777" w:rsidR="0094261F" w:rsidRDefault="00000000">
      <w:pPr>
        <w:pStyle w:val="Caption"/>
        <w:keepNext/>
        <w:rPr>
          <w:rFonts w:hint="eastAsia"/>
        </w:rPr>
      </w:pPr>
      <w:r>
        <w:t>Table 2. Fresh checks and their independently specified comparisons.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64"/>
        <w:gridCol w:w="3240"/>
      </w:tblGrid>
      <w:tr w:rsidR="0094261F" w14:paraId="78C0CD36" w14:textId="77777777">
        <w:trPr>
          <w:cantSplit/>
          <w:tblHeader/>
          <w:jc w:val="center"/>
        </w:trPr>
        <w:tc>
          <w:tcPr>
            <w:tcW w:w="2232" w:type="dxa"/>
            <w:shd w:val="clear" w:color="auto" w:fill="EAEAEA"/>
            <w:tcMar>
              <w:top w:w="80" w:type="dxa"/>
              <w:left w:w="85" w:type="dxa"/>
              <w:bottom w:w="80" w:type="dxa"/>
              <w:right w:w="85" w:type="dxa"/>
            </w:tcMar>
            <w:vAlign w:val="center"/>
          </w:tcPr>
          <w:p w14:paraId="4C8B1513" w14:textId="77777777" w:rsidR="0094261F" w:rsidRDefault="00000000">
            <w:pPr>
              <w:keepNext/>
              <w:keepLines/>
              <w:spacing w:after="0" w:line="247" w:lineRule="auto"/>
              <w:jc w:val="left"/>
              <w:rPr>
                <w:rFonts w:hint="eastAsia"/>
              </w:rPr>
            </w:pPr>
            <w:r>
              <w:rPr>
                <w:b/>
                <w:sz w:val="21"/>
              </w:rPr>
              <w:t>Check</w:t>
            </w:r>
          </w:p>
        </w:tc>
        <w:tc>
          <w:tcPr>
            <w:tcW w:w="4464" w:type="dxa"/>
            <w:shd w:val="clear" w:color="auto" w:fill="EAEAEA"/>
            <w:tcMar>
              <w:top w:w="80" w:type="dxa"/>
              <w:left w:w="85" w:type="dxa"/>
              <w:bottom w:w="80" w:type="dxa"/>
              <w:right w:w="85" w:type="dxa"/>
            </w:tcMar>
            <w:vAlign w:val="center"/>
          </w:tcPr>
          <w:p w14:paraId="0EB45A7D" w14:textId="77777777" w:rsidR="0094261F" w:rsidRDefault="00000000">
            <w:pPr>
              <w:keepNext/>
              <w:keepLines/>
              <w:spacing w:after="0" w:line="247" w:lineRule="auto"/>
              <w:jc w:val="left"/>
              <w:rPr>
                <w:rFonts w:hint="eastAsia"/>
              </w:rPr>
            </w:pPr>
            <w:r>
              <w:rPr>
                <w:b/>
                <w:sz w:val="21"/>
              </w:rPr>
              <w:t>Reference value or rule</w:t>
            </w:r>
          </w:p>
        </w:tc>
        <w:tc>
          <w:tcPr>
            <w:tcW w:w="3240" w:type="dxa"/>
            <w:shd w:val="clear" w:color="auto" w:fill="EAEAEA"/>
            <w:tcMar>
              <w:top w:w="80" w:type="dxa"/>
              <w:left w:w="85" w:type="dxa"/>
              <w:bottom w:w="80" w:type="dxa"/>
              <w:right w:w="85" w:type="dxa"/>
            </w:tcMar>
            <w:vAlign w:val="center"/>
          </w:tcPr>
          <w:p w14:paraId="3800260F" w14:textId="77777777" w:rsidR="0094261F" w:rsidRDefault="00000000">
            <w:pPr>
              <w:keepNext/>
              <w:keepLines/>
              <w:spacing w:after="0" w:line="247" w:lineRule="auto"/>
              <w:jc w:val="left"/>
              <w:rPr>
                <w:rFonts w:hint="eastAsia"/>
              </w:rPr>
            </w:pPr>
            <w:r>
              <w:rPr>
                <w:b/>
                <w:sz w:val="21"/>
              </w:rPr>
              <w:t>Result</w:t>
            </w:r>
          </w:p>
        </w:tc>
      </w:tr>
      <w:tr w:rsidR="0094261F" w14:paraId="2B07F77C" w14:textId="77777777">
        <w:trPr>
          <w:cantSplit/>
          <w:jc w:val="center"/>
        </w:trPr>
        <w:tc>
          <w:tcPr>
            <w:tcW w:w="2232" w:type="dxa"/>
            <w:shd w:val="clear" w:color="auto" w:fill="FFFFFF"/>
            <w:tcMar>
              <w:top w:w="80" w:type="dxa"/>
              <w:left w:w="85" w:type="dxa"/>
              <w:bottom w:w="80" w:type="dxa"/>
              <w:right w:w="85" w:type="dxa"/>
            </w:tcMar>
            <w:vAlign w:val="center"/>
          </w:tcPr>
          <w:p w14:paraId="178D8090" w14:textId="77777777" w:rsidR="0094261F" w:rsidRDefault="00000000">
            <w:pPr>
              <w:keepNext/>
              <w:keepLines/>
              <w:spacing w:after="0" w:line="247" w:lineRule="auto"/>
              <w:jc w:val="left"/>
              <w:rPr>
                <w:rFonts w:hint="eastAsia"/>
              </w:rPr>
            </w:pPr>
            <w:r>
              <w:rPr>
                <w:sz w:val="21"/>
              </w:rPr>
              <w:t>Atomic two-state enumeration</w:t>
            </w:r>
          </w:p>
        </w:tc>
        <w:tc>
          <w:tcPr>
            <w:tcW w:w="4464" w:type="dxa"/>
            <w:shd w:val="clear" w:color="auto" w:fill="FFFFFF"/>
            <w:tcMar>
              <w:top w:w="80" w:type="dxa"/>
              <w:left w:w="85" w:type="dxa"/>
              <w:bottom w:w="80" w:type="dxa"/>
              <w:right w:w="85" w:type="dxa"/>
            </w:tcMar>
            <w:vAlign w:val="center"/>
          </w:tcPr>
          <w:p w14:paraId="2A89D62D" w14:textId="77777777" w:rsidR="0094261F" w:rsidRDefault="00000000">
            <w:pPr>
              <w:keepNext/>
              <w:keepLines/>
              <w:spacing w:after="0" w:line="247" w:lineRule="auto"/>
              <w:jc w:val="left"/>
              <w:rPr>
                <w:rFonts w:hint="eastAsia"/>
              </w:rPr>
            </w:pP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0.25</m:t>
                  </m:r>
                  <m:r>
                    <m:rPr>
                      <m:sty m:val="p"/>
                    </m:rPr>
                    <w:rPr>
                      <w:rFonts w:ascii="Cambria Math" w:hAnsi="Cambria Math"/>
                    </w:rPr>
                    <m:t>,</m:t>
                  </m:r>
                  <m:r>
                    <w:rPr>
                      <w:rFonts w:ascii="Cambria Math" w:hAnsi="Cambria Math"/>
                    </w:rPr>
                    <m:t>0.75</m:t>
                  </m:r>
                </m:e>
              </m:d>
            </m:oMath>
            <w:r>
              <w:rPr>
                <w:sz w:val="21"/>
              </w:rPr>
              <w:t xml:space="preserv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0.85</m:t>
                  </m:r>
                  <m:r>
                    <m:rPr>
                      <m:sty m:val="p"/>
                    </m:rPr>
                    <w:rPr>
                      <w:rFonts w:ascii="Cambria Math" w:hAnsi="Cambria Math"/>
                    </w:rPr>
                    <m:t>,</m:t>
                  </m:r>
                  <m:r>
                    <w:rPr>
                      <w:rFonts w:ascii="Cambria Math" w:hAnsi="Cambria Math"/>
                    </w:rPr>
                    <m:t>0.15</m:t>
                  </m:r>
                </m:e>
              </m:d>
            </m:oMath>
            <w:r>
              <w:rPr>
                <w:sz w:val="21"/>
              </w:rPr>
              <w:t xml:space="preserve">, </w:t>
            </w:r>
            <m:oMath>
              <m:r>
                <w:rPr>
                  <w:rFonts w:ascii="Cambria Math" w:hAnsi="Cambria Math"/>
                </w:rPr>
                <m:t>J</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sz w:val="21"/>
              </w:rPr>
              <w:t xml:space="preserve">, </w:t>
            </w:r>
            <m:oMath>
              <m:r>
                <w:rPr>
                  <w:rFonts w:ascii="Cambria Math" w:hAnsi="Cambria Math"/>
                </w:rPr>
                <m:t>β</m:t>
              </m:r>
              <m:r>
                <m:rPr>
                  <m:sty m:val="p"/>
                </m:rPr>
                <w:rPr>
                  <w:rFonts w:ascii="Cambria Math" w:hAnsi="Cambria Math"/>
                </w:rPr>
                <m:t>=</m:t>
              </m:r>
              <m:r>
                <w:rPr>
                  <w:rFonts w:ascii="Cambria Math" w:hAnsi="Cambria Math"/>
                </w:rPr>
                <m:t>0.7</m:t>
              </m:r>
            </m:oMath>
          </w:p>
        </w:tc>
        <w:tc>
          <w:tcPr>
            <w:tcW w:w="3240" w:type="dxa"/>
            <w:shd w:val="clear" w:color="auto" w:fill="FFFFFF"/>
            <w:tcMar>
              <w:top w:w="80" w:type="dxa"/>
              <w:left w:w="85" w:type="dxa"/>
              <w:bottom w:w="80" w:type="dxa"/>
              <w:right w:w="85" w:type="dxa"/>
            </w:tcMar>
            <w:vAlign w:val="center"/>
          </w:tcPr>
          <w:p w14:paraId="04EA493A" w14:textId="77777777" w:rsidR="0094261F" w:rsidRDefault="00000000">
            <w:pPr>
              <w:keepNext/>
              <w:keepLines/>
              <w:spacing w:after="0" w:line="247" w:lineRule="auto"/>
              <w:jc w:val="left"/>
              <w:rPr>
                <w:rFonts w:hint="eastAsia"/>
              </w:rPr>
            </w:pPr>
            <m:oMath>
              <m:r>
                <w:rPr>
                  <w:rFonts w:ascii="Cambria Math" w:hAnsi="Cambria Math"/>
                </w:rPr>
                <m:t>Z</m:t>
              </m:r>
              <m:r>
                <m:rPr>
                  <m:sty m:val="p"/>
                </m:rPr>
                <w:rPr>
                  <w:rFonts w:ascii="Cambria Math" w:hAnsi="Cambria Math"/>
                </w:rPr>
                <m:t>=</m:t>
              </m:r>
              <m:r>
                <w:rPr>
                  <w:rFonts w:ascii="Cambria Math" w:hAnsi="Cambria Math"/>
                </w:rPr>
                <m:t>0.622439</m:t>
              </m:r>
            </m:oMath>
            <w:r>
              <w:rPr>
                <w:sz w:val="21"/>
              </w:rPr>
              <w:t>; target mean 0.598354; exact identity</w:t>
            </w:r>
          </w:p>
        </w:tc>
      </w:tr>
      <w:tr w:rsidR="0094261F" w14:paraId="5920A87F" w14:textId="77777777">
        <w:trPr>
          <w:cantSplit/>
          <w:jc w:val="center"/>
        </w:trPr>
        <w:tc>
          <w:tcPr>
            <w:tcW w:w="2232" w:type="dxa"/>
            <w:shd w:val="clear" w:color="auto" w:fill="FFFFFF"/>
            <w:tcMar>
              <w:top w:w="80" w:type="dxa"/>
              <w:left w:w="85" w:type="dxa"/>
              <w:bottom w:w="80" w:type="dxa"/>
              <w:right w:w="85" w:type="dxa"/>
            </w:tcMar>
            <w:vAlign w:val="center"/>
          </w:tcPr>
          <w:p w14:paraId="6BAE1979" w14:textId="77777777" w:rsidR="0094261F" w:rsidRDefault="00000000">
            <w:pPr>
              <w:keepNext/>
              <w:keepLines/>
              <w:spacing w:after="0" w:line="247" w:lineRule="auto"/>
              <w:jc w:val="left"/>
              <w:rPr>
                <w:rFonts w:hint="eastAsia"/>
              </w:rPr>
            </w:pPr>
            <w:r>
              <w:rPr>
                <w:sz w:val="21"/>
              </w:rPr>
              <w:t>Gaussian second moment</w:t>
            </w:r>
          </w:p>
        </w:tc>
        <w:tc>
          <w:tcPr>
            <w:tcW w:w="4464" w:type="dxa"/>
            <w:shd w:val="clear" w:color="auto" w:fill="FFFFFF"/>
            <w:tcMar>
              <w:top w:w="80" w:type="dxa"/>
              <w:left w:w="85" w:type="dxa"/>
              <w:bottom w:w="80" w:type="dxa"/>
              <w:right w:w="85" w:type="dxa"/>
            </w:tcMar>
            <w:vAlign w:val="center"/>
          </w:tcPr>
          <w:p w14:paraId="11143776" w14:textId="77777777" w:rsidR="0094261F" w:rsidRDefault="00000000">
            <w:pPr>
              <w:keepNext/>
              <w:keepLines/>
              <w:spacing w:after="0" w:line="247" w:lineRule="auto"/>
              <w:jc w:val="left"/>
              <w:rPr>
                <w:rFonts w:hint="eastAsia"/>
              </w:rPr>
            </w:pPr>
            <w:r>
              <w:rPr>
                <w:sz w:val="21"/>
              </w:rPr>
              <w:t xml:space="preserve">Equation (11), </w:t>
            </w:r>
            <m:oMath>
              <m:r>
                <w:rPr>
                  <w:rFonts w:ascii="Cambria Math" w:hAnsi="Cambria Math"/>
                </w:rPr>
                <m:t>D</m:t>
              </m:r>
              <m:r>
                <m:rPr>
                  <m:sty m:val="p"/>
                </m:rPr>
                <w:rPr>
                  <w:rFonts w:ascii="Cambria Math" w:hAnsi="Cambria Math"/>
                </w:rPr>
                <m:t>=</m:t>
              </m:r>
              <m:r>
                <w:rPr>
                  <w:rFonts w:ascii="Cambria Math" w:hAnsi="Cambria Math"/>
                </w:rPr>
                <m:t>1</m:t>
              </m:r>
            </m:oMath>
            <w:r>
              <w:rPr>
                <w:sz w:val="21"/>
              </w:rP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0.8</m:t>
              </m:r>
            </m:oMath>
            <w:r>
              <w:rPr>
                <w:sz w:val="21"/>
              </w:rPr>
              <w:t xml:space="preserve">, </w:t>
            </w:r>
            <m:oMath>
              <m:r>
                <w:rPr>
                  <w:rFonts w:ascii="Cambria Math" w:hAnsi="Cambria Math"/>
                </w:rPr>
                <m:t>m</m:t>
              </m:r>
              <m:r>
                <m:rPr>
                  <m:sty m:val="p"/>
                </m:rPr>
                <w:rPr>
                  <w:rFonts w:ascii="Cambria Math" w:hAnsi="Cambria Math"/>
                </w:rPr>
                <m:t>=</m:t>
              </m:r>
              <m:r>
                <w:rPr>
                  <w:rFonts w:ascii="Cambria Math" w:hAnsi="Cambria Math"/>
                </w:rPr>
                <m:t>0.3</m:t>
              </m:r>
            </m:oMath>
          </w:p>
        </w:tc>
        <w:tc>
          <w:tcPr>
            <w:tcW w:w="3240" w:type="dxa"/>
            <w:shd w:val="clear" w:color="auto" w:fill="FFFFFF"/>
            <w:tcMar>
              <w:top w:w="80" w:type="dxa"/>
              <w:left w:w="85" w:type="dxa"/>
              <w:bottom w:w="80" w:type="dxa"/>
              <w:right w:w="85" w:type="dxa"/>
            </w:tcMar>
            <w:vAlign w:val="center"/>
          </w:tcPr>
          <w:p w14:paraId="4FA07120" w14:textId="77777777" w:rsidR="0094261F" w:rsidRDefault="00000000">
            <w:pPr>
              <w:keepNext/>
              <w:keepLines/>
              <w:spacing w:after="0" w:line="247" w:lineRule="auto"/>
              <w:jc w:val="left"/>
              <w:rPr>
                <w:rFonts w:hint="eastAsia"/>
              </w:rPr>
            </w:pPr>
            <w:r>
              <w:rPr>
                <w:sz w:val="21"/>
              </w:rPr>
              <w:t>Formula and quadrature 1.19993724617</w:t>
            </w:r>
          </w:p>
        </w:tc>
      </w:tr>
      <w:tr w:rsidR="0094261F" w14:paraId="4CA3FEC6" w14:textId="77777777">
        <w:trPr>
          <w:cantSplit/>
          <w:jc w:val="center"/>
        </w:trPr>
        <w:tc>
          <w:tcPr>
            <w:tcW w:w="2232" w:type="dxa"/>
            <w:shd w:val="clear" w:color="auto" w:fill="FFFFFF"/>
            <w:tcMar>
              <w:top w:w="80" w:type="dxa"/>
              <w:left w:w="85" w:type="dxa"/>
              <w:bottom w:w="80" w:type="dxa"/>
              <w:right w:w="85" w:type="dxa"/>
            </w:tcMar>
            <w:vAlign w:val="center"/>
          </w:tcPr>
          <w:p w14:paraId="54ED021A" w14:textId="77777777" w:rsidR="0094261F" w:rsidRDefault="00000000">
            <w:pPr>
              <w:keepNext/>
              <w:keepLines/>
              <w:spacing w:after="0" w:line="247" w:lineRule="auto"/>
              <w:jc w:val="left"/>
              <w:rPr>
                <w:rFonts w:hint="eastAsia"/>
              </w:rPr>
            </w:pPr>
            <w:r>
              <w:rPr>
                <w:sz w:val="21"/>
              </w:rPr>
              <w:t>Mixture label averaging</w:t>
            </w:r>
          </w:p>
        </w:tc>
        <w:tc>
          <w:tcPr>
            <w:tcW w:w="4464" w:type="dxa"/>
            <w:shd w:val="clear" w:color="auto" w:fill="FFFFFF"/>
            <w:tcMar>
              <w:top w:w="80" w:type="dxa"/>
              <w:left w:w="85" w:type="dxa"/>
              <w:bottom w:w="80" w:type="dxa"/>
              <w:right w:w="85" w:type="dxa"/>
            </w:tcMar>
            <w:vAlign w:val="center"/>
          </w:tcPr>
          <w:p w14:paraId="237683DA" w14:textId="77777777" w:rsidR="0094261F" w:rsidRDefault="00000000">
            <w:pPr>
              <w:keepNext/>
              <w:keepLines/>
              <w:spacing w:after="0" w:line="247" w:lineRule="auto"/>
              <w:jc w:val="left"/>
              <w:rPr>
                <w:rFonts w:hint="eastAsia"/>
              </w:rPr>
            </w:pPr>
            <w:r>
              <w:rPr>
                <w:sz w:val="21"/>
              </w:rPr>
              <w:t>Two zero-mean Gaussians with variances 1 and 0.4; shares 0.1 and 0.9</w:t>
            </w:r>
          </w:p>
        </w:tc>
        <w:tc>
          <w:tcPr>
            <w:tcW w:w="3240" w:type="dxa"/>
            <w:shd w:val="clear" w:color="auto" w:fill="FFFFFF"/>
            <w:tcMar>
              <w:top w:w="80" w:type="dxa"/>
              <w:left w:w="85" w:type="dxa"/>
              <w:bottom w:w="80" w:type="dxa"/>
              <w:right w:w="85" w:type="dxa"/>
            </w:tcMar>
            <w:vAlign w:val="center"/>
          </w:tcPr>
          <w:p w14:paraId="14AD04F6" w14:textId="77777777" w:rsidR="0094261F" w:rsidRDefault="00000000">
            <w:pPr>
              <w:keepNext/>
              <w:keepLines/>
              <w:spacing w:after="0" w:line="247" w:lineRule="auto"/>
              <w:jc w:val="left"/>
              <w:rPr>
                <w:rFonts w:hint="eastAsia"/>
              </w:rPr>
            </w:pPr>
            <w:r>
              <w:rPr>
                <w:sz w:val="21"/>
              </w:rPr>
              <w:t xml:space="preserve">Maximum grid discrepancy </w:t>
            </w:r>
            <m:oMath>
              <m:r>
                <w:rPr>
                  <w:rFonts w:ascii="Cambria Math" w:hAnsi="Cambria Math"/>
                </w:rPr>
                <m:t>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r w:rsidR="0094261F" w14:paraId="5E4B0627" w14:textId="77777777">
        <w:trPr>
          <w:cantSplit/>
          <w:jc w:val="center"/>
        </w:trPr>
        <w:tc>
          <w:tcPr>
            <w:tcW w:w="2232" w:type="dxa"/>
            <w:shd w:val="clear" w:color="auto" w:fill="FFFFFF"/>
            <w:tcMar>
              <w:top w:w="80" w:type="dxa"/>
              <w:left w:w="85" w:type="dxa"/>
              <w:bottom w:w="80" w:type="dxa"/>
              <w:right w:w="85" w:type="dxa"/>
            </w:tcMar>
            <w:vAlign w:val="center"/>
          </w:tcPr>
          <w:p w14:paraId="4A71CE9E" w14:textId="77777777" w:rsidR="0094261F" w:rsidRDefault="00000000">
            <w:pPr>
              <w:keepNext/>
              <w:keepLines/>
              <w:spacing w:after="0" w:line="247" w:lineRule="auto"/>
              <w:jc w:val="left"/>
              <w:rPr>
                <w:rFonts w:hint="eastAsia"/>
              </w:rPr>
            </w:pPr>
            <w:r>
              <w:rPr>
                <w:sz w:val="21"/>
              </w:rPr>
              <w:t>Quadratic denoiser</w:t>
            </w:r>
          </w:p>
        </w:tc>
        <w:tc>
          <w:tcPr>
            <w:tcW w:w="4464" w:type="dxa"/>
            <w:shd w:val="clear" w:color="auto" w:fill="FFFFFF"/>
            <w:tcMar>
              <w:top w:w="80" w:type="dxa"/>
              <w:left w:w="85" w:type="dxa"/>
              <w:bottom w:w="80" w:type="dxa"/>
              <w:right w:w="85" w:type="dxa"/>
            </w:tcMar>
            <w:vAlign w:val="center"/>
          </w:tcPr>
          <w:p w14:paraId="0B105154" w14:textId="77777777" w:rsidR="0094261F" w:rsidRDefault="00000000">
            <w:pPr>
              <w:keepNext/>
              <w:keepLines/>
              <w:spacing w:after="0" w:line="247" w:lineRule="auto"/>
              <w:jc w:val="left"/>
              <w:rPr>
                <w:rFonts w:hint="eastAsia"/>
              </w:rPr>
            </w:pPr>
            <w:r>
              <w:rPr>
                <w:sz w:val="21"/>
              </w:rPr>
              <w:t xml:space="preserve">Nine queries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sz w:val="21"/>
              </w:rPr>
              <w:t xml:space="preserve">, </w:t>
            </w:r>
            <m:oMath>
              <m:r>
                <w:rPr>
                  <w:rFonts w:ascii="Cambria Math" w:hAnsi="Cambria Math"/>
                </w:rPr>
                <m:t>a</m:t>
              </m:r>
              <m:r>
                <m:rPr>
                  <m:sty m:val="p"/>
                </m:rPr>
                <w:rPr>
                  <w:rFonts w:ascii="Cambria Math" w:hAnsi="Cambria Math"/>
                </w:rPr>
                <m:t>=</m:t>
              </m:r>
              <m:r>
                <w:rPr>
                  <w:rFonts w:ascii="Cambria Math" w:hAnsi="Cambria Math"/>
                </w:rPr>
                <m:t>0.6</m:t>
              </m:r>
            </m:oMath>
            <w:r>
              <w:rPr>
                <w:sz w:val="21"/>
              </w:rPr>
              <w:t>, analytic Gaussian conditional mean</w:t>
            </w:r>
          </w:p>
        </w:tc>
        <w:tc>
          <w:tcPr>
            <w:tcW w:w="3240" w:type="dxa"/>
            <w:shd w:val="clear" w:color="auto" w:fill="FFFFFF"/>
            <w:tcMar>
              <w:top w:w="80" w:type="dxa"/>
              <w:left w:w="85" w:type="dxa"/>
              <w:bottom w:w="80" w:type="dxa"/>
              <w:right w:w="85" w:type="dxa"/>
            </w:tcMar>
            <w:vAlign w:val="center"/>
          </w:tcPr>
          <w:p w14:paraId="0C0CB366" w14:textId="77777777" w:rsidR="0094261F" w:rsidRDefault="00000000">
            <w:pPr>
              <w:keepNext/>
              <w:keepLines/>
              <w:spacing w:after="0" w:line="247" w:lineRule="auto"/>
              <w:jc w:val="left"/>
              <w:rPr>
                <w:rFonts w:hint="eastAsia"/>
              </w:rPr>
            </w:pPr>
            <w:r>
              <w:rPr>
                <w:sz w:val="21"/>
              </w:rPr>
              <w:t>Maximum absolute error 0.005415</w:t>
            </w:r>
          </w:p>
        </w:tc>
      </w:tr>
      <w:tr w:rsidR="0094261F" w14:paraId="26FB5AA5" w14:textId="77777777">
        <w:trPr>
          <w:cantSplit/>
          <w:jc w:val="center"/>
        </w:trPr>
        <w:tc>
          <w:tcPr>
            <w:tcW w:w="2232" w:type="dxa"/>
            <w:shd w:val="clear" w:color="auto" w:fill="FFFFFF"/>
            <w:tcMar>
              <w:top w:w="80" w:type="dxa"/>
              <w:left w:w="85" w:type="dxa"/>
              <w:bottom w:w="80" w:type="dxa"/>
              <w:right w:w="85" w:type="dxa"/>
            </w:tcMar>
            <w:vAlign w:val="center"/>
          </w:tcPr>
          <w:p w14:paraId="7F37E58C" w14:textId="77777777" w:rsidR="0094261F" w:rsidRDefault="00000000">
            <w:pPr>
              <w:keepLines/>
              <w:spacing w:after="0" w:line="247" w:lineRule="auto"/>
              <w:jc w:val="left"/>
              <w:rPr>
                <w:rFonts w:hint="eastAsia"/>
              </w:rPr>
            </w:pPr>
            <w:r>
              <w:rPr>
                <w:sz w:val="21"/>
              </w:rPr>
              <w:t>Re-tempering</w:t>
            </w:r>
          </w:p>
        </w:tc>
        <w:tc>
          <w:tcPr>
            <w:tcW w:w="4464" w:type="dxa"/>
            <w:shd w:val="clear" w:color="auto" w:fill="FFFFFF"/>
            <w:tcMar>
              <w:top w:w="80" w:type="dxa"/>
              <w:left w:w="85" w:type="dxa"/>
              <w:bottom w:w="80" w:type="dxa"/>
              <w:right w:w="85" w:type="dxa"/>
            </w:tcMar>
            <w:vAlign w:val="center"/>
          </w:tcPr>
          <w:p w14:paraId="1E6E34D5" w14:textId="77777777" w:rsidR="0094261F" w:rsidRDefault="00000000">
            <w:pPr>
              <w:keepLines/>
              <w:spacing w:after="0" w:line="247" w:lineRule="auto"/>
              <w:jc w:val="left"/>
              <w:rPr>
                <w:rFonts w:hint="eastAsia"/>
              </w:rPr>
            </w:pPr>
            <w:r>
              <w:rPr>
                <w:sz w:val="21"/>
              </w:rPr>
              <w:t xml:space="preserve">Log-weight identity from </w:t>
            </w:r>
            <m:oMath>
              <m:r>
                <w:rPr>
                  <w:rFonts w:ascii="Cambria Math" w:hAnsi="Cambria Math"/>
                </w:rPr>
                <m:t>β</m:t>
              </m:r>
              <m:r>
                <m:rPr>
                  <m:sty m:val="p"/>
                </m:rPr>
                <w:rPr>
                  <w:rFonts w:ascii="Cambria Math" w:hAnsi="Cambria Math"/>
                </w:rPr>
                <m:t>=</m:t>
              </m:r>
              <m:r>
                <w:rPr>
                  <w:rFonts w:ascii="Cambria Math" w:hAnsi="Cambria Math"/>
                </w:rPr>
                <m:t>0.5</m:t>
              </m:r>
            </m:oMath>
            <w:r>
              <w:rPr>
                <w:sz w:val="21"/>
              </w:rPr>
              <w:t xml:space="preserve"> to 0.8</w:t>
            </w:r>
          </w:p>
        </w:tc>
        <w:tc>
          <w:tcPr>
            <w:tcW w:w="3240" w:type="dxa"/>
            <w:shd w:val="clear" w:color="auto" w:fill="FFFFFF"/>
            <w:tcMar>
              <w:top w:w="80" w:type="dxa"/>
              <w:left w:w="85" w:type="dxa"/>
              <w:bottom w:w="80" w:type="dxa"/>
              <w:right w:w="85" w:type="dxa"/>
            </w:tcMar>
            <w:vAlign w:val="center"/>
          </w:tcPr>
          <w:p w14:paraId="04ED845B" w14:textId="77777777" w:rsidR="0094261F" w:rsidRDefault="00000000">
            <w:pPr>
              <w:keepLines/>
              <w:spacing w:after="0" w:line="247" w:lineRule="auto"/>
              <w:jc w:val="left"/>
              <w:rPr>
                <w:rFonts w:hint="eastAsia"/>
              </w:rPr>
            </w:pPr>
            <w:r>
              <w:rPr>
                <w:sz w:val="21"/>
              </w:rPr>
              <w:t xml:space="preserve">Maximum log discrepancy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bl>
    <w:p w14:paraId="13D13FA4" w14:textId="77777777" w:rsidR="0094261F" w:rsidRDefault="00000000">
      <w:pPr>
        <w:pStyle w:val="BodyText"/>
        <w:spacing w:before="140"/>
        <w:rPr>
          <w:rFonts w:hint="eastAsia"/>
        </w:rPr>
      </w:pPr>
      <w:r>
        <w:t xml:space="preserve">For the denoiser check, the analytic mean is </w:t>
      </w:r>
      <m:oMath>
        <m:rad>
          <m:radPr>
            <m:degHide m:val="1"/>
            <m:ctrlPr>
              <w:rPr>
                <w:rFonts w:ascii="Cambria Math" w:hAnsi="Cambria Math"/>
              </w:rPr>
            </m:ctrlPr>
          </m:radPr>
          <m:deg/>
          <m:e>
            <m:r>
              <w:rPr>
                <w:rFonts w:ascii="Cambria Math" w:hAnsi="Cambria Math"/>
              </w:rPr>
              <m:t>a</m:t>
            </m:r>
          </m:e>
        </m:rad>
        <m:r>
          <m:rPr>
            <m:nor/>
          </m:rPr>
          <m:t>    </m:t>
        </m:r>
        <m:r>
          <w:rPr>
            <w:rFonts w:ascii="Cambria Math" w:hAnsi="Cambria Math"/>
          </w:rPr>
          <m:t>vq</m:t>
        </m:r>
        <m:r>
          <m:rPr>
            <m:sty m:val="p"/>
          </m:rPr>
          <w:rPr>
            <w:rFonts w:ascii="Cambria Math" w:hAnsi="Cambria Math"/>
          </w:rPr>
          <m:t>/</m:t>
        </m:r>
        <m:d>
          <m:dPr>
            <m:ctrlPr>
              <w:rPr>
                <w:rFonts w:ascii="Cambria Math" w:hAnsi="Cambria Math"/>
              </w:rPr>
            </m:ctrlPr>
          </m:dPr>
          <m:e>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with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These finite-grid and Monte Carlo checks support the implementation identities; the proofs establish their general scope. Floating-point agreement is not a proof of convergence or of an infinite variance.</w:t>
      </w:r>
    </w:p>
    <w:p w14:paraId="5D8325EE" w14:textId="77777777" w:rsidR="0094261F" w:rsidRDefault="00000000">
      <w:pPr>
        <w:pStyle w:val="Heading2"/>
        <w:rPr>
          <w:rFonts w:hint="eastAsia"/>
        </w:rPr>
      </w:pPr>
      <w:bookmarkStart w:id="24" w:name="independent-himmelblau-quadrature"/>
      <w:bookmarkEnd w:id="23"/>
      <w:r>
        <w:t>9.2 Independent Himmelblau quadrature</w:t>
      </w:r>
    </w:p>
    <w:p w14:paraId="0B5313E0" w14:textId="77777777" w:rsidR="0094261F" w:rsidRDefault="00000000">
      <w:pPr>
        <w:pStyle w:val="FirstParagraph"/>
        <w:keepNext/>
        <w:rPr>
          <w:rFonts w:hint="eastAsia"/>
        </w:rPr>
      </w:pPr>
      <w:r>
        <w:t xml:space="preserve">Set </w:t>
      </w:r>
      <m:oMath>
        <m:r>
          <w:rPr>
            <w:rFonts w:ascii="Cambria Math" w:hAnsi="Cambria Math"/>
          </w:rPr>
          <m:t>D</m:t>
        </m:r>
        <m:r>
          <m:rPr>
            <m:sty m:val="p"/>
          </m:rPr>
          <w:rPr>
            <w:rFonts w:ascii="Cambria Math" w:hAnsi="Cambria Math"/>
          </w:rPr>
          <m:t>=</m:t>
        </m:r>
        <m:r>
          <w:rPr>
            <w:rFonts w:ascii="Cambria Math" w:hAnsi="Cambria Math"/>
          </w:rPr>
          <m:t>2</m:t>
        </m:r>
      </m:oMath>
      <w:r>
        <w:t xml:space="preserv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and</w:t>
      </w:r>
    </w:p>
    <w:p w14:paraId="0D2E27E2" w14:textId="77777777" w:rsidR="0094261F" w:rsidRDefault="00000000">
      <w:pPr>
        <w:pStyle w:val="BodyText"/>
        <w:keepLines/>
        <w:spacing w:before="6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16</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16</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r>
            <m:rPr>
              <m:nor/>
            </m:rPr>
            <m:t>    (23)</m:t>
          </m:r>
        </m:oMath>
      </m:oMathPara>
    </w:p>
    <w:p w14:paraId="3EBCC2B9" w14:textId="77777777" w:rsidR="0094261F" w:rsidRDefault="00000000">
      <w:pPr>
        <w:pStyle w:val="FirstParagraph"/>
        <w:rPr>
          <w:rFonts w:hint="eastAsia"/>
        </w:rPr>
      </w:pPr>
      <w:r>
        <w:t xml:space="preserve">Midpoint quadrature on </w:t>
      </w:r>
      <m:oMath>
        <m:sSup>
          <m:sSupPr>
            <m:ctrlPr>
              <w:rPr>
                <w:rFonts w:ascii="Cambria Math" w:hAnsi="Cambria Math"/>
              </w:rPr>
            </m:ctrlPr>
          </m:sSupPr>
          <m:e>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e>
          <m:sup>
            <m:r>
              <w:rPr>
                <w:rFonts w:ascii="Cambria Math" w:hAnsi="Cambria Math"/>
              </w:rPr>
              <m:t>2</m:t>
            </m:r>
          </m:sup>
        </m:sSup>
      </m:oMath>
      <w:r>
        <w:t xml:space="preserve"> with </w:t>
      </w:r>
      <m:oMath>
        <m:sSup>
          <m:sSupPr>
            <m:ctrlPr>
              <w:rPr>
                <w:rFonts w:ascii="Cambria Math" w:hAnsi="Cambria Math"/>
              </w:rPr>
            </m:ctrlPr>
          </m:sSupPr>
          <m:e>
            <m:r>
              <w:rPr>
                <w:rFonts w:ascii="Cambria Math" w:hAnsi="Cambria Math"/>
              </w:rPr>
              <m:t>400</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800</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1600</m:t>
            </m:r>
          </m:e>
          <m:sup>
            <m:r>
              <w:rPr>
                <w:rFonts w:ascii="Cambria Math" w:hAnsi="Cambria Math"/>
              </w:rPr>
              <m:t>2</m:t>
            </m:r>
          </m:sup>
        </m:sSup>
      </m:oMath>
      <w:r>
        <w:t xml:space="preserve"> cells gave </w:t>
      </w:r>
      <m:oMath>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r>
          <w:rPr>
            <w:rFonts w:ascii="Cambria Math" w:hAnsi="Cambria Math"/>
          </w:rPr>
          <m:t>0.02719186699</m:t>
        </m:r>
      </m:oMath>
      <w:r>
        <w:t xml:space="preserve"> and mean loss 10.34457716, with agreement beyond the displayed precision. These are truncated-domain numerical values, not certified full-domain integration errors. For the low-temperature check, four roots were refined from initial unscaled coordinates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3.1</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3.3</m:t>
            </m:r>
          </m:e>
        </m:d>
      </m:oMath>
      <w:r>
        <w:t xml:space="preserve">, and </w:t>
      </w:r>
      <m:oMath>
        <m:d>
          <m:dPr>
            <m:ctrlPr>
              <w:rPr>
                <w:rFonts w:ascii="Cambria Math" w:hAnsi="Cambria Math"/>
              </w:rPr>
            </m:ctrlPr>
          </m:dPr>
          <m:e>
            <m:r>
              <w:rPr>
                <w:rFonts w:ascii="Cambria Math" w:hAnsi="Cambria Math"/>
              </w:rPr>
              <m:t>3.6</m:t>
            </m:r>
            <m:r>
              <m:rPr>
                <m:sty m:val="p"/>
              </m:rPr>
              <w:rPr>
                <w:rFonts w:ascii="Cambria Math" w:hAnsi="Cambria Math"/>
              </w:rPr>
              <m:t>,-</m:t>
            </m:r>
            <m:r>
              <w:rPr>
                <w:rFonts w:ascii="Cambria Math" w:hAnsi="Cambria Math"/>
              </w:rPr>
              <m:t>1.8</m:t>
            </m:r>
          </m:e>
        </m:d>
      </m:oMath>
      <w:r>
        <w:t xml:space="preserve">, and divided by four. The local Hessians are </w:t>
      </w:r>
      <m:oMath>
        <m:r>
          <w:rPr>
            <w:rFonts w:ascii="Cambria Math" w:hAnsi="Cambria Math"/>
          </w:rPr>
          <m:t>32</m:t>
        </m:r>
        <m:sSubSup>
          <m:sSubSupPr>
            <m:ctrlPr>
              <w:rPr>
                <w:rFonts w:ascii="Cambria Math" w:hAnsi="Cambria Math"/>
              </w:rPr>
            </m:ctrlPr>
          </m:sSubSupPr>
          <m:e>
            <m:r>
              <w:rPr>
                <w:rFonts w:ascii="Cambria Math" w:hAnsi="Cambria Math"/>
              </w:rPr>
              <m:t>A</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has rows </w:t>
      </w:r>
      <m:oMath>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r</m:t>
                </m:r>
              </m:sub>
            </m:sSub>
          </m:e>
        </m:d>
      </m:oMath>
      <w:r>
        <w:t>.</w:t>
      </w:r>
    </w:p>
    <w:p w14:paraId="6A8700D5" w14:textId="77777777" w:rsidR="0094261F" w:rsidRDefault="00000000">
      <w:pPr>
        <w:pStyle w:val="BodyText"/>
        <w:rPr>
          <w:rFonts w:hint="eastAsia"/>
        </w:rPr>
      </w:pPr>
      <w:r>
        <w:t xml:space="preserve">In this order the Laplace shares are </w:t>
      </w:r>
      <m:oMath>
        <m:d>
          <m:dPr>
            <m:ctrlPr>
              <w:rPr>
                <w:rFonts w:ascii="Cambria Math" w:hAnsi="Cambria Math"/>
              </w:rPr>
            </m:ctrlPr>
          </m:dPr>
          <m:e>
            <m:r>
              <w:rPr>
                <w:rFonts w:ascii="Cambria Math" w:hAnsi="Cambria Math"/>
              </w:rPr>
              <m:t>0.3802653</m:t>
            </m:r>
            <m:r>
              <m:rPr>
                <m:sty m:val="p"/>
              </m:rPr>
              <w:rPr>
                <w:rFonts w:ascii="Cambria Math" w:hAnsi="Cambria Math"/>
              </w:rPr>
              <m:t>,</m:t>
            </m:r>
            <m:r>
              <w:rPr>
                <w:rFonts w:ascii="Cambria Math" w:hAnsi="Cambria Math"/>
              </w:rPr>
              <m:t>0.2091497</m:t>
            </m:r>
            <m:r>
              <m:rPr>
                <m:sty m:val="p"/>
              </m:rPr>
              <w:rPr>
                <w:rFonts w:ascii="Cambria Math" w:hAnsi="Cambria Math"/>
              </w:rPr>
              <m:t>,</m:t>
            </m:r>
            <m:r>
              <w:rPr>
                <w:rFonts w:ascii="Cambria Math" w:hAnsi="Cambria Math"/>
              </w:rPr>
              <m:t>0.1233609</m:t>
            </m:r>
            <m:r>
              <m:rPr>
                <m:sty m:val="p"/>
              </m:rPr>
              <w:rPr>
                <w:rFonts w:ascii="Cambria Math" w:hAnsi="Cambria Math"/>
              </w:rPr>
              <m:t>,</m:t>
            </m:r>
            <m:r>
              <w:rPr>
                <w:rFonts w:ascii="Cambria Math" w:hAnsi="Cambria Math"/>
              </w:rPr>
              <m:t>0.2872241</m:t>
            </m:r>
          </m:e>
        </m:d>
      </m:oMath>
      <w:r>
        <w:t xml:space="preserve">. Local midpoint grids in Hessian coordinates use </w:t>
      </w:r>
      <m:oMath>
        <m:sSup>
          <m:sSupPr>
            <m:ctrlPr>
              <w:rPr>
                <w:rFonts w:ascii="Cambria Math" w:hAnsi="Cambria Math"/>
              </w:rPr>
            </m:ctrlPr>
          </m:sSupPr>
          <m:e>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e>
          <m:sup>
            <m:r>
              <w:rPr>
                <w:rFonts w:ascii="Cambria Math" w:hAnsi="Cambria Math"/>
              </w:rPr>
              <m:t>2</m:t>
            </m:r>
          </m:sup>
        </m:sSup>
      </m:oMath>
      <w:r>
        <w:t xml:space="preserve">, mapped by </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and compare </w:t>
      </w:r>
      <m:oMath>
        <m:sSup>
          <m:sSupPr>
            <m:ctrlPr>
              <w:rPr>
                <w:rFonts w:ascii="Cambria Math" w:hAnsi="Cambria Math"/>
              </w:rPr>
            </m:ctrlPr>
          </m:sSupPr>
          <m:e>
            <m:r>
              <w:rPr>
                <w:rFonts w:ascii="Cambria Math" w:hAnsi="Cambria Math"/>
              </w:rPr>
              <m:t>201</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401</m:t>
            </m:r>
          </m:e>
          <m:sup>
            <m:r>
              <w:rPr>
                <w:rFonts w:ascii="Cambria Math" w:hAnsi="Cambria Math"/>
              </w:rPr>
              <m:t>2</m:t>
            </m:r>
          </m:sup>
        </m:sSup>
      </m:oMath>
      <w:r>
        <w:t xml:space="preserve"> cells per minimum. The largest change in normalized local masses was below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Domain truncation remains a separate numerical limitation.</w:t>
      </w:r>
    </w:p>
    <w:p w14:paraId="5837CC1C" w14:textId="77777777" w:rsidR="0094261F" w:rsidRDefault="00000000">
      <w:pPr>
        <w:pStyle w:val="Caption"/>
        <w:keepNext/>
        <w:rPr>
          <w:rFonts w:hint="eastAsia"/>
        </w:rPr>
      </w:pPr>
      <w:r>
        <w:lastRenderedPageBreak/>
        <w:t>Table 3. Local quadrature approaching the Laplace limit.</w:t>
      </w:r>
    </w:p>
    <w:tbl>
      <w:tblPr>
        <w:tblStyle w:val="TableGrid"/>
        <w:tblW w:w="96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40"/>
        <w:gridCol w:w="4896"/>
        <w:gridCol w:w="3816"/>
      </w:tblGrid>
      <w:tr w:rsidR="0094261F" w14:paraId="7B061F3B" w14:textId="77777777" w:rsidTr="008C4423">
        <w:trPr>
          <w:cantSplit/>
          <w:tblHeader/>
          <w:jc w:val="center"/>
        </w:trPr>
        <w:tc>
          <w:tcPr>
            <w:tcW w:w="940" w:type="dxa"/>
            <w:shd w:val="clear" w:color="auto" w:fill="EAEAEA"/>
            <w:tcMar>
              <w:top w:w="80" w:type="dxa"/>
              <w:left w:w="85" w:type="dxa"/>
              <w:bottom w:w="80" w:type="dxa"/>
              <w:right w:w="85" w:type="dxa"/>
            </w:tcMar>
            <w:vAlign w:val="center"/>
          </w:tcPr>
          <w:p w14:paraId="6F9E3B1D" w14:textId="77777777" w:rsidR="0094261F" w:rsidRDefault="00000000">
            <w:pPr>
              <w:keepNext/>
              <w:keepLines/>
              <w:spacing w:after="0" w:line="247" w:lineRule="auto"/>
              <w:jc w:val="right"/>
              <w:rPr>
                <w:rFonts w:hint="eastAsia"/>
              </w:rPr>
            </w:pPr>
            <m:oMathPara>
              <m:oMath>
                <m:r>
                  <w:rPr>
                    <w:rFonts w:ascii="Cambria Math" w:hAnsi="Cambria Math"/>
                  </w:rPr>
                  <m:t>β</m:t>
                </m:r>
              </m:oMath>
            </m:oMathPara>
          </w:p>
        </w:tc>
        <w:tc>
          <w:tcPr>
            <w:tcW w:w="4896" w:type="dxa"/>
            <w:shd w:val="clear" w:color="auto" w:fill="EAEAEA"/>
            <w:tcMar>
              <w:top w:w="80" w:type="dxa"/>
              <w:left w:w="85" w:type="dxa"/>
              <w:bottom w:w="80" w:type="dxa"/>
              <w:right w:w="85" w:type="dxa"/>
            </w:tcMar>
            <w:vAlign w:val="center"/>
          </w:tcPr>
          <w:p w14:paraId="244ECBC9" w14:textId="77777777" w:rsidR="0094261F" w:rsidRDefault="00000000">
            <w:pPr>
              <w:keepNext/>
              <w:keepLines/>
              <w:spacing w:after="0" w:line="247" w:lineRule="auto"/>
              <w:jc w:val="right"/>
              <w:rPr>
                <w:rFonts w:hint="eastAsia"/>
              </w:rPr>
            </w:pPr>
            <w:r>
              <w:rPr>
                <w:b/>
                <w:sz w:val="21"/>
              </w:rPr>
              <w:t>Maximum mass difference from (18)</w:t>
            </w:r>
          </w:p>
        </w:tc>
        <w:tc>
          <w:tcPr>
            <w:tcW w:w="3816" w:type="dxa"/>
            <w:shd w:val="clear" w:color="auto" w:fill="EAEAEA"/>
            <w:tcMar>
              <w:top w:w="80" w:type="dxa"/>
              <w:left w:w="85" w:type="dxa"/>
              <w:bottom w:w="80" w:type="dxa"/>
              <w:right w:w="85" w:type="dxa"/>
            </w:tcMar>
            <w:vAlign w:val="center"/>
          </w:tcPr>
          <w:p w14:paraId="7DECA86B" w14:textId="77777777" w:rsidR="0094261F" w:rsidRDefault="00000000">
            <w:pPr>
              <w:keepNext/>
              <w:keepLines/>
              <w:spacing w:after="0" w:line="247" w:lineRule="auto"/>
              <w:jc w:val="right"/>
              <w:rPr>
                <w:rFonts w:hint="eastAsia"/>
              </w:rPr>
            </w:pPr>
            <m:oMathPara>
              <m:oMath>
                <m:r>
                  <w:rPr>
                    <w:rFonts w:ascii="Cambria Math" w:hAnsi="Cambria Math"/>
                  </w:rPr>
                  <m:t>β</m:t>
                </m:r>
                <m:r>
                  <m:rPr>
                    <m:nor/>
                  </m:rPr>
                  <m:t>    </m:t>
                </m:r>
                <m:r>
                  <m:rPr>
                    <m:scr m:val="double-struck"/>
                    <m:sty m:val="p"/>
                  </m:rPr>
                  <w:rPr>
                    <w:rFonts w:ascii="Cambria Math" w:hAnsi="Cambria Math"/>
                  </w:rPr>
                  <m:t>E[</m:t>
                </m:r>
                <m:r>
                  <w:rPr>
                    <w:rFonts w:ascii="Cambria Math" w:hAnsi="Cambria Math"/>
                  </w:rPr>
                  <m:t>J</m:t>
                </m:r>
                <m:r>
                  <m:rPr>
                    <m:sty m:val="p"/>
                  </m:rPr>
                  <w:rPr>
                    <w:rFonts w:ascii="Cambria Math" w:hAnsi="Cambria Math"/>
                  </w:rPr>
                  <m:t>]</m:t>
                </m:r>
              </m:oMath>
            </m:oMathPara>
          </w:p>
        </w:tc>
      </w:tr>
      <w:tr w:rsidR="0094261F" w14:paraId="480C4EFD" w14:textId="77777777" w:rsidTr="008C4423">
        <w:trPr>
          <w:cantSplit/>
          <w:jc w:val="center"/>
        </w:trPr>
        <w:tc>
          <w:tcPr>
            <w:tcW w:w="940" w:type="dxa"/>
            <w:shd w:val="clear" w:color="auto" w:fill="FFFFFF"/>
            <w:tcMar>
              <w:top w:w="80" w:type="dxa"/>
              <w:left w:w="85" w:type="dxa"/>
              <w:bottom w:w="80" w:type="dxa"/>
              <w:right w:w="85" w:type="dxa"/>
            </w:tcMar>
            <w:vAlign w:val="center"/>
          </w:tcPr>
          <w:p w14:paraId="34E91F22" w14:textId="77777777" w:rsidR="0094261F" w:rsidRDefault="00000000">
            <w:pPr>
              <w:keepNext/>
              <w:keepLines/>
              <w:spacing w:after="0" w:line="247" w:lineRule="auto"/>
              <w:jc w:val="right"/>
              <w:rPr>
                <w:rFonts w:hint="eastAsia"/>
              </w:rPr>
            </w:pPr>
            <w:r>
              <w:rPr>
                <w:sz w:val="21"/>
              </w:rPr>
              <w:t>4</w:t>
            </w:r>
          </w:p>
        </w:tc>
        <w:tc>
          <w:tcPr>
            <w:tcW w:w="4896" w:type="dxa"/>
            <w:shd w:val="clear" w:color="auto" w:fill="FFFFFF"/>
            <w:tcMar>
              <w:top w:w="80" w:type="dxa"/>
              <w:left w:w="85" w:type="dxa"/>
              <w:bottom w:w="80" w:type="dxa"/>
              <w:right w:w="85" w:type="dxa"/>
            </w:tcMar>
            <w:vAlign w:val="center"/>
          </w:tcPr>
          <w:p w14:paraId="6E5C2933" w14:textId="77777777" w:rsidR="0094261F" w:rsidRDefault="00000000">
            <w:pPr>
              <w:keepNext/>
              <w:keepLines/>
              <w:spacing w:after="0" w:line="247" w:lineRule="auto"/>
              <w:jc w:val="right"/>
              <w:rPr>
                <w:rFonts w:hint="eastAsia"/>
              </w:rPr>
            </w:pPr>
            <m:oMathPara>
              <m:oMath>
                <m:r>
                  <w:rPr>
                    <w:rFonts w:ascii="Cambria Math" w:hAnsi="Cambria Math"/>
                  </w:rPr>
                  <m:t>3.9660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3816" w:type="dxa"/>
            <w:shd w:val="clear" w:color="auto" w:fill="FFFFFF"/>
            <w:tcMar>
              <w:top w:w="80" w:type="dxa"/>
              <w:left w:w="85" w:type="dxa"/>
              <w:bottom w:w="80" w:type="dxa"/>
              <w:right w:w="85" w:type="dxa"/>
            </w:tcMar>
            <w:vAlign w:val="center"/>
          </w:tcPr>
          <w:p w14:paraId="60A57F2A" w14:textId="77777777" w:rsidR="0094261F" w:rsidRDefault="00000000">
            <w:pPr>
              <w:keepNext/>
              <w:keepLines/>
              <w:spacing w:after="0" w:line="247" w:lineRule="auto"/>
              <w:jc w:val="right"/>
              <w:rPr>
                <w:rFonts w:hint="eastAsia"/>
              </w:rPr>
            </w:pPr>
            <w:r>
              <w:rPr>
                <w:sz w:val="21"/>
              </w:rPr>
              <w:t>1.0036011</w:t>
            </w:r>
          </w:p>
        </w:tc>
      </w:tr>
      <w:tr w:rsidR="0094261F" w14:paraId="2CCAA00F" w14:textId="77777777" w:rsidTr="008C4423">
        <w:trPr>
          <w:cantSplit/>
          <w:jc w:val="center"/>
        </w:trPr>
        <w:tc>
          <w:tcPr>
            <w:tcW w:w="940" w:type="dxa"/>
            <w:shd w:val="clear" w:color="auto" w:fill="FFFFFF"/>
            <w:tcMar>
              <w:top w:w="80" w:type="dxa"/>
              <w:left w:w="85" w:type="dxa"/>
              <w:bottom w:w="80" w:type="dxa"/>
              <w:right w:w="85" w:type="dxa"/>
            </w:tcMar>
            <w:vAlign w:val="center"/>
          </w:tcPr>
          <w:p w14:paraId="1B3F2CDC" w14:textId="77777777" w:rsidR="0094261F" w:rsidRDefault="00000000">
            <w:pPr>
              <w:keepNext/>
              <w:keepLines/>
              <w:spacing w:after="0" w:line="247" w:lineRule="auto"/>
              <w:jc w:val="right"/>
              <w:rPr>
                <w:rFonts w:hint="eastAsia"/>
              </w:rPr>
            </w:pPr>
            <w:r>
              <w:rPr>
                <w:sz w:val="21"/>
              </w:rPr>
              <w:t>16</w:t>
            </w:r>
          </w:p>
        </w:tc>
        <w:tc>
          <w:tcPr>
            <w:tcW w:w="4896" w:type="dxa"/>
            <w:shd w:val="clear" w:color="auto" w:fill="FFFFFF"/>
            <w:tcMar>
              <w:top w:w="80" w:type="dxa"/>
              <w:left w:w="85" w:type="dxa"/>
              <w:bottom w:w="80" w:type="dxa"/>
              <w:right w:w="85" w:type="dxa"/>
            </w:tcMar>
            <w:vAlign w:val="center"/>
          </w:tcPr>
          <w:p w14:paraId="61A8AB71" w14:textId="77777777" w:rsidR="0094261F" w:rsidRDefault="00000000">
            <w:pPr>
              <w:keepNext/>
              <w:keepLines/>
              <w:spacing w:after="0" w:line="247" w:lineRule="auto"/>
              <w:jc w:val="right"/>
              <w:rPr>
                <w:rFonts w:hint="eastAsia"/>
              </w:rPr>
            </w:pPr>
            <m:oMathPara>
              <m:oMath>
                <m:r>
                  <w:rPr>
                    <w:rFonts w:ascii="Cambria Math" w:hAnsi="Cambria Math"/>
                  </w:rPr>
                  <m:t>9.7355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3816" w:type="dxa"/>
            <w:shd w:val="clear" w:color="auto" w:fill="FFFFFF"/>
            <w:tcMar>
              <w:top w:w="80" w:type="dxa"/>
              <w:left w:w="85" w:type="dxa"/>
              <w:bottom w:w="80" w:type="dxa"/>
              <w:right w:w="85" w:type="dxa"/>
            </w:tcMar>
            <w:vAlign w:val="center"/>
          </w:tcPr>
          <w:p w14:paraId="1EC5FEBF" w14:textId="77777777" w:rsidR="0094261F" w:rsidRDefault="00000000">
            <w:pPr>
              <w:keepNext/>
              <w:keepLines/>
              <w:spacing w:after="0" w:line="247" w:lineRule="auto"/>
              <w:jc w:val="right"/>
              <w:rPr>
                <w:rFonts w:hint="eastAsia"/>
              </w:rPr>
            </w:pPr>
            <w:r>
              <w:rPr>
                <w:sz w:val="21"/>
              </w:rPr>
              <w:t>1.0008805</w:t>
            </w:r>
          </w:p>
        </w:tc>
      </w:tr>
      <w:tr w:rsidR="0094261F" w14:paraId="73AFA96A" w14:textId="77777777" w:rsidTr="008C4423">
        <w:trPr>
          <w:cantSplit/>
          <w:jc w:val="center"/>
        </w:trPr>
        <w:tc>
          <w:tcPr>
            <w:tcW w:w="940" w:type="dxa"/>
            <w:shd w:val="clear" w:color="auto" w:fill="FFFFFF"/>
            <w:tcMar>
              <w:top w:w="80" w:type="dxa"/>
              <w:left w:w="85" w:type="dxa"/>
              <w:bottom w:w="80" w:type="dxa"/>
              <w:right w:w="85" w:type="dxa"/>
            </w:tcMar>
            <w:vAlign w:val="center"/>
          </w:tcPr>
          <w:p w14:paraId="746B1B8A" w14:textId="77777777" w:rsidR="0094261F" w:rsidRDefault="00000000">
            <w:pPr>
              <w:keepNext/>
              <w:keepLines/>
              <w:spacing w:after="0" w:line="247" w:lineRule="auto"/>
              <w:jc w:val="right"/>
              <w:rPr>
                <w:rFonts w:hint="eastAsia"/>
              </w:rPr>
            </w:pPr>
            <w:r>
              <w:rPr>
                <w:sz w:val="21"/>
              </w:rPr>
              <w:t>64</w:t>
            </w:r>
          </w:p>
        </w:tc>
        <w:tc>
          <w:tcPr>
            <w:tcW w:w="4896" w:type="dxa"/>
            <w:shd w:val="clear" w:color="auto" w:fill="FFFFFF"/>
            <w:tcMar>
              <w:top w:w="80" w:type="dxa"/>
              <w:left w:w="85" w:type="dxa"/>
              <w:bottom w:w="80" w:type="dxa"/>
              <w:right w:w="85" w:type="dxa"/>
            </w:tcMar>
            <w:vAlign w:val="center"/>
          </w:tcPr>
          <w:p w14:paraId="4C0C70E6" w14:textId="77777777" w:rsidR="0094261F" w:rsidRDefault="00000000">
            <w:pPr>
              <w:keepNext/>
              <w:keepLines/>
              <w:spacing w:after="0" w:line="247" w:lineRule="auto"/>
              <w:jc w:val="right"/>
              <w:rPr>
                <w:rFonts w:hint="eastAsia"/>
              </w:rPr>
            </w:pPr>
            <m:oMathPara>
              <m:oMath>
                <m:r>
                  <w:rPr>
                    <w:rFonts w:ascii="Cambria Math" w:hAnsi="Cambria Math"/>
                  </w:rPr>
                  <m:t>2.4231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3816" w:type="dxa"/>
            <w:shd w:val="clear" w:color="auto" w:fill="FFFFFF"/>
            <w:tcMar>
              <w:top w:w="80" w:type="dxa"/>
              <w:left w:w="85" w:type="dxa"/>
              <w:bottom w:w="80" w:type="dxa"/>
              <w:right w:w="85" w:type="dxa"/>
            </w:tcMar>
            <w:vAlign w:val="center"/>
          </w:tcPr>
          <w:p w14:paraId="1453F376" w14:textId="77777777" w:rsidR="0094261F" w:rsidRDefault="00000000">
            <w:pPr>
              <w:keepNext/>
              <w:keepLines/>
              <w:spacing w:after="0" w:line="247" w:lineRule="auto"/>
              <w:jc w:val="right"/>
              <w:rPr>
                <w:rFonts w:hint="eastAsia"/>
              </w:rPr>
            </w:pPr>
            <w:r>
              <w:rPr>
                <w:sz w:val="21"/>
              </w:rPr>
              <w:t>1.0002189</w:t>
            </w:r>
          </w:p>
        </w:tc>
      </w:tr>
      <w:tr w:rsidR="0094261F" w14:paraId="4BC738CD" w14:textId="77777777" w:rsidTr="008C4423">
        <w:trPr>
          <w:cantSplit/>
          <w:jc w:val="center"/>
        </w:trPr>
        <w:tc>
          <w:tcPr>
            <w:tcW w:w="940" w:type="dxa"/>
            <w:shd w:val="clear" w:color="auto" w:fill="FFFFFF"/>
            <w:tcMar>
              <w:top w:w="80" w:type="dxa"/>
              <w:left w:w="85" w:type="dxa"/>
              <w:bottom w:w="80" w:type="dxa"/>
              <w:right w:w="85" w:type="dxa"/>
            </w:tcMar>
            <w:vAlign w:val="center"/>
          </w:tcPr>
          <w:p w14:paraId="35034683" w14:textId="77777777" w:rsidR="0094261F" w:rsidRDefault="00000000">
            <w:pPr>
              <w:keepLines/>
              <w:spacing w:after="0" w:line="247" w:lineRule="auto"/>
              <w:jc w:val="right"/>
              <w:rPr>
                <w:rFonts w:hint="eastAsia"/>
              </w:rPr>
            </w:pPr>
            <w:r>
              <w:rPr>
                <w:sz w:val="21"/>
              </w:rPr>
              <w:t>256</w:t>
            </w:r>
          </w:p>
        </w:tc>
        <w:tc>
          <w:tcPr>
            <w:tcW w:w="4896" w:type="dxa"/>
            <w:shd w:val="clear" w:color="auto" w:fill="FFFFFF"/>
            <w:tcMar>
              <w:top w:w="80" w:type="dxa"/>
              <w:left w:w="85" w:type="dxa"/>
              <w:bottom w:w="80" w:type="dxa"/>
              <w:right w:w="85" w:type="dxa"/>
            </w:tcMar>
            <w:vAlign w:val="center"/>
          </w:tcPr>
          <w:p w14:paraId="59B4E4EF" w14:textId="77777777" w:rsidR="0094261F" w:rsidRDefault="00000000">
            <w:pPr>
              <w:keepLines/>
              <w:spacing w:after="0" w:line="247" w:lineRule="auto"/>
              <w:jc w:val="right"/>
              <w:rPr>
                <w:rFonts w:hint="eastAsia"/>
              </w:rPr>
            </w:pPr>
            <m:oMathPara>
              <m:oMath>
                <m:r>
                  <w:rPr>
                    <w:rFonts w:ascii="Cambria Math" w:hAnsi="Cambria Math"/>
                  </w:rPr>
                  <m:t>6.0511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3816" w:type="dxa"/>
            <w:shd w:val="clear" w:color="auto" w:fill="FFFFFF"/>
            <w:tcMar>
              <w:top w:w="80" w:type="dxa"/>
              <w:left w:w="85" w:type="dxa"/>
              <w:bottom w:w="80" w:type="dxa"/>
              <w:right w:w="85" w:type="dxa"/>
            </w:tcMar>
            <w:vAlign w:val="center"/>
          </w:tcPr>
          <w:p w14:paraId="0BBF7A65" w14:textId="77777777" w:rsidR="0094261F" w:rsidRDefault="00000000">
            <w:pPr>
              <w:keepLines/>
              <w:spacing w:after="0" w:line="247" w:lineRule="auto"/>
              <w:jc w:val="right"/>
              <w:rPr>
                <w:rFonts w:hint="eastAsia"/>
              </w:rPr>
            </w:pPr>
            <w:r>
              <w:rPr>
                <w:sz w:val="21"/>
              </w:rPr>
              <w:t>1.0000547</w:t>
            </w:r>
          </w:p>
        </w:tc>
      </w:tr>
    </w:tbl>
    <w:p w14:paraId="34DAEE95" w14:textId="77777777" w:rsidR="0094261F" w:rsidRDefault="00000000">
      <w:pPr>
        <w:pStyle w:val="BodyText"/>
        <w:keepNext/>
        <w:spacing w:before="140"/>
        <w:jc w:val="center"/>
        <w:rPr>
          <w:rFonts w:hint="eastAsia"/>
        </w:rPr>
      </w:pPr>
      <w:r>
        <w:rPr>
          <w:noProof/>
        </w:rPr>
        <w:drawing>
          <wp:inline distT="0" distB="0" distL="0" distR="0" wp14:anchorId="190BD33A" wp14:editId="75B31403">
            <wp:extent cx="6126480" cy="2342477"/>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laplace.png"/>
                    <pic:cNvPicPr>
                      <a:picLocks noChangeAspect="1" noChangeArrowheads="1"/>
                    </pic:cNvPicPr>
                  </pic:nvPicPr>
                  <pic:blipFill>
                    <a:blip r:embed="rId7"/>
                    <a:stretch>
                      <a:fillRect/>
                    </a:stretch>
                  </pic:blipFill>
                  <pic:spPr bwMode="auto">
                    <a:xfrm>
                      <a:off x="0" y="0"/>
                      <a:ext cx="6126480" cy="2342477"/>
                    </a:xfrm>
                    <a:prstGeom prst="rect">
                      <a:avLst/>
                    </a:prstGeom>
                    <a:noFill/>
                    <a:ln w="9525">
                      <a:noFill/>
                      <a:headEnd/>
                      <a:tailEnd/>
                    </a:ln>
                  </pic:spPr>
                </pic:pic>
              </a:graphicData>
            </a:graphic>
          </wp:inline>
        </w:drawing>
      </w:r>
    </w:p>
    <w:p w14:paraId="4DFFA95D" w14:textId="77777777" w:rsidR="0094261F" w:rsidRDefault="00000000">
      <w:pPr>
        <w:pStyle w:val="Caption"/>
        <w:keepLines/>
        <w:rPr>
          <w:rFonts w:hint="eastAsia"/>
        </w:rPr>
      </w:pPr>
      <w:r>
        <w:t xml:space="preserve">Figure 1. Fresh local quadrature. The maximum difference from the limiting mixture masses decreases as inverse temperature increases, and the scaled mean loss approaches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The curves compare finite quadrature values with analytic limits.</w:t>
      </w:r>
    </w:p>
    <w:p w14:paraId="64112974" w14:textId="77777777" w:rsidR="0094261F" w:rsidRDefault="00000000">
      <w:pPr>
        <w:pStyle w:val="Heading2"/>
        <w:rPr>
          <w:rFonts w:hint="eastAsia"/>
        </w:rPr>
      </w:pPr>
      <w:bookmarkStart w:id="25" w:name="earlier-algorithmic-summaries"/>
      <w:bookmarkEnd w:id="24"/>
      <w:r>
        <w:t>9.3 Earlier algorithmic summaries</w:t>
      </w:r>
    </w:p>
    <w:p w14:paraId="01702AB9" w14:textId="77777777" w:rsidR="0094261F" w:rsidRDefault="00000000">
      <w:pPr>
        <w:pStyle w:val="FirstParagraph"/>
        <w:rPr>
          <w:rFonts w:hint="eastAsia"/>
        </w:rPr>
      </w:pPr>
      <w:r>
        <w:t xml:space="preserve">The earlier manuscript reported ten-seed runs with 64 prompt states and 16 stages of 96 candidates, totaling 1,600 attempts, at </w:t>
      </w:r>
      <m:oMath>
        <m:r>
          <w:rPr>
            <w:rFonts w:ascii="Cambria Math" w:hAnsi="Cambria Math"/>
          </w:rPr>
          <m:t>β</m:t>
        </m:r>
        <m:r>
          <m:rPr>
            <m:sty m:val="p"/>
          </m:rPr>
          <w:rPr>
            <w:rFonts w:ascii="Cambria Math" w:hAnsi="Cambria Math"/>
          </w:rPr>
          <m:t>=</m:t>
        </m:r>
        <m:r>
          <w:rPr>
            <w:rFonts w:ascii="Cambria Math" w:hAnsi="Cambria Math"/>
          </w:rPr>
          <m:t>0.1</m:t>
        </m:r>
      </m:oMath>
      <w:r>
        <w:t>. Table 4 preserves selected reported summaries from that manuscript [12]. The complete run traces, implementation, and seed-level outputs are not available as a reproducible experiment package for these numbers. They are therefore reported results rather than newly replicated evidence. The meaning of the original plus-or-minus statistic was not specified; its label is retained without treating it as a confidence interval.</w:t>
      </w:r>
    </w:p>
    <w:p w14:paraId="4723BE0B" w14:textId="77777777" w:rsidR="0094261F" w:rsidRDefault="00000000">
      <w:pPr>
        <w:pStyle w:val="Caption"/>
        <w:keepNext/>
        <w:rPr>
          <w:rFonts w:hint="eastAsia"/>
        </w:rPr>
      </w:pPr>
      <w:r>
        <w:t>Table 4. Selected earlier reported results for the mean loss target of approximately 10.3446.</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1944"/>
        <w:gridCol w:w="1872"/>
        <w:gridCol w:w="1440"/>
      </w:tblGrid>
      <w:tr w:rsidR="0094261F" w14:paraId="0A1EB3F0" w14:textId="77777777">
        <w:trPr>
          <w:cantSplit/>
          <w:tblHeader/>
          <w:jc w:val="center"/>
        </w:trPr>
        <w:tc>
          <w:tcPr>
            <w:tcW w:w="4680" w:type="dxa"/>
            <w:shd w:val="clear" w:color="auto" w:fill="EAEAEA"/>
            <w:tcMar>
              <w:top w:w="80" w:type="dxa"/>
              <w:left w:w="85" w:type="dxa"/>
              <w:bottom w:w="80" w:type="dxa"/>
              <w:right w:w="85" w:type="dxa"/>
            </w:tcMar>
            <w:vAlign w:val="center"/>
          </w:tcPr>
          <w:p w14:paraId="413E86BC" w14:textId="77777777" w:rsidR="0094261F" w:rsidRDefault="00000000">
            <w:pPr>
              <w:keepNext/>
              <w:keepLines/>
              <w:spacing w:after="0" w:line="247" w:lineRule="auto"/>
              <w:jc w:val="left"/>
              <w:rPr>
                <w:rFonts w:hint="eastAsia"/>
              </w:rPr>
            </w:pPr>
            <w:r>
              <w:rPr>
                <w:b/>
                <w:sz w:val="21"/>
              </w:rPr>
              <w:t>Proposal and weighting</w:t>
            </w:r>
          </w:p>
        </w:tc>
        <w:tc>
          <w:tcPr>
            <w:tcW w:w="1944" w:type="dxa"/>
            <w:shd w:val="clear" w:color="auto" w:fill="EAEAEA"/>
            <w:tcMar>
              <w:top w:w="80" w:type="dxa"/>
              <w:left w:w="85" w:type="dxa"/>
              <w:bottom w:w="80" w:type="dxa"/>
              <w:right w:w="85" w:type="dxa"/>
            </w:tcMar>
            <w:vAlign w:val="center"/>
          </w:tcPr>
          <w:p w14:paraId="16C3BE54" w14:textId="77777777" w:rsidR="0094261F" w:rsidRDefault="00000000">
            <w:pPr>
              <w:keepNext/>
              <w:keepLines/>
              <w:spacing w:after="0" w:line="247" w:lineRule="auto"/>
              <w:jc w:val="right"/>
              <w:rPr>
                <w:rFonts w:hint="eastAsia"/>
              </w:rPr>
            </w:pPr>
            <w:r>
              <w:rPr>
                <w:b/>
                <w:sz w:val="21"/>
              </w:rPr>
              <w:t>Mean loss estimate as reported</w:t>
            </w:r>
          </w:p>
        </w:tc>
        <w:tc>
          <w:tcPr>
            <w:tcW w:w="1872" w:type="dxa"/>
            <w:shd w:val="clear" w:color="auto" w:fill="EAEAEA"/>
            <w:tcMar>
              <w:top w:w="80" w:type="dxa"/>
              <w:left w:w="85" w:type="dxa"/>
              <w:bottom w:w="80" w:type="dxa"/>
              <w:right w:w="85" w:type="dxa"/>
            </w:tcMar>
            <w:vAlign w:val="center"/>
          </w:tcPr>
          <w:p w14:paraId="6E6962CC" w14:textId="77777777" w:rsidR="0094261F" w:rsidRDefault="00000000">
            <w:pPr>
              <w:keepNext/>
              <w:keepLines/>
              <w:spacing w:after="0" w:line="247" w:lineRule="auto"/>
              <w:jc w:val="right"/>
              <w:rPr>
                <w:rFonts w:hint="eastAsia"/>
              </w:rPr>
            </w:pPr>
            <w:r>
              <w:rPr>
                <w:b/>
                <w:sz w:val="21"/>
              </w:rPr>
              <w:t>Mean absolute error</w:t>
            </w:r>
          </w:p>
        </w:tc>
        <w:tc>
          <w:tcPr>
            <w:tcW w:w="1440" w:type="dxa"/>
            <w:shd w:val="clear" w:color="auto" w:fill="EAEAEA"/>
            <w:tcMar>
              <w:top w:w="80" w:type="dxa"/>
              <w:left w:w="85" w:type="dxa"/>
              <w:bottom w:w="80" w:type="dxa"/>
              <w:right w:w="85" w:type="dxa"/>
            </w:tcMar>
            <w:vAlign w:val="center"/>
          </w:tcPr>
          <w:p w14:paraId="5C00147C" w14:textId="77777777" w:rsidR="0094261F" w:rsidRDefault="00000000">
            <w:pPr>
              <w:keepNext/>
              <w:keepLines/>
              <w:spacing w:after="0" w:line="247" w:lineRule="auto"/>
              <w:jc w:val="right"/>
              <w:rPr>
                <w:rFonts w:hint="eastAsia"/>
              </w:rPr>
            </w:pPr>
            <w:r>
              <w:rPr>
                <w:b/>
                <w:sz w:val="21"/>
              </w:rPr>
              <w:t>Median ESS</w:t>
            </w:r>
          </w:p>
        </w:tc>
      </w:tr>
      <w:tr w:rsidR="0094261F" w14:paraId="7607EDD8" w14:textId="77777777">
        <w:trPr>
          <w:cantSplit/>
          <w:jc w:val="center"/>
        </w:trPr>
        <w:tc>
          <w:tcPr>
            <w:tcW w:w="4680" w:type="dxa"/>
            <w:shd w:val="clear" w:color="auto" w:fill="FFFFFF"/>
            <w:tcMar>
              <w:top w:w="80" w:type="dxa"/>
              <w:left w:w="85" w:type="dxa"/>
              <w:bottom w:w="80" w:type="dxa"/>
              <w:right w:w="85" w:type="dxa"/>
            </w:tcMar>
            <w:vAlign w:val="center"/>
          </w:tcPr>
          <w:p w14:paraId="56E9BE53" w14:textId="77777777" w:rsidR="0094261F" w:rsidRDefault="00000000">
            <w:pPr>
              <w:keepNext/>
              <w:keepLines/>
              <w:spacing w:after="0" w:line="247" w:lineRule="auto"/>
              <w:jc w:val="left"/>
              <w:rPr>
                <w:rFonts w:hint="eastAsia"/>
              </w:rPr>
            </w:pPr>
            <w:r>
              <w:rPr>
                <w:sz w:val="21"/>
              </w:rPr>
              <w:t xml:space="preserve">Defensive mixture, full density, </w:t>
            </w:r>
            <m:oMath>
              <m:r>
                <w:rPr>
                  <w:rFonts w:ascii="Cambria Math" w:hAnsi="Cambria Math"/>
                </w:rPr>
                <m:t>ε</m:t>
              </m:r>
              <m:r>
                <m:rPr>
                  <m:sty m:val="p"/>
                </m:rPr>
                <w:rPr>
                  <w:rFonts w:ascii="Cambria Math" w:hAnsi="Cambria Math"/>
                </w:rPr>
                <m:t>=</m:t>
              </m:r>
              <m:r>
                <w:rPr>
                  <w:rFonts w:ascii="Cambria Math" w:hAnsi="Cambria Math"/>
                </w:rPr>
                <m:t>0.1</m:t>
              </m:r>
            </m:oMath>
          </w:p>
        </w:tc>
        <w:tc>
          <w:tcPr>
            <w:tcW w:w="1944" w:type="dxa"/>
            <w:shd w:val="clear" w:color="auto" w:fill="FFFFFF"/>
            <w:tcMar>
              <w:top w:w="80" w:type="dxa"/>
              <w:left w:w="85" w:type="dxa"/>
              <w:bottom w:w="80" w:type="dxa"/>
              <w:right w:w="85" w:type="dxa"/>
            </w:tcMar>
            <w:vAlign w:val="center"/>
          </w:tcPr>
          <w:p w14:paraId="60376292" w14:textId="77777777" w:rsidR="0094261F" w:rsidRDefault="00000000">
            <w:pPr>
              <w:keepNext/>
              <w:keepLines/>
              <w:spacing w:after="0" w:line="247" w:lineRule="auto"/>
              <w:jc w:val="right"/>
              <w:rPr>
                <w:rFonts w:hint="eastAsia"/>
              </w:rPr>
            </w:pPr>
            <m:oMathPara>
              <m:oMath>
                <m:r>
                  <w:rPr>
                    <w:rFonts w:ascii="Cambria Math" w:hAnsi="Cambria Math"/>
                  </w:rPr>
                  <m:t>11.20</m:t>
                </m:r>
                <m:r>
                  <m:rPr>
                    <m:sty m:val="p"/>
                  </m:rPr>
                  <w:rPr>
                    <w:rFonts w:ascii="Cambria Math" w:hAnsi="Cambria Math"/>
                  </w:rPr>
                  <m:t>±</m:t>
                </m:r>
                <m:r>
                  <w:rPr>
                    <w:rFonts w:ascii="Cambria Math" w:hAnsi="Cambria Math"/>
                  </w:rPr>
                  <m:t>0.56</m:t>
                </m:r>
              </m:oMath>
            </m:oMathPara>
          </w:p>
        </w:tc>
        <w:tc>
          <w:tcPr>
            <w:tcW w:w="1872" w:type="dxa"/>
            <w:shd w:val="clear" w:color="auto" w:fill="FFFFFF"/>
            <w:tcMar>
              <w:top w:w="80" w:type="dxa"/>
              <w:left w:w="85" w:type="dxa"/>
              <w:bottom w:w="80" w:type="dxa"/>
              <w:right w:w="85" w:type="dxa"/>
            </w:tcMar>
            <w:vAlign w:val="center"/>
          </w:tcPr>
          <w:p w14:paraId="47CD74DF" w14:textId="77777777" w:rsidR="0094261F" w:rsidRDefault="00000000">
            <w:pPr>
              <w:keepNext/>
              <w:keepLines/>
              <w:spacing w:after="0" w:line="247" w:lineRule="auto"/>
              <w:jc w:val="right"/>
              <w:rPr>
                <w:rFonts w:hint="eastAsia"/>
              </w:rPr>
            </w:pPr>
            <w:r>
              <w:rPr>
                <w:sz w:val="21"/>
              </w:rPr>
              <w:t>1.53</w:t>
            </w:r>
          </w:p>
        </w:tc>
        <w:tc>
          <w:tcPr>
            <w:tcW w:w="1440" w:type="dxa"/>
            <w:shd w:val="clear" w:color="auto" w:fill="FFFFFF"/>
            <w:tcMar>
              <w:top w:w="80" w:type="dxa"/>
              <w:left w:w="85" w:type="dxa"/>
              <w:bottom w:w="80" w:type="dxa"/>
              <w:right w:w="85" w:type="dxa"/>
            </w:tcMar>
            <w:vAlign w:val="center"/>
          </w:tcPr>
          <w:p w14:paraId="30097630" w14:textId="77777777" w:rsidR="0094261F" w:rsidRDefault="00000000">
            <w:pPr>
              <w:keepNext/>
              <w:keepLines/>
              <w:spacing w:after="0" w:line="247" w:lineRule="auto"/>
              <w:jc w:val="right"/>
              <w:rPr>
                <w:rFonts w:hint="eastAsia"/>
              </w:rPr>
            </w:pPr>
            <w:r>
              <w:rPr>
                <w:sz w:val="21"/>
              </w:rPr>
              <w:t>23.0</w:t>
            </w:r>
          </w:p>
        </w:tc>
      </w:tr>
      <w:tr w:rsidR="0094261F" w14:paraId="4AEB513B" w14:textId="77777777">
        <w:trPr>
          <w:cantSplit/>
          <w:jc w:val="center"/>
        </w:trPr>
        <w:tc>
          <w:tcPr>
            <w:tcW w:w="4680" w:type="dxa"/>
            <w:shd w:val="clear" w:color="auto" w:fill="FFFFFF"/>
            <w:tcMar>
              <w:top w:w="80" w:type="dxa"/>
              <w:left w:w="85" w:type="dxa"/>
              <w:bottom w:w="80" w:type="dxa"/>
              <w:right w:w="85" w:type="dxa"/>
            </w:tcMar>
            <w:vAlign w:val="center"/>
          </w:tcPr>
          <w:p w14:paraId="293C7294" w14:textId="77777777" w:rsidR="0094261F" w:rsidRDefault="00000000">
            <w:pPr>
              <w:keepNext/>
              <w:keepLines/>
              <w:spacing w:after="0" w:line="247" w:lineRule="auto"/>
              <w:jc w:val="left"/>
              <w:rPr>
                <w:rFonts w:hint="eastAsia"/>
              </w:rPr>
            </w:pPr>
            <w:r>
              <w:rPr>
                <w:sz w:val="21"/>
              </w:rPr>
              <w:t>Same share, selected Gaussian component density</w:t>
            </w:r>
          </w:p>
        </w:tc>
        <w:tc>
          <w:tcPr>
            <w:tcW w:w="1944" w:type="dxa"/>
            <w:shd w:val="clear" w:color="auto" w:fill="FFFFFF"/>
            <w:tcMar>
              <w:top w:w="80" w:type="dxa"/>
              <w:left w:w="85" w:type="dxa"/>
              <w:bottom w:w="80" w:type="dxa"/>
              <w:right w:w="85" w:type="dxa"/>
            </w:tcMar>
            <w:vAlign w:val="center"/>
          </w:tcPr>
          <w:p w14:paraId="0F045C07" w14:textId="77777777" w:rsidR="0094261F" w:rsidRDefault="00000000">
            <w:pPr>
              <w:keepNext/>
              <w:keepLines/>
              <w:spacing w:after="0" w:line="247" w:lineRule="auto"/>
              <w:jc w:val="right"/>
              <w:rPr>
                <w:rFonts w:hint="eastAsia"/>
              </w:rPr>
            </w:pPr>
            <m:oMathPara>
              <m:oMath>
                <m:r>
                  <w:rPr>
                    <w:rFonts w:ascii="Cambria Math" w:hAnsi="Cambria Math"/>
                  </w:rPr>
                  <m:t>11.17</m:t>
                </m:r>
                <m:r>
                  <m:rPr>
                    <m:sty m:val="p"/>
                  </m:rPr>
                  <w:rPr>
                    <w:rFonts w:ascii="Cambria Math" w:hAnsi="Cambria Math"/>
                  </w:rPr>
                  <m:t>±</m:t>
                </m:r>
                <m:r>
                  <w:rPr>
                    <w:rFonts w:ascii="Cambria Math" w:hAnsi="Cambria Math"/>
                  </w:rPr>
                  <m:t>0.34</m:t>
                </m:r>
              </m:oMath>
            </m:oMathPara>
          </w:p>
        </w:tc>
        <w:tc>
          <w:tcPr>
            <w:tcW w:w="1872" w:type="dxa"/>
            <w:shd w:val="clear" w:color="auto" w:fill="FFFFFF"/>
            <w:tcMar>
              <w:top w:w="80" w:type="dxa"/>
              <w:left w:w="85" w:type="dxa"/>
              <w:bottom w:w="80" w:type="dxa"/>
              <w:right w:w="85" w:type="dxa"/>
            </w:tcMar>
            <w:vAlign w:val="center"/>
          </w:tcPr>
          <w:p w14:paraId="354B3E3A" w14:textId="77777777" w:rsidR="0094261F" w:rsidRDefault="00000000">
            <w:pPr>
              <w:keepNext/>
              <w:keepLines/>
              <w:spacing w:after="0" w:line="247" w:lineRule="auto"/>
              <w:jc w:val="right"/>
              <w:rPr>
                <w:rFonts w:hint="eastAsia"/>
              </w:rPr>
            </w:pPr>
            <w:r>
              <w:rPr>
                <w:sz w:val="21"/>
              </w:rPr>
              <w:t>0.94</w:t>
            </w:r>
          </w:p>
        </w:tc>
        <w:tc>
          <w:tcPr>
            <w:tcW w:w="1440" w:type="dxa"/>
            <w:shd w:val="clear" w:color="auto" w:fill="FFFFFF"/>
            <w:tcMar>
              <w:top w:w="80" w:type="dxa"/>
              <w:left w:w="85" w:type="dxa"/>
              <w:bottom w:w="80" w:type="dxa"/>
              <w:right w:w="85" w:type="dxa"/>
            </w:tcMar>
            <w:vAlign w:val="center"/>
          </w:tcPr>
          <w:p w14:paraId="229F0E10" w14:textId="77777777" w:rsidR="0094261F" w:rsidRDefault="00000000">
            <w:pPr>
              <w:keepNext/>
              <w:keepLines/>
              <w:spacing w:after="0" w:line="247" w:lineRule="auto"/>
              <w:jc w:val="right"/>
              <w:rPr>
                <w:rFonts w:hint="eastAsia"/>
              </w:rPr>
            </w:pPr>
            <w:r>
              <w:rPr>
                <w:sz w:val="21"/>
              </w:rPr>
              <w:t>49.0</w:t>
            </w:r>
          </w:p>
        </w:tc>
      </w:tr>
      <w:tr w:rsidR="0094261F" w14:paraId="7B117920" w14:textId="77777777">
        <w:trPr>
          <w:cantSplit/>
          <w:jc w:val="center"/>
        </w:trPr>
        <w:tc>
          <w:tcPr>
            <w:tcW w:w="4680" w:type="dxa"/>
            <w:shd w:val="clear" w:color="auto" w:fill="FFFFFF"/>
            <w:tcMar>
              <w:top w:w="80" w:type="dxa"/>
              <w:left w:w="85" w:type="dxa"/>
              <w:bottom w:w="80" w:type="dxa"/>
              <w:right w:w="85" w:type="dxa"/>
            </w:tcMar>
            <w:vAlign w:val="center"/>
          </w:tcPr>
          <w:p w14:paraId="409820F8" w14:textId="77777777" w:rsidR="0094261F" w:rsidRDefault="00000000">
            <w:pPr>
              <w:keepNext/>
              <w:keepLines/>
              <w:spacing w:after="0" w:line="247" w:lineRule="auto"/>
              <w:jc w:val="left"/>
              <w:rPr>
                <w:rFonts w:hint="eastAsia"/>
              </w:rPr>
            </w:pPr>
            <w:r>
              <w:rPr>
                <w:sz w:val="21"/>
              </w:rPr>
              <w:t xml:space="preserve">Gaussian only, </w:t>
            </w:r>
            <m:oMath>
              <m:r>
                <w:rPr>
                  <w:rFonts w:ascii="Cambria Math" w:hAnsi="Cambria Math"/>
                </w:rPr>
                <m:t>ε</m:t>
              </m:r>
              <m:r>
                <m:rPr>
                  <m:sty m:val="p"/>
                </m:rPr>
                <w:rPr>
                  <w:rFonts w:ascii="Cambria Math" w:hAnsi="Cambria Math"/>
                </w:rPr>
                <m:t>=</m:t>
              </m:r>
              <m:r>
                <w:rPr>
                  <w:rFonts w:ascii="Cambria Math" w:hAnsi="Cambria Math"/>
                </w:rPr>
                <m:t>0</m:t>
              </m:r>
            </m:oMath>
          </w:p>
        </w:tc>
        <w:tc>
          <w:tcPr>
            <w:tcW w:w="1944" w:type="dxa"/>
            <w:shd w:val="clear" w:color="auto" w:fill="FFFFFF"/>
            <w:tcMar>
              <w:top w:w="80" w:type="dxa"/>
              <w:left w:w="85" w:type="dxa"/>
              <w:bottom w:w="80" w:type="dxa"/>
              <w:right w:w="85" w:type="dxa"/>
            </w:tcMar>
            <w:vAlign w:val="center"/>
          </w:tcPr>
          <w:p w14:paraId="2735B073" w14:textId="77777777" w:rsidR="0094261F" w:rsidRDefault="00000000">
            <w:pPr>
              <w:keepNext/>
              <w:keepLines/>
              <w:spacing w:after="0" w:line="247" w:lineRule="auto"/>
              <w:jc w:val="right"/>
              <w:rPr>
                <w:rFonts w:hint="eastAsia"/>
              </w:rPr>
            </w:pPr>
            <m:oMathPara>
              <m:oMath>
                <m:r>
                  <w:rPr>
                    <w:rFonts w:ascii="Cambria Math" w:hAnsi="Cambria Math"/>
                  </w:rPr>
                  <m:t>10.18</m:t>
                </m:r>
                <m:r>
                  <m:rPr>
                    <m:sty m:val="p"/>
                  </m:rPr>
                  <w:rPr>
                    <w:rFonts w:ascii="Cambria Math" w:hAnsi="Cambria Math"/>
                  </w:rPr>
                  <m:t>±</m:t>
                </m:r>
                <m:r>
                  <w:rPr>
                    <w:rFonts w:ascii="Cambria Math" w:hAnsi="Cambria Math"/>
                  </w:rPr>
                  <m:t>0.24</m:t>
                </m:r>
              </m:oMath>
            </m:oMathPara>
          </w:p>
        </w:tc>
        <w:tc>
          <w:tcPr>
            <w:tcW w:w="1872" w:type="dxa"/>
            <w:shd w:val="clear" w:color="auto" w:fill="FFFFFF"/>
            <w:tcMar>
              <w:top w:w="80" w:type="dxa"/>
              <w:left w:w="85" w:type="dxa"/>
              <w:bottom w:w="80" w:type="dxa"/>
              <w:right w:w="85" w:type="dxa"/>
            </w:tcMar>
            <w:vAlign w:val="center"/>
          </w:tcPr>
          <w:p w14:paraId="51BEE3E6" w14:textId="77777777" w:rsidR="0094261F" w:rsidRDefault="00000000">
            <w:pPr>
              <w:keepNext/>
              <w:keepLines/>
              <w:spacing w:after="0" w:line="247" w:lineRule="auto"/>
              <w:jc w:val="right"/>
              <w:rPr>
                <w:rFonts w:hint="eastAsia"/>
              </w:rPr>
            </w:pPr>
            <w:r>
              <w:rPr>
                <w:sz w:val="21"/>
              </w:rPr>
              <w:t>0.65</w:t>
            </w:r>
          </w:p>
        </w:tc>
        <w:tc>
          <w:tcPr>
            <w:tcW w:w="1440" w:type="dxa"/>
            <w:shd w:val="clear" w:color="auto" w:fill="FFFFFF"/>
            <w:tcMar>
              <w:top w:w="80" w:type="dxa"/>
              <w:left w:w="85" w:type="dxa"/>
              <w:bottom w:w="80" w:type="dxa"/>
              <w:right w:w="85" w:type="dxa"/>
            </w:tcMar>
            <w:vAlign w:val="center"/>
          </w:tcPr>
          <w:p w14:paraId="2339CA45" w14:textId="77777777" w:rsidR="0094261F" w:rsidRDefault="00000000">
            <w:pPr>
              <w:keepNext/>
              <w:keepLines/>
              <w:spacing w:after="0" w:line="247" w:lineRule="auto"/>
              <w:jc w:val="right"/>
              <w:rPr>
                <w:rFonts w:hint="eastAsia"/>
              </w:rPr>
            </w:pPr>
            <w:r>
              <w:rPr>
                <w:sz w:val="21"/>
              </w:rPr>
              <w:t>26.5</w:t>
            </w:r>
          </w:p>
        </w:tc>
      </w:tr>
      <w:tr w:rsidR="0094261F" w14:paraId="33620E74" w14:textId="77777777">
        <w:trPr>
          <w:cantSplit/>
          <w:jc w:val="center"/>
        </w:trPr>
        <w:tc>
          <w:tcPr>
            <w:tcW w:w="4680" w:type="dxa"/>
            <w:shd w:val="clear" w:color="auto" w:fill="FFFFFF"/>
            <w:tcMar>
              <w:top w:w="80" w:type="dxa"/>
              <w:left w:w="85" w:type="dxa"/>
              <w:bottom w:w="80" w:type="dxa"/>
              <w:right w:w="85" w:type="dxa"/>
            </w:tcMar>
            <w:vAlign w:val="center"/>
          </w:tcPr>
          <w:p w14:paraId="6860CC70" w14:textId="77777777" w:rsidR="0094261F" w:rsidRDefault="00000000">
            <w:pPr>
              <w:keepNext/>
              <w:keepLines/>
              <w:spacing w:after="0" w:line="247" w:lineRule="auto"/>
              <w:jc w:val="left"/>
              <w:rPr>
                <w:rFonts w:hint="eastAsia"/>
              </w:rPr>
            </w:pPr>
            <w:r>
              <w:rPr>
                <w:sz w:val="21"/>
              </w:rPr>
              <w:t>Defensive mixture with a deterministic local step</w:t>
            </w:r>
          </w:p>
        </w:tc>
        <w:tc>
          <w:tcPr>
            <w:tcW w:w="1944" w:type="dxa"/>
            <w:shd w:val="clear" w:color="auto" w:fill="FFFFFF"/>
            <w:tcMar>
              <w:top w:w="80" w:type="dxa"/>
              <w:left w:w="85" w:type="dxa"/>
              <w:bottom w:w="80" w:type="dxa"/>
              <w:right w:w="85" w:type="dxa"/>
            </w:tcMar>
            <w:vAlign w:val="center"/>
          </w:tcPr>
          <w:p w14:paraId="648FE2CA" w14:textId="77777777" w:rsidR="0094261F" w:rsidRDefault="00000000">
            <w:pPr>
              <w:keepNext/>
              <w:keepLines/>
              <w:spacing w:after="0" w:line="247" w:lineRule="auto"/>
              <w:jc w:val="right"/>
              <w:rPr>
                <w:rFonts w:hint="eastAsia"/>
              </w:rPr>
            </w:pPr>
            <m:oMathPara>
              <m:oMath>
                <m:r>
                  <w:rPr>
                    <w:rFonts w:ascii="Cambria Math" w:hAnsi="Cambria Math"/>
                  </w:rPr>
                  <m:t>10.87</m:t>
                </m:r>
                <m:r>
                  <m:rPr>
                    <m:sty m:val="p"/>
                  </m:rPr>
                  <w:rPr>
                    <w:rFonts w:ascii="Cambria Math" w:hAnsi="Cambria Math"/>
                  </w:rPr>
                  <m:t>±</m:t>
                </m:r>
                <m:r>
                  <w:rPr>
                    <w:rFonts w:ascii="Cambria Math" w:hAnsi="Cambria Math"/>
                  </w:rPr>
                  <m:t>0.69</m:t>
                </m:r>
              </m:oMath>
            </m:oMathPara>
          </w:p>
        </w:tc>
        <w:tc>
          <w:tcPr>
            <w:tcW w:w="1872" w:type="dxa"/>
            <w:shd w:val="clear" w:color="auto" w:fill="FFFFFF"/>
            <w:tcMar>
              <w:top w:w="80" w:type="dxa"/>
              <w:left w:w="85" w:type="dxa"/>
              <w:bottom w:w="80" w:type="dxa"/>
              <w:right w:w="85" w:type="dxa"/>
            </w:tcMar>
            <w:vAlign w:val="center"/>
          </w:tcPr>
          <w:p w14:paraId="7EFC541E" w14:textId="77777777" w:rsidR="0094261F" w:rsidRDefault="00000000">
            <w:pPr>
              <w:keepNext/>
              <w:keepLines/>
              <w:spacing w:after="0" w:line="247" w:lineRule="auto"/>
              <w:jc w:val="right"/>
              <w:rPr>
                <w:rFonts w:hint="eastAsia"/>
              </w:rPr>
            </w:pPr>
            <w:r>
              <w:rPr>
                <w:sz w:val="21"/>
              </w:rPr>
              <w:t>1.84</w:t>
            </w:r>
          </w:p>
        </w:tc>
        <w:tc>
          <w:tcPr>
            <w:tcW w:w="1440" w:type="dxa"/>
            <w:shd w:val="clear" w:color="auto" w:fill="FFFFFF"/>
            <w:tcMar>
              <w:top w:w="80" w:type="dxa"/>
              <w:left w:w="85" w:type="dxa"/>
              <w:bottom w:w="80" w:type="dxa"/>
              <w:right w:w="85" w:type="dxa"/>
            </w:tcMar>
            <w:vAlign w:val="center"/>
          </w:tcPr>
          <w:p w14:paraId="313402F4" w14:textId="77777777" w:rsidR="0094261F" w:rsidRDefault="00000000">
            <w:pPr>
              <w:keepNext/>
              <w:keepLines/>
              <w:spacing w:after="0" w:line="247" w:lineRule="auto"/>
              <w:jc w:val="right"/>
              <w:rPr>
                <w:rFonts w:hint="eastAsia"/>
              </w:rPr>
            </w:pPr>
            <w:r>
              <w:rPr>
                <w:sz w:val="21"/>
              </w:rPr>
              <w:t>9.2</w:t>
            </w:r>
          </w:p>
        </w:tc>
      </w:tr>
      <w:tr w:rsidR="0094261F" w14:paraId="632B3861" w14:textId="77777777">
        <w:trPr>
          <w:cantSplit/>
          <w:jc w:val="center"/>
        </w:trPr>
        <w:tc>
          <w:tcPr>
            <w:tcW w:w="4680" w:type="dxa"/>
            <w:shd w:val="clear" w:color="auto" w:fill="FFFFFF"/>
            <w:tcMar>
              <w:top w:w="80" w:type="dxa"/>
              <w:left w:w="85" w:type="dxa"/>
              <w:bottom w:w="80" w:type="dxa"/>
              <w:right w:w="85" w:type="dxa"/>
            </w:tcMar>
            <w:vAlign w:val="center"/>
          </w:tcPr>
          <w:p w14:paraId="53D13A60" w14:textId="77777777" w:rsidR="0094261F" w:rsidRDefault="00000000">
            <w:pPr>
              <w:keepLines/>
              <w:spacing w:after="0" w:line="247" w:lineRule="auto"/>
              <w:jc w:val="left"/>
              <w:rPr>
                <w:rFonts w:hint="eastAsia"/>
              </w:rPr>
            </w:pPr>
            <w:r>
              <w:rPr>
                <w:sz w:val="21"/>
              </w:rPr>
              <w:t>Uncorrected loss tilt only</w:t>
            </w:r>
          </w:p>
        </w:tc>
        <w:tc>
          <w:tcPr>
            <w:tcW w:w="1944" w:type="dxa"/>
            <w:shd w:val="clear" w:color="auto" w:fill="FFFFFF"/>
            <w:tcMar>
              <w:top w:w="80" w:type="dxa"/>
              <w:left w:w="85" w:type="dxa"/>
              <w:bottom w:w="80" w:type="dxa"/>
              <w:right w:w="85" w:type="dxa"/>
            </w:tcMar>
            <w:vAlign w:val="center"/>
          </w:tcPr>
          <w:p w14:paraId="1CB96498" w14:textId="77777777" w:rsidR="0094261F" w:rsidRDefault="00000000">
            <w:pPr>
              <w:keepLines/>
              <w:spacing w:after="0" w:line="247" w:lineRule="auto"/>
              <w:jc w:val="right"/>
              <w:rPr>
                <w:rFonts w:hint="eastAsia"/>
              </w:rPr>
            </w:pPr>
            <m:oMathPara>
              <m:oMath>
                <m:r>
                  <w:rPr>
                    <w:rFonts w:ascii="Cambria Math" w:hAnsi="Cambria Math"/>
                  </w:rPr>
                  <m:t>7.22</m:t>
                </m:r>
                <m:r>
                  <m:rPr>
                    <m:sty m:val="p"/>
                  </m:rPr>
                  <w:rPr>
                    <w:rFonts w:ascii="Cambria Math" w:hAnsi="Cambria Math"/>
                  </w:rPr>
                  <m:t>±</m:t>
                </m:r>
                <m:r>
                  <w:rPr>
                    <w:rFonts w:ascii="Cambria Math" w:hAnsi="Cambria Math"/>
                  </w:rPr>
                  <m:t>0.15</m:t>
                </m:r>
              </m:oMath>
            </m:oMathPara>
          </w:p>
        </w:tc>
        <w:tc>
          <w:tcPr>
            <w:tcW w:w="1872" w:type="dxa"/>
            <w:shd w:val="clear" w:color="auto" w:fill="FFFFFF"/>
            <w:tcMar>
              <w:top w:w="80" w:type="dxa"/>
              <w:left w:w="85" w:type="dxa"/>
              <w:bottom w:w="80" w:type="dxa"/>
              <w:right w:w="85" w:type="dxa"/>
            </w:tcMar>
            <w:vAlign w:val="center"/>
          </w:tcPr>
          <w:p w14:paraId="0F54EE64" w14:textId="77777777" w:rsidR="0094261F" w:rsidRDefault="00000000">
            <w:pPr>
              <w:keepLines/>
              <w:spacing w:after="0" w:line="247" w:lineRule="auto"/>
              <w:jc w:val="right"/>
              <w:rPr>
                <w:rFonts w:hint="eastAsia"/>
              </w:rPr>
            </w:pPr>
            <w:r>
              <w:rPr>
                <w:sz w:val="21"/>
              </w:rPr>
              <w:t>3.12</w:t>
            </w:r>
          </w:p>
        </w:tc>
        <w:tc>
          <w:tcPr>
            <w:tcW w:w="1440" w:type="dxa"/>
            <w:shd w:val="clear" w:color="auto" w:fill="FFFFFF"/>
            <w:tcMar>
              <w:top w:w="80" w:type="dxa"/>
              <w:left w:w="85" w:type="dxa"/>
              <w:bottom w:w="80" w:type="dxa"/>
              <w:right w:w="85" w:type="dxa"/>
            </w:tcMar>
            <w:vAlign w:val="center"/>
          </w:tcPr>
          <w:p w14:paraId="484A3DA2" w14:textId="77777777" w:rsidR="0094261F" w:rsidRDefault="00000000">
            <w:pPr>
              <w:keepLines/>
              <w:spacing w:after="0" w:line="247" w:lineRule="auto"/>
              <w:jc w:val="right"/>
              <w:rPr>
                <w:rFonts w:hint="eastAsia"/>
              </w:rPr>
            </w:pPr>
            <w:r>
              <w:rPr>
                <w:sz w:val="21"/>
              </w:rPr>
              <w:t>Not reported</w:t>
            </w:r>
          </w:p>
        </w:tc>
      </w:tr>
    </w:tbl>
    <w:p w14:paraId="0C1EDADA" w14:textId="77777777" w:rsidR="0094261F" w:rsidRDefault="00000000">
      <w:pPr>
        <w:pStyle w:val="BodyText"/>
        <w:spacing w:before="140"/>
        <w:rPr>
          <w:rFonts w:hint="eastAsia"/>
        </w:rPr>
      </w:pPr>
      <w:r>
        <w:lastRenderedPageBreak/>
        <w:t xml:space="preserve">The Gaussian-only row lacks the defensive guarantee but can perform well on this particular target. The component row does not contradict Proposition 1, which concerns one-step unnormalized variance under a fixed history. The singular-mixture row estimates through the continuous branch while deterministic draws can remain useful to optimization. These comparisons cannot establish general rankings of search policies. ESS is the heuristic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it is not a certified count of independent draws in an adaptive archive.</w:t>
      </w:r>
    </w:p>
    <w:p w14:paraId="16BE891B" w14:textId="77777777" w:rsidR="0094261F" w:rsidRDefault="00000000">
      <w:pPr>
        <w:pStyle w:val="Heading1"/>
        <w:rPr>
          <w:rFonts w:hint="eastAsia"/>
        </w:rPr>
      </w:pPr>
      <w:bookmarkStart w:id="26" w:name="X8240a3a7e2286d7b8b286ddb2fa06e1b13502e2"/>
      <w:bookmarkEnd w:id="22"/>
      <w:bookmarkEnd w:id="25"/>
      <w:r>
        <w:t>10 Recent neuroscience and bounded functional analogies</w:t>
      </w:r>
    </w:p>
    <w:p w14:paraId="269E9538" w14:textId="77777777" w:rsidR="0094261F" w:rsidRDefault="00000000">
      <w:pPr>
        <w:pStyle w:val="Heading2"/>
        <w:rPr>
          <w:rFonts w:hint="eastAsia"/>
        </w:rPr>
      </w:pPr>
      <w:bookmarkStart w:id="27" w:name="Xe4c4fdccb478b406da7dd28d0626ec27f29f7b2"/>
      <w:r>
        <w:t>10.1 Uncertainty before observation and surprise after observation</w:t>
      </w:r>
    </w:p>
    <w:p w14:paraId="2CCF58F7" w14:textId="77777777" w:rsidR="0094261F" w:rsidRDefault="00000000">
      <w:pPr>
        <w:pStyle w:val="FirstParagraph"/>
        <w:rPr>
          <w:rFonts w:hint="eastAsia"/>
        </w:rPr>
      </w:pPr>
      <w:r>
        <w:t>Frank and colleagues recorded hippocampal and visual cortical activity in people performing a task with visual streams of differing predictability [7]. In 17 participants who completed the task, greater uncertainty was associated with changes in prestimulus ripple occurrence and duration, and ripple-related cortical gamma responses differed across uncertainty and surprise conditions. The work supports separating expected uncertainty before an observation from a prediction error after it. These intracranial findings do not demonstrate importance sampling, an ADE objective, or an intervention effect of a software gate.</w:t>
      </w:r>
    </w:p>
    <w:p w14:paraId="2994CA7B" w14:textId="77777777" w:rsidR="0094261F" w:rsidRDefault="00000000">
      <w:pPr>
        <w:pStyle w:val="BodyText"/>
        <w:rPr>
          <w:rFonts w:hint="eastAsia"/>
        </w:rPr>
      </w:pPr>
      <w:r>
        <w:t xml:space="preserve">The engineering analogy is a two-stage allocation rule. Before evaluation, a calibrated uncertainty score may increase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while retaining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After evaluation, the discrepancy between an independent prediction and the exact solver response can update memory priorities or subsequent proposals. The exponent </w:t>
      </w:r>
      <m:oMath>
        <m:r>
          <w:rPr>
            <w:rFonts w:ascii="Cambria Math" w:hAnsi="Cambria Math"/>
          </w:rPr>
          <m:t>βJ</m:t>
        </m:r>
      </m:oMath>
      <w:r>
        <w:t xml:space="preserve"> measures design preference; it is not automatically a neural precision, sensory surprise, or information gain. Discrete predictive entropy is an expectation of self-information, not a change in surprise.</w:t>
      </w:r>
    </w:p>
    <w:p w14:paraId="4C28A6DA" w14:textId="77777777" w:rsidR="0094261F" w:rsidRDefault="00000000">
      <w:pPr>
        <w:pStyle w:val="Heading2"/>
        <w:rPr>
          <w:rFonts w:hint="eastAsia"/>
        </w:rPr>
      </w:pPr>
      <w:bookmarkStart w:id="28" w:name="distributed-beliefs-and-selective-replay"/>
      <w:bookmarkEnd w:id="27"/>
      <w:r>
        <w:t>10.2 Distributed beliefs and selective replay</w:t>
      </w:r>
    </w:p>
    <w:p w14:paraId="4E95CEB0" w14:textId="77777777" w:rsidR="0094261F" w:rsidRDefault="00000000">
      <w:pPr>
        <w:pStyle w:val="FirstParagraph"/>
        <w:rPr>
          <w:rFonts w:hint="eastAsia"/>
        </w:rPr>
      </w:pPr>
      <w:r>
        <w:t>Zhang and colleagues’ January 2026 preprint examines distributed neural activity in monkeys inferring hidden task rules from feedback [8]. Model-based analyses relate neural representations to features, beliefs, and confidence. The authors also describe departures from Bayes-optimal behavior and overlap between belief-based and reinforcement-learning accounts. This supports studying structured state and feedback updates, while leaving the precise neural algorithm underdetermined. It is a preprint and should not carry the evidential status of a replicated biological implementation of Bayes or ADE.</w:t>
      </w:r>
    </w:p>
    <w:p w14:paraId="64271971" w14:textId="77777777" w:rsidR="0094261F" w:rsidRDefault="00000000">
      <w:pPr>
        <w:pStyle w:val="BodyText"/>
        <w:rPr>
          <w:rFonts w:hint="eastAsia"/>
        </w:rPr>
      </w:pPr>
      <w:r>
        <w:t>Roscow and colleagues studied hippocampal–striatal activity in rats learning a reward task [9]. Their analyses link post-learning reactivation to reward-prediction signals, separating prediction-related salience from reward magnitude alone. This motivates retaining verified responses and prioritizing access by more than final objective quality. The result does not imply that replay frequencies equal a Gibbs preference distribution or that replayed transitions are independent samples.</w:t>
      </w:r>
    </w:p>
    <w:p w14:paraId="4B07E648" w14:textId="77777777" w:rsidR="0094261F" w:rsidRDefault="00000000">
      <w:pPr>
        <w:pStyle w:val="Caption"/>
        <w:keepNext/>
        <w:rPr>
          <w:rFonts w:hint="eastAsia"/>
        </w:rPr>
      </w:pPr>
      <w:r>
        <w:lastRenderedPageBreak/>
        <w:t>Table 5. Functional correspondences and their mathematical limits.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528"/>
      </w:tblGrid>
      <w:tr w:rsidR="0094261F" w14:paraId="00E56B2C" w14:textId="77777777">
        <w:trPr>
          <w:cantSplit/>
          <w:tblHeader/>
          <w:jc w:val="center"/>
        </w:trPr>
        <w:tc>
          <w:tcPr>
            <w:tcW w:w="3168" w:type="dxa"/>
            <w:shd w:val="clear" w:color="auto" w:fill="EAEAEA"/>
            <w:tcMar>
              <w:top w:w="80" w:type="dxa"/>
              <w:left w:w="85" w:type="dxa"/>
              <w:bottom w:w="80" w:type="dxa"/>
              <w:right w:w="85" w:type="dxa"/>
            </w:tcMar>
            <w:vAlign w:val="center"/>
          </w:tcPr>
          <w:p w14:paraId="091A3705" w14:textId="77777777" w:rsidR="0094261F" w:rsidRDefault="00000000">
            <w:pPr>
              <w:keepNext/>
              <w:keepLines/>
              <w:spacing w:after="0" w:line="247" w:lineRule="auto"/>
              <w:jc w:val="left"/>
              <w:rPr>
                <w:rFonts w:hint="eastAsia"/>
              </w:rPr>
            </w:pPr>
            <w:r>
              <w:rPr>
                <w:b/>
                <w:sz w:val="21"/>
              </w:rPr>
              <w:t>Neural function suggested by cited work</w:t>
            </w:r>
          </w:p>
        </w:tc>
        <w:tc>
          <w:tcPr>
            <w:tcW w:w="3240" w:type="dxa"/>
            <w:shd w:val="clear" w:color="auto" w:fill="EAEAEA"/>
            <w:tcMar>
              <w:top w:w="80" w:type="dxa"/>
              <w:left w:w="85" w:type="dxa"/>
              <w:bottom w:w="80" w:type="dxa"/>
              <w:right w:w="85" w:type="dxa"/>
            </w:tcMar>
            <w:vAlign w:val="center"/>
          </w:tcPr>
          <w:p w14:paraId="4DBD6CA5" w14:textId="77777777" w:rsidR="0094261F" w:rsidRDefault="00000000">
            <w:pPr>
              <w:keepNext/>
              <w:keepLines/>
              <w:spacing w:after="0" w:line="247" w:lineRule="auto"/>
              <w:jc w:val="left"/>
              <w:rPr>
                <w:rFonts w:hint="eastAsia"/>
              </w:rPr>
            </w:pPr>
            <w:r>
              <w:rPr>
                <w:b/>
                <w:sz w:val="21"/>
              </w:rPr>
              <w:t>Harness or ADE analogue</w:t>
            </w:r>
          </w:p>
        </w:tc>
        <w:tc>
          <w:tcPr>
            <w:tcW w:w="3528" w:type="dxa"/>
            <w:shd w:val="clear" w:color="auto" w:fill="EAEAEA"/>
            <w:tcMar>
              <w:top w:w="80" w:type="dxa"/>
              <w:left w:w="85" w:type="dxa"/>
              <w:bottom w:w="80" w:type="dxa"/>
              <w:right w:w="85" w:type="dxa"/>
            </w:tcMar>
            <w:vAlign w:val="center"/>
          </w:tcPr>
          <w:p w14:paraId="76FDC7C3" w14:textId="77777777" w:rsidR="0094261F" w:rsidRDefault="00000000">
            <w:pPr>
              <w:keepNext/>
              <w:keepLines/>
              <w:spacing w:after="0" w:line="247" w:lineRule="auto"/>
              <w:jc w:val="left"/>
              <w:rPr>
                <w:rFonts w:hint="eastAsia"/>
              </w:rPr>
            </w:pPr>
            <w:r>
              <w:rPr>
                <w:b/>
                <w:sz w:val="21"/>
              </w:rPr>
              <w:t>Limit of the correspondence</w:t>
            </w:r>
          </w:p>
        </w:tc>
      </w:tr>
      <w:tr w:rsidR="0094261F" w14:paraId="2F253676" w14:textId="77777777">
        <w:trPr>
          <w:cantSplit/>
          <w:jc w:val="center"/>
        </w:trPr>
        <w:tc>
          <w:tcPr>
            <w:tcW w:w="3168" w:type="dxa"/>
            <w:shd w:val="clear" w:color="auto" w:fill="FFFFFF"/>
            <w:tcMar>
              <w:top w:w="80" w:type="dxa"/>
              <w:left w:w="85" w:type="dxa"/>
              <w:bottom w:w="80" w:type="dxa"/>
              <w:right w:w="85" w:type="dxa"/>
            </w:tcMar>
            <w:vAlign w:val="center"/>
          </w:tcPr>
          <w:p w14:paraId="7C4D16AD" w14:textId="77777777" w:rsidR="0094261F" w:rsidRDefault="00000000">
            <w:pPr>
              <w:keepNext/>
              <w:keepLines/>
              <w:spacing w:after="0" w:line="247" w:lineRule="auto"/>
              <w:jc w:val="left"/>
              <w:rPr>
                <w:rFonts w:hint="eastAsia"/>
              </w:rPr>
            </w:pPr>
            <w:r>
              <w:rPr>
                <w:sz w:val="21"/>
              </w:rPr>
              <w:t>Anticipatory uncertainty modulation [7]</w:t>
            </w:r>
          </w:p>
        </w:tc>
        <w:tc>
          <w:tcPr>
            <w:tcW w:w="3240" w:type="dxa"/>
            <w:shd w:val="clear" w:color="auto" w:fill="FFFFFF"/>
            <w:tcMar>
              <w:top w:w="80" w:type="dxa"/>
              <w:left w:w="85" w:type="dxa"/>
              <w:bottom w:w="80" w:type="dxa"/>
              <w:right w:w="85" w:type="dxa"/>
            </w:tcMar>
            <w:vAlign w:val="center"/>
          </w:tcPr>
          <w:p w14:paraId="346BE4AF" w14:textId="77777777" w:rsidR="0094261F" w:rsidRDefault="00000000">
            <w:pPr>
              <w:keepNext/>
              <w:keepLines/>
              <w:spacing w:after="0" w:line="247" w:lineRule="auto"/>
              <w:jc w:val="left"/>
              <w:rPr>
                <w:rFonts w:hint="eastAsia"/>
              </w:rPr>
            </w:pPr>
            <w:r>
              <w:rPr>
                <w:sz w:val="21"/>
              </w:rPr>
              <w:t>Predictable allocation of exact evaluations</w:t>
            </w:r>
          </w:p>
        </w:tc>
        <w:tc>
          <w:tcPr>
            <w:tcW w:w="3528" w:type="dxa"/>
            <w:shd w:val="clear" w:color="auto" w:fill="FFFFFF"/>
            <w:tcMar>
              <w:top w:w="80" w:type="dxa"/>
              <w:left w:w="85" w:type="dxa"/>
              <w:bottom w:w="80" w:type="dxa"/>
              <w:right w:w="85" w:type="dxa"/>
            </w:tcMar>
            <w:vAlign w:val="center"/>
          </w:tcPr>
          <w:p w14:paraId="2A30D9EE" w14:textId="77777777" w:rsidR="0094261F" w:rsidRDefault="00000000">
            <w:pPr>
              <w:keepNext/>
              <w:keepLines/>
              <w:spacing w:after="0" w:line="247" w:lineRule="auto"/>
              <w:jc w:val="left"/>
              <w:rPr>
                <w:rFonts w:hint="eastAsia"/>
              </w:rPr>
            </w:pPr>
            <w:r>
              <w:rPr>
                <w:sz w:val="21"/>
              </w:rPr>
              <w:t xml:space="preserve">Does not supply calibrated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1"/>
              </w:rPr>
              <w:t xml:space="preserve"> or prove a sampling law</w:t>
            </w:r>
          </w:p>
        </w:tc>
      </w:tr>
      <w:tr w:rsidR="0094261F" w14:paraId="22B8FEFB" w14:textId="77777777">
        <w:trPr>
          <w:cantSplit/>
          <w:jc w:val="center"/>
        </w:trPr>
        <w:tc>
          <w:tcPr>
            <w:tcW w:w="3168" w:type="dxa"/>
            <w:shd w:val="clear" w:color="auto" w:fill="FFFFFF"/>
            <w:tcMar>
              <w:top w:w="80" w:type="dxa"/>
              <w:left w:w="85" w:type="dxa"/>
              <w:bottom w:w="80" w:type="dxa"/>
              <w:right w:w="85" w:type="dxa"/>
            </w:tcMar>
            <w:vAlign w:val="center"/>
          </w:tcPr>
          <w:p w14:paraId="41A70CC8" w14:textId="77777777" w:rsidR="0094261F" w:rsidRDefault="00000000">
            <w:pPr>
              <w:keepNext/>
              <w:keepLines/>
              <w:spacing w:after="0" w:line="247" w:lineRule="auto"/>
              <w:jc w:val="left"/>
              <w:rPr>
                <w:rFonts w:hint="eastAsia"/>
              </w:rPr>
            </w:pPr>
            <w:r>
              <w:rPr>
                <w:sz w:val="21"/>
              </w:rPr>
              <w:t>Feedback-linked belief representation [8]</w:t>
            </w:r>
          </w:p>
        </w:tc>
        <w:tc>
          <w:tcPr>
            <w:tcW w:w="3240" w:type="dxa"/>
            <w:shd w:val="clear" w:color="auto" w:fill="FFFFFF"/>
            <w:tcMar>
              <w:top w:w="80" w:type="dxa"/>
              <w:left w:w="85" w:type="dxa"/>
              <w:bottom w:w="80" w:type="dxa"/>
              <w:right w:w="85" w:type="dxa"/>
            </w:tcMar>
            <w:vAlign w:val="center"/>
          </w:tcPr>
          <w:p w14:paraId="40A22C2C" w14:textId="77777777" w:rsidR="0094261F" w:rsidRDefault="00000000">
            <w:pPr>
              <w:keepNext/>
              <w:keepLines/>
              <w:spacing w:after="0" w:line="247" w:lineRule="auto"/>
              <w:jc w:val="left"/>
              <w:rPr>
                <w:rFonts w:hint="eastAsia"/>
              </w:rPr>
            </w:pPr>
            <w:r>
              <w:rPr>
                <w:sz w:val="21"/>
              </w:rPr>
              <w:t>Versioned state updated from observations</w:t>
            </w:r>
          </w:p>
        </w:tc>
        <w:tc>
          <w:tcPr>
            <w:tcW w:w="3528" w:type="dxa"/>
            <w:shd w:val="clear" w:color="auto" w:fill="FFFFFF"/>
            <w:tcMar>
              <w:top w:w="80" w:type="dxa"/>
              <w:left w:w="85" w:type="dxa"/>
              <w:bottom w:w="80" w:type="dxa"/>
              <w:right w:w="85" w:type="dxa"/>
            </w:tcMar>
            <w:vAlign w:val="center"/>
          </w:tcPr>
          <w:p w14:paraId="288573D2" w14:textId="77777777" w:rsidR="0094261F" w:rsidRDefault="00000000">
            <w:pPr>
              <w:keepNext/>
              <w:keepLines/>
              <w:spacing w:after="0" w:line="247" w:lineRule="auto"/>
              <w:jc w:val="left"/>
              <w:rPr>
                <w:rFonts w:hint="eastAsia"/>
              </w:rPr>
            </w:pPr>
            <w:r>
              <w:rPr>
                <w:sz w:val="21"/>
              </w:rPr>
              <w:t>Does not prove Bayes-optimal neural computation</w:t>
            </w:r>
          </w:p>
        </w:tc>
      </w:tr>
      <w:tr w:rsidR="0094261F" w14:paraId="35E87DDC" w14:textId="77777777">
        <w:trPr>
          <w:cantSplit/>
          <w:jc w:val="center"/>
        </w:trPr>
        <w:tc>
          <w:tcPr>
            <w:tcW w:w="3168" w:type="dxa"/>
            <w:shd w:val="clear" w:color="auto" w:fill="FFFFFF"/>
            <w:tcMar>
              <w:top w:w="80" w:type="dxa"/>
              <w:left w:w="85" w:type="dxa"/>
              <w:bottom w:w="80" w:type="dxa"/>
              <w:right w:w="85" w:type="dxa"/>
            </w:tcMar>
            <w:vAlign w:val="center"/>
          </w:tcPr>
          <w:p w14:paraId="2E1AA5CC" w14:textId="77777777" w:rsidR="0094261F" w:rsidRDefault="00000000">
            <w:pPr>
              <w:keepLines/>
              <w:spacing w:after="0" w:line="247" w:lineRule="auto"/>
              <w:jc w:val="left"/>
              <w:rPr>
                <w:rFonts w:hint="eastAsia"/>
              </w:rPr>
            </w:pPr>
            <w:r>
              <w:rPr>
                <w:sz w:val="21"/>
              </w:rPr>
              <w:t>Prediction-related replay priority [9]</w:t>
            </w:r>
          </w:p>
        </w:tc>
        <w:tc>
          <w:tcPr>
            <w:tcW w:w="3240" w:type="dxa"/>
            <w:shd w:val="clear" w:color="auto" w:fill="FFFFFF"/>
            <w:tcMar>
              <w:top w:w="80" w:type="dxa"/>
              <w:left w:w="85" w:type="dxa"/>
              <w:bottom w:w="80" w:type="dxa"/>
              <w:right w:w="85" w:type="dxa"/>
            </w:tcMar>
            <w:vAlign w:val="center"/>
          </w:tcPr>
          <w:p w14:paraId="4F5748F1" w14:textId="77777777" w:rsidR="0094261F" w:rsidRDefault="00000000">
            <w:pPr>
              <w:keepLines/>
              <w:spacing w:after="0" w:line="247" w:lineRule="auto"/>
              <w:jc w:val="left"/>
              <w:rPr>
                <w:rFonts w:hint="eastAsia"/>
              </w:rPr>
            </w:pPr>
            <w:r>
              <w:rPr>
                <w:sz w:val="21"/>
              </w:rPr>
              <w:t>Selective retrieval of verified archive records</w:t>
            </w:r>
          </w:p>
        </w:tc>
        <w:tc>
          <w:tcPr>
            <w:tcW w:w="3528" w:type="dxa"/>
            <w:shd w:val="clear" w:color="auto" w:fill="FFFFFF"/>
            <w:tcMar>
              <w:top w:w="80" w:type="dxa"/>
              <w:left w:w="85" w:type="dxa"/>
              <w:bottom w:w="80" w:type="dxa"/>
              <w:right w:w="85" w:type="dxa"/>
            </w:tcMar>
            <w:vAlign w:val="center"/>
          </w:tcPr>
          <w:p w14:paraId="62962A7A" w14:textId="77777777" w:rsidR="0094261F" w:rsidRDefault="00000000">
            <w:pPr>
              <w:keepLines/>
              <w:spacing w:after="0" w:line="247" w:lineRule="auto"/>
              <w:jc w:val="left"/>
              <w:rPr>
                <w:rFonts w:hint="eastAsia"/>
              </w:rPr>
            </w:pPr>
            <w:r>
              <w:rPr>
                <w:sz w:val="21"/>
              </w:rPr>
              <w:t>Does not establish target sampling or unbiased replay</w:t>
            </w:r>
          </w:p>
        </w:tc>
      </w:tr>
    </w:tbl>
    <w:p w14:paraId="33313E35" w14:textId="77777777" w:rsidR="0094261F" w:rsidRDefault="00000000">
      <w:pPr>
        <w:pStyle w:val="BodyText"/>
        <w:spacing w:before="140"/>
        <w:rPr>
          <w:rFonts w:hint="eastAsia"/>
        </w:rPr>
      </w:pPr>
      <w:r>
        <w:t>These are hypotheses about useful computational functions. The mathematical results in Sections 4–8 depend on explicit sampling and observation laws, not on the analogy. A direct engineering test would compare uniform evaluation with a predictable uncertainty-based rule at the same expected evaluation budget, retain a common positive floor, and compare target-estimation error and best feasible loss separately. A second experiment could compare objective-only and prediction-error-assisted retrieval priorities while keeping proposal densities available. Both require held-out task families and recorded intervention assignments.</w:t>
      </w:r>
    </w:p>
    <w:p w14:paraId="032C5691" w14:textId="77777777" w:rsidR="0094261F" w:rsidRDefault="00000000">
      <w:pPr>
        <w:pStyle w:val="Heading1"/>
        <w:rPr>
          <w:rFonts w:hint="eastAsia"/>
        </w:rPr>
      </w:pPr>
      <w:bookmarkStart w:id="29" w:name="an-ade-based-construction-harness"/>
      <w:bookmarkEnd w:id="26"/>
      <w:bookmarkEnd w:id="28"/>
      <w:r>
        <w:t>11 An ADE based construction harness</w:t>
      </w:r>
    </w:p>
    <w:p w14:paraId="5701ADF3" w14:textId="77777777" w:rsidR="0094261F" w:rsidRDefault="00000000">
      <w:pPr>
        <w:pStyle w:val="Heading2"/>
        <w:rPr>
          <w:rFonts w:hint="eastAsia"/>
        </w:rPr>
      </w:pPr>
      <w:bookmarkStart w:id="30" w:name="Xd222dfbb26bf96965e4530fd5baaa192b78a06f"/>
      <w:r>
        <w:t>11.1 Fixed weights and changing executable state</w:t>
      </w:r>
    </w:p>
    <w:p w14:paraId="767B22BC" w14:textId="77777777" w:rsidR="0094261F" w:rsidRDefault="00000000">
      <w:pPr>
        <w:pStyle w:val="FirstParagraph"/>
        <w:rPr>
          <w:rFonts w:hint="eastAsia"/>
        </w:rPr>
      </w:pPr>
      <w:r>
        <w:t>An AI agent harness is the executable environment that turns model outputs into actions and incorporates their consequences. Recent harness papers examine improving this environment while retaining a fixed underlying model, including multi-objective harness selection [10,11]. These works motivate a separation of model capability, runtime state, and externally revised harness components. The architecture here is a proposed construction engineering application, not an empirical result of those studies.</w:t>
      </w:r>
    </w:p>
    <w:p w14:paraId="6CF086DF" w14:textId="77777777" w:rsidR="0094261F" w:rsidRDefault="00000000">
      <w:pPr>
        <w:pStyle w:val="BodyText"/>
        <w:keepNext/>
        <w:rPr>
          <w:rFonts w:hint="eastAsia"/>
        </w:rPr>
      </w:pPr>
      <w:r>
        <w:t xml:space="preserve">Let </w:t>
      </w:r>
      <m:oMath>
        <m:r>
          <w:rPr>
            <w:rFonts w:ascii="Cambria Math" w:hAnsi="Cambria Math"/>
          </w:rPr>
          <m:t>θ</m:t>
        </m:r>
      </m:oMath>
      <w:r>
        <w:t xml:space="preserve"> be fixed model weights,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a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current runtime state. At an action boundary,</w:t>
      </w:r>
    </w:p>
    <w:p w14:paraId="62730D86"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cr m:val="script"/>
              <m:sty m:val="p"/>
            </m:rPr>
            <w:rPr>
              <w:rFonts w:ascii="Cambria Math" w:hAnsi="Cambria Math"/>
            </w:rPr>
            <m:t>∼E</m:t>
          </m:r>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(24)</m:t>
          </m:r>
        </m:oMath>
      </m:oMathPara>
    </w:p>
    <w:p w14:paraId="72DAB8E6" w14:textId="77777777" w:rsidR="0094261F" w:rsidRDefault="00000000">
      <w:pPr>
        <w:pStyle w:val="FirstParagraph"/>
        <w:rPr>
          <w:rFonts w:hint="eastAsia"/>
        </w:rPr>
      </w:pPr>
      <w:r>
        <w:t xml:space="preserve">Here </w:t>
      </w:r>
      <m:oMath>
        <m:r>
          <w:rPr>
            <w:rFonts w:ascii="Cambria Math" w:hAnsi="Cambria Math"/>
          </w:rPr>
          <m:t>C</m:t>
        </m:r>
      </m:oMath>
      <w:r>
        <w:t xml:space="preserve"> builds the context,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is a proposed token sequence or structured action, </w:t>
      </w:r>
      <m:oMath>
        <m:r>
          <m:rPr>
            <m:scr m:val="script"/>
            <m:sty m:val="p"/>
          </m:rPr>
          <w:rPr>
            <w:rFonts w:ascii="Cambria Math" w:hAnsi="Cambria Math"/>
          </w:rPr>
          <m:t>E</m:t>
        </m:r>
      </m:oMath>
      <w:r>
        <w:t xml:space="preserve"> represents tools and the environment, and </w:t>
      </w:r>
      <m:oMath>
        <m:r>
          <w:rPr>
            <w:rFonts w:ascii="Cambria Math" w:hAnsi="Cambria Math"/>
          </w:rPr>
          <m:t>T</m:t>
        </m:r>
      </m:oMath>
      <w:r>
        <w:t xml:space="preserve"> parses, validates, executes, and records the outcome. Autoregression at token level appends a new token to context; at harness level it is a structured transition using the old state and new action and observation. The expression “next token plus old state gives new state” describes this transition, not numerical vector addition. Runtime adaptation changes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while </w:t>
      </w:r>
      <m:oMath>
        <m:r>
          <w:rPr>
            <w:rFonts w:ascii="Cambria Math" w:hAnsi="Cambria Math"/>
          </w:rPr>
          <m:t>θ</m:t>
        </m:r>
      </m:oMath>
      <w:r>
        <w:t xml:space="preserve"> remains fixed. Accepting a changed executable harness changes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and requires a separately recorded validation decision.</w:t>
      </w:r>
    </w:p>
    <w:p w14:paraId="4BF44CFC" w14:textId="77777777" w:rsidR="0094261F" w:rsidRDefault="00000000">
      <w:pPr>
        <w:pStyle w:val="Caption"/>
        <w:keepNext/>
        <w:rPr>
          <w:rFonts w:hint="eastAsia"/>
        </w:rPr>
      </w:pPr>
      <w:r>
        <w:t>Table 6. Harness responsibilities for a construction optimization workflow.</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4464"/>
        <w:gridCol w:w="3168"/>
      </w:tblGrid>
      <w:tr w:rsidR="0094261F" w14:paraId="097FB994" w14:textId="77777777">
        <w:trPr>
          <w:cantSplit/>
          <w:tblHeader/>
          <w:jc w:val="center"/>
        </w:trPr>
        <w:tc>
          <w:tcPr>
            <w:tcW w:w="2304" w:type="dxa"/>
            <w:shd w:val="clear" w:color="auto" w:fill="EAEAEA"/>
            <w:tcMar>
              <w:top w:w="80" w:type="dxa"/>
              <w:left w:w="85" w:type="dxa"/>
              <w:bottom w:w="80" w:type="dxa"/>
              <w:right w:w="85" w:type="dxa"/>
            </w:tcMar>
            <w:vAlign w:val="center"/>
          </w:tcPr>
          <w:p w14:paraId="763A3C15" w14:textId="77777777" w:rsidR="0094261F" w:rsidRDefault="00000000">
            <w:pPr>
              <w:keepNext/>
              <w:keepLines/>
              <w:spacing w:after="0" w:line="247" w:lineRule="auto"/>
              <w:jc w:val="left"/>
              <w:rPr>
                <w:rFonts w:hint="eastAsia"/>
              </w:rPr>
            </w:pPr>
            <w:r>
              <w:rPr>
                <w:b/>
                <w:sz w:val="21"/>
              </w:rPr>
              <w:t>Component</w:t>
            </w:r>
          </w:p>
        </w:tc>
        <w:tc>
          <w:tcPr>
            <w:tcW w:w="4464" w:type="dxa"/>
            <w:shd w:val="clear" w:color="auto" w:fill="EAEAEA"/>
            <w:tcMar>
              <w:top w:w="80" w:type="dxa"/>
              <w:left w:w="85" w:type="dxa"/>
              <w:bottom w:w="80" w:type="dxa"/>
              <w:right w:w="85" w:type="dxa"/>
            </w:tcMar>
            <w:vAlign w:val="center"/>
          </w:tcPr>
          <w:p w14:paraId="331FD7FB" w14:textId="77777777" w:rsidR="0094261F" w:rsidRDefault="00000000">
            <w:pPr>
              <w:keepNext/>
              <w:keepLines/>
              <w:spacing w:after="0" w:line="247" w:lineRule="auto"/>
              <w:jc w:val="left"/>
              <w:rPr>
                <w:rFonts w:hint="eastAsia"/>
              </w:rPr>
            </w:pPr>
            <w:r>
              <w:rPr>
                <w:b/>
                <w:sz w:val="21"/>
              </w:rPr>
              <w:t>Concrete responsibility</w:t>
            </w:r>
          </w:p>
        </w:tc>
        <w:tc>
          <w:tcPr>
            <w:tcW w:w="3168" w:type="dxa"/>
            <w:shd w:val="clear" w:color="auto" w:fill="EAEAEA"/>
            <w:tcMar>
              <w:top w:w="80" w:type="dxa"/>
              <w:left w:w="85" w:type="dxa"/>
              <w:bottom w:w="80" w:type="dxa"/>
              <w:right w:w="85" w:type="dxa"/>
            </w:tcMar>
            <w:vAlign w:val="center"/>
          </w:tcPr>
          <w:p w14:paraId="67AD96D1" w14:textId="77777777" w:rsidR="0094261F" w:rsidRDefault="00000000">
            <w:pPr>
              <w:keepNext/>
              <w:keepLines/>
              <w:spacing w:after="0" w:line="247" w:lineRule="auto"/>
              <w:jc w:val="left"/>
              <w:rPr>
                <w:rFonts w:hint="eastAsia"/>
              </w:rPr>
            </w:pPr>
            <w:r>
              <w:rPr>
                <w:b/>
                <w:sz w:val="21"/>
              </w:rPr>
              <w:t>Recorded output</w:t>
            </w:r>
          </w:p>
        </w:tc>
      </w:tr>
      <w:tr w:rsidR="0094261F" w14:paraId="2FED46A6" w14:textId="77777777">
        <w:trPr>
          <w:cantSplit/>
          <w:jc w:val="center"/>
        </w:trPr>
        <w:tc>
          <w:tcPr>
            <w:tcW w:w="2304" w:type="dxa"/>
            <w:shd w:val="clear" w:color="auto" w:fill="FFFFFF"/>
            <w:tcMar>
              <w:top w:w="80" w:type="dxa"/>
              <w:left w:w="85" w:type="dxa"/>
              <w:bottom w:w="80" w:type="dxa"/>
              <w:right w:w="85" w:type="dxa"/>
            </w:tcMar>
            <w:vAlign w:val="center"/>
          </w:tcPr>
          <w:p w14:paraId="03FF1A97" w14:textId="77777777" w:rsidR="0094261F" w:rsidRDefault="00000000">
            <w:pPr>
              <w:keepLines/>
              <w:spacing w:after="0" w:line="247" w:lineRule="auto"/>
              <w:jc w:val="left"/>
              <w:rPr>
                <w:rFonts w:hint="eastAsia"/>
              </w:rPr>
            </w:pPr>
            <w:r>
              <w:rPr>
                <w:sz w:val="21"/>
              </w:rPr>
              <w:t>Prompts and knowledge retrieval</w:t>
            </w:r>
          </w:p>
        </w:tc>
        <w:tc>
          <w:tcPr>
            <w:tcW w:w="4464" w:type="dxa"/>
            <w:shd w:val="clear" w:color="auto" w:fill="FFFFFF"/>
            <w:tcMar>
              <w:top w:w="80" w:type="dxa"/>
              <w:left w:w="85" w:type="dxa"/>
              <w:bottom w:w="80" w:type="dxa"/>
              <w:right w:w="85" w:type="dxa"/>
            </w:tcMar>
            <w:vAlign w:val="center"/>
          </w:tcPr>
          <w:p w14:paraId="6CABD2B1" w14:textId="77777777" w:rsidR="0094261F" w:rsidRDefault="00000000">
            <w:pPr>
              <w:keepLines/>
              <w:spacing w:after="0" w:line="247" w:lineRule="auto"/>
              <w:jc w:val="left"/>
              <w:rPr>
                <w:rFonts w:hint="eastAsia"/>
              </w:rPr>
            </w:pPr>
            <w:r>
              <w:rPr>
                <w:sz w:val="21"/>
              </w:rPr>
              <w:t>Assemble design brief, code clauses, units, and provenance</w:t>
            </w:r>
          </w:p>
        </w:tc>
        <w:tc>
          <w:tcPr>
            <w:tcW w:w="3168" w:type="dxa"/>
            <w:shd w:val="clear" w:color="auto" w:fill="FFFFFF"/>
            <w:tcMar>
              <w:top w:w="80" w:type="dxa"/>
              <w:left w:w="85" w:type="dxa"/>
              <w:bottom w:w="80" w:type="dxa"/>
              <w:right w:w="85" w:type="dxa"/>
            </w:tcMar>
            <w:vAlign w:val="center"/>
          </w:tcPr>
          <w:p w14:paraId="16BEC737" w14:textId="77777777" w:rsidR="0094261F" w:rsidRDefault="00000000">
            <w:pPr>
              <w:keepLines/>
              <w:spacing w:after="0" w:line="247" w:lineRule="auto"/>
              <w:jc w:val="left"/>
              <w:rPr>
                <w:rFonts w:hint="eastAsia"/>
              </w:rPr>
            </w:pPr>
            <w:r>
              <w:rPr>
                <w:sz w:val="21"/>
              </w:rPr>
              <w:t>Context version and retrieved sources</w:t>
            </w:r>
          </w:p>
        </w:tc>
      </w:tr>
      <w:tr w:rsidR="0094261F" w14:paraId="7AE82766" w14:textId="77777777">
        <w:trPr>
          <w:cantSplit/>
          <w:jc w:val="center"/>
        </w:trPr>
        <w:tc>
          <w:tcPr>
            <w:tcW w:w="2304" w:type="dxa"/>
            <w:shd w:val="clear" w:color="auto" w:fill="FFFFFF"/>
            <w:tcMar>
              <w:top w:w="80" w:type="dxa"/>
              <w:left w:w="85" w:type="dxa"/>
              <w:bottom w:w="80" w:type="dxa"/>
              <w:right w:w="85" w:type="dxa"/>
            </w:tcMar>
            <w:vAlign w:val="center"/>
          </w:tcPr>
          <w:p w14:paraId="3CBC1497" w14:textId="77777777" w:rsidR="0094261F" w:rsidRDefault="00000000">
            <w:pPr>
              <w:keepLines/>
              <w:spacing w:after="0" w:line="247" w:lineRule="auto"/>
              <w:jc w:val="left"/>
              <w:rPr>
                <w:rFonts w:hint="eastAsia"/>
              </w:rPr>
            </w:pPr>
            <w:r>
              <w:rPr>
                <w:sz w:val="21"/>
              </w:rPr>
              <w:lastRenderedPageBreak/>
              <w:t>Tools</w:t>
            </w:r>
          </w:p>
        </w:tc>
        <w:tc>
          <w:tcPr>
            <w:tcW w:w="4464" w:type="dxa"/>
            <w:shd w:val="clear" w:color="auto" w:fill="FFFFFF"/>
            <w:tcMar>
              <w:top w:w="80" w:type="dxa"/>
              <w:left w:w="85" w:type="dxa"/>
              <w:bottom w:w="80" w:type="dxa"/>
              <w:right w:w="85" w:type="dxa"/>
            </w:tcMar>
            <w:vAlign w:val="center"/>
          </w:tcPr>
          <w:p w14:paraId="166EA6DF" w14:textId="77777777" w:rsidR="0094261F" w:rsidRDefault="00000000">
            <w:pPr>
              <w:keepLines/>
              <w:spacing w:after="0" w:line="247" w:lineRule="auto"/>
              <w:jc w:val="left"/>
              <w:rPr>
                <w:rFonts w:hint="eastAsia"/>
              </w:rPr>
            </w:pPr>
            <w:r>
              <w:rPr>
                <w:sz w:val="21"/>
              </w:rPr>
              <w:t>Call geometry, analysis, quantity, scheduling, and cost services</w:t>
            </w:r>
          </w:p>
        </w:tc>
        <w:tc>
          <w:tcPr>
            <w:tcW w:w="3168" w:type="dxa"/>
            <w:shd w:val="clear" w:color="auto" w:fill="FFFFFF"/>
            <w:tcMar>
              <w:top w:w="80" w:type="dxa"/>
              <w:left w:w="85" w:type="dxa"/>
              <w:bottom w:w="80" w:type="dxa"/>
              <w:right w:w="85" w:type="dxa"/>
            </w:tcMar>
            <w:vAlign w:val="center"/>
          </w:tcPr>
          <w:p w14:paraId="2E046D77" w14:textId="77777777" w:rsidR="0094261F" w:rsidRDefault="00000000">
            <w:pPr>
              <w:keepLines/>
              <w:spacing w:after="0" w:line="247" w:lineRule="auto"/>
              <w:jc w:val="left"/>
              <w:rPr>
                <w:rFonts w:hint="eastAsia"/>
              </w:rPr>
            </w:pPr>
            <w:r>
              <w:rPr>
                <w:sz w:val="21"/>
              </w:rPr>
              <w:t>Typed inputs and immutable response IDs</w:t>
            </w:r>
          </w:p>
        </w:tc>
      </w:tr>
      <w:tr w:rsidR="0094261F" w14:paraId="3AD46A4B" w14:textId="77777777">
        <w:trPr>
          <w:cantSplit/>
          <w:jc w:val="center"/>
        </w:trPr>
        <w:tc>
          <w:tcPr>
            <w:tcW w:w="2304" w:type="dxa"/>
            <w:shd w:val="clear" w:color="auto" w:fill="FFFFFF"/>
            <w:tcMar>
              <w:top w:w="80" w:type="dxa"/>
              <w:left w:w="85" w:type="dxa"/>
              <w:bottom w:w="80" w:type="dxa"/>
              <w:right w:w="85" w:type="dxa"/>
            </w:tcMar>
            <w:vAlign w:val="center"/>
          </w:tcPr>
          <w:p w14:paraId="373C6499" w14:textId="77777777" w:rsidR="0094261F" w:rsidRDefault="00000000">
            <w:pPr>
              <w:keepLines/>
              <w:spacing w:after="0" w:line="247" w:lineRule="auto"/>
              <w:jc w:val="left"/>
              <w:rPr>
                <w:rFonts w:hint="eastAsia"/>
              </w:rPr>
            </w:pPr>
            <w:r>
              <w:rPr>
                <w:sz w:val="21"/>
              </w:rPr>
              <w:t>Memory and workspace</w:t>
            </w:r>
          </w:p>
        </w:tc>
        <w:tc>
          <w:tcPr>
            <w:tcW w:w="4464" w:type="dxa"/>
            <w:shd w:val="clear" w:color="auto" w:fill="FFFFFF"/>
            <w:tcMar>
              <w:top w:w="80" w:type="dxa"/>
              <w:left w:w="85" w:type="dxa"/>
              <w:bottom w:w="80" w:type="dxa"/>
              <w:right w:w="85" w:type="dxa"/>
            </w:tcMar>
            <w:vAlign w:val="center"/>
          </w:tcPr>
          <w:p w14:paraId="22EC14D4" w14:textId="77777777" w:rsidR="0094261F" w:rsidRDefault="00000000">
            <w:pPr>
              <w:keepLines/>
              <w:spacing w:after="0" w:line="247" w:lineRule="auto"/>
              <w:jc w:val="left"/>
              <w:rPr>
                <w:rFonts w:hint="eastAsia"/>
              </w:rPr>
            </w:pPr>
            <w:r>
              <w:rPr>
                <w:sz w:val="21"/>
              </w:rPr>
              <w:t>Retain verified responses, task state, and generated artifacts</w:t>
            </w:r>
          </w:p>
        </w:tc>
        <w:tc>
          <w:tcPr>
            <w:tcW w:w="3168" w:type="dxa"/>
            <w:shd w:val="clear" w:color="auto" w:fill="FFFFFF"/>
            <w:tcMar>
              <w:top w:w="80" w:type="dxa"/>
              <w:left w:w="85" w:type="dxa"/>
              <w:bottom w:w="80" w:type="dxa"/>
              <w:right w:w="85" w:type="dxa"/>
            </w:tcMar>
            <w:vAlign w:val="center"/>
          </w:tcPr>
          <w:p w14:paraId="55E7DB49" w14:textId="77777777" w:rsidR="0094261F" w:rsidRDefault="00000000">
            <w:pPr>
              <w:keepLines/>
              <w:spacing w:after="0" w:line="247" w:lineRule="auto"/>
              <w:jc w:val="left"/>
              <w:rPr>
                <w:rFonts w:hint="eastAsia"/>
              </w:rPr>
            </w:pPr>
            <w:r>
              <w:rPr>
                <w:sz w:val="21"/>
              </w:rPr>
              <w:t>Compatible archive and artifact versions</w:t>
            </w:r>
          </w:p>
        </w:tc>
      </w:tr>
      <w:tr w:rsidR="0094261F" w14:paraId="6B237F33" w14:textId="77777777">
        <w:trPr>
          <w:cantSplit/>
          <w:jc w:val="center"/>
        </w:trPr>
        <w:tc>
          <w:tcPr>
            <w:tcW w:w="2304" w:type="dxa"/>
            <w:shd w:val="clear" w:color="auto" w:fill="FFFFFF"/>
            <w:tcMar>
              <w:top w:w="80" w:type="dxa"/>
              <w:left w:w="85" w:type="dxa"/>
              <w:bottom w:w="80" w:type="dxa"/>
              <w:right w:w="85" w:type="dxa"/>
            </w:tcMar>
            <w:vAlign w:val="center"/>
          </w:tcPr>
          <w:p w14:paraId="01FE92DF" w14:textId="77777777" w:rsidR="0094261F" w:rsidRDefault="00000000">
            <w:pPr>
              <w:keepLines/>
              <w:spacing w:after="0" w:line="247" w:lineRule="auto"/>
              <w:jc w:val="left"/>
              <w:rPr>
                <w:rFonts w:hint="eastAsia"/>
              </w:rPr>
            </w:pPr>
            <w:r>
              <w:rPr>
                <w:sz w:val="21"/>
              </w:rPr>
              <w:t>Executable component and runtime</w:t>
            </w:r>
          </w:p>
        </w:tc>
        <w:tc>
          <w:tcPr>
            <w:tcW w:w="4464" w:type="dxa"/>
            <w:shd w:val="clear" w:color="auto" w:fill="FFFFFF"/>
            <w:tcMar>
              <w:top w:w="80" w:type="dxa"/>
              <w:left w:w="85" w:type="dxa"/>
              <w:bottom w:w="80" w:type="dxa"/>
              <w:right w:w="85" w:type="dxa"/>
            </w:tcMar>
            <w:vAlign w:val="center"/>
          </w:tcPr>
          <w:p w14:paraId="1E551D67" w14:textId="77777777" w:rsidR="0094261F" w:rsidRDefault="00000000">
            <w:pPr>
              <w:keepLines/>
              <w:spacing w:after="0" w:line="247" w:lineRule="auto"/>
              <w:jc w:val="left"/>
              <w:rPr>
                <w:rFonts w:hint="eastAsia"/>
              </w:rPr>
            </w:pPr>
            <w:r>
              <w:rPr>
                <w:sz w:val="21"/>
              </w:rPr>
              <w:t>Parse actions, manage dependencies, isolate runs, handle errors</w:t>
            </w:r>
          </w:p>
        </w:tc>
        <w:tc>
          <w:tcPr>
            <w:tcW w:w="3168" w:type="dxa"/>
            <w:shd w:val="clear" w:color="auto" w:fill="FFFFFF"/>
            <w:tcMar>
              <w:top w:w="80" w:type="dxa"/>
              <w:left w:w="85" w:type="dxa"/>
              <w:bottom w:w="80" w:type="dxa"/>
              <w:right w:w="85" w:type="dxa"/>
            </w:tcMar>
            <w:vAlign w:val="center"/>
          </w:tcPr>
          <w:p w14:paraId="4255A83A" w14:textId="77777777" w:rsidR="0094261F" w:rsidRDefault="00000000">
            <w:pPr>
              <w:keepLines/>
              <w:spacing w:after="0" w:line="247" w:lineRule="auto"/>
              <w:jc w:val="left"/>
              <w:rPr>
                <w:rFonts w:hint="eastAsia"/>
              </w:rPr>
            </w:pPr>
            <w:r>
              <w:rPr>
                <w:sz w:val="21"/>
              </w:rPr>
              <w:t>Execution status and environment version</w:t>
            </w:r>
          </w:p>
        </w:tc>
      </w:tr>
      <w:tr w:rsidR="0094261F" w14:paraId="312425C4" w14:textId="77777777">
        <w:trPr>
          <w:cantSplit/>
          <w:jc w:val="center"/>
        </w:trPr>
        <w:tc>
          <w:tcPr>
            <w:tcW w:w="2304" w:type="dxa"/>
            <w:shd w:val="clear" w:color="auto" w:fill="FFFFFF"/>
            <w:tcMar>
              <w:top w:w="80" w:type="dxa"/>
              <w:left w:w="85" w:type="dxa"/>
              <w:bottom w:w="80" w:type="dxa"/>
              <w:right w:w="85" w:type="dxa"/>
            </w:tcMar>
            <w:vAlign w:val="center"/>
          </w:tcPr>
          <w:p w14:paraId="4BD3C854" w14:textId="77777777" w:rsidR="0094261F" w:rsidRDefault="00000000">
            <w:pPr>
              <w:keepLines/>
              <w:spacing w:after="0" w:line="247" w:lineRule="auto"/>
              <w:jc w:val="left"/>
              <w:rPr>
                <w:rFonts w:hint="eastAsia"/>
              </w:rPr>
            </w:pPr>
            <w:r>
              <w:rPr>
                <w:sz w:val="21"/>
              </w:rPr>
              <w:t>Guardrails</w:t>
            </w:r>
          </w:p>
        </w:tc>
        <w:tc>
          <w:tcPr>
            <w:tcW w:w="4464" w:type="dxa"/>
            <w:shd w:val="clear" w:color="auto" w:fill="FFFFFF"/>
            <w:tcMar>
              <w:top w:w="80" w:type="dxa"/>
              <w:left w:w="85" w:type="dxa"/>
              <w:bottom w:w="80" w:type="dxa"/>
              <w:right w:w="85" w:type="dxa"/>
            </w:tcMar>
            <w:vAlign w:val="center"/>
          </w:tcPr>
          <w:p w14:paraId="16B921A6" w14:textId="77777777" w:rsidR="0094261F" w:rsidRDefault="00000000">
            <w:pPr>
              <w:keepLines/>
              <w:spacing w:after="0" w:line="247" w:lineRule="auto"/>
              <w:jc w:val="left"/>
              <w:rPr>
                <w:rFonts w:hint="eastAsia"/>
              </w:rPr>
            </w:pPr>
            <w:r>
              <w:rPr>
                <w:sz w:val="21"/>
              </w:rPr>
              <w:t>Enforce permissions, units, allowed operations, and input schemas</w:t>
            </w:r>
          </w:p>
        </w:tc>
        <w:tc>
          <w:tcPr>
            <w:tcW w:w="3168" w:type="dxa"/>
            <w:shd w:val="clear" w:color="auto" w:fill="FFFFFF"/>
            <w:tcMar>
              <w:top w:w="80" w:type="dxa"/>
              <w:left w:w="85" w:type="dxa"/>
              <w:bottom w:w="80" w:type="dxa"/>
              <w:right w:w="85" w:type="dxa"/>
            </w:tcMar>
            <w:vAlign w:val="center"/>
          </w:tcPr>
          <w:p w14:paraId="574C9CB1" w14:textId="77777777" w:rsidR="0094261F" w:rsidRDefault="00000000">
            <w:pPr>
              <w:keepLines/>
              <w:spacing w:after="0" w:line="247" w:lineRule="auto"/>
              <w:jc w:val="left"/>
              <w:rPr>
                <w:rFonts w:hint="eastAsia"/>
              </w:rPr>
            </w:pPr>
            <w:r>
              <w:rPr>
                <w:sz w:val="21"/>
              </w:rPr>
              <w:t>Acceptance or explicit rejection reason</w:t>
            </w:r>
          </w:p>
        </w:tc>
      </w:tr>
      <w:tr w:rsidR="0094261F" w14:paraId="11046C4A" w14:textId="77777777">
        <w:trPr>
          <w:cantSplit/>
          <w:jc w:val="center"/>
        </w:trPr>
        <w:tc>
          <w:tcPr>
            <w:tcW w:w="2304" w:type="dxa"/>
            <w:shd w:val="clear" w:color="auto" w:fill="FFFFFF"/>
            <w:tcMar>
              <w:top w:w="80" w:type="dxa"/>
              <w:left w:w="85" w:type="dxa"/>
              <w:bottom w:w="80" w:type="dxa"/>
              <w:right w:w="85" w:type="dxa"/>
            </w:tcMar>
            <w:vAlign w:val="center"/>
          </w:tcPr>
          <w:p w14:paraId="52C9A685" w14:textId="77777777" w:rsidR="0094261F" w:rsidRDefault="00000000">
            <w:pPr>
              <w:keepLines/>
              <w:spacing w:after="0" w:line="247" w:lineRule="auto"/>
              <w:jc w:val="left"/>
              <w:rPr>
                <w:rFonts w:hint="eastAsia"/>
              </w:rPr>
            </w:pPr>
            <w:r>
              <w:rPr>
                <w:sz w:val="21"/>
              </w:rPr>
              <w:t>Reason Act Observe loop</w:t>
            </w:r>
          </w:p>
        </w:tc>
        <w:tc>
          <w:tcPr>
            <w:tcW w:w="4464" w:type="dxa"/>
            <w:shd w:val="clear" w:color="auto" w:fill="FFFFFF"/>
            <w:tcMar>
              <w:top w:w="80" w:type="dxa"/>
              <w:left w:w="85" w:type="dxa"/>
              <w:bottom w:w="80" w:type="dxa"/>
              <w:right w:w="85" w:type="dxa"/>
            </w:tcMar>
            <w:vAlign w:val="center"/>
          </w:tcPr>
          <w:p w14:paraId="1D061FC0" w14:textId="77777777" w:rsidR="0094261F" w:rsidRDefault="00000000">
            <w:pPr>
              <w:keepLines/>
              <w:spacing w:after="0" w:line="247" w:lineRule="auto"/>
              <w:jc w:val="left"/>
              <w:rPr>
                <w:rFonts w:hint="eastAsia"/>
              </w:rPr>
            </w:pPr>
            <w:r>
              <w:rPr>
                <w:sz w:val="21"/>
              </w:rPr>
              <w:t>Form a proposal, execute an allowed action, ingest its response</w:t>
            </w:r>
          </w:p>
        </w:tc>
        <w:tc>
          <w:tcPr>
            <w:tcW w:w="3168" w:type="dxa"/>
            <w:shd w:val="clear" w:color="auto" w:fill="FFFFFF"/>
            <w:tcMar>
              <w:top w:w="80" w:type="dxa"/>
              <w:left w:w="85" w:type="dxa"/>
              <w:bottom w:w="80" w:type="dxa"/>
              <w:right w:w="85" w:type="dxa"/>
            </w:tcMar>
            <w:vAlign w:val="center"/>
          </w:tcPr>
          <w:p w14:paraId="0EFCBDA7" w14:textId="77777777" w:rsidR="0094261F" w:rsidRDefault="00000000">
            <w:pPr>
              <w:keepLines/>
              <w:spacing w:after="0" w:line="247" w:lineRule="auto"/>
              <w:jc w:val="left"/>
              <w:rPr>
                <w:rFonts w:hint="eastAsia"/>
              </w:rPr>
            </w:pPr>
            <w:r>
              <w:rPr>
                <w:sz w:val="21"/>
              </w:rPr>
              <w:t>State transition and observation</w:t>
            </w:r>
          </w:p>
        </w:tc>
      </w:tr>
      <w:tr w:rsidR="0094261F" w14:paraId="6096A5CB" w14:textId="77777777">
        <w:trPr>
          <w:cantSplit/>
          <w:jc w:val="center"/>
        </w:trPr>
        <w:tc>
          <w:tcPr>
            <w:tcW w:w="2304" w:type="dxa"/>
            <w:shd w:val="clear" w:color="auto" w:fill="FFFFFF"/>
            <w:tcMar>
              <w:top w:w="80" w:type="dxa"/>
              <w:left w:w="85" w:type="dxa"/>
              <w:bottom w:w="80" w:type="dxa"/>
              <w:right w:w="85" w:type="dxa"/>
            </w:tcMar>
            <w:vAlign w:val="center"/>
          </w:tcPr>
          <w:p w14:paraId="71BB0455" w14:textId="77777777" w:rsidR="0094261F" w:rsidRDefault="00000000">
            <w:pPr>
              <w:keepLines/>
              <w:spacing w:after="0" w:line="247" w:lineRule="auto"/>
              <w:jc w:val="left"/>
              <w:rPr>
                <w:rFonts w:hint="eastAsia"/>
              </w:rPr>
            </w:pPr>
            <w:r>
              <w:rPr>
                <w:sz w:val="21"/>
              </w:rPr>
              <w:t>Evaluation and verification gate</w:t>
            </w:r>
          </w:p>
        </w:tc>
        <w:tc>
          <w:tcPr>
            <w:tcW w:w="4464" w:type="dxa"/>
            <w:shd w:val="clear" w:color="auto" w:fill="FFFFFF"/>
            <w:tcMar>
              <w:top w:w="80" w:type="dxa"/>
              <w:left w:w="85" w:type="dxa"/>
              <w:bottom w:w="80" w:type="dxa"/>
              <w:right w:w="85" w:type="dxa"/>
            </w:tcMar>
            <w:vAlign w:val="center"/>
          </w:tcPr>
          <w:p w14:paraId="2EA22C96" w14:textId="77777777" w:rsidR="0094261F" w:rsidRDefault="00000000">
            <w:pPr>
              <w:keepLines/>
              <w:spacing w:after="0" w:line="247" w:lineRule="auto"/>
              <w:jc w:val="left"/>
              <w:rPr>
                <w:rFonts w:hint="eastAsia"/>
              </w:rPr>
            </w:pPr>
            <w:r>
              <w:rPr>
                <w:sz w:val="21"/>
              </w:rPr>
              <w:t>Score objectives and independently check feasibility and outputs</w:t>
            </w:r>
          </w:p>
        </w:tc>
        <w:tc>
          <w:tcPr>
            <w:tcW w:w="3168" w:type="dxa"/>
            <w:shd w:val="clear" w:color="auto" w:fill="FFFFFF"/>
            <w:tcMar>
              <w:top w:w="80" w:type="dxa"/>
              <w:left w:w="85" w:type="dxa"/>
              <w:bottom w:w="80" w:type="dxa"/>
              <w:right w:w="85" w:type="dxa"/>
            </w:tcMar>
            <w:vAlign w:val="center"/>
          </w:tcPr>
          <w:p w14:paraId="1E954C23" w14:textId="77777777" w:rsidR="0094261F" w:rsidRDefault="00000000">
            <w:pPr>
              <w:keepLines/>
              <w:spacing w:after="0" w:line="247" w:lineRule="auto"/>
              <w:jc w:val="left"/>
              <w:rPr>
                <w:rFonts w:hint="eastAsia"/>
              </w:rPr>
            </w:pPr>
            <w:r>
              <w:rPr>
                <w:sz w:val="21"/>
              </w:rPr>
              <w:t>Vector response and release decision</w:t>
            </w:r>
          </w:p>
        </w:tc>
      </w:tr>
      <w:tr w:rsidR="0094261F" w14:paraId="2CFD1CF0" w14:textId="77777777">
        <w:trPr>
          <w:cantSplit/>
          <w:jc w:val="center"/>
        </w:trPr>
        <w:tc>
          <w:tcPr>
            <w:tcW w:w="2304" w:type="dxa"/>
            <w:shd w:val="clear" w:color="auto" w:fill="FFFFFF"/>
            <w:tcMar>
              <w:top w:w="80" w:type="dxa"/>
              <w:left w:w="85" w:type="dxa"/>
              <w:bottom w:w="80" w:type="dxa"/>
              <w:right w:w="85" w:type="dxa"/>
            </w:tcMar>
            <w:vAlign w:val="center"/>
          </w:tcPr>
          <w:p w14:paraId="0E6336BD" w14:textId="77777777" w:rsidR="0094261F" w:rsidRDefault="00000000">
            <w:pPr>
              <w:keepLines/>
              <w:spacing w:after="0" w:line="247" w:lineRule="auto"/>
              <w:jc w:val="left"/>
              <w:rPr>
                <w:rFonts w:hint="eastAsia"/>
              </w:rPr>
            </w:pPr>
            <w:r>
              <w:rPr>
                <w:sz w:val="21"/>
              </w:rPr>
              <w:t>Ablation</w:t>
            </w:r>
          </w:p>
        </w:tc>
        <w:tc>
          <w:tcPr>
            <w:tcW w:w="4464" w:type="dxa"/>
            <w:shd w:val="clear" w:color="auto" w:fill="FFFFFF"/>
            <w:tcMar>
              <w:top w:w="80" w:type="dxa"/>
              <w:left w:w="85" w:type="dxa"/>
              <w:bottom w:w="80" w:type="dxa"/>
              <w:right w:w="85" w:type="dxa"/>
            </w:tcMar>
            <w:vAlign w:val="center"/>
          </w:tcPr>
          <w:p w14:paraId="0F37A9E9" w14:textId="77777777" w:rsidR="0094261F" w:rsidRDefault="00000000">
            <w:pPr>
              <w:keepLines/>
              <w:spacing w:after="0" w:line="247" w:lineRule="auto"/>
              <w:jc w:val="left"/>
              <w:rPr>
                <w:rFonts w:hint="eastAsia"/>
              </w:rPr>
            </w:pPr>
            <w:r>
              <w:rPr>
                <w:sz w:val="21"/>
              </w:rPr>
              <w:t>Compare controlled changes on held-out tasks</w:t>
            </w:r>
          </w:p>
        </w:tc>
        <w:tc>
          <w:tcPr>
            <w:tcW w:w="3168" w:type="dxa"/>
            <w:shd w:val="clear" w:color="auto" w:fill="FFFFFF"/>
            <w:tcMar>
              <w:top w:w="80" w:type="dxa"/>
              <w:left w:w="85" w:type="dxa"/>
              <w:bottom w:w="80" w:type="dxa"/>
              <w:right w:w="85" w:type="dxa"/>
            </w:tcMar>
            <w:vAlign w:val="center"/>
          </w:tcPr>
          <w:p w14:paraId="657DFA6D" w14:textId="77777777" w:rsidR="0094261F" w:rsidRDefault="00000000">
            <w:pPr>
              <w:keepLines/>
              <w:spacing w:after="0" w:line="247" w:lineRule="auto"/>
              <w:jc w:val="left"/>
              <w:rPr>
                <w:rFonts w:hint="eastAsia"/>
              </w:rPr>
            </w:pPr>
            <w:r>
              <w:rPr>
                <w:sz w:val="21"/>
              </w:rPr>
              <w:t>Assigned variants, budgets, and outcomes</w:t>
            </w:r>
          </w:p>
        </w:tc>
      </w:tr>
    </w:tbl>
    <w:p w14:paraId="054BE7E7" w14:textId="77777777" w:rsidR="0094261F" w:rsidRDefault="00000000">
      <w:pPr>
        <w:pStyle w:val="BodyText"/>
        <w:spacing w:before="140"/>
        <w:rPr>
          <w:rFonts w:hint="eastAsia"/>
        </w:rPr>
      </w:pPr>
      <w:r>
        <w:t>These are functional modules and control stages. They are not different physical layers of a pretrained GPT backbone. Equation (15) supplies a specific attention-like numerical retrieval operation within a harness; it does not map every harness module to a Transformer layer.</w:t>
      </w:r>
    </w:p>
    <w:p w14:paraId="4C0C2BAF" w14:textId="77777777" w:rsidR="0094261F" w:rsidRDefault="00000000">
      <w:pPr>
        <w:pStyle w:val="Heading2"/>
        <w:rPr>
          <w:rFonts w:hint="eastAsia"/>
        </w:rPr>
      </w:pPr>
      <w:bookmarkStart w:id="31" w:name="Xfc94b86c4c195282cb771314731a06dbdce983a"/>
      <w:bookmarkEnd w:id="30"/>
      <w:r>
        <w:t>11.2 Numerical proposals inside the agent loop</w:t>
      </w:r>
    </w:p>
    <w:p w14:paraId="09F4BD35" w14:textId="77777777" w:rsidR="0094261F" w:rsidRDefault="00000000">
      <w:pPr>
        <w:pStyle w:val="FirstParagraph"/>
        <w:rPr>
          <w:rFonts w:hint="eastAsia"/>
        </w:rPr>
      </w:pPr>
      <w:r>
        <w:t>For a conveyor gallery design, a state might contain span geometry, section families, bracing choices, connection assumptions, material grades, load cases, and analysis versions. Knowledge bases may provide versioned code clauses, approved section catalogs, soil data, supplier information, and company detailing rules. Retrieval helps propose and interpret designs, but a retrieved statement enters a verification decision only with its applicable jurisdiction, edition, units, and context.</w:t>
      </w:r>
    </w:p>
    <w:p w14:paraId="0D0B4B8F" w14:textId="77777777" w:rsidR="0094261F" w:rsidRDefault="00000000">
      <w:pPr>
        <w:pStyle w:val="BodyText"/>
        <w:rPr>
          <w:rFonts w:hint="eastAsia"/>
        </w:rPr>
      </w:pPr>
      <w:r>
        <w:t xml:space="preserve">The model can propose a local numerical kernel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from this state. The runtime then forms a known defensive proposal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draws the design, records its law, and selects whether to obtain an exact compatible response. The solver returns a response vector. A deterministic scorer evaluates </w:t>
      </w:r>
      <m:oMath>
        <m:r>
          <w:rPr>
            <w:rFonts w:ascii="Cambria Math" w:hAnsi="Cambria Math"/>
          </w:rPr>
          <m:t>J</m:t>
        </m:r>
      </m:oMath>
      <w:r>
        <w:t>, and the independent gate records hard constraint satisfaction. This arrangement gives the numerical archive the contract of Section 2 even if the language model’s internal reasoning is opaque.</w:t>
      </w:r>
    </w:p>
    <w:p w14:paraId="055E745C" w14:textId="77777777" w:rsidR="0094261F" w:rsidRDefault="00000000">
      <w:pPr>
        <w:pStyle w:val="BodyText"/>
        <w:rPr>
          <w:rFonts w:hint="eastAsia"/>
        </w:rPr>
      </w:pPr>
      <w:r>
        <w:t>A model’s token probability is not the probability density of a solver design after parsing, repairs, rejection rules, tool side effects, and stochastic execution. The resulting design law must include those transformations. If its derivative cannot be evaluated, such a candidate can still be used as an optimization suggestion, but it cannot silently enter the exact weighted estimator. An opaque API proposal does not inherit a numerical density from the fact that its language model is autoregressive.</w:t>
      </w:r>
    </w:p>
    <w:p w14:paraId="13A2A4DF" w14:textId="77777777" w:rsidR="0094261F" w:rsidRDefault="00000000">
      <w:pPr>
        <w:pStyle w:val="BodyText"/>
        <w:rPr>
          <w:rFonts w:hint="eastAsia"/>
        </w:rPr>
      </w:pPr>
      <w:r>
        <w:t>For mixed design variables, use a product or joint reference law with explicitly specified probability masses and continuous conditional densities. Repairs that collapse intervals onto a catalog member create atoms and need the treatment in Section 4. A convenient alternative is to sample catalog choices directly and then draw continuous parameters conditionally, so that the joint law is known.</w:t>
      </w:r>
    </w:p>
    <w:p w14:paraId="619BC25F" w14:textId="77777777" w:rsidR="0094261F" w:rsidRDefault="00000000">
      <w:pPr>
        <w:pStyle w:val="Heading2"/>
        <w:rPr>
          <w:rFonts w:hint="eastAsia"/>
        </w:rPr>
      </w:pPr>
      <w:bookmarkStart w:id="32" w:name="Xf20bb40fb0f6ec1abb6b98e86a15c8e0183ae39"/>
      <w:bookmarkEnd w:id="31"/>
      <w:r>
        <w:lastRenderedPageBreak/>
        <w:t>11.3 Multi objective density and hard constraints</w:t>
      </w:r>
    </w:p>
    <w:p w14:paraId="2F7C9BAB" w14:textId="77777777" w:rsidR="0094261F" w:rsidRDefault="00000000">
      <w:pPr>
        <w:pStyle w:val="FirstParagraph"/>
        <w:keepNext/>
        <w:rPr>
          <w:rFonts w:hint="eastAsia"/>
        </w:rPr>
      </w:pPr>
      <w:r>
        <w:t xml:space="preserve">Let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y</m:t>
                </m:r>
              </m:e>
            </m:d>
          </m:e>
        </m:d>
      </m:oMath>
      <w:r>
        <w:t xml:space="preserve"> be recorded objectives with fixed scales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&gt;</m:t>
        </m:r>
        <m:r>
          <w:rPr>
            <w:rFonts w:ascii="Cambria Math" w:hAnsi="Cambria Math"/>
          </w:rPr>
          <m:t>0</m:t>
        </m:r>
      </m:oMath>
      <w:r>
        <w:t>. One family of scalar preferences is</w:t>
      </w:r>
    </w:p>
    <w:p w14:paraId="5A6CAAD6"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λ</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(25)</m:t>
          </m:r>
        </m:oMath>
      </m:oMathPara>
    </w:p>
    <w:p w14:paraId="15E2CB08" w14:textId="77777777" w:rsidR="0094261F" w:rsidRDefault="00000000">
      <w:pPr>
        <w:pStyle w:val="FirstParagraph"/>
        <w:rPr>
          <w:rFonts w:hint="eastAsia"/>
        </w:rPr>
      </w:pPr>
      <w:r>
        <w:t xml:space="preserve">where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are known lower bounds ensuring nonnegativity on the stated domain. Each </w:t>
      </w:r>
      <m:oMath>
        <m:r>
          <w:rPr>
            <w:rFonts w:ascii="Cambria Math" w:hAnsi="Cambria Math"/>
          </w:rPr>
          <m:t>λ</m:t>
        </m:r>
      </m:oMath>
      <w:r>
        <w:t xml:space="preserve"> defines its own density through (1). Weighted sums can miss nonconvex portions of an objective frontier; several preferences or an augmented achievement scalarization may be needed. A collection of density-weighted outputs is not by itself proof of Pareto completeness. Keep the nondominated set of verified feasible observed designs separately from posterior summaries.</w:t>
      </w:r>
    </w:p>
    <w:p w14:paraId="3893ABFA" w14:textId="77777777" w:rsidR="0094261F" w:rsidRDefault="00000000">
      <w:pPr>
        <w:pStyle w:val="BodyText"/>
        <w:rPr>
          <w:rFonts w:hint="eastAsia"/>
        </w:rPr>
      </w:pPr>
      <w:r>
        <w:t xml:space="preserve">If </w:t>
      </w:r>
      <m:oMath>
        <m:r>
          <m:rPr>
            <m:scr m:val="script"/>
            <m:sty m:val="p"/>
          </m:rPr>
          <w:rPr>
            <w:rFonts w:ascii="Cambria Math" w:hAnsi="Cambria Math"/>
          </w:rPr>
          <m:t>C</m:t>
        </m:r>
      </m:oMath>
      <w:r>
        <w:t xml:space="preserve"> is the measurable hard-feasible set, a constrained target can be defined by </w:t>
      </w:r>
      <m:oMath>
        <m:sSub>
          <m:sSubPr>
            <m:ctrlPr>
              <w:rPr>
                <w:rFonts w:ascii="Cambria Math" w:hAnsi="Cambria Math"/>
              </w:rPr>
            </m:ctrlPr>
          </m:sSubPr>
          <m:e>
            <m:r>
              <w:rPr>
                <w:rFonts w:ascii="Cambria Math" w:hAnsi="Cambria Math"/>
              </w:rPr>
              <m:t>τ</m:t>
            </m:r>
          </m:e>
          <m:sub>
            <m:r>
              <w:rPr>
                <w:rFonts w:ascii="Cambria Math" w:hAnsi="Cambria Math"/>
              </w:rPr>
              <m:t>β</m:t>
            </m:r>
            <m:r>
              <m:rPr>
                <m:scr m:val="script"/>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μ</m:t>
        </m:r>
      </m:oMath>
      <w:r>
        <w:t xml:space="preserve">. Replace the weight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once feasibility is exactly observed. The fixed-temperature proofs continue whenever </w:t>
      </w:r>
      <m:oMath>
        <m:sSub>
          <m:sSubPr>
            <m:ctrlPr>
              <w:rPr>
                <w:rFonts w:ascii="Cambria Math" w:hAnsi="Cambria Math"/>
              </w:rPr>
            </m:ctrlPr>
          </m:sSubPr>
          <m:e>
            <m:r>
              <w:rPr>
                <w:rFonts w:ascii="Cambria Math" w:hAnsi="Cambria Math"/>
              </w:rPr>
              <m:t>Z</m:t>
            </m:r>
          </m:e>
          <m:sub>
            <m:r>
              <w:rPr>
                <w:rFonts w:ascii="Cambria Math" w:hAnsi="Cambria Math"/>
              </w:rPr>
              <m:t>β</m:t>
            </m:r>
            <m:r>
              <m:rPr>
                <m:scr m:val="script"/>
                <m:sty m:val="p"/>
              </m:rPr>
              <w:rPr>
                <w:rFonts w:ascii="Cambria Math" w:hAnsi="Cambria Math"/>
              </w:rPr>
              <m:t>,C</m:t>
            </m:r>
          </m:sub>
        </m:sSub>
        <m:r>
          <m:rPr>
            <m:sty m:val="p"/>
          </m:rPr>
          <w:rPr>
            <w:rFonts w:ascii="Cambria Math" w:hAnsi="Cambria Math"/>
          </w:rPr>
          <m:t>&gt;</m:t>
        </m:r>
        <m:r>
          <w:rPr>
            <w:rFonts w:ascii="Cambria Math" w:hAnsi="Cambria Math"/>
          </w:rPr>
          <m:t>0</m:t>
        </m:r>
      </m:oMath>
      <w:r>
        <w:t>. Coverage of feasible near-optimal sets follows from (22). The interior Laplace theorem does not automatically apply to a boundary optimum or a lower-dimensional constraint manifold; such targets require their appropriate local measure and asymptotics.</w:t>
      </w:r>
    </w:p>
    <w:p w14:paraId="143966E5" w14:textId="77777777" w:rsidR="0094261F" w:rsidRDefault="00000000">
      <w:pPr>
        <w:pStyle w:val="BodyText"/>
        <w:rPr>
          <w:rFonts w:hint="eastAsia"/>
        </w:rPr>
      </w:pPr>
      <w:r>
        <w:t>Finite penalties produce a soft preference over violations. They do not enforce a hard engineering requirement. A design is released only after the declared verification gate has checked the required load combinations, utilization, drift, vibration, detailing, and artifact consistency. The probability density describes search preference, not structural reliability or a probability of code compliance.</w:t>
      </w:r>
    </w:p>
    <w:p w14:paraId="792D2732" w14:textId="77777777" w:rsidR="0094261F" w:rsidRDefault="00000000">
      <w:pPr>
        <w:pStyle w:val="Heading2"/>
        <w:rPr>
          <w:rFonts w:hint="eastAsia"/>
        </w:rPr>
      </w:pPr>
      <w:bookmarkStart w:id="33" w:name="evaluation-and-independent-verification"/>
      <w:bookmarkEnd w:id="32"/>
      <w:r>
        <w:t>11.4 Evaluation and independent verification</w:t>
      </w:r>
    </w:p>
    <w:p w14:paraId="5445985B" w14:textId="77777777" w:rsidR="0094261F" w:rsidRDefault="00000000">
      <w:pPr>
        <w:pStyle w:val="FirstParagraph"/>
        <w:rPr>
          <w:rFonts w:hint="eastAsia"/>
        </w:rPr>
      </w:pPr>
      <w:r>
        <w:t>Harness performance has several objectives: task completion, engineering validity, solver cost, latency, and reproducibility. Comparing harness versions therefore requires both a declared utility or preference family and a held-out task protocol. The Harmony Harness preprint explicitly motivates multi-objective harness evolution [11]; the density construction here supplies one possible mathematical preference layer rather than a reproduction of its method.</w:t>
      </w:r>
    </w:p>
    <w:p w14:paraId="0CF2CA2E" w14:textId="77777777" w:rsidR="0094261F" w:rsidRDefault="00000000">
      <w:pPr>
        <w:pStyle w:val="BodyText"/>
        <w:rPr>
          <w:rFonts w:hint="eastAsia"/>
        </w:rPr>
      </w:pPr>
      <w:r>
        <w:t xml:space="preserve">Evaluation data used to choose a harness revision should not also be presented as untouched validation evidence. The gate should test executable compatibility and independent engineering checks before accepting a new </w:t>
      </w:r>
      <m:oMath>
        <m:r>
          <w:rPr>
            <w:rFonts w:ascii="Cambria Math" w:hAnsi="Cambria Math"/>
          </w:rPr>
          <m:t>ψ</m:t>
        </m:r>
      </m:oMath>
      <w:r>
        <w:t>. Record accepted and rejected versions as operational provenance; the paper’s mathematical claims concern a fixed target and a valid predictable proposal at each attempt. Changing the engineering objective or response semantics mid-run without rescoring compatible records invalidates that interpretation.</w:t>
      </w:r>
    </w:p>
    <w:p w14:paraId="5943087F" w14:textId="77777777" w:rsidR="0094261F" w:rsidRDefault="00000000">
      <w:pPr>
        <w:pStyle w:val="Heading1"/>
        <w:rPr>
          <w:rFonts w:hint="eastAsia"/>
        </w:rPr>
      </w:pPr>
      <w:bookmarkStart w:id="34" w:name="scope-and-conclusion"/>
      <w:bookmarkEnd w:id="29"/>
      <w:bookmarkEnd w:id="33"/>
      <w:r>
        <w:t>12 Scope and conclusion</w:t>
      </w:r>
    </w:p>
    <w:p w14:paraId="7BA9DC68" w14:textId="77777777" w:rsidR="0094261F" w:rsidRDefault="00000000">
      <w:pPr>
        <w:pStyle w:val="FirstParagraph"/>
        <w:rPr>
          <w:rFonts w:hint="eastAsia"/>
        </w:rPr>
      </w:pPr>
      <w:r>
        <w:t>ADE’s archive admits a rigorous generalized-Bayes interpretation when its proposal and observation laws are known. Defensive domination makes arbitrary predictable proposal adaptation compatible with exact conditional integration, and exponential damping controls unbounded loss moments at positive temperature. Measure-aware weights cover deterministic proposals without confusing target-null atoms with genuine prior mass. Uniform parameter arguments justify adaptive queries on controlled compact sets, while isolated-minimum asymptotics and variance-sensitive concentration support a deterministic annealing schedule.</w:t>
      </w:r>
    </w:p>
    <w:p w14:paraId="3E796DAE" w14:textId="77777777" w:rsidR="0094261F" w:rsidRDefault="00000000">
      <w:pPr>
        <w:pStyle w:val="BodyText"/>
        <w:rPr>
          <w:rFonts w:hint="eastAsia"/>
        </w:rPr>
      </w:pPr>
      <w:r>
        <w:lastRenderedPageBreak/>
        <w:t>These guarantees concern integration, target concentration, and observed-set coverage. They do not turn a finite archive into a certified sampler, establish monotonic raw proposals, or identify the causal effect of a harness component. Neuroscience contributes plausible functional motivations for uncertainty-sensitive evaluation and selective retrieval. The construction harness makes those motivations testable by separating fixed model weights, changing state, known numerical laws, exact observations, and independently checked engineering decisions.</w:t>
      </w:r>
    </w:p>
    <w:p w14:paraId="53717544" w14:textId="77777777" w:rsidR="0094261F" w:rsidRDefault="00000000">
      <w:pPr>
        <w:pStyle w:val="Heading1"/>
        <w:rPr>
          <w:rFonts w:hint="eastAsia"/>
        </w:rPr>
      </w:pPr>
      <w:bookmarkStart w:id="35" w:name="appendix-a-proof-details"/>
      <w:bookmarkEnd w:id="34"/>
      <w:r>
        <w:t>Appendix A Proof details</w:t>
      </w:r>
    </w:p>
    <w:p w14:paraId="42AC8F5D" w14:textId="77777777" w:rsidR="0094261F" w:rsidRDefault="00000000">
      <w:pPr>
        <w:pStyle w:val="Heading2"/>
        <w:rPr>
          <w:rFonts w:hint="eastAsia"/>
        </w:rPr>
      </w:pPr>
      <w:bookmarkStart w:id="36" w:name="a1-uniform-laws-for-an-adaptive-archive"/>
      <w:r>
        <w:t>A1 Uniform laws for an adaptive archive</w:t>
      </w:r>
    </w:p>
    <w:p w14:paraId="7104BE92" w14:textId="77777777" w:rsidR="0094261F" w:rsidRDefault="00000000">
      <w:pPr>
        <w:pStyle w:val="FirstParagraph"/>
        <w:rPr>
          <w:rFonts w:hint="eastAsia"/>
        </w:rPr>
      </w:pPr>
      <w:r>
        <w:t xml:space="preserve">Let </w:t>
      </w:r>
      <m:oMath>
        <m:r>
          <w:rPr>
            <w:rFonts w:ascii="Cambria Math" w:hAnsi="Cambria Math"/>
          </w:rPr>
          <m:t>t</m:t>
        </m:r>
      </m:oMath>
      <w:r>
        <w:t xml:space="preserve"> range over a compact subset of finite-dimensional Euclidean space and let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y</m:t>
            </m:r>
          </m:e>
        </m:d>
      </m:oMath>
      <w:r>
        <w:t xml:space="preserve"> be bounded and uniformly Lipschitz in </w:t>
      </w:r>
      <m:oMath>
        <m:r>
          <w:rPr>
            <w:rFonts w:ascii="Cambria Math" w:hAnsi="Cambria Math"/>
          </w:rPr>
          <m:t>t</m:t>
        </m:r>
      </m:oMath>
      <w:r>
        <w:t xml:space="preserve">, with constants independent of </w:t>
      </w:r>
      <m:oMath>
        <m:r>
          <w:rPr>
            <w:rFonts w:ascii="Cambria Math" w:hAnsi="Cambria Math"/>
          </w:rPr>
          <m:t>y</m:t>
        </m:r>
      </m:oMath>
      <w:r>
        <w:t xml:space="preserve">.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For every fixed </w:t>
      </w:r>
      <m:oMath>
        <m:r>
          <w:rPr>
            <w:rFonts w:ascii="Cambria Math" w:hAnsi="Cambria Math"/>
          </w:rPr>
          <m:t>t</m:t>
        </m:r>
      </m:oMath>
      <w:r>
        <w:t xml:space="preserve">, the bounded martingale differences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have average converging almost surely to zero. Take the probability-one intersection over a countable dense set of </w:t>
      </w:r>
      <m:oMath>
        <m:r>
          <w:rPr>
            <w:rFonts w:ascii="Cambria Math" w:hAnsi="Cambria Math"/>
          </w:rPr>
          <m:t>t</m:t>
        </m:r>
      </m:oMath>
      <w:r>
        <w:t xml:space="preserve"> values. Given any mesh size, a finite subset of this dense set covers the parameter domain. The difference between an arbitrary parameter and its nearest mesh point is bounded by the mesh size times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w:r>
        <w:t xml:space="preserve"> times the common Lipschitz constant. Let </w:t>
      </w:r>
      <m:oMath>
        <m:r>
          <w:rPr>
            <w:rFonts w:ascii="Cambria Math" w:hAnsi="Cambria Math"/>
          </w:rPr>
          <m:t>N</m:t>
        </m:r>
        <m:r>
          <m:rPr>
            <m:sty m:val="p"/>
          </m:rPr>
          <w:rPr>
            <w:rFonts w:ascii="Cambria Math" w:hAnsi="Cambria Math"/>
          </w:rPr>
          <m:t>→∞</m:t>
        </m:r>
      </m:oMath>
      <w:r>
        <w:t xml:space="preserve"> first and then shrink the mesh size. This proves a uniform strong law.</w:t>
      </w:r>
    </w:p>
    <w:p w14:paraId="5E0FD46F" w14:textId="77777777" w:rsidR="0094261F" w:rsidRDefault="00000000">
      <w:pPr>
        <w:pStyle w:val="BodyText"/>
        <w:rPr>
          <w:rFonts w:hint="eastAsia"/>
        </w:rPr>
      </w:pPr>
      <w:r>
        <w:t xml:space="preserve">For Theorem 3, compactness of </w:t>
      </w:r>
      <m:oMath>
        <m:r>
          <w:rPr>
            <w:rFonts w:ascii="Cambria Math" w:hAnsi="Cambria Math"/>
          </w:rPr>
          <m:t>Q</m:t>
        </m:r>
      </m:oMath>
      <w:r>
        <w:t xml:space="preserve"> supplies a bound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oMath>
      <w:r>
        <w:t xml:space="preserve">. The estimate </w:t>
      </w:r>
      <m:oMath>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m:t>
                </m:r>
              </m:sub>
            </m:sSub>
          </m:e>
        </m:ra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oMath>
      <w:r>
        <w:t xml:space="preserve"> gives Gaussian decay uniformly outside a fixed ball. Derivatives in </w:t>
      </w:r>
      <m:oMath>
        <m:r>
          <w:rPr>
            <w:rFonts w:ascii="Cambria Math" w:hAnsi="Cambria Math"/>
          </w:rPr>
          <m:t>q</m:t>
        </m:r>
      </m:oMath>
      <w:r>
        <w:t xml:space="preserve"> and </w:t>
      </w:r>
      <m:oMath>
        <m:r>
          <w:rPr>
            <w:rFonts w:ascii="Cambria Math" w:hAnsi="Cambria Math"/>
          </w:rPr>
          <m:t>a</m:t>
        </m:r>
      </m:oMath>
      <w:r>
        <w:t xml:space="preserve"> add only polynomial factors in </w:t>
      </w:r>
      <m:oMath>
        <m:r>
          <w:rPr>
            <w:rFonts w:ascii="Cambria Math" w:hAnsi="Cambria Math"/>
          </w:rPr>
          <m:t>y</m:t>
        </m:r>
      </m:oMath>
      <w:r>
        <w:t xml:space="preserve"> and bounded denominators because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1</m:t>
        </m:r>
      </m:oMath>
      <w:r>
        <w:t xml:space="preserve">. Temperature derivatives add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bounded uniformly for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oMath>
      <w:r>
        <w:t xml:space="preserve">. Apply the preceding law componentwise. For </w:t>
      </w:r>
      <m:oMath>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and its temperature derivative use the bounded envelopes for </w:t>
      </w:r>
      <m:oMath>
        <m:sSup>
          <m:sSupPr>
            <m:ctrlPr>
              <w:rPr>
                <w:rFonts w:ascii="Cambria Math" w:hAnsi="Cambria Math"/>
              </w:rPr>
            </m:ctrlPr>
          </m:sSupPr>
          <m:e>
            <m:r>
              <w:rPr>
                <w:rFonts w:ascii="Cambria Math" w:hAnsi="Cambria Math"/>
              </w:rPr>
              <m:t>J</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and </w:t>
      </w:r>
      <m:oMath>
        <m:sSup>
          <m:sSupPr>
            <m:ctrlPr>
              <w:rPr>
                <w:rFonts w:ascii="Cambria Math" w:hAnsi="Cambria Math"/>
              </w:rPr>
            </m:ctrlPr>
          </m:sSupPr>
          <m:e>
            <m:r>
              <w:rPr>
                <w:rFonts w:ascii="Cambria Math" w:hAnsi="Cambria Math"/>
              </w:rPr>
              <m:t>J</m:t>
            </m:r>
          </m:e>
          <m:sup>
            <m:r>
              <w:rPr>
                <w:rFonts w:ascii="Cambria Math" w:hAnsi="Cambria Math"/>
              </w:rPr>
              <m:t>r</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Continuity and positivity of the limiting denominator complete the ratio argument.</w:t>
      </w:r>
    </w:p>
    <w:p w14:paraId="205587A9" w14:textId="77777777" w:rsidR="0094261F" w:rsidRDefault="00000000">
      <w:pPr>
        <w:pStyle w:val="Heading2"/>
        <w:rPr>
          <w:rFonts w:hint="eastAsia"/>
        </w:rPr>
      </w:pPr>
      <w:bookmarkStart w:id="37" w:name="a2-annealing-rows-and-scaled-loss"/>
      <w:bookmarkEnd w:id="36"/>
      <w:r>
        <w:t>A2 Annealing rows and scaled loss</w:t>
      </w:r>
    </w:p>
    <w:p w14:paraId="0C421000" w14:textId="77777777" w:rsidR="0094261F" w:rsidRDefault="00000000">
      <w:pPr>
        <w:pStyle w:val="FirstParagraph"/>
        <w:rPr>
          <w:rFonts w:hint="eastAsia"/>
        </w:rPr>
      </w:pPr>
      <w:r>
        <w:t xml:space="preserve">For each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is deterministic. For every </w:t>
      </w:r>
      <m:oMath>
        <m:r>
          <w:rPr>
            <w:rFonts w:ascii="Cambria Math" w:hAnsi="Cambria Math"/>
          </w:rPr>
          <m:t>i</m:t>
        </m:r>
        <m:r>
          <m:rPr>
            <m:sty m:val="p"/>
          </m:rPr>
          <w:rPr>
            <w:rFonts w:ascii="Cambria Math" w:hAnsi="Cambria Math"/>
          </w:rPr>
          <m:t>≤</m:t>
        </m:r>
        <m:r>
          <w:rPr>
            <w:rFonts w:ascii="Cambria Math" w:hAnsi="Cambria Math"/>
          </w:rPr>
          <m:t>N</m:t>
        </m:r>
      </m:oMath>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 martingale difference in the original filtration. Different rows may share the same states and may have different historical sampling laws; the proof needs neither row independence nor identical distributions.</w:t>
      </w:r>
    </w:p>
    <w:p w14:paraId="5D6C8CEA" w14:textId="77777777" w:rsidR="0094261F" w:rsidRDefault="00000000">
      <w:pPr>
        <w:pStyle w:val="BodyText"/>
        <w:keepNext/>
        <w:rPr>
          <w:rFonts w:hint="eastAsia"/>
        </w:rPr>
      </w:pPr>
      <w:r>
        <w:t xml:space="preserve">For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the centered increments of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have absolute value at most </w:t>
      </w:r>
      <m:oMath>
        <m:r>
          <w:rPr>
            <w:rFonts w:ascii="Cambria Math" w:hAnsi="Cambria Math"/>
          </w:rPr>
          <m:t>2BH</m:t>
        </m:r>
      </m:oMath>
      <w:r>
        <w:t xml:space="preserve"> and conditional variance at most </w:t>
      </w:r>
      <m:oMath>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For any fixed </w:t>
      </w:r>
      <m:oMath>
        <m:r>
          <w:rPr>
            <w:rFonts w:ascii="Cambria Math" w:hAnsi="Cambria Math"/>
          </w:rPr>
          <m:t>d</m:t>
        </m:r>
        <m:r>
          <m:rPr>
            <m:sty m:val="p"/>
          </m:rPr>
          <w:rPr>
            <w:rFonts w:ascii="Cambria Math" w:hAnsi="Cambria Math"/>
          </w:rPr>
          <m:t>&gt;</m:t>
        </m:r>
        <m:r>
          <w:rPr>
            <w:rFonts w:ascii="Cambria Math" w:hAnsi="Cambria Math"/>
          </w:rPr>
          <m:t>0</m:t>
        </m:r>
      </m:oMath>
      <w:r>
        <w:t xml:space="preserve">, Freedman’s inequality at threshold </w:t>
      </w:r>
      <m:oMath>
        <m:r>
          <w:rPr>
            <w:rFonts w:ascii="Cambria Math" w:hAnsi="Cambria Math"/>
          </w:rPr>
          <m:t>Nd</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gives a two-sided bound of the form</w:t>
      </w:r>
    </w:p>
    <w:p w14:paraId="2866E0B3" w14:textId="77777777" w:rsidR="0094261F" w:rsidRDefault="00000000">
      <w:pPr>
        <w:pStyle w:val="BodyText"/>
        <w:keepLines/>
        <w:spacing w:before="60" w:after="120"/>
        <w:jc w:val="center"/>
        <w:rPr>
          <w:rFonts w:hint="eastAsia"/>
        </w:rPr>
      </w:pPr>
      <m:oMathPara>
        <m:oMathParaPr>
          <m:jc m:val="center"/>
        </m:oMathParaPr>
        <m:oMath>
          <m:r>
            <w:rPr>
              <w:rFonts w:ascii="Cambria Math" w:hAnsi="Cambria Math"/>
            </w:rPr>
            <m:t>2</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num>
            <m:den>
              <m:r>
                <w:rPr>
                  <w:rFonts w:ascii="Cambria Math" w:hAnsi="Cambria Math"/>
                </w:rPr>
                <m:t>2B</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2Hd</m:t>
                  </m:r>
                  <m:r>
                    <m:rPr>
                      <m:sty m:val="p"/>
                    </m:rPr>
                    <w:rPr>
                      <w:rFonts w:ascii="Cambria Math" w:hAnsi="Cambria Math"/>
                    </w:rPr>
                    <m:t>/</m:t>
                  </m:r>
                  <m:r>
                    <w:rPr>
                      <w:rFonts w:ascii="Cambria Math" w:hAnsi="Cambria Math"/>
                    </w:rPr>
                    <m:t>3</m:t>
                  </m:r>
                </m:e>
              </m:d>
            </m:den>
          </m:f>
          <m:r>
            <m:rPr>
              <m:sty m:val="p"/>
            </m:rPr>
            <w:rPr>
              <w:rFonts w:ascii="Cambria Math" w:hAnsi="Cambria Math"/>
            </w:rPr>
            <m:t>].</m:t>
          </m:r>
          <m:r>
            <m:rPr>
              <m:nor/>
            </m:rPr>
            <m:t>    (26)</m:t>
          </m:r>
        </m:oMath>
      </m:oMathPara>
    </w:p>
    <w:p w14:paraId="0DC6F7E4" w14:textId="77777777" w:rsidR="0094261F" w:rsidRDefault="00000000">
      <w:pPr>
        <w:pStyle w:val="FirstParagraph"/>
        <w:rPr>
          <w:rFonts w:hint="eastAsia"/>
        </w:rPr>
      </w:pPr>
      <w:r>
        <w:t xml:space="preserve">By (17),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asymptotically a positive constant times </w:t>
      </w:r>
      <m:oMath>
        <m:sSubSup>
          <m:sSubSupPr>
            <m:ctrlPr>
              <w:rPr>
                <w:rFonts w:ascii="Cambria Math" w:hAnsi="Cambria Math"/>
              </w:rPr>
            </m:ctrlPr>
          </m:sSubSupPr>
          <m:e>
            <m:r>
              <w:rPr>
                <w:rFonts w:ascii="Cambria Math" w:hAnsi="Cambria Math"/>
              </w:rPr>
              <m:t>β</m:t>
            </m:r>
          </m:e>
          <m:sub>
            <m:r>
              <w:rPr>
                <w:rFonts w:ascii="Cambria Math" w:hAnsi="Cambria Math"/>
              </w:rPr>
              <m:t>N</m:t>
            </m:r>
          </m:sub>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bSup>
      </m:oMath>
      <w:r>
        <w:t xml:space="preserve">. Condition (19) makes the exponent dominate any fixed multiple of </w:t>
      </w:r>
      <m:oMath>
        <m:r>
          <m:rPr>
            <m:sty m:val="p"/>
          </m:rPr>
          <w:rPr>
            <w:rFonts w:ascii="Cambria Math" w:hAnsi="Cambria Math"/>
          </w:rPr>
          <m:t>log</m:t>
        </m:r>
        <m:r>
          <w:rPr>
            <w:rFonts w:ascii="Cambria Math" w:hAnsi="Cambria Math"/>
          </w:rPr>
          <m:t>N</m:t>
        </m:r>
      </m:oMath>
      <w:r>
        <w:t xml:space="preserve">, so (26) is summable. Apply Borel–Cantelli first for rational </w:t>
      </w:r>
      <m:oMath>
        <m:r>
          <w:rPr>
            <w:rFonts w:ascii="Cambria Math" w:hAnsi="Cambria Math"/>
          </w:rPr>
          <m:t>d</m:t>
        </m:r>
        <m:r>
          <m:rPr>
            <m:sty m:val="p"/>
          </m:rPr>
          <w:rPr>
            <w:rFonts w:ascii="Cambria Math" w:hAnsi="Cambria Math"/>
          </w:rPr>
          <m:t>&gt;</m:t>
        </m:r>
        <m:r>
          <w:rPr>
            <w:rFonts w:ascii="Cambria Math" w:hAnsi="Cambria Math"/>
          </w:rPr>
          <m:t>0</m:t>
        </m:r>
      </m:oMath>
      <w:r>
        <w:t xml:space="preserve"> and then for a countable convergence-determining family of bounded continuous </w:t>
      </w:r>
      <m:oMath>
        <m:r>
          <w:rPr>
            <w:rFonts w:ascii="Cambria Math" w:hAnsi="Cambria Math"/>
          </w:rPr>
          <m:t>h</m:t>
        </m:r>
      </m:oMath>
      <w:r>
        <w:t xml:space="preserve">. Such a family can be chosen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simultaneous convergence against it to the limiting probability measure yields weak convergence.</w:t>
      </w:r>
    </w:p>
    <w:p w14:paraId="25209689" w14:textId="77777777" w:rsidR="0094261F" w:rsidRDefault="00000000">
      <w:pPr>
        <w:pStyle w:val="BodyText"/>
        <w:keepNext/>
        <w:rPr>
          <w:rFonts w:hint="eastAsia"/>
        </w:rPr>
      </w:pPr>
      <w:r>
        <w:t xml:space="preserve">For (21), put </w:t>
      </w:r>
      <m:oMath>
        <m:r>
          <w:rPr>
            <w:rFonts w:ascii="Cambria Math" w:hAnsi="Cambria Math"/>
          </w:rPr>
          <m:t>v</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v</m:t>
        </m:r>
      </m:oMath>
      <w:r>
        <w:t>. Conditional integration gives</w:t>
      </w:r>
    </w:p>
    <w:p w14:paraId="6E3BBBCA" w14:textId="77777777" w:rsidR="0094261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2u</m:t>
              </m:r>
            </m:sup>
          </m:sSup>
          <m:r>
            <m:rPr>
              <m:nor/>
            </m:rPr>
            <m:t>    </m:t>
          </m:r>
          <m:r>
            <w:rPr>
              <w:rFonts w:ascii="Cambria Math" w:hAnsi="Cambria Math"/>
            </w:rPr>
            <m:t>dμ</m:t>
          </m:r>
          <m:r>
            <m:rPr>
              <m:sty m:val="p"/>
            </m:rPr>
            <w:rPr>
              <w:rFonts w:ascii="Cambria Math" w:hAnsi="Cambria Math"/>
            </w:rPr>
            <m:t>≤</m:t>
          </m:r>
          <m:f>
            <m:fPr>
              <m:ctrlPr>
                <w:rPr>
                  <w:rFonts w:ascii="Cambria Math" w:hAnsi="Cambria Math"/>
                </w:rPr>
              </m:ctrlPr>
            </m:fPr>
            <m:num>
              <m:r>
                <w:rPr>
                  <w:rFonts w:ascii="Cambria Math" w:hAnsi="Cambria Math"/>
                </w:rPr>
                <m:t>4B</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nor/>
            </m:rPr>
            <m:t>    </m:t>
          </m:r>
          <m:r>
            <w:rPr>
              <w:rFonts w:ascii="Cambria Math" w:hAnsi="Cambria Math"/>
            </w:rPr>
            <m:t>dμ</m:t>
          </m:r>
          <m:r>
            <m:rPr>
              <m:sty m:val="p"/>
            </m:rPr>
            <w:rPr>
              <w:rFonts w:ascii="Cambria Math" w:hAnsi="Cambria Math"/>
            </w:rPr>
            <m:t>.</m:t>
          </m:r>
          <m:r>
            <m:rPr>
              <m:nor/>
            </m:rPr>
            <m:t>    (27)</m:t>
          </m:r>
        </m:oMath>
      </m:oMathPara>
    </w:p>
    <w:p w14:paraId="04A0332A" w14:textId="77777777" w:rsidR="0094261F" w:rsidRDefault="00000000">
      <w:pPr>
        <w:pStyle w:val="FirstParagraph"/>
        <w:rPr>
          <w:rFonts w:hint="eastAsia"/>
        </w:rPr>
      </w:pPr>
      <w:r>
        <w:lastRenderedPageBreak/>
        <w:t xml:space="preserve">The first inequality uses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B</m:t>
        </m:r>
      </m:oMath>
      <w:r>
        <w:t xml:space="preserve"> after integrating inclusion and sampling. The increment bound is </w:t>
      </w:r>
      <m:oMath>
        <m:r>
          <w:rPr>
            <w:rFonts w:ascii="Cambria Math" w:hAnsi="Cambria Math"/>
          </w:rPr>
          <m:t>B</m:t>
        </m:r>
        <m:r>
          <m:rPr>
            <m:sty m:val="p"/>
          </m:rPr>
          <w:rPr>
            <w:rFonts w:ascii="Cambria Math" w:hAnsi="Cambria Math"/>
          </w:rPr>
          <m:t>/</m:t>
        </m:r>
        <m:r>
          <w:rPr>
            <w:rFonts w:ascii="Cambria Math" w:hAnsi="Cambria Math"/>
          </w:rPr>
          <m:t>e</m:t>
        </m:r>
      </m:oMath>
      <w:r>
        <w:t xml:space="preserve"> because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At threshold </w:t>
      </w:r>
      <m:oMath>
        <m:r>
          <w:rPr>
            <w:rFonts w:ascii="Cambria Math" w:hAnsi="Cambria Math"/>
          </w:rPr>
          <m:t>Nd</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the same summability argument gives relative numerator convergence. The limiting normalized mean is </w:t>
      </w:r>
      <m:oMath>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β</m:t>
                    </m:r>
                  </m:e>
                  <m:sub>
                    <m:r>
                      <w:rPr>
                        <w:rFonts w:ascii="Cambria Math" w:hAnsi="Cambria Math"/>
                      </w:rPr>
                      <m:t>N</m:t>
                    </m:r>
                  </m:sub>
                </m:sSub>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oMath>
      <w:r>
        <w:t>. Dividing by the relatively consistent denominator proves the second conclusion in (20).</w:t>
      </w:r>
    </w:p>
    <w:p w14:paraId="10D792A0" w14:textId="77777777" w:rsidR="0094261F" w:rsidRDefault="00000000">
      <w:pPr>
        <w:pStyle w:val="Heading1"/>
        <w:rPr>
          <w:rFonts w:hint="eastAsia"/>
        </w:rPr>
      </w:pPr>
      <w:bookmarkStart w:id="38" w:name="X7fa2a195bfc03204dcf9f601ce91e1ab01610d5"/>
      <w:bookmarkEnd w:id="35"/>
      <w:bookmarkEnd w:id="37"/>
      <w:r>
        <w:t>Appendix B Reference kernel and production contract</w:t>
      </w:r>
    </w:p>
    <w:p w14:paraId="3920B8BA" w14:textId="77777777" w:rsidR="0094261F" w:rsidRDefault="00000000">
      <w:pPr>
        <w:pStyle w:val="Heading2"/>
        <w:rPr>
          <w:rFonts w:hint="eastAsia"/>
        </w:rPr>
      </w:pPr>
      <w:bookmarkStart w:id="39" w:name="b1-executed-numerical-kernel"/>
      <w:r>
        <w:t>B1 Executed numerical kernel</w:t>
      </w:r>
    </w:p>
    <w:p w14:paraId="375B7EAE" w14:textId="77777777" w:rsidR="0094261F" w:rsidRDefault="00000000">
      <w:pPr>
        <w:pStyle w:val="FirstParagraph"/>
        <w:rPr>
          <w:rFonts w:hint="eastAsia"/>
        </w:rPr>
      </w:pPr>
      <w:r>
        <w:t>The following Python kernel computes weights from recorded log Radon–Nikodym derivatives, performs stable normalization, and evaluates the Gaussian archive denoiser. The sampling layer must supply valid derivatives and inclusion probabilities; the kernel cannot infer their correctness from arrays. A skipped response may contain an unknown loss because its weight is assigned zero before the loss is accessed. Values supplied to the estimator should be finite, with harmless placeholders for zero-weight missing records, to avoid floating-point products of zero and NaN.</w:t>
      </w:r>
    </w:p>
    <w:p w14:paraId="4C179B26" w14:textId="77777777" w:rsidR="0094261F" w:rsidRDefault="00000000">
      <w:pPr>
        <w:pStyle w:val="SourceCode"/>
        <w:keepLines/>
        <w:spacing w:before="80" w:after="80"/>
        <w:rPr>
          <w:rFonts w:hint="eastAsia"/>
        </w:rPr>
      </w:pPr>
      <w:r>
        <w:t>"""Measure-aware archive operations. Losses are exact and nonnegative."""</w:t>
      </w:r>
      <w:r>
        <w:br/>
        <w:t>import numpy as np</w:t>
      </w:r>
      <w:r>
        <w:br/>
        <w:t>from scipy.special import logsumexp</w:t>
      </w:r>
    </w:p>
    <w:p w14:paraId="40A7D4A6" w14:textId="77777777" w:rsidR="0094261F" w:rsidRDefault="00000000">
      <w:pPr>
        <w:pStyle w:val="SourceCode"/>
        <w:keepLines/>
        <w:spacing w:before="80" w:after="80"/>
        <w:rPr>
          <w:rFonts w:hint="eastAsia"/>
        </w:rPr>
      </w:pPr>
      <w:r>
        <w:br/>
        <w:t>def archive_logweights(loss, log_rn, inclusion, observed, beta):</w:t>
      </w:r>
      <w:r>
        <w:br/>
        <w:t xml:space="preserve">    loss, log_rn = np.asarray(loss), np.asarray(log_rn)</w:t>
      </w:r>
      <w:r>
        <w:br/>
        <w:t xml:space="preserve">    inclusion, observed = np.asarray(inclusion), np.asarray(observed)</w:t>
      </w:r>
      <w:r>
        <w:br/>
        <w:t xml:space="preserve">    if beta &lt; 0 or np.any((inclusion &lt;= 0) | (inclusion &gt; 1)):</w:t>
      </w:r>
      <w:r>
        <w:br/>
        <w:t xml:space="preserve">        raise ValueError("Invalid temperature or inclusion probability")</w:t>
      </w:r>
      <w:r>
        <w:br/>
        <w:t xml:space="preserve">    if not np.all(np.isfinite(loss[observed])):</w:t>
      </w:r>
      <w:r>
        <w:br/>
        <w:t xml:space="preserve">        raise ValueError("Observed losses must be finite")</w:t>
      </w:r>
      <w:r>
        <w:br/>
        <w:t xml:space="preserve">    if np.any(loss[observed] &lt; 0):</w:t>
      </w:r>
      <w:r>
        <w:br/>
        <w:t xml:space="preserve">        raise ValueError("Shift losses by a fixed known lower bound")</w:t>
      </w:r>
      <w:r>
        <w:br/>
        <w:t xml:space="preserve">    out = np.full(loss.shape, -np.inf, dtype=float)</w:t>
      </w:r>
      <w:r>
        <w:br/>
        <w:t xml:space="preserve">    out[observed] = (log_rn[observed] - beta * loss[observed]</w:t>
      </w:r>
      <w:r>
        <w:br/>
        <w:t xml:space="preserve">                     - np.log(inclusion[observed]))</w:t>
      </w:r>
      <w:r>
        <w:br/>
        <w:t xml:space="preserve">    return out</w:t>
      </w:r>
    </w:p>
    <w:p w14:paraId="0195C7F7" w14:textId="77777777" w:rsidR="0094261F" w:rsidRDefault="00000000">
      <w:pPr>
        <w:pStyle w:val="SourceCode"/>
        <w:keepLines/>
        <w:spacing w:before="80" w:after="80"/>
        <w:rPr>
          <w:rFonts w:hint="eastAsia"/>
        </w:rPr>
      </w:pPr>
      <w:r>
        <w:br/>
        <w:t>def normalise(logw):</w:t>
      </w:r>
      <w:r>
        <w:br/>
        <w:t xml:space="preserve">    logz = logsumexp(logw)</w:t>
      </w:r>
      <w:r>
        <w:br/>
        <w:t xml:space="preserve">    if not np.isfinite(logz):</w:t>
      </w:r>
      <w:r>
        <w:br/>
        <w:t xml:space="preserve">        raise ValueError("Archive has no positive target weight")</w:t>
      </w:r>
      <w:r>
        <w:br/>
        <w:t xml:space="preserve">    return np.exp(logw - logz)</w:t>
      </w:r>
    </w:p>
    <w:p w14:paraId="6A24F22B" w14:textId="77777777" w:rsidR="0094261F" w:rsidRDefault="00000000">
      <w:pPr>
        <w:pStyle w:val="SourceCode"/>
        <w:keepLines/>
        <w:spacing w:before="80" w:after="80"/>
        <w:rPr>
          <w:rFonts w:hint="eastAsia"/>
        </w:rPr>
      </w:pPr>
      <w:r>
        <w:br/>
        <w:t>def estimate(logw, values):</w:t>
      </w:r>
      <w:r>
        <w:br/>
        <w:t xml:space="preserve">    return np.tensordot(normalise(logw), values, axes=(0, 0))</w:t>
      </w:r>
    </w:p>
    <w:p w14:paraId="266B589B" w14:textId="77777777" w:rsidR="0094261F" w:rsidRDefault="00000000">
      <w:pPr>
        <w:pStyle w:val="SourceCode"/>
        <w:keepLines/>
        <w:spacing w:before="80" w:after="80"/>
        <w:rPr>
          <w:rFonts w:hint="eastAsia"/>
        </w:rPr>
      </w:pPr>
      <w:r>
        <w:br/>
        <w:t>def denoise(y, logw, query, a):</w:t>
      </w:r>
      <w:r>
        <w:br/>
        <w:t xml:space="preserve">    if not 0 &lt; a &lt; 1:</w:t>
      </w:r>
      <w:r>
        <w:br/>
        <w:t xml:space="preserve">        raise ValueError("Require 0 &lt; a &lt; 1")</w:t>
      </w:r>
      <w:r>
        <w:br/>
        <w:t xml:space="preserve">    d2 = np.sum((query - np.sqrt(a) * y) ** 2, axis=1)</w:t>
      </w:r>
      <w:r>
        <w:br/>
        <w:t xml:space="preserve">    return estimate(logw - d2 / (2 * (1 - a)), y)</w:t>
      </w:r>
    </w:p>
    <w:p w14:paraId="7F32F058" w14:textId="77777777" w:rsidR="0094261F" w:rsidRDefault="00000000">
      <w:pPr>
        <w:pStyle w:val="SourceCode"/>
        <w:keepLines/>
        <w:spacing w:before="80" w:after="80"/>
        <w:rPr>
          <w:rFonts w:hint="eastAsia"/>
        </w:rPr>
      </w:pPr>
      <w:r>
        <w:lastRenderedPageBreak/>
        <w:br/>
        <w:t>def log_rn_atom_mixture(y, epsilon, atom, prior_atom_mass):</w:t>
      </w:r>
      <w:r>
        <w:br/>
        <w:t xml:space="preserve">    """RN derivative for epsilon*mu + (1-epsilon)*delta_atom.</w:t>
      </w:r>
      <w:r>
        <w:br/>
        <w:t xml:space="preserve">    This helper uses exact state identity, not numerical proximity.</w:t>
      </w:r>
      <w:r>
        <w:br/>
        <w:t xml:space="preserve">    Continuous draws coinciding with atom have probability zero.</w:t>
      </w:r>
      <w:r>
        <w:br/>
        <w:t xml:space="preserve">    """</w:t>
      </w:r>
      <w:r>
        <w:br/>
        <w:t xml:space="preserve">    if not 0 &lt; epsilon &lt;= 1 or not 0 &lt;= prior_atom_mass &lt;= 1:</w:t>
      </w:r>
      <w:r>
        <w:br/>
        <w:t xml:space="preserve">        raise ValueError("Invalid mixture parameters")</w:t>
      </w:r>
      <w:r>
        <w:br/>
        <w:t xml:space="preserve">    out = np.full(np.shape(y), -np.log(epsilon), dtype=float)</w:t>
      </w:r>
      <w:r>
        <w:br/>
        <w:t xml:space="preserve">    if epsilon == 1:</w:t>
      </w:r>
      <w:r>
        <w:br/>
        <w:t xml:space="preserve">        return out</w:t>
      </w:r>
      <w:r>
        <w:br/>
        <w:t xml:space="preserve">    mass = epsilon * prior_atom_mass + 1 - epsilon</w:t>
      </w:r>
      <w:r>
        <w:br/>
        <w:t xml:space="preserve">    out[np.asarray(y) == atom] = (</w:t>
      </w:r>
      <w:r>
        <w:br/>
        <w:t xml:space="preserve">        np.log(prior_atom_mass / mass) if prior_atom_mass else -np.inf</w:t>
      </w:r>
      <w:r>
        <w:br/>
        <w:t xml:space="preserve">    )</w:t>
      </w:r>
      <w:r>
        <w:br/>
        <w:t xml:space="preserve">    return out</w:t>
      </w:r>
    </w:p>
    <w:p w14:paraId="603B6F74" w14:textId="77777777" w:rsidR="0094261F" w:rsidRDefault="00000000">
      <w:pPr>
        <w:pStyle w:val="Heading2"/>
        <w:rPr>
          <w:rFonts w:hint="eastAsia"/>
        </w:rPr>
      </w:pPr>
      <w:bookmarkStart w:id="40" w:name="X0060101133696d25b8b6d7f594ef12ede7972b5"/>
      <w:bookmarkEnd w:id="39"/>
      <w:r>
        <w:t>B2 Required record and execution protocol</w:t>
      </w:r>
    </w:p>
    <w:p w14:paraId="632FAF59" w14:textId="77777777" w:rsidR="0094261F" w:rsidRDefault="00000000">
      <w:pPr>
        <w:pStyle w:val="FirstParagraph"/>
        <w:rPr>
          <w:rFonts w:hint="eastAsia"/>
        </w:rPr>
      </w:pPr>
      <w:r>
        <w:t xml:space="preserve">Each attempt must retain the design state, the reference and proposal law versions, law type and required atom or component identity,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i</m:t>
            </m:r>
          </m:sub>
        </m:sSub>
      </m:oMath>
      <w:r>
        <w:t>, the chosen inclusion probability, inclusion outcome, evaluator version, response status, and compatible exact response vector when available. Store objective and constraint versions separately from response versions so valid rescoring can reuse the physical computation. A response retained from a previous attempt is not a second independent solver measurement.</w:t>
      </w:r>
    </w:p>
    <w:p w14:paraId="3766CCFD" w14:textId="77777777" w:rsidR="0094261F" w:rsidRDefault="00000000">
      <w:pPr>
        <w:pStyle w:val="BodyText"/>
        <w:rPr>
          <w:rFonts w:hint="eastAsia"/>
        </w:rPr>
      </w:pPr>
      <w:r>
        <w:t>The runtime chooses and records the proposal and inclusion rule before the relevant expensive observation. It draws the design, requests or reuses a compatible response, and appends an immutable record. It then computes target-specific weights, retrieves archive information, and forms subsequent predictable proposals. The verification gate maintains a separate best feasible design and checks any candidate artifact proposed for release. This sequence gives an auditable implementation of (6).</w:t>
      </w:r>
    </w:p>
    <w:p w14:paraId="7DD2CFB6" w14:textId="77777777" w:rsidR="0094261F" w:rsidRDefault="00000000">
      <w:pPr>
        <w:pStyle w:val="BodyText"/>
        <w:rPr>
          <w:rFonts w:hint="eastAsia"/>
        </w:rPr>
      </w:pPr>
      <w:r>
        <w:t>Do not delete skipped attempts from the attempt count used in theorems. Do not replace the full-mixture derivative by a selected-component density without verifying the support condition in Section 4.3. Never add an unrecorded repair or rejection step after sampling and retain the old law as if it generated the repaired output. For discrete and mixed spaces, retain probability masses as well as continuous conditional densities.</w:t>
      </w:r>
    </w:p>
    <w:p w14:paraId="1B77761A" w14:textId="77777777" w:rsidR="0094261F" w:rsidRDefault="00000000">
      <w:pPr>
        <w:pStyle w:val="BodyText"/>
        <w:rPr>
          <w:rFonts w:hint="eastAsia"/>
        </w:rPr>
      </w:pPr>
      <w:r>
        <w:t>The new tests exercise the numerical kernel with a continuous-plus-atom proposal, positive inclusion floor, a genuine atomic reference, analytic Gaussian moments and denoisers, log re-tempering, and independent quadrature. No compiled C# driver, construction model, or end-to-end industrial automation result is asserted by this kernel. A production port requires its own numerical and integration validation against the same mathematical contracts.</w:t>
      </w:r>
    </w:p>
    <w:p w14:paraId="50FA7605" w14:textId="77777777" w:rsidR="0094261F" w:rsidRDefault="00000000">
      <w:pPr>
        <w:pStyle w:val="Heading1"/>
        <w:rPr>
          <w:rFonts w:hint="eastAsia"/>
        </w:rPr>
      </w:pPr>
      <w:bookmarkStart w:id="41" w:name="references"/>
      <w:bookmarkEnd w:id="38"/>
      <w:bookmarkEnd w:id="40"/>
      <w:r>
        <w:t>References</w:t>
      </w:r>
    </w:p>
    <w:p w14:paraId="338E8EF6" w14:textId="77777777" w:rsidR="0094261F" w:rsidRDefault="00000000">
      <w:pPr>
        <w:pStyle w:val="FirstParagraph"/>
        <w:keepLines/>
        <w:spacing w:after="140"/>
        <w:ind w:left="360" w:hanging="360"/>
        <w:jc w:val="left"/>
        <w:rPr>
          <w:rFonts w:hint="eastAsia"/>
        </w:rPr>
      </w:pPr>
      <w:r>
        <w:rPr>
          <w:sz w:val="21"/>
        </w:rPr>
        <w:t xml:space="preserve">[1] Bissiri, P. G., Holmes, C. C., and Walker, S. G. (2016). A general framework for updating belief distributions. </w:t>
      </w:r>
      <w:r>
        <w:rPr>
          <w:i/>
          <w:iCs/>
          <w:sz w:val="21"/>
        </w:rPr>
        <w:t>Journal of the Royal Statistical Society Series B</w:t>
      </w:r>
      <w:r>
        <w:rPr>
          <w:sz w:val="21"/>
        </w:rPr>
        <w:t>, 78(5), 1103–1130. https://doi.org/10.1111/rssb.12158</w:t>
      </w:r>
    </w:p>
    <w:p w14:paraId="7F0F317B" w14:textId="77777777" w:rsidR="0094261F" w:rsidRDefault="00000000">
      <w:pPr>
        <w:pStyle w:val="BodyText"/>
        <w:keepLines/>
        <w:spacing w:after="140"/>
        <w:ind w:left="360" w:hanging="360"/>
        <w:jc w:val="left"/>
        <w:rPr>
          <w:rFonts w:hint="eastAsia"/>
        </w:rPr>
      </w:pPr>
      <w:r>
        <w:rPr>
          <w:sz w:val="21"/>
        </w:rPr>
        <w:t xml:space="preserve">[2] Hesterberg, T. (1995). Weighted average importance sampling and defensive mixture distributions. </w:t>
      </w:r>
      <w:r>
        <w:rPr>
          <w:i/>
          <w:iCs/>
          <w:sz w:val="21"/>
        </w:rPr>
        <w:t>Technometrics</w:t>
      </w:r>
      <w:r>
        <w:rPr>
          <w:sz w:val="21"/>
        </w:rPr>
        <w:t>, 37(2), 185–194. https://doi.org/10.1080/00401706.1995.10484303</w:t>
      </w:r>
    </w:p>
    <w:p w14:paraId="04EA2BC8" w14:textId="77777777" w:rsidR="0094261F" w:rsidRDefault="00000000">
      <w:pPr>
        <w:pStyle w:val="BodyText"/>
        <w:keepLines/>
        <w:spacing w:after="140"/>
        <w:ind w:left="360" w:hanging="360"/>
        <w:jc w:val="left"/>
        <w:rPr>
          <w:rFonts w:hint="eastAsia"/>
        </w:rPr>
      </w:pPr>
      <w:r>
        <w:rPr>
          <w:sz w:val="21"/>
        </w:rPr>
        <w:t xml:space="preserve">[3] Freedman, D. A. (1975). On tail probabilities for martingales. </w:t>
      </w:r>
      <w:r>
        <w:rPr>
          <w:i/>
          <w:iCs/>
          <w:sz w:val="21"/>
        </w:rPr>
        <w:t>Annals of Probability</w:t>
      </w:r>
      <w:r>
        <w:rPr>
          <w:sz w:val="21"/>
        </w:rPr>
        <w:t>, 3(1), 100–118. https://doi.org/10.1214/aop/1176996452</w:t>
      </w:r>
    </w:p>
    <w:p w14:paraId="269E40F2" w14:textId="77777777" w:rsidR="0094261F" w:rsidRDefault="00000000">
      <w:pPr>
        <w:pStyle w:val="BodyText"/>
        <w:keepLines/>
        <w:spacing w:after="140"/>
        <w:ind w:left="360" w:hanging="360"/>
        <w:jc w:val="left"/>
        <w:rPr>
          <w:rFonts w:hint="eastAsia"/>
        </w:rPr>
      </w:pPr>
      <w:r>
        <w:rPr>
          <w:sz w:val="21"/>
        </w:rPr>
        <w:lastRenderedPageBreak/>
        <w:t xml:space="preserve">[4] Tropp, J. A. (2011). Freedman’s inequality for matrix martingales. </w:t>
      </w:r>
      <w:r>
        <w:rPr>
          <w:i/>
          <w:iCs/>
          <w:sz w:val="21"/>
        </w:rPr>
        <w:t>Electronic Communications in Probability</w:t>
      </w:r>
      <w:r>
        <w:rPr>
          <w:sz w:val="21"/>
        </w:rPr>
        <w:t>, 16, 262–270. Scalar statement in Theorem 1.1. https://tropp.caltech.edu/papers/Tro11-Freedmans-Inequality.pdf</w:t>
      </w:r>
    </w:p>
    <w:p w14:paraId="202E3A9D" w14:textId="77777777" w:rsidR="0094261F" w:rsidRDefault="00000000">
      <w:pPr>
        <w:pStyle w:val="BodyText"/>
        <w:keepLines/>
        <w:spacing w:after="140"/>
        <w:ind w:left="360" w:hanging="360"/>
        <w:jc w:val="left"/>
        <w:rPr>
          <w:rFonts w:hint="eastAsia"/>
        </w:rPr>
      </w:pPr>
      <w:r>
        <w:rPr>
          <w:sz w:val="21"/>
        </w:rPr>
        <w:t xml:space="preserve">[5] Efron, B. (2011). Tweedie’s formula and selection bias. </w:t>
      </w:r>
      <w:r>
        <w:rPr>
          <w:i/>
          <w:iCs/>
          <w:sz w:val="21"/>
        </w:rPr>
        <w:t>Journal of the American Statistical Association</w:t>
      </w:r>
      <w:r>
        <w:rPr>
          <w:sz w:val="21"/>
        </w:rPr>
        <w:t>, 106(496), 1602–1614. https://doi.org/10.1198/jasa.2011.tm11181</w:t>
      </w:r>
    </w:p>
    <w:p w14:paraId="288B6371" w14:textId="77777777" w:rsidR="0094261F" w:rsidRDefault="00000000">
      <w:pPr>
        <w:pStyle w:val="BodyText"/>
        <w:keepLines/>
        <w:spacing w:after="140"/>
        <w:ind w:left="360" w:hanging="360"/>
        <w:jc w:val="left"/>
        <w:rPr>
          <w:rFonts w:hint="eastAsia"/>
        </w:rPr>
      </w:pPr>
      <w:r>
        <w:rPr>
          <w:sz w:val="21"/>
        </w:rPr>
        <w:t xml:space="preserve">[6] Hwang, C. R. (1980). Laplace’s method revisited: Weak convergence of probability measures. </w:t>
      </w:r>
      <w:r>
        <w:rPr>
          <w:i/>
          <w:iCs/>
          <w:sz w:val="21"/>
        </w:rPr>
        <w:t>Annals of Probability</w:t>
      </w:r>
      <w:r>
        <w:rPr>
          <w:sz w:val="21"/>
        </w:rPr>
        <w:t>, 8(6), 1177–1182. https://doi.org/10.1214/aop/1176994579</w:t>
      </w:r>
    </w:p>
    <w:p w14:paraId="0672A7B1" w14:textId="77777777" w:rsidR="0094261F" w:rsidRDefault="00000000">
      <w:pPr>
        <w:pStyle w:val="BodyText"/>
        <w:keepLines/>
        <w:spacing w:after="140"/>
        <w:ind w:left="360" w:hanging="360"/>
        <w:jc w:val="left"/>
        <w:rPr>
          <w:rFonts w:hint="eastAsia"/>
        </w:rPr>
      </w:pPr>
      <w:r>
        <w:rPr>
          <w:sz w:val="21"/>
        </w:rPr>
        <w:t xml:space="preserve">[7] Frank, D., et al. (2026). Human hippocampal ripples tune cortical responses based on predicted uncertainty. </w:t>
      </w:r>
      <w:r>
        <w:rPr>
          <w:i/>
          <w:iCs/>
          <w:sz w:val="21"/>
        </w:rPr>
        <w:t>Nature Neuroscience</w:t>
      </w:r>
      <w:r>
        <w:rPr>
          <w:sz w:val="21"/>
        </w:rPr>
        <w:t>, 29, 1987–1998. Published 25 June 2026. https://doi.org/10.1038/s41593-026-02345-6</w:t>
      </w:r>
    </w:p>
    <w:p w14:paraId="7797E945" w14:textId="77777777" w:rsidR="0094261F" w:rsidRDefault="00000000">
      <w:pPr>
        <w:pStyle w:val="BodyText"/>
        <w:keepLines/>
        <w:spacing w:after="140"/>
        <w:ind w:left="360" w:hanging="360"/>
        <w:jc w:val="left"/>
        <w:rPr>
          <w:rFonts w:hint="eastAsia"/>
        </w:rPr>
      </w:pPr>
      <w:r>
        <w:rPr>
          <w:sz w:val="21"/>
        </w:rPr>
        <w:t xml:space="preserve">[8] Zhang, P. Q., Jutras, M. J., Dede, A. J. O., Walker, E. Y., Buffalo, E. A., and Fairhall, A. L. (2026). Neural representations of beliefs in a multi-dimensional inference task. </w:t>
      </w:r>
      <w:r>
        <w:rPr>
          <w:i/>
          <w:iCs/>
          <w:sz w:val="21"/>
        </w:rPr>
        <w:t>bioRxiv</w:t>
      </w:r>
      <w:r>
        <w:rPr>
          <w:sz w:val="21"/>
        </w:rPr>
        <w:t>, preprint posted 2 January 2026. https://doi.org/10.64898/2025.12.31.697231</w:t>
      </w:r>
    </w:p>
    <w:p w14:paraId="19DCF035" w14:textId="77777777" w:rsidR="0094261F" w:rsidRDefault="00000000">
      <w:pPr>
        <w:pStyle w:val="BodyText"/>
        <w:keepLines/>
        <w:spacing w:after="140"/>
        <w:ind w:left="360" w:hanging="360"/>
        <w:jc w:val="left"/>
        <w:rPr>
          <w:rFonts w:hint="eastAsia"/>
        </w:rPr>
      </w:pPr>
      <w:r>
        <w:rPr>
          <w:sz w:val="21"/>
        </w:rPr>
        <w:t xml:space="preserve">[9] Roscow, E. L., Howe, T., Lepora, N. F., and Jones, M. W. (2025). Post-learning replay of hippocampal-striatal activity is biased by reward-prediction signals. </w:t>
      </w:r>
      <w:r>
        <w:rPr>
          <w:i/>
          <w:iCs/>
          <w:sz w:val="21"/>
        </w:rPr>
        <w:t>Nature Communications</w:t>
      </w:r>
      <w:r>
        <w:rPr>
          <w:sz w:val="21"/>
        </w:rPr>
        <w:t>, 16, 10394. https://doi.org/10.1038/s41467-025-65354-2</w:t>
      </w:r>
    </w:p>
    <w:p w14:paraId="4BF7E9B6" w14:textId="77777777" w:rsidR="0094261F" w:rsidRDefault="00000000">
      <w:pPr>
        <w:pStyle w:val="BodyText"/>
        <w:keepLines/>
        <w:spacing w:after="140"/>
        <w:ind w:left="360" w:hanging="360"/>
        <w:jc w:val="left"/>
        <w:rPr>
          <w:rFonts w:hint="eastAsia"/>
        </w:rPr>
      </w:pPr>
      <w:r>
        <w:rPr>
          <w:sz w:val="21"/>
        </w:rPr>
        <w:t xml:space="preserve">[10] Wei, C., et al. (2026). Self-Evolving Agent Harness. </w:t>
      </w:r>
      <w:r>
        <w:rPr>
          <w:i/>
          <w:iCs/>
          <w:sz w:val="21"/>
        </w:rPr>
        <w:t>arXiv</w:t>
      </w:r>
      <w:r>
        <w:rPr>
          <w:sz w:val="21"/>
        </w:rPr>
        <w:t>, preprint 2610.18813, posted 13 October 2026. https://arxiv.org/abs/2610.18813</w:t>
      </w:r>
    </w:p>
    <w:p w14:paraId="00CDB766" w14:textId="77777777" w:rsidR="0094261F" w:rsidRDefault="00000000">
      <w:pPr>
        <w:pStyle w:val="BodyText"/>
        <w:keepLines/>
        <w:spacing w:after="140"/>
        <w:ind w:left="360" w:hanging="360"/>
        <w:jc w:val="left"/>
        <w:rPr>
          <w:rFonts w:hint="eastAsia"/>
        </w:rPr>
      </w:pPr>
      <w:r>
        <w:rPr>
          <w:sz w:val="21"/>
        </w:rPr>
        <w:t xml:space="preserve">[11] Yu, W., et al. (2026). Harmony Harness: Multi-Objective Self-Evolution of Agent Harnesses. </w:t>
      </w:r>
      <w:r>
        <w:rPr>
          <w:i/>
          <w:iCs/>
          <w:sz w:val="21"/>
        </w:rPr>
        <w:t>arXiv</w:t>
      </w:r>
      <w:r>
        <w:rPr>
          <w:sz w:val="21"/>
        </w:rPr>
        <w:t>, preprint 2610.15150, posted 10 October 2026. https://arxiv.org/abs/2610.15150</w:t>
      </w:r>
    </w:p>
    <w:p w14:paraId="6F017415" w14:textId="77777777" w:rsidR="0094261F" w:rsidRDefault="00000000">
      <w:pPr>
        <w:pStyle w:val="BodyText"/>
        <w:keepLines/>
        <w:spacing w:after="140"/>
        <w:ind w:left="360" w:hanging="360"/>
        <w:jc w:val="left"/>
        <w:rPr>
          <w:rFonts w:hint="eastAsia"/>
        </w:rPr>
      </w:pPr>
      <w:r>
        <w:rPr>
          <w:sz w:val="21"/>
        </w:rPr>
        <w:t>[12] Ghosh, D. P. (2026). Causal Bayes for Autoregressive Diffusion Evolution. Earlier manuscript dated 16 October 2026. Source of the reported algorithmic summaries in Table 4; those summaries are distinguished from the fresh checks in Sections 9.1–9.2.</w:t>
      </w:r>
    </w:p>
    <w:p w14:paraId="25CF3408" w14:textId="77777777" w:rsidR="0094261F" w:rsidRDefault="00000000">
      <w:pPr>
        <w:pStyle w:val="BodyText"/>
        <w:keepLines/>
        <w:spacing w:after="140"/>
        <w:ind w:left="360" w:hanging="360"/>
        <w:jc w:val="left"/>
        <w:rPr>
          <w:rFonts w:hint="eastAsia"/>
        </w:rPr>
      </w:pPr>
      <w:r>
        <w:rPr>
          <w:sz w:val="21"/>
        </w:rPr>
        <w:t>[13] Ghosh, D. P. (2026). Autoregressive Diffusion Evolution research materials. ResearchOverFlow repository, October2026/AutoregressiveDiffusionEvolution. https://github.com/debiprasadghosh/ResearchOverFlow/tree/main/October2026/AutoregressiveDiffusionEvolution</w:t>
      </w:r>
      <w:bookmarkEnd w:id="41"/>
    </w:p>
    <w:sectPr w:rsidR="0094261F"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92D2B" w14:textId="77777777" w:rsidR="001533B6" w:rsidRDefault="001533B6">
      <w:pPr>
        <w:spacing w:after="0" w:line="240" w:lineRule="auto"/>
        <w:rPr>
          <w:rFonts w:hint="eastAsia"/>
        </w:rPr>
      </w:pPr>
      <w:r>
        <w:separator/>
      </w:r>
    </w:p>
  </w:endnote>
  <w:endnote w:type="continuationSeparator" w:id="0">
    <w:p w14:paraId="75084413" w14:textId="77777777" w:rsidR="001533B6" w:rsidRDefault="001533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0A5A" w14:textId="77777777" w:rsidR="0094261F"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E1E9" w14:textId="77777777" w:rsidR="001533B6" w:rsidRDefault="001533B6">
      <w:pPr>
        <w:rPr>
          <w:rFonts w:hint="eastAsia"/>
        </w:rPr>
      </w:pPr>
      <w:r>
        <w:separator/>
      </w:r>
    </w:p>
  </w:footnote>
  <w:footnote w:type="continuationSeparator" w:id="0">
    <w:p w14:paraId="41A0B6FE" w14:textId="77777777" w:rsidR="001533B6" w:rsidRDefault="001533B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C5E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03963664">
    <w:abstractNumId w:val="8"/>
  </w:num>
  <w:num w:numId="2" w16cid:durableId="1287469729">
    <w:abstractNumId w:val="6"/>
  </w:num>
  <w:num w:numId="3" w16cid:durableId="1153832224">
    <w:abstractNumId w:val="5"/>
  </w:num>
  <w:num w:numId="4" w16cid:durableId="615020285">
    <w:abstractNumId w:val="4"/>
  </w:num>
  <w:num w:numId="5" w16cid:durableId="1251937039">
    <w:abstractNumId w:val="7"/>
  </w:num>
  <w:num w:numId="6" w16cid:durableId="215774254">
    <w:abstractNumId w:val="3"/>
  </w:num>
  <w:num w:numId="7" w16cid:durableId="220755416">
    <w:abstractNumId w:val="2"/>
  </w:num>
  <w:num w:numId="8" w16cid:durableId="1218662847">
    <w:abstractNumId w:val="1"/>
  </w:num>
  <w:num w:numId="9" w16cid:durableId="1728994635">
    <w:abstractNumId w:val="0"/>
  </w:num>
  <w:num w:numId="10" w16cid:durableId="786630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61F"/>
    <w:rsid w:val="001533B6"/>
    <w:rsid w:val="003A7738"/>
    <w:rsid w:val="008C4423"/>
    <w:rsid w:val="0094261F"/>
    <w:rsid w:val="00B2733C"/>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4961"/>
  <w15:docId w15:val="{F006250C-5ACA-4707-ABF6-266C52C8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8228</Words>
  <Characters>46900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Bayes for Autoregressive Diffusion Evolution</dc:title>
  <dc:subject>Mathematical foundations, neural evidence and construction harness design</dc:subject>
  <dc:creator>Debi Prasad Ghosh</dc:creator>
  <cp:keywords>ADE; generalized Bayes; importance sampling; neuroscience; agent harness</cp:keywords>
  <dc:description/>
  <cp:lastModifiedBy>Debiprasad Ghosh</cp:lastModifiedBy>
  <cp:revision>2</cp:revision>
  <dcterms:created xsi:type="dcterms:W3CDTF">2026-10-17T14:29:00Z</dcterms:created>
  <dcterms:modified xsi:type="dcterms:W3CDTF">2026-10-17T15:09:00Z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Rigorous adaptive integration and engineering harness design</vt:lpwstr>
  </property>
</Properties>
</file>