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BE18B" w14:textId="77777777" w:rsidR="00CE5BE2" w:rsidRPr="004F51D9" w:rsidRDefault="00000000" w:rsidP="0036278A">
      <w:pPr>
        <w:pStyle w:val="Title"/>
        <w:spacing w:after="200"/>
        <w:jc w:val="center"/>
        <w:rPr>
          <w:sz w:val="32"/>
          <w:szCs w:val="32"/>
        </w:rPr>
      </w:pPr>
      <w:r w:rsidRPr="004F51D9">
        <w:rPr>
          <w:sz w:val="32"/>
          <w:szCs w:val="32"/>
        </w:rPr>
        <w:t>Log Interval Networks for Certified Decisions and Structured Memory</w:t>
      </w:r>
    </w:p>
    <w:p w14:paraId="73384F3C" w14:textId="77777777" w:rsidR="00CE5BE2" w:rsidRDefault="00000000" w:rsidP="0036278A">
      <w:pPr>
        <w:spacing w:after="60"/>
        <w:jc w:val="center"/>
      </w:pPr>
      <w:r>
        <w:rPr>
          <w:b/>
          <w:sz w:val="24"/>
        </w:rPr>
        <w:t>Debi Prasad Ghosh</w:t>
      </w:r>
    </w:p>
    <w:p w14:paraId="5244A469" w14:textId="39356E40" w:rsidR="00CE5BE2" w:rsidRDefault="004F51D9" w:rsidP="0036278A">
      <w:pPr>
        <w:spacing w:after="60"/>
        <w:jc w:val="center"/>
      </w:pPr>
      <w:r>
        <w:rPr>
          <w:sz w:val="21"/>
        </w:rPr>
        <w:t xml:space="preserve">Debias Parametric Guru, </w:t>
      </w:r>
      <w:r w:rsidR="00000000">
        <w:rPr>
          <w:sz w:val="20"/>
        </w:rPr>
        <w:t>Kolkata, India | debiprasadghosh@gmail.com</w:t>
      </w:r>
    </w:p>
    <w:p w14:paraId="2E64347A" w14:textId="77777777" w:rsidR="00CE5BE2" w:rsidRDefault="00000000" w:rsidP="0036278A">
      <w:pPr>
        <w:spacing w:after="340"/>
        <w:jc w:val="center"/>
      </w:pPr>
      <w:r>
        <w:rPr>
          <w:sz w:val="20"/>
        </w:rPr>
        <w:t>1 October 2026  ·  Research programme with reproducible numerical checks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41"/>
        <w:gridCol w:w="4853"/>
      </w:tblGrid>
      <w:tr w:rsidR="00CE5BE2" w14:paraId="0DE2577B" w14:textId="77777777">
        <w:trPr>
          <w:cantSplit/>
          <w:jc w:val="center"/>
        </w:trPr>
        <w:tc>
          <w:tcPr>
            <w:tcW w:w="5141" w:type="dxa"/>
            <w:tcMar>
              <w:top w:w="0" w:type="dxa"/>
              <w:left w:w="0" w:type="dxa"/>
              <w:bottom w:w="0" w:type="dxa"/>
              <w:right w:w="200" w:type="dxa"/>
            </w:tcMar>
          </w:tcPr>
          <w:p w14:paraId="553DE81D" w14:textId="77777777" w:rsidR="00CE5BE2" w:rsidRDefault="00000000" w:rsidP="0036278A">
            <w:pPr>
              <w:spacing w:after="160"/>
              <w:jc w:val="center"/>
            </w:pPr>
            <w:r>
              <w:rPr>
                <w:rFonts w:ascii="Arial" w:hAnsi="Arial"/>
                <w:b/>
                <w:sz w:val="22"/>
              </w:rPr>
              <w:t>Abstract</w:t>
            </w:r>
          </w:p>
          <w:p w14:paraId="42FE786D" w14:textId="77777777" w:rsidR="00CE5BE2" w:rsidRDefault="00000000" w:rsidP="0036278A">
            <w:pPr>
              <w:spacing w:after="140" w:line="250" w:lineRule="auto"/>
              <w:jc w:val="both"/>
            </w:pPr>
            <w:r>
              <w:rPr>
                <w:sz w:val="21"/>
              </w:rPr>
              <w:t>We propose log interval networks as a research programme connecting Interval Transformers, positive logarithmic computation, Kronecker attention, and sleep-consolidated memory. Positive quantities carry intervals in log coordinates. Under monotonicity and controlled activation elasticity, coordinate ranges are exact at two parameter corners and their log widths accumulate with depth without an explicit layer-width factor.</w:t>
            </w:r>
          </w:p>
          <w:p w14:paraId="375EC9E9" w14:textId="57967A42" w:rsidR="00CE5BE2" w:rsidRDefault="00000000" w:rsidP="0036278A">
            <w:pPr>
              <w:spacing w:after="140" w:line="250" w:lineRule="auto"/>
              <w:jc w:val="both"/>
            </w:pPr>
            <w:r>
              <w:rPr>
                <w:sz w:val="21"/>
              </w:rPr>
              <w:t>Useful decisions need more than exact endpoints. Reproduced random-layer checks show certification falling from 90.1% to zero as dense positive width grows from 16 to 4096. Large input log ranges retain 86–90% certification but concentrate each output on few contributions. We formulate the primary trained-network question as joint preservation of independent evidence accumulation, accuracy, and certified margins.</w:t>
            </w:r>
          </w:p>
          <w:p w14:paraId="4A74C117" w14:textId="77777777" w:rsidR="00CE5BE2" w:rsidRDefault="00000000" w:rsidP="0036278A">
            <w:pPr>
              <w:spacing w:after="140" w:line="250" w:lineRule="auto"/>
              <w:jc w:val="both"/>
            </w:pPr>
            <w:r>
              <w:rPr>
                <w:sz w:val="21"/>
              </w:rPr>
              <w:t>The programme comprises four papers and a clarification note. P1 tests the width question on MNIST and controlled evidence tasks. P2 certifies relative score variation in positive Kronecker attention. P3 repairs log-domain consolidation, derives a weighted tangent projection, preserves unabsorbed updates, and allocates precision by decision certificates. P4 tests an interval-triggered action brake with explicit waiting costs. N1 separates multiply-and-prune KP-LNN from its summing variant.</w:t>
            </w:r>
          </w:p>
          <w:p w14:paraId="7C207A33" w14:textId="77777777" w:rsidR="00CE5BE2" w:rsidRDefault="00000000" w:rsidP="0036278A">
            <w:pPr>
              <w:spacing w:after="140" w:line="250" w:lineRule="auto"/>
              <w:jc w:val="both"/>
            </w:pPr>
            <w:r>
              <w:rPr>
                <w:sz w:val="21"/>
              </w:rPr>
              <w:t>Ten supplied checks are reproduced and six dependency and measurement controls are added. Exact scalar ranges, sound joint relaxations, numerical arithmetic guarantees, and statistical claims remain distinct. Each practical hypothesis has a specified comparison and rejection criterion; trained benchmark results remain the next step.</w:t>
            </w:r>
          </w:p>
        </w:tc>
        <w:tc>
          <w:tcPr>
            <w:tcW w:w="4853" w:type="dxa"/>
            <w:tcMar>
              <w:top w:w="0" w:type="dxa"/>
              <w:left w:w="0" w:type="dxa"/>
              <w:bottom w:w="0" w:type="dxa"/>
              <w:right w:w="0" w:type="dxa"/>
            </w:tcMar>
          </w:tcPr>
          <w:p w14:paraId="04FCF77C" w14:textId="77777777" w:rsidR="00CE5BE2" w:rsidRDefault="00000000" w:rsidP="0036278A">
            <w:pPr>
              <w:spacing w:after="160"/>
              <w:jc w:val="center"/>
            </w:pPr>
            <w:r>
              <w:rPr>
                <w:rFonts w:ascii="Arial" w:hAnsi="Arial"/>
                <w:b/>
                <w:sz w:val="22"/>
              </w:rPr>
              <w:t>Graphical abstract</w:t>
            </w:r>
          </w:p>
          <w:p w14:paraId="77AEF462" w14:textId="77777777" w:rsidR="00CE5BE2" w:rsidRDefault="00000000" w:rsidP="0036278A">
            <w:pPr>
              <w:spacing w:after="0"/>
              <w:jc w:val="both"/>
            </w:pPr>
            <w:r>
              <w:rPr>
                <w:noProof/>
              </w:rPr>
              <w:drawing>
                <wp:inline distT="0" distB="0" distL="0" distR="0" wp14:anchorId="67987B35" wp14:editId="5FBBA181">
                  <wp:extent cx="2990088" cy="4738139"/>
                  <wp:effectExtent l="0" t="0" r="0" b="0"/>
                  <wp:docPr id="2" name="Picture 2" descr="Graphical abstract. Positive primitive log boxes lead to exact corner ranges under monotonicity. Separated class ranges permit release; overlap calls for refinement. P1 measures accumulation and margins; P2, P3 and P4 address attention, memory and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al_abstract.png"/>
                          <pic:cNvPicPr/>
                        </pic:nvPicPr>
                        <pic:blipFill>
                          <a:blip r:embed="rId7"/>
                          <a:stretch>
                            <a:fillRect/>
                          </a:stretch>
                        </pic:blipFill>
                        <pic:spPr>
                          <a:xfrm>
                            <a:off x="0" y="0"/>
                            <a:ext cx="2990088" cy="4738139"/>
                          </a:xfrm>
                          <a:prstGeom prst="rect">
                            <a:avLst/>
                          </a:prstGeom>
                        </pic:spPr>
                      </pic:pic>
                    </a:graphicData>
                  </a:graphic>
                </wp:inline>
              </w:drawing>
            </w:r>
          </w:p>
        </w:tc>
      </w:tr>
    </w:tbl>
    <w:p w14:paraId="3F42B12C" w14:textId="77777777" w:rsidR="00CE5BE2" w:rsidRDefault="00000000" w:rsidP="0036278A">
      <w:pPr>
        <w:spacing w:before="260" w:after="0"/>
        <w:jc w:val="both"/>
      </w:pPr>
      <w:r>
        <w:rPr>
          <w:b/>
          <w:sz w:val="19"/>
        </w:rPr>
        <w:t xml:space="preserve">Keywords  </w:t>
      </w:r>
      <w:r>
        <w:rPr>
          <w:sz w:val="19"/>
        </w:rPr>
        <w:t>logarithmic neural networks; interval certification; Kronecker attention; memory consolidation; precision allocation; action selection</w:t>
      </w:r>
    </w:p>
    <w:p w14:paraId="7C93B441" w14:textId="77777777" w:rsidR="00CE5BE2" w:rsidRDefault="00000000" w:rsidP="0036278A">
      <w:pPr>
        <w:spacing w:after="0"/>
        <w:jc w:val="both"/>
      </w:pPr>
      <w:r>
        <w:br w:type="page"/>
      </w:r>
    </w:p>
    <w:p w14:paraId="4977288F" w14:textId="77777777" w:rsidR="00CE5BE2" w:rsidRDefault="00000000" w:rsidP="0036278A">
      <w:pPr>
        <w:pStyle w:val="Heading1"/>
        <w:jc w:val="both"/>
      </w:pPr>
      <w:bookmarkStart w:id="0" w:name="research-objective"/>
      <w:r>
        <w:lastRenderedPageBreak/>
        <w:t>1 Research objective</w:t>
      </w:r>
    </w:p>
    <w:p w14:paraId="7B5BD508" w14:textId="77777777" w:rsidR="00CE5BE2" w:rsidRDefault="00000000" w:rsidP="0036278A">
      <w:pPr>
        <w:jc w:val="both"/>
      </w:pPr>
      <w:r>
        <w:t xml:space="preserve">The next research area is a network architecture in which positive quantities carry intervals in logarithmic coordinates and decisions are released only when their ordering survives the permitted parameter variation. We call this family </w:t>
      </w:r>
      <w:r>
        <w:rPr>
          <w:b/>
          <w:bCs/>
        </w:rPr>
        <w:t>log interval networks</w:t>
      </w:r>
      <w:r>
        <w:t>. Its immediate research question is whether a trained network can aggregate useful evidence, maintain decision margins, and retain affordable certificates as its width increases. The first experiment should address that question before committing to a complete Transformer or a continual learning system.</w:t>
      </w:r>
    </w:p>
    <w:p w14:paraId="0D088101" w14:textId="77777777" w:rsidR="00CE5BE2" w:rsidRDefault="00000000" w:rsidP="0036278A">
      <w:pPr>
        <w:pStyle w:val="BodyText"/>
        <w:jc w:val="both"/>
      </w:pPr>
      <w:r>
        <w:t>This programme extends the exact conditional ranges developed for the Interval Transformer [1] and connects four earlier designs: sleep consolidation with logarithmic memory [2], the multiply and prune KP-LNN body [3], positive opponent pathways [4], and Kronecker attention in logarithmic arithmetic [5]. These designs contribute different operators. They should share an evaluator without being treated as interchangeable architectures.</w:t>
      </w:r>
    </w:p>
    <w:p w14:paraId="1A49C8D3" w14:textId="77777777" w:rsidR="00CE5BE2" w:rsidRDefault="00000000" w:rsidP="0036278A">
      <w:pPr>
        <w:pStyle w:val="BodyText"/>
        <w:jc w:val="both"/>
      </w:pPr>
      <w:r>
        <w:t>The contribution proposed here is the integration of a tolerance calculus, dependency-aware decision tests, precision allocation, and structured memory updates. Positive networks, logarithmic arithmetic, interval propagation, and Kronecker approximation each have substantial precedents [6–13]. The programme therefore makes no priority claim for these ingredients separately. Its practical claims are hypotheses to be tested by P1–P4; N1 clarifies the operator semantics of KP-LNN.</w:t>
      </w:r>
    </w:p>
    <w:p w14:paraId="1BAA08BE" w14:textId="77777777" w:rsidR="00CE5BE2" w:rsidRDefault="00000000" w:rsidP="0036278A">
      <w:pPr>
        <w:pStyle w:val="BodyText"/>
        <w:jc w:val="both"/>
      </w:pPr>
      <w:r>
        <w:t>The numerical evidence consists of ten reproducible checks, L1–L10, and six additional boundary checks. These include a trained synthetic readout but no trained MNIST, CIFAR, language, or biological model. Certification rates in the unlabelled random-layer experiments measure preservation of the nominal winner, not classification accuracy. The distinction matters: a confidently preserved wrong answer is still wrong.</w:t>
      </w:r>
    </w:p>
    <w:p w14:paraId="651E1C71" w14:textId="77777777" w:rsidR="00CE5BE2" w:rsidRDefault="00000000" w:rsidP="0036278A">
      <w:pPr>
        <w:pStyle w:val="Heading1"/>
        <w:jc w:val="both"/>
      </w:pPr>
      <w:bookmarkStart w:id="1" w:name="what-a-log-interval-certifies"/>
      <w:bookmarkEnd w:id="0"/>
      <w:r>
        <w:t>2 What a log interval certifies</w:t>
      </w:r>
    </w:p>
    <w:p w14:paraId="4F35F676" w14:textId="77777777" w:rsidR="00CE5BE2" w:rsidRDefault="00000000" w:rsidP="0036278A">
      <w:pPr>
        <w:pStyle w:val="Heading2"/>
        <w:jc w:val="both"/>
      </w:pPr>
      <w:bookmarkStart w:id="2" w:name="representation-and-arithmetic"/>
      <w:r>
        <w:t>2.1 Representation and arithmetic</w:t>
      </w:r>
    </w:p>
    <w:p w14:paraId="643CFDC8" w14:textId="77777777" w:rsidR="00CE5BE2" w:rsidRDefault="00000000" w:rsidP="0036278A">
      <w:pPr>
        <w:keepNext/>
        <w:jc w:val="both"/>
      </w:pPr>
      <w:r>
        <w:t xml:space="preserve">For a strictly positive quantity, write its log interval as </w:t>
      </w: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bar>
              <m:barPr>
                <m:ctrlPr>
                  <w:rPr>
                    <w:rFonts w:ascii="Cambria Math" w:hAnsi="Cambria Math"/>
                  </w:rPr>
                </m:ctrlPr>
              </m:barPr>
              <m:e>
                <m:r>
                  <w:rPr>
                    <w:rFonts w:ascii="Cambria Math" w:hAnsi="Cambria Math"/>
                  </w:rPr>
                  <m:t>u</m:t>
                </m:r>
              </m:e>
            </m:bar>
            <m:r>
              <m:rPr>
                <m:sty m:val="p"/>
              </m:rPr>
              <w:rPr>
                <w:rFonts w:ascii="Cambria Math" w:hAnsi="Cambria Math"/>
              </w:rPr>
              <m:t>,</m:t>
            </m:r>
            <m:bar>
              <m:barPr>
                <m:pos m:val="top"/>
                <m:ctrlPr>
                  <w:rPr>
                    <w:rFonts w:ascii="Cambria Math" w:hAnsi="Cambria Math"/>
                  </w:rPr>
                </m:ctrlPr>
              </m:barPr>
              <m:e>
                <m:r>
                  <w:rPr>
                    <w:rFonts w:ascii="Cambria Math" w:hAnsi="Cambria Math"/>
                  </w:rPr>
                  <m:t>u</m:t>
                </m:r>
              </m:e>
            </m:bar>
          </m:e>
        </m:d>
      </m:oMath>
      <w:r>
        <w:t xml:space="preserve">, with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u</m:t>
            </m:r>
          </m:sup>
        </m:sSup>
      </m:oMath>
      <w:r>
        <w:t>. Its log width and geometric-centre relative width are</w:t>
      </w:r>
    </w:p>
    <w:p w14:paraId="12E0D799" w14:textId="77777777" w:rsidR="00CE5BE2" w:rsidRDefault="00000000" w:rsidP="0036278A">
      <w:pPr>
        <w:pStyle w:val="BodyText"/>
        <w:spacing w:before="60" w:after="160"/>
        <w:jc w:val="both"/>
      </w:pPr>
      <m:oMathPara>
        <m:oMathParaPr>
          <m:jc m:val="center"/>
        </m:oMathParaPr>
        <m:oMath>
          <m:r>
            <w:rPr>
              <w:rFonts w:ascii="Cambria Math" w:hAnsi="Cambria Math"/>
            </w:rPr>
            <m:t>w</m:t>
          </m:r>
          <m:d>
            <m:dPr>
              <m:ctrlPr>
                <w:rPr>
                  <w:rFonts w:ascii="Cambria Math" w:hAnsi="Cambria Math"/>
                </w:rPr>
              </m:ctrlPr>
            </m:dPr>
            <m:e>
              <m:r>
                <w:rPr>
                  <w:rFonts w:ascii="Cambria Math" w:hAnsi="Cambria Math"/>
                </w:rPr>
                <m:t>X</m:t>
              </m:r>
            </m:e>
          </m:d>
          <m:r>
            <m:rPr>
              <m:sty m:val="p"/>
            </m:rPr>
            <w:rPr>
              <w:rFonts w:ascii="Cambria Math" w:hAnsi="Cambria Math"/>
            </w:rPr>
            <m:t>=</m:t>
          </m:r>
          <m:bar>
            <m:barPr>
              <m:pos m:val="top"/>
              <m:ctrlPr>
                <w:rPr>
                  <w:rFonts w:ascii="Cambria Math" w:hAnsi="Cambria Math"/>
                </w:rPr>
              </m:ctrlPr>
            </m:barPr>
            <m:e>
              <m:r>
                <w:rPr>
                  <w:rFonts w:ascii="Cambria Math" w:hAnsi="Cambria Math"/>
                </w:rPr>
                <m:t>u</m:t>
              </m:r>
            </m:e>
          </m:bar>
          <m:r>
            <m:rPr>
              <m:sty m:val="p"/>
            </m:rPr>
            <w:rPr>
              <w:rFonts w:ascii="Cambria Math" w:hAnsi="Cambria Math"/>
            </w:rPr>
            <m:t>-</m:t>
          </m:r>
          <m:bar>
            <m:barPr>
              <m:ctrlPr>
                <w:rPr>
                  <w:rFonts w:ascii="Cambria Math" w:hAnsi="Cambria Math"/>
                </w:rPr>
              </m:ctrlPr>
            </m:barPr>
            <m:e>
              <m:r>
                <w:rPr>
                  <w:rFonts w:ascii="Cambria Math" w:hAnsi="Cambria Math"/>
                </w:rPr>
                <m:t>u</m:t>
              </m:r>
            </m:e>
          </m:bar>
          <m:r>
            <m:rPr>
              <m:sty m:val="p"/>
            </m:rPr>
            <w:rPr>
              <w:rFonts w:ascii="Cambria Math" w:hAnsi="Cambria Math"/>
            </w:rPr>
            <m:t>=log</m:t>
          </m:r>
          <m:d>
            <m:dPr>
              <m:ctrlPr>
                <w:rPr>
                  <w:rFonts w:ascii="Cambria Math" w:hAnsi="Cambria Math"/>
                </w:rPr>
              </m:ctrlPr>
            </m:dPr>
            <m:e>
              <m:bar>
                <m:barPr>
                  <m:pos m:val="top"/>
                  <m:ctrlPr>
                    <w:rPr>
                      <w:rFonts w:ascii="Cambria Math" w:hAnsi="Cambria Math"/>
                    </w:rPr>
                  </m:ctrlPr>
                </m:barPr>
                <m:e>
                  <m:r>
                    <w:rPr>
                      <w:rFonts w:ascii="Cambria Math" w:hAnsi="Cambria Math"/>
                    </w:rPr>
                    <m:t>x</m:t>
                  </m:r>
                </m:e>
              </m:bar>
              <m:r>
                <m:rPr>
                  <m:sty m:val="p"/>
                </m:rPr>
                <w:rPr>
                  <w:rFonts w:ascii="Cambria Math" w:hAnsi="Cambria Math"/>
                </w:rPr>
                <m:t>/</m:t>
              </m:r>
              <m:bar>
                <m:barPr>
                  <m:ctrlPr>
                    <w:rPr>
                      <w:rFonts w:ascii="Cambria Math" w:hAnsi="Cambria Math"/>
                    </w:rPr>
                  </m:ctrlPr>
                </m:barPr>
                <m:e>
                  <m:r>
                    <w:rPr>
                      <w:rFonts w:ascii="Cambria Math" w:hAnsi="Cambria Math"/>
                    </w:rPr>
                    <m:t>x</m:t>
                  </m:r>
                </m:e>
              </m:bar>
            </m:e>
          </m:d>
          <m:r>
            <m:rPr>
              <m:sty m:val="p"/>
            </m:rPr>
            <w:rPr>
              <w:rFonts w:ascii="Cambria Math" w:hAnsi="Cambria Math"/>
            </w:rPr>
            <m:t>,</m:t>
          </m:r>
          <m:r>
            <w:rPr>
              <w:rFonts w:ascii="Cambria Math" w:hAnsi="Cambria Math"/>
            </w:rPr>
            <m:t>  </m:t>
          </m:r>
          <m:f>
            <m:fPr>
              <m:ctrlPr>
                <w:rPr>
                  <w:rFonts w:ascii="Cambria Math" w:hAnsi="Cambria Math"/>
                </w:rPr>
              </m:ctrlPr>
            </m:fPr>
            <m:num>
              <m:bar>
                <m:barPr>
                  <m:pos m:val="top"/>
                  <m:ctrlPr>
                    <w:rPr>
                      <w:rFonts w:ascii="Cambria Math" w:hAnsi="Cambria Math"/>
                    </w:rPr>
                  </m:ctrlPr>
                </m:barPr>
                <m:e>
                  <m:r>
                    <w:rPr>
                      <w:rFonts w:ascii="Cambria Math" w:hAnsi="Cambria Math"/>
                    </w:rPr>
                    <m:t>x</m:t>
                  </m:r>
                </m:e>
              </m:bar>
              <m:r>
                <m:rPr>
                  <m:sty m:val="p"/>
                </m:rPr>
                <w:rPr>
                  <w:rFonts w:ascii="Cambria Math" w:hAnsi="Cambria Math"/>
                </w:rPr>
                <m:t>-</m:t>
              </m:r>
              <m:bar>
                <m:barPr>
                  <m:ctrlPr>
                    <w:rPr>
                      <w:rFonts w:ascii="Cambria Math" w:hAnsi="Cambria Math"/>
                    </w:rPr>
                  </m:ctrlPr>
                </m:barPr>
                <m:e>
                  <m:r>
                    <w:rPr>
                      <w:rFonts w:ascii="Cambria Math" w:hAnsi="Cambria Math"/>
                    </w:rPr>
                    <m:t>x</m:t>
                  </m:r>
                </m:e>
              </m:bar>
            </m:num>
            <m:den>
              <m:rad>
                <m:radPr>
                  <m:degHide m:val="1"/>
                  <m:ctrlPr>
                    <w:rPr>
                      <w:rFonts w:ascii="Cambria Math" w:hAnsi="Cambria Math"/>
                    </w:rPr>
                  </m:ctrlPr>
                </m:radPr>
                <m:deg/>
                <m:e>
                  <m:bar>
                    <m:barPr>
                      <m:ctrlPr>
                        <w:rPr>
                          <w:rFonts w:ascii="Cambria Math" w:hAnsi="Cambria Math"/>
                        </w:rPr>
                      </m:ctrlPr>
                    </m:barPr>
                    <m:e>
                      <m:r>
                        <w:rPr>
                          <w:rFonts w:ascii="Cambria Math" w:hAnsi="Cambria Math"/>
                        </w:rPr>
                        <m:t>x</m:t>
                      </m:r>
                    </m:e>
                  </m:bar>
                  <m:r>
                    <w:rPr>
                      <w:rFonts w:ascii="Cambria Math" w:hAnsi="Cambria Math"/>
                    </w:rPr>
                    <m:t> </m:t>
                  </m:r>
                  <m:bar>
                    <m:barPr>
                      <m:pos m:val="top"/>
                      <m:ctrlPr>
                        <w:rPr>
                          <w:rFonts w:ascii="Cambria Math" w:hAnsi="Cambria Math"/>
                        </w:rPr>
                      </m:ctrlPr>
                    </m:barPr>
                    <m:e>
                      <m:r>
                        <w:rPr>
                          <w:rFonts w:ascii="Cambria Math" w:hAnsi="Cambria Math"/>
                        </w:rPr>
                        <m:t>x</m:t>
                      </m:r>
                    </m:e>
                  </m:bar>
                </m:e>
              </m:rad>
            </m:den>
          </m:f>
          <m:r>
            <m:rPr>
              <m:sty m:val="p"/>
            </m:rPr>
            <w:rPr>
              <w:rFonts w:ascii="Cambria Math" w:hAnsi="Cambria Math"/>
            </w:rPr>
            <m:t>=</m:t>
          </m:r>
          <m:r>
            <w:rPr>
              <w:rFonts w:ascii="Cambria Math" w:hAnsi="Cambria Math"/>
            </w:rPr>
            <m:t>2</m:t>
          </m:r>
          <m:r>
            <m:rPr>
              <m:sty m:val="p"/>
            </m:rPr>
            <w:rPr>
              <w:rFonts w:ascii="Cambria Math" w:hAnsi="Cambria Math"/>
            </w:rPr>
            <m:t>sinh</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w</m:t>
                  </m:r>
                  <m:d>
                    <m:dPr>
                      <m:ctrlPr>
                        <w:rPr>
                          <w:rFonts w:ascii="Cambria Math" w:hAnsi="Cambria Math"/>
                        </w:rPr>
                      </m:ctrlPr>
                    </m:dPr>
                    <m:e>
                      <m:r>
                        <w:rPr>
                          <w:rFonts w:ascii="Cambria Math" w:hAnsi="Cambria Math"/>
                        </w:rPr>
                        <m:t>X</m:t>
                      </m:r>
                    </m:e>
                  </m:d>
                </m:num>
                <m:den>
                  <m:r>
                    <w:rPr>
                      <w:rFonts w:ascii="Cambria Math" w:hAnsi="Cambria Math"/>
                    </w:rPr>
                    <m:t>2</m:t>
                  </m:r>
                </m:den>
              </m:f>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56BBB84F" w14:textId="77777777" w:rsidR="00CE5BE2" w:rsidRDefault="00000000" w:rsidP="0036278A">
      <w:pPr>
        <w:keepNext/>
        <w:jc w:val="both"/>
      </w:pPr>
      <w:r>
        <w:t>For independently variable positive scalar intervals, multiplication and division add log widths. A fixed real power multiplies the width by the absolute exponent. Positive summation obeys</w:t>
      </w:r>
    </w:p>
    <w:p w14:paraId="7A9AA396" w14:textId="77777777" w:rsidR="00CE5BE2" w:rsidRDefault="00000000" w:rsidP="0036278A">
      <w:pPr>
        <w:pStyle w:val="BodyText"/>
        <w:spacing w:before="60" w:after="160"/>
        <w:jc w:val="both"/>
      </w:pPr>
      <m:oMathPara>
        <m:oMathParaPr>
          <m:jc m:val="center"/>
        </m:oMathParaPr>
        <m:oMath>
          <m:r>
            <w:rPr>
              <w:rFonts w:ascii="Cambria Math" w:hAnsi="Cambria Math"/>
            </w:rPr>
            <m:t>w</m:t>
          </m:r>
          <m:d>
            <m:dPr>
              <m:ctrlPr>
                <w:rPr>
                  <w:rFonts w:ascii="Cambria Math" w:hAnsi="Cambria Math"/>
                </w:rPr>
              </m:ctrlPr>
            </m:dPr>
            <m:e>
              <m:r>
                <w:rPr>
                  <w:rFonts w:ascii="Cambria Math" w:hAnsi="Cambria Math"/>
                </w:rPr>
                <m:t>XY</m:t>
              </m:r>
            </m:e>
          </m:d>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  w​</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m:t>
                      </m:r>
                    </m:sub>
                  </m:sSub>
                </m:e>
              </m:nary>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r>
            <w:rPr>
              <w:rFonts w:ascii="Cambria Math" w:hAnsi="Cambria Math"/>
            </w:rPr>
            <m:t>w</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1982991F" w14:textId="77777777" w:rsidR="00CE5BE2" w:rsidRDefault="00000000" w:rsidP="0036278A">
      <w:pPr>
        <w:jc w:val="both"/>
      </w:pPr>
      <w:r>
        <w:t xml:space="preserve">The summation inequality follows because the ratio of the upper and lower sums is a weighted mean of the individual endpoint ratios. In log coordinates, log-sum-exp is nondecreasing and 1-Lipschitz in the maximum norm. Equation 2 describes interval operations; a shared variable must retain its dependency. For example, </w:t>
      </w:r>
      <m:oMath>
        <m:r>
          <w:rPr>
            <w:rFonts w:ascii="Cambria Math" w:hAnsi="Cambria Math"/>
          </w:rPr>
          <m:t>X</m:t>
        </m:r>
        <m:r>
          <m:rPr>
            <m:sty m:val="p"/>
          </m:rPr>
          <w:rPr>
            <w:rFonts w:ascii="Cambria Math" w:hAnsi="Cambria Math"/>
          </w:rPr>
          <m:t>/</m:t>
        </m:r>
        <m:r>
          <w:rPr>
            <w:rFonts w:ascii="Cambria Math" w:hAnsi="Cambria Math"/>
          </w:rPr>
          <m:t>X</m:t>
        </m:r>
      </m:oMath>
      <w:r>
        <w:t xml:space="preserve"> has exact width zero, whereas division of two independent copies of its interval has width </w:t>
      </w:r>
      <m:oMath>
        <m:r>
          <w:rPr>
            <w:rFonts w:ascii="Cambria Math" w:hAnsi="Cambria Math"/>
          </w:rPr>
          <m:t>2w</m:t>
        </m:r>
        <m:d>
          <m:dPr>
            <m:ctrlPr>
              <w:rPr>
                <w:rFonts w:ascii="Cambria Math" w:hAnsi="Cambria Math"/>
              </w:rPr>
            </m:ctrlPr>
          </m:dPr>
          <m:e>
            <m:r>
              <w:rPr>
                <w:rFonts w:ascii="Cambria Math" w:hAnsi="Cambria Math"/>
              </w:rPr>
              <m:t>X</m:t>
            </m:r>
          </m:e>
        </m:d>
      </m:oMath>
      <w:r>
        <w:t>.</w:t>
      </w:r>
    </w:p>
    <w:p w14:paraId="4238F5D4" w14:textId="77777777" w:rsidR="00CE5BE2" w:rsidRDefault="00000000" w:rsidP="0036278A">
      <w:pPr>
        <w:pStyle w:val="BodyText"/>
        <w:keepNext/>
        <w:jc w:val="both"/>
      </w:pPr>
      <w:r>
        <w:t xml:space="preserve">For a positive nondecreasing activation </w:t>
      </w:r>
      <m:oMath>
        <m:r>
          <w:rPr>
            <w:rFonts w:ascii="Cambria Math" w:hAnsi="Cambria Math"/>
          </w:rPr>
          <m:t>f</m:t>
        </m:r>
      </m:oMath>
      <w:r>
        <w:t xml:space="preserve">, let </w:t>
      </w:r>
      <m:oMath>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sup</m:t>
            </m:r>
          </m:e>
          <m:sub>
            <m:r>
              <w:rPr>
                <w:rFonts w:ascii="Cambria Math" w:hAnsi="Cambria Math"/>
              </w:rPr>
              <m:t>z</m:t>
            </m:r>
            <m:r>
              <m:rPr>
                <m:sty m:val="p"/>
              </m:rPr>
              <w:rPr>
                <w:rFonts w:ascii="Cambria Math" w:hAnsi="Cambria Math"/>
              </w:rPr>
              <m:t>&gt;</m:t>
            </m:r>
            <m:r>
              <w:rPr>
                <w:rFonts w:ascii="Cambria Math" w:hAnsi="Cambria Math"/>
              </w:rPr>
              <m:t>0</m:t>
            </m:r>
          </m:sub>
        </m:sSub>
        <m:r>
          <w:rPr>
            <w:rFonts w:ascii="Cambria Math" w:hAnsi="Cambria Math"/>
          </w:rPr>
          <m:t>zf</m:t>
        </m:r>
        <m:r>
          <m:rPr>
            <m:sty m:val="p"/>
          </m:rPr>
          <w:rPr>
            <w:rFonts w:ascii="Cambria Math" w:hAnsi="Cambria Math"/>
          </w:rPr>
          <m:t>'</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z</m:t>
            </m:r>
          </m:e>
        </m:d>
      </m:oMath>
      <w:r>
        <w:t>. Whenever this supremum is finite,</w:t>
      </w:r>
    </w:p>
    <w:p w14:paraId="1E3BAF5E" w14:textId="77777777" w:rsidR="00CE5BE2" w:rsidRDefault="00000000" w:rsidP="0036278A">
      <w:pPr>
        <w:pStyle w:val="BodyText"/>
        <w:spacing w:before="60" w:after="160"/>
        <w:jc w:val="both"/>
      </w:pPr>
      <m:oMathPara>
        <m:oMathParaPr>
          <m:jc m:val="center"/>
        </m:oMathParaPr>
        <m:oMath>
          <m:r>
            <w:rPr>
              <w:rFonts w:ascii="Cambria Math" w:hAnsi="Cambria Math"/>
            </w:rPr>
            <m:t>w</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w</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72C36B75" w14:textId="77777777" w:rsidR="00CE5BE2" w:rsidRDefault="00000000" w:rsidP="0036278A">
      <w:pPr>
        <w:keepNext/>
        <w:jc w:val="both"/>
      </w:pPr>
      <w:r>
        <w:lastRenderedPageBreak/>
        <w:t xml:space="preserve">Thus positivity alone does not imply additive uncertainty growth: the activation must also have controlled elasticity. Identity and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z</m:t>
            </m:r>
          </m:e>
        </m:d>
      </m:oMath>
      <w:r>
        <w:t xml:space="preserve"> have elasticity at most one; the logistic restricted to positive arguments has supremum about 0.2785. A bias-free positive stack with these activations satisfies</w:t>
      </w:r>
    </w:p>
    <w:p w14:paraId="4DFE5E31" w14:textId="77777777" w:rsidR="00CE5BE2" w:rsidRDefault="00000000" w:rsidP="0036278A">
      <w:pPr>
        <w:pStyle w:val="BodyText"/>
        <w:spacing w:before="60" w:after="160"/>
        <w:jc w:val="both"/>
      </w:pPr>
      <m:oMathPara>
        <m:oMathParaPr>
          <m:jc m:val="center"/>
        </m:oMathParaPr>
        <m:oMath>
          <m:r>
            <w:rPr>
              <w:rFonts w:ascii="Cambria Math" w:hAnsi="Cambria Math"/>
            </w:rPr>
            <m:t>w</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m:t>
              </m:r>
            </m:sub>
          </m:sSub>
          <m:r>
            <m:rPr>
              <m:sty m:val="p"/>
            </m:rPr>
            <w:rPr>
              <w:rFonts w:ascii="Cambria Math" w:hAnsi="Cambria Math"/>
            </w:rPr>
            <m:t>+</m:t>
          </m:r>
          <m:nary>
            <m:naryPr>
              <m:chr m:val="∑"/>
              <m:limLoc m:val="undOvr"/>
              <m:ctrlPr>
                <w:rPr>
                  <w:rFonts w:ascii="Cambria Math" w:hAnsi="Cambria Math"/>
                </w:rPr>
              </m:ctrlPr>
            </m:naryPr>
            <m:sub>
              <m:r>
                <m:rPr>
                  <m:scr m:val="script"/>
                  <m:sty m:val="p"/>
                </m:rPr>
                <w:rPr>
                  <w:rFonts w:ascii="Cambria Math" w:hAnsi="Cambria Math"/>
                </w:rPr>
                <m:t>l=</m:t>
              </m:r>
              <m:r>
                <w:rPr>
                  <w:rFonts w:ascii="Cambria Math" w:hAnsi="Cambria Math"/>
                </w:rPr>
                <m:t>1</m:t>
              </m:r>
            </m:sub>
            <m:sup>
              <m:r>
                <w:rPr>
                  <w:rFonts w:ascii="Cambria Math" w:hAnsi="Cambria Math"/>
                </w:rPr>
                <m:t>L</m:t>
              </m:r>
            </m:sup>
            <m:e>
              <m:limLow>
                <m:limLowPr>
                  <m:ctrlPr>
                    <w:rPr>
                      <w:rFonts w:ascii="Cambria Math" w:hAnsi="Cambria Math"/>
                    </w:rPr>
                  </m:ctrlPr>
                </m:limLowPr>
                <m:e>
                  <m:r>
                    <m:rPr>
                      <m:sty m:val="p"/>
                    </m:rPr>
                    <w:rPr>
                      <w:rFonts w:ascii="Cambria Math" w:hAnsi="Cambria Math"/>
                    </w:rPr>
                    <m:t>max</m:t>
                  </m:r>
                </m:e>
                <m:lim>
                  <m:r>
                    <w:rPr>
                      <w:rFonts w:ascii="Cambria Math" w:hAnsi="Cambria Math"/>
                    </w:rPr>
                    <m:t>ij</m:t>
                  </m:r>
                </m:lim>
              </m:limLow>
            </m:e>
          </m:nary>
          <m:r>
            <w:rPr>
              <w:rFonts w:ascii="Cambria Math" w:hAnsi="Cambria Math"/>
            </w:rPr>
            <m:t>w</m:t>
          </m:r>
          <m:d>
            <m:dPr>
              <m:ctrlPr>
                <w:rPr>
                  <w:rFonts w:ascii="Cambria Math" w:hAnsi="Cambria Math"/>
                </w:rPr>
              </m:ctrlPr>
            </m:dPr>
            <m:e>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r>
                    <w:rPr>
                      <w:rFonts w:ascii="Cambria Math" w:hAnsi="Cambria Math"/>
                    </w:rPr>
                    <m:t>ij</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p>
    <w:p w14:paraId="32704CDA" w14:textId="77777777" w:rsidR="00CE5BE2" w:rsidRDefault="00000000" w:rsidP="0036278A">
      <w:pPr>
        <w:jc w:val="bot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x</m:t>
            </m:r>
          </m:sub>
        </m:sSub>
      </m:oMath>
      <w:r>
        <w:t xml:space="preserve"> bounds the input coordinates. Positive biases can be included as weights on a fixed unit input, with their widths counted. Signed biases that permit cancellation require separate treatment. Exact zeros need a zero tag or an extended log endpoint; replacing them by an arbitrary small floor changes the model.</w:t>
      </w:r>
    </w:p>
    <w:p w14:paraId="194112E0" w14:textId="77777777" w:rsidR="00CE5BE2" w:rsidRDefault="00000000" w:rsidP="0036278A">
      <w:pPr>
        <w:pStyle w:val="BodyText"/>
        <w:jc w:val="both"/>
      </w:pPr>
      <w:r>
        <w:t>The bound in Equation 4 is independent of layer width. It concerns worst-case multiplicative variation, not posterior uncertainty or predictive coverage. A probability law or a calibration procedure would be an additional modelling choice.</w:t>
      </w:r>
    </w:p>
    <w:p w14:paraId="707DE062" w14:textId="77777777" w:rsidR="00CE5BE2" w:rsidRDefault="00000000" w:rsidP="0036278A">
      <w:pPr>
        <w:pStyle w:val="Heading2"/>
        <w:jc w:val="both"/>
      </w:pPr>
      <w:bookmarkStart w:id="3" w:name="exact-endpoints-and-their-limits"/>
      <w:bookmarkEnd w:id="2"/>
      <w:r>
        <w:t>2.2 Exact endpoints and their limits</w:t>
      </w:r>
    </w:p>
    <w:p w14:paraId="2815F49B" w14:textId="77777777" w:rsidR="00CE5BE2" w:rsidRDefault="00000000" w:rsidP="0036278A">
      <w:pPr>
        <w:jc w:val="both"/>
      </w:pPr>
      <w:r>
        <w:rPr>
          <w:b/>
          <w:bCs/>
        </w:rPr>
        <w:t>Proposition 1.</w:t>
      </w:r>
      <w:r>
        <w:t xml:space="preserve"> A network constructed from nonnegative sums, products of nonnegative variables, and nondecreasing nonnegative activations is nondecreasing in each primitive input and parameter. Over a Cartesian box, its coordinate minima and maxima are attained at the joint lower and upper corners. Two endpoint evaluations therefore give exact coordinate ranges in real arithmetic. Parameter reuse is allowed when every occurrence preserves the same monotone direction.</w:t>
      </w:r>
    </w:p>
    <w:p w14:paraId="6D55B273" w14:textId="77777777" w:rsidR="00CE5BE2" w:rsidRDefault="00000000" w:rsidP="0036278A">
      <w:pPr>
        <w:pStyle w:val="BodyText"/>
        <w:jc w:val="both"/>
      </w:pPr>
      <w:r>
        <w:rPr>
          <w:b/>
          <w:bCs/>
        </w:rPr>
        <w:t>Proof.</w:t>
      </w:r>
      <w:r>
        <w:t xml:space="preserve"> Each allowed operation preserves coordinatewise order. Composition preserves that order, and both joint corners belong to the parameter box. The resulting inequalities are attained simultaneously at those corners.</w:t>
      </w:r>
    </w:p>
    <w:p w14:paraId="0BABE54F" w14:textId="77777777" w:rsidR="00CE5BE2" w:rsidRDefault="00000000" w:rsidP="0036278A">
      <w:pPr>
        <w:pStyle w:val="BodyText"/>
        <w:jc w:val="both"/>
      </w:pPr>
      <w:r>
        <w:t>A signed first affine layer is also allowed at a fixed input when its independent weights are selected by the input signs, followed by a nonnegative monotone tail [1]. This extension does not permit an uncertain signed input or a parameter used with opposite signs in two tied branches. Two endpoint passes usually accompany a separate nominal pass. They are not a universal two-times latency claim.</w:t>
      </w:r>
    </w:p>
    <w:p w14:paraId="5C88C12B" w14:textId="77777777" w:rsidR="00CE5BE2" w:rsidRDefault="00000000" w:rsidP="0036278A">
      <w:pPr>
        <w:pStyle w:val="BodyText"/>
        <w:jc w:val="both"/>
      </w:pPr>
      <w:r>
        <w:t>Attention normalization, LayerNorm, subtraction between shared pathways, and uncertain routing can destroy this monotonicity. A complete Transformer therefore needs a mixture of exact local operators and sound dependency relaxations. The new programme must retain the earlier paper’s distinction between an exact local range and an end-to-end certificate.</w:t>
      </w:r>
    </w:p>
    <w:p w14:paraId="056774AD" w14:textId="77777777" w:rsidR="00CE5BE2" w:rsidRDefault="00000000" w:rsidP="0036278A">
      <w:pPr>
        <w:pStyle w:val="BodyText"/>
        <w:keepNext/>
        <w:jc w:val="both"/>
      </w:pPr>
      <w:r>
        <w:t xml:space="preserve">Let </w:t>
      </w:r>
      <m:oMath>
        <m:r>
          <w:rPr>
            <w:rFonts w:ascii="Cambria Math" w:hAnsi="Cambria Math"/>
          </w:rPr>
          <m:t>c</m:t>
        </m:r>
      </m:oMath>
      <w:r>
        <w:t xml:space="preserve"> be the nominal winning class. The usual release test is</w:t>
      </w:r>
    </w:p>
    <w:p w14:paraId="6CF3D375" w14:textId="77777777" w:rsidR="00CE5BE2" w:rsidRDefault="00000000" w:rsidP="0036278A">
      <w:pPr>
        <w:pStyle w:val="BodyText"/>
        <w:spacing w:before="60" w:after="160"/>
        <w:jc w:val="both"/>
      </w:pPr>
      <m:oMathPara>
        <m:oMathParaPr>
          <m:jc m:val="center"/>
        </m:oMathParaPr>
        <m:oMath>
          <m:sSub>
            <m:sSubPr>
              <m:ctrlPr>
                <w:rPr>
                  <w:rFonts w:ascii="Cambria Math" w:hAnsi="Cambria Math"/>
                </w:rPr>
              </m:ctrlPr>
            </m:sSubPr>
            <m:e>
              <m:bar>
                <m:barPr>
                  <m:ctrlPr>
                    <w:rPr>
                      <w:rFonts w:ascii="Cambria Math" w:hAnsi="Cambria Math"/>
                    </w:rPr>
                  </m:ctrlPr>
                </m:barPr>
                <m:e>
                  <m:r>
                    <w:rPr>
                      <w:rFonts w:ascii="Cambria Math" w:hAnsi="Cambria Math"/>
                    </w:rPr>
                    <m:t>y</m:t>
                  </m:r>
                </m:e>
              </m:bar>
            </m:e>
            <m:sub>
              <m:r>
                <w:rPr>
                  <w:rFonts w:ascii="Cambria Math" w:hAnsi="Cambria Math"/>
                </w:rPr>
                <m:t>c</m:t>
              </m:r>
            </m:sub>
          </m:sSub>
          <m:r>
            <m:rPr>
              <m:sty m:val="p"/>
            </m:rPr>
            <w:rPr>
              <w:rFonts w:ascii="Cambria Math" w:hAnsi="Cambria Math"/>
            </w:rPr>
            <m:t>&gt;</m:t>
          </m:r>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r>
                <w:rPr>
                  <w:rFonts w:ascii="Cambria Math" w:hAnsi="Cambria Math"/>
                </w:rPr>
                <m:t>c</m:t>
              </m:r>
            </m:lim>
          </m:limLow>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j</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m:t>
              </m:r>
            </m:e>
          </m:d>
        </m:oMath>
      </m:oMathPara>
    </w:p>
    <w:p w14:paraId="61041BB3" w14:textId="77777777" w:rsidR="00CE5BE2" w:rsidRDefault="00000000" w:rsidP="0036278A">
      <w:pPr>
        <w:jc w:val="both"/>
      </w:pPr>
      <w:r>
        <w:t xml:space="preserve">This is sufficient even when the ranges are only sound. It is necessary only under additional independence conditions. If </w:t>
      </w:r>
      <m:oMath>
        <m:r>
          <w:rPr>
            <w:rFonts w:ascii="Cambria Math" w:hAnsi="Cambria Math"/>
          </w:rPr>
          <m:t>h</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oMath>
      <w:r>
        <w:t xml:space="preserve">,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2</m:t>
        </m:r>
        <m:r>
          <w:rPr>
            <w:rFonts w:ascii="Cambria Math" w:hAnsi="Cambria Math"/>
          </w:rPr>
          <m:t>h</m:t>
        </m:r>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h</m:t>
        </m:r>
      </m:oMath>
      <w:r>
        <w:t xml:space="preserve">, the exact marginal ranges overlap, yet class 1 wins for every </w:t>
      </w:r>
      <m:oMath>
        <m:r>
          <w:rPr>
            <w:rFonts w:ascii="Cambria Math" w:hAnsi="Cambria Math"/>
          </w:rPr>
          <m:t>h</m:t>
        </m:r>
      </m:oMath>
      <w:r>
        <w:t>. In a deep network, failed marginal separation can therefore reflect lost dependencies rather than a genuinely unstable decision. P1 must distinguish an inconclusive certificate from a witnessed change of winner.</w:t>
      </w:r>
    </w:p>
    <w:p w14:paraId="75A786F4" w14:textId="77777777" w:rsidR="00CE5BE2" w:rsidRDefault="00000000" w:rsidP="0036278A">
      <w:pPr>
        <w:pStyle w:val="Heading2"/>
        <w:pageBreakBefore/>
        <w:jc w:val="both"/>
      </w:pPr>
      <w:bookmarkStart w:id="4" w:name="the-computational-boundary"/>
      <w:bookmarkEnd w:id="3"/>
      <w:r>
        <w:lastRenderedPageBreak/>
        <w:t>2.3 The computational boundary</w:t>
      </w:r>
    </w:p>
    <w:p w14:paraId="36F1322E" w14:textId="77777777" w:rsidR="00CE5BE2" w:rsidRDefault="00000000" w:rsidP="0036278A">
      <w:pPr>
        <w:pStyle w:val="Caption"/>
        <w:keepNext/>
        <w:jc w:val="both"/>
      </w:pPr>
      <w:r>
        <w:t>Table 1  Exact local operators and the conditions that make them exact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312"/>
        <w:gridCol w:w="4450"/>
      </w:tblGrid>
      <w:tr w:rsidR="00CE5BE2" w14:paraId="38FBF816" w14:textId="77777777">
        <w:trPr>
          <w:cantSplit/>
          <w:tblHeader/>
          <w:jc w:val="center"/>
        </w:trPr>
        <w:tc>
          <w:tcPr>
            <w:tcW w:w="2232" w:type="dxa"/>
            <w:shd w:val="clear" w:color="auto" w:fill="17324D"/>
            <w:tcMar>
              <w:top w:w="85" w:type="dxa"/>
              <w:left w:w="95" w:type="dxa"/>
              <w:bottom w:w="85" w:type="dxa"/>
              <w:right w:w="95" w:type="dxa"/>
            </w:tcMar>
            <w:vAlign w:val="center"/>
          </w:tcPr>
          <w:p w14:paraId="5E1EEC25" w14:textId="77777777" w:rsidR="00CE5BE2" w:rsidRDefault="00000000" w:rsidP="0036278A">
            <w:pPr>
              <w:spacing w:after="0" w:line="247" w:lineRule="auto"/>
              <w:jc w:val="both"/>
            </w:pPr>
            <w:r>
              <w:rPr>
                <w:b/>
                <w:color w:val="FFFFFF"/>
                <w:sz w:val="20"/>
              </w:rPr>
              <w:t>Computation</w:t>
            </w:r>
          </w:p>
        </w:tc>
        <w:tc>
          <w:tcPr>
            <w:tcW w:w="3312" w:type="dxa"/>
            <w:shd w:val="clear" w:color="auto" w:fill="17324D"/>
            <w:tcMar>
              <w:top w:w="85" w:type="dxa"/>
              <w:left w:w="95" w:type="dxa"/>
              <w:bottom w:w="85" w:type="dxa"/>
              <w:right w:w="95" w:type="dxa"/>
            </w:tcMar>
            <w:vAlign w:val="center"/>
          </w:tcPr>
          <w:p w14:paraId="635634AF" w14:textId="77777777" w:rsidR="00CE5BE2" w:rsidRDefault="00000000" w:rsidP="0036278A">
            <w:pPr>
              <w:spacing w:after="0" w:line="247" w:lineRule="auto"/>
              <w:jc w:val="both"/>
            </w:pPr>
            <w:r>
              <w:rPr>
                <w:b/>
                <w:color w:val="FFFFFF"/>
                <w:sz w:val="20"/>
              </w:rPr>
              <w:t>Exactness conditions</w:t>
            </w:r>
          </w:p>
        </w:tc>
        <w:tc>
          <w:tcPr>
            <w:tcW w:w="4450" w:type="dxa"/>
            <w:shd w:val="clear" w:color="auto" w:fill="17324D"/>
            <w:tcMar>
              <w:top w:w="85" w:type="dxa"/>
              <w:left w:w="95" w:type="dxa"/>
              <w:bottom w:w="85" w:type="dxa"/>
              <w:right w:w="95" w:type="dxa"/>
            </w:tcMar>
            <w:vAlign w:val="center"/>
          </w:tcPr>
          <w:p w14:paraId="7D301754" w14:textId="77777777" w:rsidR="00CE5BE2" w:rsidRDefault="00000000" w:rsidP="0036278A">
            <w:pPr>
              <w:spacing w:after="0" w:line="247" w:lineRule="auto"/>
              <w:jc w:val="both"/>
            </w:pPr>
            <w:r>
              <w:rPr>
                <w:b/>
                <w:color w:val="FFFFFF"/>
                <w:sz w:val="20"/>
              </w:rPr>
              <w:t>Evaluator and limitation</w:t>
            </w:r>
          </w:p>
        </w:tc>
      </w:tr>
      <w:tr w:rsidR="00CE5BE2" w14:paraId="0AAD3049" w14:textId="77777777">
        <w:trPr>
          <w:cantSplit/>
          <w:jc w:val="center"/>
        </w:trPr>
        <w:tc>
          <w:tcPr>
            <w:tcW w:w="2232" w:type="dxa"/>
            <w:tcMar>
              <w:top w:w="85" w:type="dxa"/>
              <w:left w:w="95" w:type="dxa"/>
              <w:bottom w:w="85" w:type="dxa"/>
              <w:right w:w="95" w:type="dxa"/>
            </w:tcMar>
            <w:vAlign w:val="center"/>
          </w:tcPr>
          <w:p w14:paraId="35694686" w14:textId="77777777" w:rsidR="00CE5BE2" w:rsidRDefault="00000000" w:rsidP="0036278A">
            <w:pPr>
              <w:spacing w:after="0" w:line="247" w:lineRule="auto"/>
              <w:jc w:val="both"/>
            </w:pPr>
            <w:r>
              <w:rPr>
                <w:sz w:val="20"/>
              </w:rPr>
              <w:t>Positive monotone stack</w:t>
            </w:r>
          </w:p>
        </w:tc>
        <w:tc>
          <w:tcPr>
            <w:tcW w:w="3312" w:type="dxa"/>
            <w:tcMar>
              <w:top w:w="85" w:type="dxa"/>
              <w:left w:w="95" w:type="dxa"/>
              <w:bottom w:w="85" w:type="dxa"/>
              <w:right w:w="95" w:type="dxa"/>
            </w:tcMar>
            <w:vAlign w:val="center"/>
          </w:tcPr>
          <w:p w14:paraId="22C3570D" w14:textId="77777777" w:rsidR="00CE5BE2" w:rsidRDefault="00000000" w:rsidP="0036278A">
            <w:pPr>
              <w:spacing w:after="0" w:line="247" w:lineRule="auto"/>
              <w:jc w:val="both"/>
            </w:pPr>
            <w:r>
              <w:rPr>
                <w:sz w:val="20"/>
              </w:rPr>
              <w:t>Cartesian primitive box; consistent monotone directions</w:t>
            </w:r>
          </w:p>
        </w:tc>
        <w:tc>
          <w:tcPr>
            <w:tcW w:w="4450" w:type="dxa"/>
            <w:tcMar>
              <w:top w:w="85" w:type="dxa"/>
              <w:left w:w="95" w:type="dxa"/>
              <w:bottom w:w="85" w:type="dxa"/>
              <w:right w:w="95" w:type="dxa"/>
            </w:tcMar>
            <w:vAlign w:val="center"/>
          </w:tcPr>
          <w:p w14:paraId="3AEF556E" w14:textId="77777777" w:rsidR="00CE5BE2" w:rsidRDefault="00000000" w:rsidP="0036278A">
            <w:pPr>
              <w:spacing w:after="0" w:line="247" w:lineRule="auto"/>
              <w:jc w:val="both"/>
            </w:pPr>
            <w:r>
              <w:rPr>
                <w:sz w:val="20"/>
              </w:rPr>
              <w:t>Two endpoint evaluations; numerical rounding still needs enclosure.</w:t>
            </w:r>
          </w:p>
        </w:tc>
      </w:tr>
      <w:tr w:rsidR="00CE5BE2" w14:paraId="404155F6" w14:textId="77777777">
        <w:trPr>
          <w:cantSplit/>
          <w:jc w:val="center"/>
        </w:trPr>
        <w:tc>
          <w:tcPr>
            <w:tcW w:w="2232" w:type="dxa"/>
            <w:shd w:val="clear" w:color="auto" w:fill="F2F5F7"/>
            <w:tcMar>
              <w:top w:w="85" w:type="dxa"/>
              <w:left w:w="95" w:type="dxa"/>
              <w:bottom w:w="85" w:type="dxa"/>
              <w:right w:w="95" w:type="dxa"/>
            </w:tcMar>
            <w:vAlign w:val="center"/>
          </w:tcPr>
          <w:p w14:paraId="31221366" w14:textId="77777777" w:rsidR="00CE5BE2" w:rsidRDefault="00000000" w:rsidP="0036278A">
            <w:pPr>
              <w:spacing w:after="0" w:line="247" w:lineRule="auto"/>
              <w:jc w:val="both"/>
            </w:pPr>
            <w:r>
              <w:rPr>
                <w:sz w:val="20"/>
              </w:rPr>
              <w:t>Signed affine map</w:t>
            </w:r>
          </w:p>
        </w:tc>
        <w:tc>
          <w:tcPr>
            <w:tcW w:w="3312" w:type="dxa"/>
            <w:shd w:val="clear" w:color="auto" w:fill="F2F5F7"/>
            <w:tcMar>
              <w:top w:w="85" w:type="dxa"/>
              <w:left w:w="95" w:type="dxa"/>
              <w:bottom w:w="85" w:type="dxa"/>
              <w:right w:w="95" w:type="dxa"/>
            </w:tcMar>
            <w:vAlign w:val="center"/>
          </w:tcPr>
          <w:p w14:paraId="034EF059" w14:textId="77777777" w:rsidR="00CE5BE2" w:rsidRDefault="00000000" w:rsidP="0036278A">
            <w:pPr>
              <w:spacing w:after="0" w:line="247" w:lineRule="auto"/>
              <w:jc w:val="both"/>
            </w:pPr>
            <w:r>
              <w:rPr>
                <w:sz w:val="20"/>
              </w:rPr>
              <w:t>Point input; independent weights</w:t>
            </w:r>
          </w:p>
        </w:tc>
        <w:tc>
          <w:tcPr>
            <w:tcW w:w="4450" w:type="dxa"/>
            <w:shd w:val="clear" w:color="auto" w:fill="F2F5F7"/>
            <w:tcMar>
              <w:top w:w="85" w:type="dxa"/>
              <w:left w:w="95" w:type="dxa"/>
              <w:bottom w:w="85" w:type="dxa"/>
              <w:right w:w="95" w:type="dxa"/>
            </w:tcMar>
            <w:vAlign w:val="center"/>
          </w:tcPr>
          <w:p w14:paraId="066733F8" w14:textId="77777777" w:rsidR="00CE5BE2" w:rsidRDefault="00000000" w:rsidP="0036278A">
            <w:pPr>
              <w:spacing w:after="0" w:line="247" w:lineRule="auto"/>
              <w:jc w:val="both"/>
            </w:pPr>
            <w:r>
              <w:rPr>
                <w:sz w:val="20"/>
              </w:rPr>
              <w:t>Exact rowwise sign selection; not a general signed deep-network rule.</w:t>
            </w:r>
          </w:p>
        </w:tc>
      </w:tr>
      <w:tr w:rsidR="00CE5BE2" w14:paraId="5EAA5774" w14:textId="77777777">
        <w:trPr>
          <w:cantSplit/>
          <w:jc w:val="center"/>
        </w:trPr>
        <w:tc>
          <w:tcPr>
            <w:tcW w:w="2232" w:type="dxa"/>
            <w:tcMar>
              <w:top w:w="85" w:type="dxa"/>
              <w:left w:w="95" w:type="dxa"/>
              <w:bottom w:w="85" w:type="dxa"/>
              <w:right w:w="95" w:type="dxa"/>
            </w:tcMar>
            <w:vAlign w:val="center"/>
          </w:tcPr>
          <w:p w14:paraId="258B96ED" w14:textId="77777777" w:rsidR="00CE5BE2" w:rsidRDefault="00000000" w:rsidP="0036278A">
            <w:pPr>
              <w:spacing w:after="0" w:line="247" w:lineRule="auto"/>
              <w:jc w:val="both"/>
            </w:pPr>
            <w:r>
              <w:rPr>
                <w:sz w:val="20"/>
              </w:rPr>
              <w:t>Opponent log ratio</w:t>
            </w:r>
          </w:p>
        </w:tc>
        <w:tc>
          <w:tcPr>
            <w:tcW w:w="3312" w:type="dxa"/>
            <w:tcMar>
              <w:top w:w="85" w:type="dxa"/>
              <w:left w:w="95" w:type="dxa"/>
              <w:bottom w:w="85" w:type="dxa"/>
              <w:right w:w="95" w:type="dxa"/>
            </w:tcMar>
            <w:vAlign w:val="center"/>
          </w:tcPr>
          <w:p w14:paraId="7729C11C" w14:textId="77777777" w:rsidR="00CE5BE2" w:rsidRDefault="00000000" w:rsidP="0036278A">
            <w:pPr>
              <w:spacing w:after="0" w:line="247" w:lineRule="auto"/>
              <w:jc w:val="both"/>
            </w:pPr>
            <w:r>
              <w:rPr>
                <w:sz w:val="20"/>
              </w:rPr>
              <w:t>Linear positive decks; positive shared input box; disjoint factor boxes</w:t>
            </w:r>
          </w:p>
        </w:tc>
        <w:tc>
          <w:tcPr>
            <w:tcW w:w="4450" w:type="dxa"/>
            <w:tcMar>
              <w:top w:w="85" w:type="dxa"/>
              <w:left w:w="95" w:type="dxa"/>
              <w:bottom w:w="85" w:type="dxa"/>
              <w:right w:w="95" w:type="dxa"/>
            </w:tcMar>
            <w:vAlign w:val="center"/>
          </w:tcPr>
          <w:p w14:paraId="17E24629" w14:textId="77777777" w:rsidR="00CE5BE2" w:rsidRDefault="00000000" w:rsidP="0036278A">
            <w:pPr>
              <w:spacing w:after="0" w:line="247" w:lineRule="auto"/>
              <w:jc w:val="both"/>
            </w:pPr>
            <w:r>
              <w:rPr>
                <w:sz w:val="20"/>
              </w:rPr>
              <w:t>Opposite factor corners and a threshold solve for each action.</w:t>
            </w:r>
          </w:p>
        </w:tc>
      </w:tr>
      <w:tr w:rsidR="00CE5BE2" w14:paraId="3647CB63" w14:textId="77777777">
        <w:trPr>
          <w:cantSplit/>
          <w:jc w:val="center"/>
        </w:trPr>
        <w:tc>
          <w:tcPr>
            <w:tcW w:w="2232" w:type="dxa"/>
            <w:shd w:val="clear" w:color="auto" w:fill="F2F5F7"/>
            <w:tcMar>
              <w:top w:w="85" w:type="dxa"/>
              <w:left w:w="95" w:type="dxa"/>
              <w:bottom w:w="85" w:type="dxa"/>
              <w:right w:w="95" w:type="dxa"/>
            </w:tcMar>
            <w:vAlign w:val="center"/>
          </w:tcPr>
          <w:p w14:paraId="47E9DEB2" w14:textId="77777777" w:rsidR="00CE5BE2" w:rsidRDefault="00000000" w:rsidP="0036278A">
            <w:pPr>
              <w:spacing w:after="0" w:line="247" w:lineRule="auto"/>
              <w:jc w:val="both"/>
            </w:pPr>
            <w:r>
              <w:rPr>
                <w:sz w:val="20"/>
              </w:rPr>
              <w:t>One uncertain Kronecker factor</w:t>
            </w:r>
          </w:p>
        </w:tc>
        <w:tc>
          <w:tcPr>
            <w:tcW w:w="3312" w:type="dxa"/>
            <w:shd w:val="clear" w:color="auto" w:fill="F2F5F7"/>
            <w:tcMar>
              <w:top w:w="85" w:type="dxa"/>
              <w:left w:w="95" w:type="dxa"/>
              <w:bottom w:w="85" w:type="dxa"/>
              <w:right w:w="95" w:type="dxa"/>
            </w:tcMar>
            <w:vAlign w:val="center"/>
          </w:tcPr>
          <w:p w14:paraId="72113F88" w14:textId="77777777" w:rsidR="00CE5BE2" w:rsidRDefault="00000000" w:rsidP="0036278A">
            <w:pPr>
              <w:spacing w:after="0" w:line="247" w:lineRule="auto"/>
              <w:jc w:val="both"/>
            </w:pPr>
            <w:r>
              <w:rPr>
                <w:sz w:val="20"/>
              </w:rPr>
              <w:t>Other factor and core are fixed</w:t>
            </w:r>
          </w:p>
        </w:tc>
        <w:tc>
          <w:tcPr>
            <w:tcW w:w="4450" w:type="dxa"/>
            <w:shd w:val="clear" w:color="auto" w:fill="F2F5F7"/>
            <w:tcMar>
              <w:top w:w="85" w:type="dxa"/>
              <w:left w:w="95" w:type="dxa"/>
              <w:bottom w:w="85" w:type="dxa"/>
              <w:right w:w="95" w:type="dxa"/>
            </w:tcMar>
            <w:vAlign w:val="center"/>
          </w:tcPr>
          <w:p w14:paraId="1ABF41B0" w14:textId="77777777" w:rsidR="00CE5BE2" w:rsidRDefault="00000000" w:rsidP="0036278A">
            <w:pPr>
              <w:spacing w:after="0" w:line="247" w:lineRule="auto"/>
              <w:jc w:val="both"/>
            </w:pPr>
            <w:r>
              <w:rPr>
                <w:sz w:val="20"/>
              </w:rPr>
              <w:t>Contract the fixed quantities first, then apply an exact affine interval map.</w:t>
            </w:r>
          </w:p>
        </w:tc>
      </w:tr>
      <w:tr w:rsidR="00CE5BE2" w14:paraId="4D47B7F2" w14:textId="77777777">
        <w:trPr>
          <w:cantSplit/>
          <w:jc w:val="center"/>
        </w:trPr>
        <w:tc>
          <w:tcPr>
            <w:tcW w:w="2232" w:type="dxa"/>
            <w:tcMar>
              <w:top w:w="85" w:type="dxa"/>
              <w:left w:w="95" w:type="dxa"/>
              <w:bottom w:w="85" w:type="dxa"/>
              <w:right w:w="95" w:type="dxa"/>
            </w:tcMar>
            <w:vAlign w:val="center"/>
          </w:tcPr>
          <w:p w14:paraId="7B52759E" w14:textId="77777777" w:rsidR="00CE5BE2" w:rsidRDefault="00000000" w:rsidP="0036278A">
            <w:pPr>
              <w:spacing w:after="0" w:line="247" w:lineRule="auto"/>
              <w:jc w:val="both"/>
            </w:pPr>
            <w:r>
              <w:rPr>
                <w:sz w:val="20"/>
              </w:rPr>
              <w:t>Two signed Kronecker factors</w:t>
            </w:r>
          </w:p>
        </w:tc>
        <w:tc>
          <w:tcPr>
            <w:tcW w:w="3312" w:type="dxa"/>
            <w:tcMar>
              <w:top w:w="85" w:type="dxa"/>
              <w:left w:w="95" w:type="dxa"/>
              <w:bottom w:w="85" w:type="dxa"/>
              <w:right w:w="95" w:type="dxa"/>
            </w:tcMar>
            <w:vAlign w:val="center"/>
          </w:tcPr>
          <w:p w14:paraId="25773ABE" w14:textId="77777777" w:rsidR="00CE5BE2" w:rsidRDefault="00000000" w:rsidP="0036278A">
            <w:pPr>
              <w:spacing w:after="0" w:line="247" w:lineRule="auto"/>
              <w:jc w:val="both"/>
            </w:pPr>
            <w:r>
              <w:rPr>
                <w:sz w:val="20"/>
              </w:rPr>
              <w:t>Fixed nonnegative core; independent factor boxes</w:t>
            </w:r>
          </w:p>
        </w:tc>
        <w:tc>
          <w:tcPr>
            <w:tcW w:w="4450" w:type="dxa"/>
            <w:tcMar>
              <w:top w:w="85" w:type="dxa"/>
              <w:left w:w="95" w:type="dxa"/>
              <w:bottom w:w="85" w:type="dxa"/>
              <w:right w:w="95" w:type="dxa"/>
            </w:tcMar>
            <w:vAlign w:val="center"/>
          </w:tcPr>
          <w:p w14:paraId="6A1546BD" w14:textId="77777777" w:rsidR="00CE5BE2" w:rsidRDefault="00000000" w:rsidP="0036278A">
            <w:pPr>
              <w:spacing w:after="0" w:line="247" w:lineRule="auto"/>
              <w:jc w:val="both"/>
            </w:pPr>
            <w:r>
              <w:rPr>
                <w:sz w:val="20"/>
              </w:rPr>
              <w:t>One minimum cut per output bound; a general signed core is hard.</w:t>
            </w:r>
          </w:p>
        </w:tc>
      </w:tr>
      <w:tr w:rsidR="00CE5BE2" w14:paraId="43DD914A" w14:textId="77777777">
        <w:trPr>
          <w:cantSplit/>
          <w:jc w:val="center"/>
        </w:trPr>
        <w:tc>
          <w:tcPr>
            <w:tcW w:w="2232" w:type="dxa"/>
            <w:shd w:val="clear" w:color="auto" w:fill="F2F5F7"/>
            <w:tcMar>
              <w:top w:w="85" w:type="dxa"/>
              <w:left w:w="95" w:type="dxa"/>
              <w:bottom w:w="85" w:type="dxa"/>
              <w:right w:w="95" w:type="dxa"/>
            </w:tcMar>
            <w:vAlign w:val="center"/>
          </w:tcPr>
          <w:p w14:paraId="53689F59" w14:textId="77777777" w:rsidR="00CE5BE2" w:rsidRDefault="00000000" w:rsidP="0036278A">
            <w:pPr>
              <w:spacing w:after="0" w:line="247" w:lineRule="auto"/>
              <w:jc w:val="both"/>
            </w:pPr>
            <w:r>
              <w:rPr>
                <w:sz w:val="20"/>
              </w:rPr>
              <w:t>Normalized attention</w:t>
            </w:r>
          </w:p>
        </w:tc>
        <w:tc>
          <w:tcPr>
            <w:tcW w:w="3312" w:type="dxa"/>
            <w:shd w:val="clear" w:color="auto" w:fill="F2F5F7"/>
            <w:tcMar>
              <w:top w:w="85" w:type="dxa"/>
              <w:left w:w="95" w:type="dxa"/>
              <w:bottom w:w="85" w:type="dxa"/>
              <w:right w:w="95" w:type="dxa"/>
            </w:tcMar>
            <w:vAlign w:val="center"/>
          </w:tcPr>
          <w:p w14:paraId="6FB5EA67" w14:textId="77777777" w:rsidR="00CE5BE2" w:rsidRDefault="00000000" w:rsidP="0036278A">
            <w:pPr>
              <w:spacing w:after="0" w:line="247" w:lineRule="auto"/>
              <w:jc w:val="both"/>
            </w:pPr>
            <w:r>
              <w:rPr>
                <w:sz w:val="20"/>
              </w:rPr>
              <w:t>Independent score box used as a relaxation</w:t>
            </w:r>
          </w:p>
        </w:tc>
        <w:tc>
          <w:tcPr>
            <w:tcW w:w="4450" w:type="dxa"/>
            <w:shd w:val="clear" w:color="auto" w:fill="F2F5F7"/>
            <w:tcMar>
              <w:top w:w="85" w:type="dxa"/>
              <w:left w:w="95" w:type="dxa"/>
              <w:bottom w:w="85" w:type="dxa"/>
              <w:right w:w="95" w:type="dxa"/>
            </w:tcMar>
            <w:vAlign w:val="center"/>
          </w:tcPr>
          <w:p w14:paraId="30EE5FCA" w14:textId="77777777" w:rsidR="00CE5BE2" w:rsidRDefault="00000000" w:rsidP="0036278A">
            <w:pPr>
              <w:spacing w:after="0" w:line="247" w:lineRule="auto"/>
              <w:jc w:val="both"/>
            </w:pPr>
            <w:r>
              <w:rPr>
                <w:sz w:val="20"/>
              </w:rPr>
              <w:t>Threshold optimization is exact for the box; original shared dependencies remain.</w:t>
            </w:r>
          </w:p>
        </w:tc>
      </w:tr>
    </w:tbl>
    <w:p w14:paraId="261B939C" w14:textId="77777777" w:rsidR="00CE5BE2" w:rsidRDefault="00000000" w:rsidP="0036278A">
      <w:pPr>
        <w:pStyle w:val="BodyText"/>
        <w:spacing w:before="140"/>
        <w:jc w:val="both"/>
      </w:pPr>
      <w:r>
        <w:t xml:space="preserve">For the signed Kronecker case in Table 1, each scalar output is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Xa</m:t>
        </m:r>
      </m:oMath>
      <w:r>
        <w:t xml:space="preserve">. With fixed </w:t>
      </w:r>
      <m:oMath>
        <m:r>
          <w:rPr>
            <w:rFonts w:ascii="Cambria Math" w:hAnsi="Cambria Math"/>
          </w:rPr>
          <m:t>X</m:t>
        </m:r>
        <m:r>
          <m:rPr>
            <m:sty m:val="p"/>
          </m:rPr>
          <w:rPr>
            <w:rFonts w:ascii="Cambria Math" w:hAnsi="Cambria Math"/>
          </w:rPr>
          <m:t>≥</m:t>
        </m:r>
        <m:r>
          <w:rPr>
            <w:rFonts w:ascii="Cambria Math" w:hAnsi="Cambria Math"/>
          </w:rPr>
          <m:t>0</m:t>
        </m:r>
      </m:oMath>
      <w:r>
        <w:t xml:space="preserve">, the vertex problem has nonnegative bipartite pair interactions. Maximization reduces to a graph cut; minimization uses a sign flip on one partition followed by the same construction [11]. Each output and each bound requires its own solve. For a general signed core, computing the corresponding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t>
            </m:r>
          </m:sub>
        </m:sSub>
      </m:oMath>
      <w:r>
        <w:t xml:space="preserve"> to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oMath>
      <w:r>
        <w:t xml:space="preserve"> norm is NP-hard [12]. A minimum-cut witness is consequently a useful exception, not a two-pass replacement for arbitrary signed attention.</w:t>
      </w:r>
    </w:p>
    <w:p w14:paraId="0AFA8557" w14:textId="77777777" w:rsidR="00CE5BE2" w:rsidRDefault="00000000" w:rsidP="0036278A">
      <w:pPr>
        <w:pStyle w:val="Heading1"/>
        <w:jc w:val="both"/>
      </w:pPr>
      <w:bookmarkStart w:id="5" w:name="X838b028277d5736554e5300621c2313ba61c7c4"/>
      <w:bookmarkEnd w:id="1"/>
      <w:bookmarkEnd w:id="4"/>
      <w:r>
        <w:t>3 Evidence reproduced and questions still open</w:t>
      </w:r>
    </w:p>
    <w:p w14:paraId="47DA20E3" w14:textId="77777777" w:rsidR="00CE5BE2" w:rsidRDefault="00000000" w:rsidP="0036278A">
      <w:pPr>
        <w:pStyle w:val="Heading2"/>
        <w:jc w:val="both"/>
      </w:pPr>
      <w:bookmarkStart w:id="6" w:name="Xb668e351946a9156f1ed7997ad8811ced687748"/>
      <w:r>
        <w:t>3.1 Dense positive sums and shrinking margins</w:t>
      </w:r>
    </w:p>
    <w:p w14:paraId="162C8CD8" w14:textId="77777777" w:rsidR="00CE5BE2" w:rsidRDefault="00000000" w:rsidP="0036278A">
      <w:pPr>
        <w:keepNext/>
        <w:jc w:val="both"/>
      </w:pPr>
      <w:r>
        <w:t xml:space="preserve">L1 uses independent random positive weights and ten outputs. Each positive input has entries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=exp</m:t>
        </m:r>
        <m:d>
          <m:dPr>
            <m:ctrlPr>
              <w:rPr>
                <w:rFonts w:ascii="Cambria Math" w:hAnsi="Cambria Math"/>
              </w:rPr>
            </m:ctrlPr>
          </m:dPr>
          <m:e>
            <m:r>
              <w:rPr>
                <w:rFonts w:ascii="Cambria Math" w:hAnsi="Cambria Math"/>
              </w:rPr>
              <m:t>η</m:t>
            </m:r>
            <m:sSub>
              <m:sSubPr>
                <m:ctrlPr>
                  <w:rPr>
                    <w:rFonts w:ascii="Cambria Math" w:hAnsi="Cambria Math"/>
                  </w:rPr>
                </m:ctrlPr>
              </m:sSubPr>
              <m:e>
                <m:r>
                  <w:rPr>
                    <w:rFonts w:ascii="Cambria Math" w:hAnsi="Cambria Math"/>
                  </w:rPr>
                  <m:t>g</m:t>
                </m:r>
              </m:e>
              <m:sub>
                <m:r>
                  <w:rPr>
                    <w:rFonts w:ascii="Cambria Math" w:hAnsi="Cambria Math"/>
                  </w:rPr>
                  <m:t>j</m:t>
                </m:r>
              </m:sub>
            </m:sSub>
          </m:e>
        </m:d>
      </m:oMath>
      <w:r>
        <w:t xml:space="preserve">, and weight log radii are uniform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0.02</m:t>
            </m:r>
          </m:e>
        </m:d>
      </m:oMath>
      <w:r>
        <w:t>. Four weight draws and 300 inputs per draw are used for each cell. For the nominal top output, define</w:t>
      </w:r>
    </w:p>
    <w:p w14:paraId="4623EEEB" w14:textId="77777777" w:rsidR="00CE5BE2" w:rsidRDefault="00000000" w:rsidP="0036278A">
      <w:pPr>
        <w:pStyle w:val="BodyText"/>
        <w:spacing w:before="60" w:after="16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cj</m:t>
                  </m:r>
                </m:sub>
              </m:sSub>
              <m:sSub>
                <m:sSubPr>
                  <m:ctrlPr>
                    <w:rPr>
                      <w:rFonts w:ascii="Cambria Math" w:hAnsi="Cambria Math"/>
                    </w:rPr>
                  </m:ctrlPr>
                </m:sSubPr>
                <m:e>
                  <m:r>
                    <w:rPr>
                      <w:rFonts w:ascii="Cambria Math" w:hAnsi="Cambria Math"/>
                    </w:rPr>
                    <m:t>x</m:t>
                  </m:r>
                </m:e>
                <m:sub>
                  <m:r>
                    <w:rPr>
                      <w:rFonts w:ascii="Cambria Math" w:hAnsi="Cambria Math"/>
                    </w:rPr>
                    <m:t>j</m:t>
                  </m:r>
                </m:sub>
              </m:sSub>
            </m:num>
            <m:den>
              <m:sSub>
                <m:sSubPr>
                  <m:ctrlPr>
                    <w:rPr>
                      <w:rFonts w:ascii="Cambria Math" w:hAnsi="Cambria Math"/>
                    </w:rPr>
                  </m:ctrlPr>
                </m:sSubPr>
                <m:e>
                  <m:r>
                    <w:rPr>
                      <w:rFonts w:ascii="Cambria Math" w:hAnsi="Cambria Math"/>
                    </w:rPr>
                    <m:t>y</m:t>
                  </m:r>
                </m:e>
                <m:sub>
                  <m:r>
                    <w:rPr>
                      <w:rFonts w:ascii="Cambria Math" w:hAnsi="Cambria Math"/>
                    </w:rPr>
                    <m:t>c</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m:rPr>
                  <m:sty m:val="p"/>
                </m:rPr>
                <w:rPr>
                  <w:rFonts w:ascii="Cambria Math" w:hAnsi="Cambria Math"/>
                </w:rPr>
                <m:t>eff</m:t>
              </m:r>
            </m:sub>
          </m:sSub>
          <m:r>
            <m:rPr>
              <m:sty m:val="p"/>
            </m:rPr>
            <w:rPr>
              <w:rFonts w:ascii="Cambria Math" w:hAnsi="Cambria Math"/>
            </w:rPr>
            <m:t>=</m:t>
          </m:r>
          <m:f>
            <m:fPr>
              <m:ctrlPr>
                <w:rPr>
                  <w:rFonts w:ascii="Cambria Math" w:hAnsi="Cambria Math"/>
                </w:rPr>
              </m:ctrlPr>
            </m:fPr>
            <m:num>
              <m:r>
                <w:rPr>
                  <w:rFonts w:ascii="Cambria Math" w:hAnsi="Cambria Math"/>
                </w:rPr>
                <m:t>1</m:t>
              </m:r>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j</m:t>
                      </m:r>
                    </m:sub>
                    <m:sup>
                      <m:r>
                        <w:rPr>
                          <w:rFonts w:ascii="Cambria Math" w:hAnsi="Cambria Math"/>
                        </w:rPr>
                        <m:t>2</m:t>
                      </m:r>
                    </m:sup>
                  </m:sSubSup>
                </m:e>
              </m:nary>
            </m:den>
          </m:f>
          <m:r>
            <m:rPr>
              <m:sty m:val="p"/>
            </m:rPr>
            <w:rPr>
              <w:rFonts w:ascii="Cambria Math" w:hAnsi="Cambria Math"/>
            </w:rPr>
            <m:t>,</m:t>
          </m:r>
          <m:r>
            <w:rPr>
              <w:rFonts w:ascii="Cambria Math" w:hAnsi="Cambria Math"/>
            </w:rPr>
            <m:t>  m</m:t>
          </m:r>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r>
                <w:rPr>
                  <w:rFonts w:ascii="Cambria Math" w:hAnsi="Cambria Math"/>
                </w:rPr>
                <m:t>c</m:t>
              </m:r>
            </m:lim>
          </m:limLow>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6</m:t>
              </m:r>
            </m:e>
          </m:d>
        </m:oMath>
      </m:oMathPara>
    </w:p>
    <w:p w14:paraId="6B918CE7" w14:textId="77777777" w:rsidR="00CE5BE2" w:rsidRDefault="00000000" w:rsidP="0036278A">
      <w:pPr>
        <w:pStyle w:val="Caption"/>
        <w:keepNext/>
        <w:jc w:val="both"/>
      </w:pPr>
      <w:r>
        <w:t>Table 2  Reproduced random positive layer results at three input widths from L1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54"/>
        <w:gridCol w:w="2779"/>
        <w:gridCol w:w="3053"/>
        <w:gridCol w:w="2808"/>
      </w:tblGrid>
      <w:tr w:rsidR="00CE5BE2" w14:paraId="740A474A" w14:textId="77777777">
        <w:trPr>
          <w:cantSplit/>
          <w:tblHeader/>
          <w:jc w:val="center"/>
        </w:trPr>
        <w:tc>
          <w:tcPr>
            <w:tcW w:w="1354" w:type="dxa"/>
            <w:shd w:val="clear" w:color="auto" w:fill="17324D"/>
            <w:tcMar>
              <w:top w:w="85" w:type="dxa"/>
              <w:left w:w="95" w:type="dxa"/>
              <w:bottom w:w="85" w:type="dxa"/>
              <w:right w:w="95" w:type="dxa"/>
            </w:tcMar>
            <w:vAlign w:val="center"/>
          </w:tcPr>
          <w:p w14:paraId="49D76A76" w14:textId="77777777" w:rsidR="00CE5BE2" w:rsidRDefault="00000000" w:rsidP="0036278A">
            <w:pPr>
              <w:spacing w:after="0" w:line="247" w:lineRule="auto"/>
              <w:jc w:val="both"/>
            </w:pPr>
            <w:r>
              <w:rPr>
                <w:b/>
                <w:color w:val="FFFFFF"/>
                <w:sz w:val="20"/>
              </w:rPr>
              <w:t>Input log scale η</w:t>
            </w:r>
          </w:p>
        </w:tc>
        <w:tc>
          <w:tcPr>
            <w:tcW w:w="2779" w:type="dxa"/>
            <w:shd w:val="clear" w:color="auto" w:fill="17324D"/>
            <w:tcMar>
              <w:top w:w="85" w:type="dxa"/>
              <w:left w:w="95" w:type="dxa"/>
              <w:bottom w:w="85" w:type="dxa"/>
              <w:right w:w="95" w:type="dxa"/>
            </w:tcMar>
            <w:vAlign w:val="center"/>
          </w:tcPr>
          <w:p w14:paraId="681C041C" w14:textId="77777777" w:rsidR="00CE5BE2" w:rsidRDefault="00000000" w:rsidP="0036278A">
            <w:pPr>
              <w:spacing w:after="0" w:line="247" w:lineRule="auto"/>
              <w:jc w:val="both"/>
            </w:pPr>
            <w:r>
              <w:rPr>
                <w:b/>
                <w:color w:val="FFFFFF"/>
                <w:sz w:val="20"/>
              </w:rPr>
              <w:t>Median fan in</w:t>
            </w:r>
            <w:r>
              <w:rPr>
                <w:b/>
                <w:color w:val="FFFFFF"/>
                <w:sz w:val="20"/>
              </w:rPr>
              <w:br/>
              <w:t>16 / 256 / 4096</w:t>
            </w:r>
          </w:p>
        </w:tc>
        <w:tc>
          <w:tcPr>
            <w:tcW w:w="3053" w:type="dxa"/>
            <w:shd w:val="clear" w:color="auto" w:fill="17324D"/>
            <w:tcMar>
              <w:top w:w="85" w:type="dxa"/>
              <w:left w:w="95" w:type="dxa"/>
              <w:bottom w:w="85" w:type="dxa"/>
              <w:right w:w="95" w:type="dxa"/>
            </w:tcMar>
            <w:vAlign w:val="center"/>
          </w:tcPr>
          <w:p w14:paraId="15D69ECF" w14:textId="77777777" w:rsidR="00CE5BE2" w:rsidRDefault="00000000" w:rsidP="0036278A">
            <w:pPr>
              <w:spacing w:after="0" w:line="247" w:lineRule="auto"/>
              <w:jc w:val="both"/>
            </w:pPr>
            <w:r>
              <w:rPr>
                <w:b/>
                <w:color w:val="FFFFFF"/>
                <w:sz w:val="20"/>
              </w:rPr>
              <w:t>Median log margin</w:t>
            </w:r>
            <w:r>
              <w:rPr>
                <w:b/>
                <w:color w:val="FFFFFF"/>
                <w:sz w:val="20"/>
              </w:rPr>
              <w:br/>
              <w:t>16 / 256 / 4096</w:t>
            </w:r>
          </w:p>
        </w:tc>
        <w:tc>
          <w:tcPr>
            <w:tcW w:w="2808" w:type="dxa"/>
            <w:shd w:val="clear" w:color="auto" w:fill="17324D"/>
            <w:tcMar>
              <w:top w:w="85" w:type="dxa"/>
              <w:left w:w="95" w:type="dxa"/>
              <w:bottom w:w="85" w:type="dxa"/>
              <w:right w:w="95" w:type="dxa"/>
            </w:tcMar>
            <w:vAlign w:val="center"/>
          </w:tcPr>
          <w:p w14:paraId="65972F9B" w14:textId="77777777" w:rsidR="00CE5BE2" w:rsidRDefault="00000000" w:rsidP="0036278A">
            <w:pPr>
              <w:spacing w:after="0" w:line="247" w:lineRule="auto"/>
              <w:jc w:val="both"/>
            </w:pPr>
            <w:r>
              <w:rPr>
                <w:b/>
                <w:color w:val="FFFFFF"/>
                <w:sz w:val="20"/>
              </w:rPr>
              <w:t>Certified percent</w:t>
            </w:r>
            <w:r>
              <w:rPr>
                <w:b/>
                <w:color w:val="FFFFFF"/>
                <w:sz w:val="20"/>
              </w:rPr>
              <w:br/>
              <w:t>16 / 256 / 4096</w:t>
            </w:r>
          </w:p>
        </w:tc>
      </w:tr>
      <w:tr w:rsidR="00CE5BE2" w14:paraId="58008A40" w14:textId="77777777">
        <w:trPr>
          <w:cantSplit/>
          <w:jc w:val="center"/>
        </w:trPr>
        <w:tc>
          <w:tcPr>
            <w:tcW w:w="1354" w:type="dxa"/>
            <w:tcMar>
              <w:top w:w="85" w:type="dxa"/>
              <w:left w:w="95" w:type="dxa"/>
              <w:bottom w:w="85" w:type="dxa"/>
              <w:right w:w="95" w:type="dxa"/>
            </w:tcMar>
            <w:vAlign w:val="center"/>
          </w:tcPr>
          <w:p w14:paraId="495DD6FF" w14:textId="77777777" w:rsidR="00CE5BE2" w:rsidRDefault="00000000" w:rsidP="0036278A">
            <w:pPr>
              <w:spacing w:after="0" w:line="247" w:lineRule="auto"/>
              <w:jc w:val="both"/>
            </w:pPr>
            <w:r>
              <w:rPr>
                <w:sz w:val="20"/>
              </w:rPr>
              <w:t>0.25</w:t>
            </w:r>
          </w:p>
        </w:tc>
        <w:tc>
          <w:tcPr>
            <w:tcW w:w="2779" w:type="dxa"/>
            <w:tcMar>
              <w:top w:w="85" w:type="dxa"/>
              <w:left w:w="95" w:type="dxa"/>
              <w:bottom w:w="85" w:type="dxa"/>
              <w:right w:w="95" w:type="dxa"/>
            </w:tcMar>
            <w:vAlign w:val="center"/>
          </w:tcPr>
          <w:p w14:paraId="300DCAE1" w14:textId="77777777" w:rsidR="00CE5BE2" w:rsidRDefault="00000000" w:rsidP="0036278A">
            <w:pPr>
              <w:spacing w:after="0" w:line="247" w:lineRule="auto"/>
              <w:jc w:val="both"/>
            </w:pPr>
            <w:r>
              <w:rPr>
                <w:sz w:val="20"/>
              </w:rPr>
              <w:t>11.9 / 183.1 / 2999.5</w:t>
            </w:r>
          </w:p>
        </w:tc>
        <w:tc>
          <w:tcPr>
            <w:tcW w:w="3053" w:type="dxa"/>
            <w:tcMar>
              <w:top w:w="85" w:type="dxa"/>
              <w:left w:w="95" w:type="dxa"/>
              <w:bottom w:w="85" w:type="dxa"/>
              <w:right w:w="95" w:type="dxa"/>
            </w:tcMar>
            <w:vAlign w:val="center"/>
          </w:tcPr>
          <w:p w14:paraId="1C2CF634" w14:textId="77777777" w:rsidR="00CE5BE2" w:rsidRDefault="00000000" w:rsidP="0036278A">
            <w:pPr>
              <w:spacing w:after="0" w:line="247" w:lineRule="auto"/>
              <w:jc w:val="both"/>
            </w:pPr>
            <w:r>
              <w:rPr>
                <w:sz w:val="20"/>
              </w:rPr>
              <w:t>0.0833 / 0.0094 / 0.0044</w:t>
            </w:r>
          </w:p>
        </w:tc>
        <w:tc>
          <w:tcPr>
            <w:tcW w:w="2808" w:type="dxa"/>
            <w:tcMar>
              <w:top w:w="85" w:type="dxa"/>
              <w:left w:w="95" w:type="dxa"/>
              <w:bottom w:w="85" w:type="dxa"/>
              <w:right w:w="95" w:type="dxa"/>
            </w:tcMar>
            <w:vAlign w:val="center"/>
          </w:tcPr>
          <w:p w14:paraId="03EDE1EA" w14:textId="77777777" w:rsidR="00CE5BE2" w:rsidRDefault="00000000" w:rsidP="0036278A">
            <w:pPr>
              <w:spacing w:after="0" w:line="247" w:lineRule="auto"/>
              <w:jc w:val="both"/>
            </w:pPr>
            <w:r>
              <w:rPr>
                <w:sz w:val="20"/>
              </w:rPr>
              <w:t>90.1 / 17.2 / 0.0</w:t>
            </w:r>
          </w:p>
        </w:tc>
      </w:tr>
      <w:tr w:rsidR="00CE5BE2" w14:paraId="49EF78DB" w14:textId="77777777">
        <w:trPr>
          <w:cantSplit/>
          <w:jc w:val="center"/>
        </w:trPr>
        <w:tc>
          <w:tcPr>
            <w:tcW w:w="1354" w:type="dxa"/>
            <w:shd w:val="clear" w:color="auto" w:fill="F2F5F7"/>
            <w:tcMar>
              <w:top w:w="85" w:type="dxa"/>
              <w:left w:w="95" w:type="dxa"/>
              <w:bottom w:w="85" w:type="dxa"/>
              <w:right w:w="95" w:type="dxa"/>
            </w:tcMar>
            <w:vAlign w:val="center"/>
          </w:tcPr>
          <w:p w14:paraId="27C49497" w14:textId="77777777" w:rsidR="00CE5BE2" w:rsidRDefault="00000000" w:rsidP="0036278A">
            <w:pPr>
              <w:spacing w:after="0" w:line="247" w:lineRule="auto"/>
              <w:jc w:val="both"/>
            </w:pPr>
            <w:r>
              <w:rPr>
                <w:sz w:val="20"/>
              </w:rPr>
              <w:t>1.00</w:t>
            </w:r>
          </w:p>
        </w:tc>
        <w:tc>
          <w:tcPr>
            <w:tcW w:w="2779" w:type="dxa"/>
            <w:shd w:val="clear" w:color="auto" w:fill="F2F5F7"/>
            <w:tcMar>
              <w:top w:w="85" w:type="dxa"/>
              <w:left w:w="95" w:type="dxa"/>
              <w:bottom w:w="85" w:type="dxa"/>
              <w:right w:w="95" w:type="dxa"/>
            </w:tcMar>
            <w:vAlign w:val="center"/>
          </w:tcPr>
          <w:p w14:paraId="3B852871" w14:textId="77777777" w:rsidR="00CE5BE2" w:rsidRDefault="00000000" w:rsidP="0036278A">
            <w:pPr>
              <w:spacing w:after="0" w:line="247" w:lineRule="auto"/>
              <w:jc w:val="both"/>
            </w:pPr>
            <w:r>
              <w:rPr>
                <w:sz w:val="20"/>
              </w:rPr>
              <w:t>6.0 / 74.0 / 1131.8</w:t>
            </w:r>
          </w:p>
        </w:tc>
        <w:tc>
          <w:tcPr>
            <w:tcW w:w="3053" w:type="dxa"/>
            <w:shd w:val="clear" w:color="auto" w:fill="F2F5F7"/>
            <w:tcMar>
              <w:top w:w="85" w:type="dxa"/>
              <w:left w:w="95" w:type="dxa"/>
              <w:bottom w:w="85" w:type="dxa"/>
              <w:right w:w="95" w:type="dxa"/>
            </w:tcMar>
            <w:vAlign w:val="center"/>
          </w:tcPr>
          <w:p w14:paraId="7E6D4ABE" w14:textId="77777777" w:rsidR="00CE5BE2" w:rsidRDefault="00000000" w:rsidP="0036278A">
            <w:pPr>
              <w:spacing w:after="0" w:line="247" w:lineRule="auto"/>
              <w:jc w:val="both"/>
            </w:pPr>
            <w:r>
              <w:rPr>
                <w:sz w:val="20"/>
              </w:rPr>
              <w:t>0.0747 / 0.0250 / 0.0061</w:t>
            </w:r>
          </w:p>
        </w:tc>
        <w:tc>
          <w:tcPr>
            <w:tcW w:w="2808" w:type="dxa"/>
            <w:shd w:val="clear" w:color="auto" w:fill="F2F5F7"/>
            <w:tcMar>
              <w:top w:w="85" w:type="dxa"/>
              <w:left w:w="95" w:type="dxa"/>
              <w:bottom w:w="85" w:type="dxa"/>
              <w:right w:w="95" w:type="dxa"/>
            </w:tcMar>
            <w:vAlign w:val="center"/>
          </w:tcPr>
          <w:p w14:paraId="41D9571B" w14:textId="77777777" w:rsidR="00CE5BE2" w:rsidRDefault="00000000" w:rsidP="0036278A">
            <w:pPr>
              <w:spacing w:after="0" w:line="247" w:lineRule="auto"/>
              <w:jc w:val="both"/>
            </w:pPr>
            <w:r>
              <w:rPr>
                <w:sz w:val="20"/>
              </w:rPr>
              <w:t>82.4 / 58.5 / 5.4</w:t>
            </w:r>
          </w:p>
        </w:tc>
      </w:tr>
      <w:tr w:rsidR="00CE5BE2" w14:paraId="634B40B6" w14:textId="77777777">
        <w:trPr>
          <w:cantSplit/>
          <w:jc w:val="center"/>
        </w:trPr>
        <w:tc>
          <w:tcPr>
            <w:tcW w:w="1354" w:type="dxa"/>
            <w:tcMar>
              <w:top w:w="85" w:type="dxa"/>
              <w:left w:w="95" w:type="dxa"/>
              <w:bottom w:w="85" w:type="dxa"/>
              <w:right w:w="95" w:type="dxa"/>
            </w:tcMar>
            <w:vAlign w:val="center"/>
          </w:tcPr>
          <w:p w14:paraId="02FC3F6E" w14:textId="77777777" w:rsidR="00CE5BE2" w:rsidRDefault="00000000" w:rsidP="0036278A">
            <w:pPr>
              <w:spacing w:after="0" w:line="247" w:lineRule="auto"/>
              <w:jc w:val="both"/>
            </w:pPr>
            <w:r>
              <w:rPr>
                <w:sz w:val="20"/>
              </w:rPr>
              <w:t>4.00</w:t>
            </w:r>
          </w:p>
        </w:tc>
        <w:tc>
          <w:tcPr>
            <w:tcW w:w="2779" w:type="dxa"/>
            <w:tcMar>
              <w:top w:w="85" w:type="dxa"/>
              <w:left w:w="95" w:type="dxa"/>
              <w:bottom w:w="85" w:type="dxa"/>
              <w:right w:w="95" w:type="dxa"/>
            </w:tcMar>
            <w:vAlign w:val="center"/>
          </w:tcPr>
          <w:p w14:paraId="221A1895" w14:textId="77777777" w:rsidR="00CE5BE2" w:rsidRDefault="00000000" w:rsidP="0036278A">
            <w:pPr>
              <w:spacing w:after="0" w:line="247" w:lineRule="auto"/>
              <w:jc w:val="both"/>
            </w:pPr>
            <w:r>
              <w:rPr>
                <w:sz w:val="20"/>
              </w:rPr>
              <w:t>1.4 / 2.4 / 4.5</w:t>
            </w:r>
          </w:p>
        </w:tc>
        <w:tc>
          <w:tcPr>
            <w:tcW w:w="3053" w:type="dxa"/>
            <w:tcMar>
              <w:top w:w="85" w:type="dxa"/>
              <w:left w:w="95" w:type="dxa"/>
              <w:bottom w:w="85" w:type="dxa"/>
              <w:right w:w="95" w:type="dxa"/>
            </w:tcMar>
            <w:vAlign w:val="center"/>
          </w:tcPr>
          <w:p w14:paraId="5E2DD9C1" w14:textId="77777777" w:rsidR="00CE5BE2" w:rsidRDefault="00000000" w:rsidP="0036278A">
            <w:pPr>
              <w:spacing w:after="0" w:line="247" w:lineRule="auto"/>
              <w:jc w:val="both"/>
            </w:pPr>
            <w:r>
              <w:rPr>
                <w:sz w:val="20"/>
              </w:rPr>
              <w:t>0.1590 / 0.1320 / 0.0920</w:t>
            </w:r>
          </w:p>
        </w:tc>
        <w:tc>
          <w:tcPr>
            <w:tcW w:w="2808" w:type="dxa"/>
            <w:tcMar>
              <w:top w:w="85" w:type="dxa"/>
              <w:left w:w="95" w:type="dxa"/>
              <w:bottom w:w="85" w:type="dxa"/>
              <w:right w:w="95" w:type="dxa"/>
            </w:tcMar>
            <w:vAlign w:val="center"/>
          </w:tcPr>
          <w:p w14:paraId="2007B8DA" w14:textId="77777777" w:rsidR="00CE5BE2" w:rsidRDefault="00000000" w:rsidP="0036278A">
            <w:pPr>
              <w:spacing w:after="0" w:line="247" w:lineRule="auto"/>
              <w:jc w:val="both"/>
            </w:pPr>
            <w:r>
              <w:rPr>
                <w:sz w:val="20"/>
              </w:rPr>
              <w:t>90.2 / 88.9 / 86.0</w:t>
            </w:r>
          </w:p>
        </w:tc>
      </w:tr>
    </w:tbl>
    <w:p w14:paraId="58FE64D3" w14:textId="77777777" w:rsidR="00CE5BE2" w:rsidRDefault="00000000" w:rsidP="0036278A">
      <w:pPr>
        <w:pStyle w:val="BodyText"/>
        <w:spacing w:before="140"/>
        <w:jc w:val="both"/>
      </w:pPr>
      <w:r>
        <w:t>At small input log range, comparable positive terms average together and output margins contract. At large log range, a few terms dominate and the random-layer certificates remain useful. This is evidence for a tradeoff in these draws, not a theorem that all trained positive networks must choose between accumulation and certification.</w:t>
      </w:r>
    </w:p>
    <w:p w14:paraId="326EE345" w14:textId="77777777" w:rsidR="00CE5BE2" w:rsidRDefault="00000000" w:rsidP="0036278A">
      <w:pPr>
        <w:pStyle w:val="BodyText"/>
        <w:jc w:val="both"/>
      </w:pPr>
      <w:r>
        <w:lastRenderedPageBreak/>
        <w:t>The signed control reports 89.2%, 76.2%, and 15.5% certification, but uses uniform rather than lognormal inputs and margins in different units. It cannot establish a matched superiority claim. P1 uses identical examples and explicitly defined perturbation budgets across architectures. Random-layer percentages also share only four weight draws; treating all 1200 predictions as independent training seeds would overstate replication.</w:t>
      </w:r>
    </w:p>
    <w:p w14:paraId="6311A821" w14:textId="77777777" w:rsidR="00CE5BE2" w:rsidRDefault="00000000" w:rsidP="0036278A">
      <w:pPr>
        <w:keepNext/>
        <w:jc w:val="both"/>
      </w:pPr>
      <w:r>
        <w:rPr>
          <w:noProof/>
        </w:rPr>
        <w:drawing>
          <wp:inline distT="0" distB="0" distL="0" distR="0" wp14:anchorId="3C2FB85E" wp14:editId="0DC0B436">
            <wp:extent cx="6309360" cy="2587292"/>
            <wp:effectExtent l="0" t="0" r="0" b="0"/>
            <wp:docPr id="1" name="Picture 1" descr="Reproduced L1 results. Certification falls for dense comparable positive contributions as width rises; wide input log range keeps high certification with low effective fa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offs.png"/>
                    <pic:cNvPicPr/>
                  </pic:nvPicPr>
                  <pic:blipFill>
                    <a:blip r:embed="rId8"/>
                    <a:stretch>
                      <a:fillRect/>
                    </a:stretch>
                  </pic:blipFill>
                  <pic:spPr>
                    <a:xfrm>
                      <a:off x="0" y="0"/>
                      <a:ext cx="6309360" cy="2587292"/>
                    </a:xfrm>
                    <a:prstGeom prst="rect">
                      <a:avLst/>
                    </a:prstGeom>
                  </pic:spPr>
                </pic:pic>
              </a:graphicData>
            </a:graphic>
          </wp:inline>
        </w:drawing>
      </w:r>
    </w:p>
    <w:p w14:paraId="376BE091" w14:textId="77777777" w:rsidR="00CE5BE2" w:rsidRDefault="00000000" w:rsidP="0036278A">
      <w:pPr>
        <w:pStyle w:val="Caption"/>
        <w:jc w:val="both"/>
      </w:pPr>
      <w:r>
        <w:t>Figure 1  Random positive layers from L1. Each point pools four weight draws and 300 inputs per draw. Lines connect tested widths and show no trained-model result. η controls input log range, not a learned attention temperature.</w:t>
      </w:r>
    </w:p>
    <w:p w14:paraId="4092E7B4" w14:textId="77777777" w:rsidR="00CE5BE2" w:rsidRDefault="00000000" w:rsidP="0036278A">
      <w:pPr>
        <w:pStyle w:val="Heading2"/>
        <w:jc w:val="both"/>
      </w:pPr>
      <w:bookmarkStart w:id="7" w:name="fan-in-is-not-independent-evidence"/>
      <w:bookmarkEnd w:id="6"/>
      <w:r>
        <w:t>3.2 Fan in is not independent evidence</w:t>
      </w:r>
    </w:p>
    <w:p w14:paraId="5ECFB3BD" w14:textId="77777777" w:rsidR="00CE5BE2" w:rsidRDefault="00000000" w:rsidP="0036278A">
      <w:pPr>
        <w:jc w:val="both"/>
      </w:pPr>
      <w:r>
        <w:t xml:space="preserve">Participation ratios can be inflated by replication. Replace every positive term </w:t>
      </w:r>
      <m:oMath>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by </w:t>
      </w:r>
      <m:oMath>
        <m:r>
          <w:rPr>
            <w:rFonts w:ascii="Cambria Math" w:hAnsi="Cambria Math"/>
          </w:rPr>
          <m:t>r</m:t>
        </m:r>
      </m:oMath>
      <w:r>
        <w:t xml:space="preserve"> identical copies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r</m:t>
        </m:r>
      </m:oMath>
      <w:r>
        <w:t xml:space="preserve">. The output and its margins remain unchanged, while the participation ratio becomes </w:t>
      </w:r>
      <m:oMath>
        <m:r>
          <w:rPr>
            <w:rFonts w:ascii="Cambria Math" w:hAnsi="Cambria Math"/>
          </w:rPr>
          <m:t>r</m:t>
        </m:r>
        <m:sSub>
          <m:sSubPr>
            <m:ctrlPr>
              <w:rPr>
                <w:rFonts w:ascii="Cambria Math" w:hAnsi="Cambria Math"/>
              </w:rPr>
            </m:ctrlPr>
          </m:sSubPr>
          <m:e>
            <m:r>
              <w:rPr>
                <w:rFonts w:ascii="Cambria Math" w:hAnsi="Cambria Math"/>
              </w:rPr>
              <m:t>n</m:t>
            </m:r>
          </m:e>
          <m:sub>
            <m:r>
              <m:rPr>
                <m:sty m:val="p"/>
              </m:rPr>
              <w:rPr>
                <w:rFonts w:ascii="Cambria Math" w:hAnsi="Cambria Math"/>
              </w:rPr>
              <m:t>eff</m:t>
            </m:r>
          </m:sub>
        </m:sSub>
      </m:oMath>
      <w:r>
        <w:t>. The additional check changes fan-in from 2.632 to 168.421 by making 64 copies, with exactly the same output. Grouping the copies restores 2.632.</w:t>
      </w:r>
    </w:p>
    <w:p w14:paraId="612F4136" w14:textId="77777777" w:rsidR="00CE5BE2" w:rsidRDefault="00000000" w:rsidP="0036278A">
      <w:pPr>
        <w:pStyle w:val="BodyText"/>
        <w:jc w:val="both"/>
      </w:pPr>
      <w:r>
        <w:t xml:space="preserve">P1 will report local fan-in, a duplication-invariant grouped fan-in, and performance on a task that requires several independently generated evidence blocks. For groups </w:t>
      </w:r>
      <m:oMath>
        <m:r>
          <w:rPr>
            <w:rFonts w:ascii="Cambria Math" w:hAnsi="Cambria Math"/>
          </w:rPr>
          <m:t>G</m:t>
        </m:r>
      </m:oMath>
      <w:r>
        <w:t xml:space="preserve">, use </w:t>
      </w:r>
      <m:oMath>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oMath>
      <w:r>
        <w:t xml:space="preserve"> and </w:t>
      </w:r>
      <m:oMath>
        <m:sSub>
          <m:sSubPr>
            <m:ctrlPr>
              <w:rPr>
                <w:rFonts w:ascii="Cambria Math" w:hAnsi="Cambria Math"/>
              </w:rPr>
            </m:ctrlPr>
          </m:sSubPr>
          <m:e>
            <m:r>
              <w:rPr>
                <w:rFonts w:ascii="Cambria Math" w:hAnsi="Cambria Math"/>
              </w:rPr>
              <m:t>n</m:t>
            </m:r>
          </m:e>
          <m:sub>
            <m:r>
              <m:rPr>
                <m:sty m:val="p"/>
              </m:rPr>
              <w:rPr>
                <w:rFonts w:ascii="Cambria Math" w:hAnsi="Cambria Math"/>
              </w:rPr>
              <m:t>group</m:t>
            </m:r>
          </m:sub>
        </m:sSub>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G</m:t>
                </m:r>
              </m:sub>
              <m:sup>
                <m:r>
                  <w:rPr>
                    <w:rFonts w:ascii="Cambria Math" w:hAnsi="Cambria Math"/>
                  </w:rPr>
                  <m:t>2</m:t>
                </m:r>
              </m:sup>
            </m:sSubSup>
          </m:e>
        </m:nary>
      </m:oMath>
      <w:r>
        <w:t>. Exact duplicates have known groups; learned features require a declared grouping procedure and a sensitivity analysis. A covariance heuristic alone is not proof of independent evidence.</w:t>
      </w:r>
    </w:p>
    <w:p w14:paraId="6CE58F81" w14:textId="77777777" w:rsidR="00CE5BE2" w:rsidRDefault="00000000" w:rsidP="0036278A">
      <w:pPr>
        <w:pStyle w:val="BodyText"/>
        <w:keepNext/>
        <w:jc w:val="both"/>
      </w:pPr>
      <w:r>
        <w:t xml:space="preserve">Input dynamic range </w:t>
      </w:r>
      <m:oMath>
        <m:r>
          <w:rPr>
            <w:rFonts w:ascii="Cambria Math" w:hAnsi="Cambria Math"/>
          </w:rPr>
          <m:t>η</m:t>
        </m:r>
      </m:oMath>
      <w:r>
        <w:t xml:space="preserve">, the temperature </w:t>
      </w:r>
      <m:oMath>
        <m:r>
          <w:rPr>
            <w:rFonts w:ascii="Cambria Math" w:hAnsi="Cambria Math"/>
          </w:rPr>
          <m:t>T</m:t>
        </m:r>
      </m:oMath>
      <w:r>
        <w:t xml:space="preserve"> inside a log-sum-exp layer, and the output or attention inverse temperature </w:t>
      </w:r>
      <m:oMath>
        <m:r>
          <w:rPr>
            <w:rFonts w:ascii="Cambria Math" w:hAnsi="Cambria Math"/>
          </w:rPr>
          <m:t>τ</m:t>
        </m:r>
      </m:oMath>
      <w:r>
        <w:t xml:space="preserve"> are distinct controls. For</w:t>
      </w:r>
    </w:p>
    <w:p w14:paraId="3DBF2E5E" w14:textId="77777777" w:rsidR="00CE5BE2" w:rsidRDefault="00000000" w:rsidP="0036278A">
      <w:pPr>
        <w:pStyle w:val="BodyText"/>
        <w:spacing w:before="60" w:after="160"/>
        <w:jc w:val="both"/>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exp</m:t>
              </m:r>
            </m:e>
          </m:nary>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kj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num>
                <m:den>
                  <m:r>
                    <w:rPr>
                      <w:rFonts w:ascii="Cambria Math" w:hAnsi="Cambria Math"/>
                    </w:rPr>
                    <m:t>T</m:t>
                  </m:r>
                </m:den>
              </m:f>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m:t>
              </m:r>
            </m:e>
          </m:d>
        </m:oMath>
      </m:oMathPara>
    </w:p>
    <w:p w14:paraId="6A629234" w14:textId="77777777" w:rsidR="00CE5BE2" w:rsidRDefault="00000000" w:rsidP="0036278A">
      <w:pPr>
        <w:jc w:val="both"/>
      </w:pPr>
      <w:r>
        <w:t xml:space="preserve">the derivatives with respect to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form a probability vector, and </w:t>
      </w:r>
      <m:oMath>
        <m:r>
          <w:rPr>
            <w:rFonts w:ascii="Cambria Math" w:hAnsi="Cambria Math"/>
          </w:rPr>
          <m:t>T</m:t>
        </m:r>
        <m:r>
          <m:rPr>
            <m:sty m:val="p"/>
          </m:rPr>
          <w:rPr>
            <w:rFonts w:ascii="Cambria Math" w:hAnsi="Cambria Math"/>
          </w:rPr>
          <m:t>→</m:t>
        </m:r>
        <m:r>
          <w:rPr>
            <w:rFonts w:ascii="Cambria Math" w:hAnsi="Cambria Math"/>
          </w:rPr>
          <m:t>0</m:t>
        </m:r>
      </m:oMath>
      <w:r>
        <w:t xml:space="preserve"> selects a maximum when the maximizing term is unique. In contrast, scaling all final logits by </w:t>
      </w:r>
      <m:oMath>
        <m:r>
          <w:rPr>
            <w:rFonts w:ascii="Cambria Math" w:hAnsi="Cambria Math"/>
          </w:rPr>
          <m:t>τ</m:t>
        </m:r>
      </m:oMath>
      <w:r>
        <w:t xml:space="preserve"> changes confidence but preserves both the winner and the sign of Equation 5. It cannot manufacture a robust decision margin relative to the same transformed interval.</w:t>
      </w:r>
    </w:p>
    <w:p w14:paraId="628FCEB9" w14:textId="77777777" w:rsidR="00CE5BE2" w:rsidRDefault="00000000" w:rsidP="0036278A">
      <w:pPr>
        <w:pStyle w:val="Heading2"/>
        <w:jc w:val="both"/>
      </w:pPr>
      <w:bookmarkStart w:id="8" w:name="signed-logarithmic-arithmetic"/>
      <w:bookmarkEnd w:id="7"/>
      <w:r>
        <w:lastRenderedPageBreak/>
        <w:t>3.3 Signed logarithmic arithmetic</w:t>
      </w:r>
    </w:p>
    <w:p w14:paraId="41FA7662" w14:textId="77777777" w:rsidR="00CE5BE2" w:rsidRDefault="00000000" w:rsidP="0036278A">
      <w:pPr>
        <w:keepNext/>
        <w:jc w:val="both"/>
      </w:pPr>
      <w:r>
        <w:t xml:space="preserve">For a signed sum </w:t>
      </w:r>
      <m:oMath>
        <m:r>
          <w:rPr>
            <w:rFonts w:ascii="Cambria Math" w:hAnsi="Cambria Math"/>
          </w:rPr>
          <m:t>P</m:t>
        </m:r>
        <m:r>
          <m:rPr>
            <m:sty m:val="p"/>
          </m:rPr>
          <w:rPr>
            <w:rFonts w:ascii="Cambria Math" w:hAnsi="Cambria Math"/>
          </w:rPr>
          <m:t>-</m:t>
        </m:r>
        <m:r>
          <w:rPr>
            <w:rFonts w:ascii="Cambria Math" w:hAnsi="Cambria Math"/>
          </w:rPr>
          <m:t>N</m:t>
        </m:r>
      </m:oMath>
      <w:r>
        <w:t xml:space="preserve"> whose independent positive partial sums have log radius </w:t>
      </w:r>
      <m:oMath>
        <m:r>
          <w:rPr>
            <w:rFonts w:ascii="Cambria Math" w:hAnsi="Cambria Math"/>
          </w:rPr>
          <m:t>ρ</m:t>
        </m:r>
      </m:oMath>
      <w:r>
        <w:t xml:space="preserve">, the exact output width is </w:t>
      </w:r>
      <m:oMath>
        <m:r>
          <w:rPr>
            <w:rFonts w:ascii="Cambria Math" w:hAnsi="Cambria Math"/>
          </w:rPr>
          <m:t>2</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N</m:t>
            </m:r>
          </m:e>
        </m:d>
        <m:r>
          <m:rPr>
            <m:sty m:val="p"/>
          </m:rPr>
          <w:rPr>
            <w:rFonts w:ascii="Cambria Math" w:hAnsi="Cambria Math"/>
          </w:rPr>
          <m:t>sinh</m:t>
        </m:r>
        <m:r>
          <w:rPr>
            <w:rFonts w:ascii="Cambria Math" w:hAnsi="Cambria Math"/>
          </w:rPr>
          <m:t>ρ</m:t>
        </m:r>
      </m:oMath>
      <w:r>
        <w:t>. Relative to the nominal nonzero result, it is amplified by</w:t>
      </w:r>
    </w:p>
    <w:p w14:paraId="409C6C03" w14:textId="77777777" w:rsidR="00CE5BE2" w:rsidRDefault="00000000" w:rsidP="0036278A">
      <w:pPr>
        <w:pStyle w:val="BodyText"/>
        <w:spacing w:before="60" w:after="160"/>
        <w:jc w:val="both"/>
      </w:pPr>
      <m:oMathPara>
        <m:oMathParaPr>
          <m:jc m:val="center"/>
        </m:oMathParaPr>
        <m:oMath>
          <m:r>
            <w:rPr>
              <w:rFonts w:ascii="Cambria Math" w:hAnsi="Cambria Math"/>
            </w:rPr>
            <m:t>κ</m:t>
          </m:r>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N</m:t>
              </m:r>
            </m:num>
            <m:den>
              <m:d>
                <m:dPr>
                  <m:begChr m:val="|"/>
                  <m:endChr m:val="|"/>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N</m:t>
                  </m:r>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m:t>
              </m:r>
            </m:e>
          </m:d>
        </m:oMath>
      </m:oMathPara>
    </w:p>
    <w:p w14:paraId="4BE883D5" w14:textId="77777777" w:rsidR="00CE5BE2" w:rsidRDefault="00000000" w:rsidP="0036278A">
      <w:pPr>
        <w:jc w:val="both"/>
      </w:pPr>
      <w:r>
        <w:t xml:space="preserve">For products of independent standard normal variables, the large-dimension median is approximately </w:t>
      </w:r>
      <m:oMath>
        <m:r>
          <w:rPr>
            <w:rFonts w:ascii="Cambria Math" w:hAnsi="Cambria Math"/>
          </w:rPr>
          <m:t>0.944</m:t>
        </m:r>
        <m:rad>
          <m:radPr>
            <m:degHide m:val="1"/>
            <m:ctrlPr>
              <w:rPr>
                <w:rFonts w:ascii="Cambria Math" w:hAnsi="Cambria Math"/>
              </w:rPr>
            </m:ctrlPr>
          </m:radPr>
          <m:deg/>
          <m:e>
            <m:r>
              <w:rPr>
                <w:rFonts w:ascii="Cambria Math" w:hAnsi="Cambria Math"/>
              </w:rPr>
              <m:t>d</m:t>
            </m:r>
          </m:e>
        </m:rad>
      </m:oMath>
      <w:r>
        <w:t>. This is a distribution-specific asymptotic statement. Signed layers can still be certified when cancellation is mild or precision is high; positivity is a sufficient structural route, not a necessary one.</w:t>
      </w:r>
    </w:p>
    <w:p w14:paraId="32166CEE" w14:textId="77777777" w:rsidR="00CE5BE2" w:rsidRDefault="00000000" w:rsidP="0036278A">
      <w:pPr>
        <w:pStyle w:val="BodyText"/>
        <w:jc w:val="both"/>
      </w:pPr>
      <w:r>
        <w:t xml:space="preserve">L2 rounds product magnitudes on a log grid of step </w:t>
      </w:r>
      <m:oMath>
        <m:r>
          <w:rPr>
            <w:rFonts w:ascii="Cambria Math" w:hAnsi="Cambria Math"/>
          </w:rPr>
          <m:t>1</m:t>
        </m:r>
        <m:r>
          <m:rPr>
            <m:sty m:val="p"/>
          </m:rPr>
          <w:rPr>
            <w:rFonts w:ascii="Cambria Math" w:hAnsi="Cambria Math"/>
          </w:rPr>
          <m:t>/</m:t>
        </m:r>
        <m:r>
          <w:rPr>
            <w:rFonts w:ascii="Cambria Math" w:hAnsi="Cambria Math"/>
          </w:rPr>
          <m:t>16</m:t>
        </m:r>
      </m:oMath>
      <w:r>
        <w:t xml:space="preserve"> nat. At </w:t>
      </w:r>
      <m:oMath>
        <m:r>
          <w:rPr>
            <w:rFonts w:ascii="Cambria Math" w:hAnsi="Cambria Math"/>
          </w:rPr>
          <m:t>d</m:t>
        </m:r>
        <m:r>
          <m:rPr>
            <m:sty m:val="p"/>
          </m:rPr>
          <w:rPr>
            <w:rFonts w:ascii="Cambria Math" w:hAnsi="Cambria Math"/>
          </w:rPr>
          <m:t>=</m:t>
        </m:r>
        <m:r>
          <w:rPr>
            <w:rFonts w:ascii="Cambria Math" w:hAnsi="Cambria Math"/>
          </w:rPr>
          <m:t>4096</m:t>
        </m:r>
      </m:oMath>
      <w:r>
        <w:t>, rounding the two partial sums once to that grid gives exactly zero in 43.9% of samples; rounding after every sequential log-add gives 22.9%. The median relative error is 1 in both cases. With accurate partial-sum accumulation, the median is only 0.01786. This simulation concerns a specified arithmetic path, not a measured failure rate of a trained YAKAL model. LNS arithmetic still needs log-add, approximation tables, conversion handling, and suitable accumulators [6,7].</w:t>
      </w:r>
    </w:p>
    <w:p w14:paraId="215DA52E" w14:textId="77777777" w:rsidR="00CE5BE2" w:rsidRDefault="00000000" w:rsidP="0036278A">
      <w:pPr>
        <w:pStyle w:val="Heading2"/>
        <w:jc w:val="both"/>
      </w:pPr>
      <w:bookmarkStart w:id="9" w:name="the-ten-checks-and-the-added-controls"/>
      <w:bookmarkEnd w:id="8"/>
      <w:r>
        <w:t>3.4 The ten checks and the added controls</w:t>
      </w:r>
    </w:p>
    <w:p w14:paraId="20968A76" w14:textId="77777777" w:rsidR="00CE5BE2" w:rsidRDefault="00000000" w:rsidP="0036278A">
      <w:pPr>
        <w:pStyle w:val="Caption"/>
        <w:keepNext/>
        <w:jc w:val="both"/>
      </w:pPr>
      <w:r>
        <w:t>Table 3  Executed checks and the claim each supports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42"/>
        <w:gridCol w:w="4176"/>
        <w:gridCol w:w="4176"/>
      </w:tblGrid>
      <w:tr w:rsidR="00CE5BE2" w14:paraId="7B1AEC28" w14:textId="77777777">
        <w:trPr>
          <w:cantSplit/>
          <w:tblHeader/>
          <w:jc w:val="center"/>
        </w:trPr>
        <w:tc>
          <w:tcPr>
            <w:tcW w:w="1642" w:type="dxa"/>
            <w:shd w:val="clear" w:color="auto" w:fill="17324D"/>
            <w:tcMar>
              <w:top w:w="85" w:type="dxa"/>
              <w:left w:w="95" w:type="dxa"/>
              <w:bottom w:w="85" w:type="dxa"/>
              <w:right w:w="95" w:type="dxa"/>
            </w:tcMar>
            <w:vAlign w:val="center"/>
          </w:tcPr>
          <w:p w14:paraId="4A4AA5E9" w14:textId="77777777" w:rsidR="00CE5BE2" w:rsidRDefault="00000000" w:rsidP="0036278A">
            <w:pPr>
              <w:spacing w:after="0" w:line="247" w:lineRule="auto"/>
              <w:jc w:val="both"/>
            </w:pPr>
            <w:r>
              <w:rPr>
                <w:b/>
                <w:color w:val="FFFFFF"/>
                <w:sz w:val="20"/>
              </w:rPr>
              <w:t>Check</w:t>
            </w:r>
          </w:p>
        </w:tc>
        <w:tc>
          <w:tcPr>
            <w:tcW w:w="4176" w:type="dxa"/>
            <w:shd w:val="clear" w:color="auto" w:fill="17324D"/>
            <w:tcMar>
              <w:top w:w="85" w:type="dxa"/>
              <w:left w:w="95" w:type="dxa"/>
              <w:bottom w:w="85" w:type="dxa"/>
              <w:right w:w="95" w:type="dxa"/>
            </w:tcMar>
            <w:vAlign w:val="center"/>
          </w:tcPr>
          <w:p w14:paraId="2CCBBBB4" w14:textId="77777777" w:rsidR="00CE5BE2" w:rsidRDefault="00000000" w:rsidP="0036278A">
            <w:pPr>
              <w:spacing w:after="0" w:line="247" w:lineRule="auto"/>
              <w:jc w:val="both"/>
            </w:pPr>
            <w:r>
              <w:rPr>
                <w:b/>
                <w:color w:val="FFFFFF"/>
                <w:sz w:val="20"/>
              </w:rPr>
              <w:t>Reproduced result</w:t>
            </w:r>
          </w:p>
        </w:tc>
        <w:tc>
          <w:tcPr>
            <w:tcW w:w="4176" w:type="dxa"/>
            <w:shd w:val="clear" w:color="auto" w:fill="17324D"/>
            <w:tcMar>
              <w:top w:w="85" w:type="dxa"/>
              <w:left w:w="95" w:type="dxa"/>
              <w:bottom w:w="85" w:type="dxa"/>
              <w:right w:w="95" w:type="dxa"/>
            </w:tcMar>
            <w:vAlign w:val="center"/>
          </w:tcPr>
          <w:p w14:paraId="1EECBCFD" w14:textId="77777777" w:rsidR="00CE5BE2" w:rsidRDefault="00000000" w:rsidP="0036278A">
            <w:pPr>
              <w:spacing w:after="0" w:line="247" w:lineRule="auto"/>
              <w:jc w:val="both"/>
            </w:pPr>
            <w:r>
              <w:rPr>
                <w:b/>
                <w:color w:val="FFFFFF"/>
                <w:sz w:val="20"/>
              </w:rPr>
              <w:t>Interpretation</w:t>
            </w:r>
          </w:p>
        </w:tc>
      </w:tr>
      <w:tr w:rsidR="00CE5BE2" w14:paraId="7E993810" w14:textId="77777777">
        <w:trPr>
          <w:cantSplit/>
          <w:jc w:val="center"/>
        </w:trPr>
        <w:tc>
          <w:tcPr>
            <w:tcW w:w="1642" w:type="dxa"/>
            <w:tcMar>
              <w:top w:w="85" w:type="dxa"/>
              <w:left w:w="95" w:type="dxa"/>
              <w:bottom w:w="85" w:type="dxa"/>
              <w:right w:w="95" w:type="dxa"/>
            </w:tcMar>
            <w:vAlign w:val="center"/>
          </w:tcPr>
          <w:p w14:paraId="52E2A7DA" w14:textId="77777777" w:rsidR="00CE5BE2" w:rsidRDefault="00000000" w:rsidP="0036278A">
            <w:pPr>
              <w:spacing w:after="0" w:line="247" w:lineRule="auto"/>
              <w:jc w:val="both"/>
            </w:pPr>
            <w:r>
              <w:rPr>
                <w:sz w:val="20"/>
              </w:rPr>
              <w:t>L1  Width and margins</w:t>
            </w:r>
          </w:p>
        </w:tc>
        <w:tc>
          <w:tcPr>
            <w:tcW w:w="4176" w:type="dxa"/>
            <w:tcMar>
              <w:top w:w="85" w:type="dxa"/>
              <w:left w:w="95" w:type="dxa"/>
              <w:bottom w:w="85" w:type="dxa"/>
              <w:right w:w="95" w:type="dxa"/>
            </w:tcMar>
            <w:vAlign w:val="center"/>
          </w:tcPr>
          <w:p w14:paraId="5C4E30A2" w14:textId="77777777" w:rsidR="00CE5BE2" w:rsidRDefault="00000000" w:rsidP="0036278A">
            <w:pPr>
              <w:spacing w:after="0" w:line="247" w:lineRule="auto"/>
              <w:jc w:val="both"/>
            </w:pPr>
            <w:r>
              <w:rPr>
                <w:sz w:val="20"/>
              </w:rPr>
              <w:t>Dense positive certification 90.1% → 0.0%; wide log range 90.2% → 86.0%</w:t>
            </w:r>
          </w:p>
        </w:tc>
        <w:tc>
          <w:tcPr>
            <w:tcW w:w="4176" w:type="dxa"/>
            <w:tcMar>
              <w:top w:w="85" w:type="dxa"/>
              <w:left w:w="95" w:type="dxa"/>
              <w:bottom w:w="85" w:type="dxa"/>
              <w:right w:w="95" w:type="dxa"/>
            </w:tcMar>
            <w:vAlign w:val="center"/>
          </w:tcPr>
          <w:p w14:paraId="3EAC99E8" w14:textId="77777777" w:rsidR="00CE5BE2" w:rsidRDefault="00000000" w:rsidP="0036278A">
            <w:pPr>
              <w:spacing w:after="0" w:line="247" w:lineRule="auto"/>
              <w:jc w:val="both"/>
            </w:pPr>
            <w:r>
              <w:rPr>
                <w:sz w:val="20"/>
              </w:rPr>
              <w:t>Random one-layer models; not trained classification accuracy.</w:t>
            </w:r>
          </w:p>
        </w:tc>
      </w:tr>
      <w:tr w:rsidR="00CE5BE2" w14:paraId="2FD00A5D" w14:textId="77777777">
        <w:trPr>
          <w:cantSplit/>
          <w:jc w:val="center"/>
        </w:trPr>
        <w:tc>
          <w:tcPr>
            <w:tcW w:w="1642" w:type="dxa"/>
            <w:shd w:val="clear" w:color="auto" w:fill="F2F5F7"/>
            <w:tcMar>
              <w:top w:w="85" w:type="dxa"/>
              <w:left w:w="95" w:type="dxa"/>
              <w:bottom w:w="85" w:type="dxa"/>
              <w:right w:w="95" w:type="dxa"/>
            </w:tcMar>
            <w:vAlign w:val="center"/>
          </w:tcPr>
          <w:p w14:paraId="5708B566" w14:textId="77777777" w:rsidR="00CE5BE2" w:rsidRDefault="00000000" w:rsidP="0036278A">
            <w:pPr>
              <w:spacing w:after="0" w:line="247" w:lineRule="auto"/>
              <w:jc w:val="both"/>
            </w:pPr>
            <w:r>
              <w:rPr>
                <w:sz w:val="20"/>
              </w:rPr>
              <w:t>L2  Cancellation</w:t>
            </w:r>
          </w:p>
        </w:tc>
        <w:tc>
          <w:tcPr>
            <w:tcW w:w="4176" w:type="dxa"/>
            <w:shd w:val="clear" w:color="auto" w:fill="F2F5F7"/>
            <w:tcMar>
              <w:top w:w="85" w:type="dxa"/>
              <w:left w:w="95" w:type="dxa"/>
              <w:bottom w:w="85" w:type="dxa"/>
              <w:right w:w="95" w:type="dxa"/>
            </w:tcMar>
            <w:vAlign w:val="center"/>
          </w:tcPr>
          <w:p w14:paraId="0423E000" w14:textId="77777777" w:rsidR="00CE5BE2" w:rsidRDefault="00000000" w:rsidP="0036278A">
            <w:pPr>
              <w:spacing w:after="0" w:line="247" w:lineRule="auto"/>
              <w:jc w:val="both"/>
            </w:pPr>
            <w:r>
              <w:rPr>
                <w:sz w:val="20"/>
              </w:rPr>
              <w:t>43.9% zero scores at d = 4096 under once-rounded partial sums</w:t>
            </w:r>
          </w:p>
        </w:tc>
        <w:tc>
          <w:tcPr>
            <w:tcW w:w="4176" w:type="dxa"/>
            <w:shd w:val="clear" w:color="auto" w:fill="F2F5F7"/>
            <w:tcMar>
              <w:top w:w="85" w:type="dxa"/>
              <w:left w:w="95" w:type="dxa"/>
              <w:bottom w:w="85" w:type="dxa"/>
              <w:right w:w="95" w:type="dxa"/>
            </w:tcMar>
            <w:vAlign w:val="center"/>
          </w:tcPr>
          <w:p w14:paraId="6F552096" w14:textId="77777777" w:rsidR="00CE5BE2" w:rsidRDefault="00000000" w:rsidP="0036278A">
            <w:pPr>
              <w:spacing w:after="0" w:line="247" w:lineRule="auto"/>
              <w:jc w:val="both"/>
            </w:pPr>
            <w:r>
              <w:rPr>
                <w:sz w:val="20"/>
              </w:rPr>
              <w:t>Specific log grid and accumulator policy.</w:t>
            </w:r>
          </w:p>
        </w:tc>
      </w:tr>
      <w:tr w:rsidR="00CE5BE2" w14:paraId="218CA1C8" w14:textId="77777777">
        <w:trPr>
          <w:cantSplit/>
          <w:jc w:val="center"/>
        </w:trPr>
        <w:tc>
          <w:tcPr>
            <w:tcW w:w="1642" w:type="dxa"/>
            <w:tcMar>
              <w:top w:w="85" w:type="dxa"/>
              <w:left w:w="95" w:type="dxa"/>
              <w:bottom w:w="85" w:type="dxa"/>
              <w:right w:w="95" w:type="dxa"/>
            </w:tcMar>
            <w:vAlign w:val="center"/>
          </w:tcPr>
          <w:p w14:paraId="5B2A4C9A" w14:textId="77777777" w:rsidR="00CE5BE2" w:rsidRDefault="00000000" w:rsidP="0036278A">
            <w:pPr>
              <w:spacing w:after="0" w:line="247" w:lineRule="auto"/>
              <w:jc w:val="both"/>
            </w:pPr>
            <w:r>
              <w:rPr>
                <w:sz w:val="20"/>
              </w:rPr>
              <w:t>L3  Opponent decks</w:t>
            </w:r>
          </w:p>
        </w:tc>
        <w:tc>
          <w:tcPr>
            <w:tcW w:w="4176" w:type="dxa"/>
            <w:tcMar>
              <w:top w:w="85" w:type="dxa"/>
              <w:left w:w="95" w:type="dxa"/>
              <w:bottom w:w="85" w:type="dxa"/>
              <w:right w:w="95" w:type="dxa"/>
            </w:tcMar>
            <w:vAlign w:val="center"/>
          </w:tcPr>
          <w:p w14:paraId="00C9A058" w14:textId="77777777" w:rsidR="00CE5BE2" w:rsidRDefault="00000000" w:rsidP="0036278A">
            <w:pPr>
              <w:spacing w:after="0" w:line="247" w:lineRule="auto"/>
              <w:jc w:val="both"/>
            </w:pPr>
            <w:r>
              <w:rPr>
                <w:sz w:val="20"/>
              </w:rPr>
              <w:t>Threshold solver matches 4096 input vertices; zero reported log gap</w:t>
            </w:r>
          </w:p>
        </w:tc>
        <w:tc>
          <w:tcPr>
            <w:tcW w:w="4176" w:type="dxa"/>
            <w:tcMar>
              <w:top w:w="85" w:type="dxa"/>
              <w:left w:w="95" w:type="dxa"/>
              <w:bottom w:w="85" w:type="dxa"/>
              <w:right w:w="95" w:type="dxa"/>
            </w:tcMar>
            <w:vAlign w:val="center"/>
          </w:tcPr>
          <w:p w14:paraId="5218EEC3" w14:textId="77777777" w:rsidR="00CE5BE2" w:rsidRDefault="00000000" w:rsidP="0036278A">
            <w:pPr>
              <w:spacing w:after="0" w:line="247" w:lineRule="auto"/>
              <w:jc w:val="both"/>
            </w:pPr>
            <w:r>
              <w:rPr>
                <w:sz w:val="20"/>
              </w:rPr>
              <w:t>Linear decks and prescribed channel aggregation.</w:t>
            </w:r>
          </w:p>
        </w:tc>
      </w:tr>
      <w:tr w:rsidR="00CE5BE2" w14:paraId="70E3AA63" w14:textId="77777777">
        <w:trPr>
          <w:cantSplit/>
          <w:jc w:val="center"/>
        </w:trPr>
        <w:tc>
          <w:tcPr>
            <w:tcW w:w="1642" w:type="dxa"/>
            <w:shd w:val="clear" w:color="auto" w:fill="F2F5F7"/>
            <w:tcMar>
              <w:top w:w="85" w:type="dxa"/>
              <w:left w:w="95" w:type="dxa"/>
              <w:bottom w:w="85" w:type="dxa"/>
              <w:right w:w="95" w:type="dxa"/>
            </w:tcMar>
            <w:vAlign w:val="center"/>
          </w:tcPr>
          <w:p w14:paraId="2B274D06" w14:textId="77777777" w:rsidR="00CE5BE2" w:rsidRDefault="00000000" w:rsidP="0036278A">
            <w:pPr>
              <w:spacing w:after="0" w:line="247" w:lineRule="auto"/>
              <w:jc w:val="both"/>
            </w:pPr>
            <w:r>
              <w:rPr>
                <w:sz w:val="20"/>
              </w:rPr>
              <w:t>L4  Kronecker range</w:t>
            </w:r>
          </w:p>
        </w:tc>
        <w:tc>
          <w:tcPr>
            <w:tcW w:w="4176" w:type="dxa"/>
            <w:shd w:val="clear" w:color="auto" w:fill="F2F5F7"/>
            <w:tcMar>
              <w:top w:w="85" w:type="dxa"/>
              <w:left w:w="95" w:type="dxa"/>
              <w:bottom w:w="85" w:type="dxa"/>
              <w:right w:w="95" w:type="dxa"/>
            </w:tcMar>
            <w:vAlign w:val="center"/>
          </w:tcPr>
          <w:p w14:paraId="1DC2B114" w14:textId="77777777" w:rsidR="00CE5BE2" w:rsidRDefault="00000000" w:rsidP="0036278A">
            <w:pPr>
              <w:spacing w:after="0" w:line="247" w:lineRule="auto"/>
              <w:jc w:val="both"/>
            </w:pPr>
            <w:r>
              <w:rPr>
                <w:sz w:val="20"/>
              </w:rPr>
              <w:t>Minimum-cut error ≤ 3.6 × 10⁻¹⁵ against enumeration</w:t>
            </w:r>
          </w:p>
        </w:tc>
        <w:tc>
          <w:tcPr>
            <w:tcW w:w="4176" w:type="dxa"/>
            <w:shd w:val="clear" w:color="auto" w:fill="F2F5F7"/>
            <w:tcMar>
              <w:top w:w="85" w:type="dxa"/>
              <w:left w:w="95" w:type="dxa"/>
              <w:bottom w:w="85" w:type="dxa"/>
              <w:right w:w="95" w:type="dxa"/>
            </w:tcMar>
            <w:vAlign w:val="center"/>
          </w:tcPr>
          <w:p w14:paraId="51101432" w14:textId="77777777" w:rsidR="00CE5BE2" w:rsidRDefault="00000000" w:rsidP="0036278A">
            <w:pPr>
              <w:spacing w:after="0" w:line="247" w:lineRule="auto"/>
              <w:jc w:val="both"/>
            </w:pPr>
            <w:r>
              <w:rPr>
                <w:sz w:val="20"/>
              </w:rPr>
              <w:t>Fixed nonnegative core for the cut construction.</w:t>
            </w:r>
          </w:p>
        </w:tc>
      </w:tr>
      <w:tr w:rsidR="00CE5BE2" w14:paraId="4BB96D24" w14:textId="77777777">
        <w:trPr>
          <w:cantSplit/>
          <w:jc w:val="center"/>
        </w:trPr>
        <w:tc>
          <w:tcPr>
            <w:tcW w:w="1642" w:type="dxa"/>
            <w:tcMar>
              <w:top w:w="85" w:type="dxa"/>
              <w:left w:w="95" w:type="dxa"/>
              <w:bottom w:w="85" w:type="dxa"/>
              <w:right w:w="95" w:type="dxa"/>
            </w:tcMar>
            <w:vAlign w:val="center"/>
          </w:tcPr>
          <w:p w14:paraId="690C8B34" w14:textId="77777777" w:rsidR="00CE5BE2" w:rsidRDefault="00000000" w:rsidP="0036278A">
            <w:pPr>
              <w:spacing w:after="0" w:line="247" w:lineRule="auto"/>
              <w:jc w:val="both"/>
            </w:pPr>
            <w:r>
              <w:rPr>
                <w:sz w:val="20"/>
              </w:rPr>
              <w:t>L5  Quantization</w:t>
            </w:r>
          </w:p>
        </w:tc>
        <w:tc>
          <w:tcPr>
            <w:tcW w:w="4176" w:type="dxa"/>
            <w:tcMar>
              <w:top w:w="85" w:type="dxa"/>
              <w:left w:w="95" w:type="dxa"/>
              <w:bottom w:w="85" w:type="dxa"/>
              <w:right w:w="95" w:type="dxa"/>
            </w:tcMar>
            <w:vAlign w:val="center"/>
          </w:tcPr>
          <w:p w14:paraId="214531D2" w14:textId="77777777" w:rsidR="00CE5BE2" w:rsidRDefault="00000000" w:rsidP="0036278A">
            <w:pPr>
              <w:spacing w:after="0" w:line="247" w:lineRule="auto"/>
              <w:jc w:val="both"/>
            </w:pPr>
            <w:r>
              <w:rPr>
                <w:sz w:val="20"/>
              </w:rPr>
              <w:t>10.2% certified at 6 bits; 88.8% at 10 bits</w:t>
            </w:r>
          </w:p>
        </w:tc>
        <w:tc>
          <w:tcPr>
            <w:tcW w:w="4176" w:type="dxa"/>
            <w:tcMar>
              <w:top w:w="85" w:type="dxa"/>
              <w:left w:w="95" w:type="dxa"/>
              <w:bottom w:w="85" w:type="dxa"/>
              <w:right w:w="95" w:type="dxa"/>
            </w:tcMar>
            <w:vAlign w:val="center"/>
          </w:tcPr>
          <w:p w14:paraId="7694F64A" w14:textId="77777777" w:rsidR="00CE5BE2" w:rsidRDefault="00000000" w:rsidP="0036278A">
            <w:pPr>
              <w:spacing w:after="0" w:line="247" w:lineRule="auto"/>
              <w:jc w:val="both"/>
            </w:pPr>
            <w:r>
              <w:rPr>
                <w:sz w:val="20"/>
              </w:rPr>
              <w:t>Retention of the original synthetic readout decision.</w:t>
            </w:r>
          </w:p>
        </w:tc>
      </w:tr>
      <w:tr w:rsidR="00CE5BE2" w14:paraId="134BE2C0" w14:textId="77777777">
        <w:trPr>
          <w:cantSplit/>
          <w:jc w:val="center"/>
        </w:trPr>
        <w:tc>
          <w:tcPr>
            <w:tcW w:w="1642" w:type="dxa"/>
            <w:shd w:val="clear" w:color="auto" w:fill="F2F5F7"/>
            <w:tcMar>
              <w:top w:w="85" w:type="dxa"/>
              <w:left w:w="95" w:type="dxa"/>
              <w:bottom w:w="85" w:type="dxa"/>
              <w:right w:w="95" w:type="dxa"/>
            </w:tcMar>
            <w:vAlign w:val="center"/>
          </w:tcPr>
          <w:p w14:paraId="239CEC73" w14:textId="77777777" w:rsidR="00CE5BE2" w:rsidRDefault="00000000" w:rsidP="0036278A">
            <w:pPr>
              <w:spacing w:after="0" w:line="247" w:lineRule="auto"/>
              <w:jc w:val="both"/>
            </w:pPr>
            <w:r>
              <w:rPr>
                <w:sz w:val="20"/>
              </w:rPr>
              <w:t>L6  Risk preference</w:t>
            </w:r>
          </w:p>
        </w:tc>
        <w:tc>
          <w:tcPr>
            <w:tcW w:w="4176" w:type="dxa"/>
            <w:shd w:val="clear" w:color="auto" w:fill="F2F5F7"/>
            <w:tcMar>
              <w:top w:w="85" w:type="dxa"/>
              <w:left w:w="95" w:type="dxa"/>
              <w:bottom w:w="85" w:type="dxa"/>
              <w:right w:w="95" w:type="dxa"/>
            </w:tcMar>
            <w:vAlign w:val="center"/>
          </w:tcPr>
          <w:p w14:paraId="5627C09B" w14:textId="77777777" w:rsidR="00CE5BE2" w:rsidRDefault="00000000" w:rsidP="0036278A">
            <w:pPr>
              <w:spacing w:after="0" w:line="247" w:lineRule="auto"/>
              <w:jc w:val="both"/>
            </w:pPr>
            <w:r>
              <w:rPr>
                <w:sz w:val="20"/>
              </w:rPr>
              <w:t>Two-point CE at β = −400 and 400: 0.2017 and 0.6983</w:t>
            </w:r>
          </w:p>
        </w:tc>
        <w:tc>
          <w:tcPr>
            <w:tcW w:w="4176" w:type="dxa"/>
            <w:shd w:val="clear" w:color="auto" w:fill="F2F5F7"/>
            <w:tcMar>
              <w:top w:w="85" w:type="dxa"/>
              <w:left w:w="95" w:type="dxa"/>
              <w:bottom w:w="85" w:type="dxa"/>
              <w:right w:w="95" w:type="dxa"/>
            </w:tcMar>
            <w:vAlign w:val="center"/>
          </w:tcPr>
          <w:p w14:paraId="4E14E96D" w14:textId="77777777" w:rsidR="00CE5BE2" w:rsidRDefault="00000000" w:rsidP="0036278A">
            <w:pPr>
              <w:spacing w:after="0" w:line="247" w:lineRule="auto"/>
              <w:jc w:val="both"/>
            </w:pPr>
            <w:r>
              <w:rPr>
                <w:sz w:val="20"/>
              </w:rPr>
              <w:t>A fixed outcome law; not a robust control solution.</w:t>
            </w:r>
          </w:p>
        </w:tc>
      </w:tr>
      <w:tr w:rsidR="00CE5BE2" w14:paraId="1BB67DB1" w14:textId="77777777">
        <w:trPr>
          <w:cantSplit/>
          <w:jc w:val="center"/>
        </w:trPr>
        <w:tc>
          <w:tcPr>
            <w:tcW w:w="1642" w:type="dxa"/>
            <w:tcMar>
              <w:top w:w="85" w:type="dxa"/>
              <w:left w:w="95" w:type="dxa"/>
              <w:bottom w:w="85" w:type="dxa"/>
              <w:right w:w="95" w:type="dxa"/>
            </w:tcMar>
            <w:vAlign w:val="center"/>
          </w:tcPr>
          <w:p w14:paraId="6146A5A8" w14:textId="77777777" w:rsidR="00CE5BE2" w:rsidRDefault="00000000" w:rsidP="0036278A">
            <w:pPr>
              <w:spacing w:after="0" w:line="247" w:lineRule="auto"/>
              <w:jc w:val="both"/>
            </w:pPr>
            <w:r>
              <w:rPr>
                <w:sz w:val="20"/>
              </w:rPr>
              <w:t>L7  Local goodness</w:t>
            </w:r>
          </w:p>
        </w:tc>
        <w:tc>
          <w:tcPr>
            <w:tcW w:w="4176" w:type="dxa"/>
            <w:tcMar>
              <w:top w:w="85" w:type="dxa"/>
              <w:left w:w="95" w:type="dxa"/>
              <w:bottom w:w="85" w:type="dxa"/>
              <w:right w:w="95" w:type="dxa"/>
            </w:tcMar>
            <w:vAlign w:val="center"/>
          </w:tcPr>
          <w:p w14:paraId="6E4E09ED" w14:textId="77777777" w:rsidR="00CE5BE2" w:rsidRDefault="00000000" w:rsidP="0036278A">
            <w:pPr>
              <w:spacing w:after="0" w:line="247" w:lineRule="auto"/>
              <w:jc w:val="both"/>
            </w:pPr>
            <w:r>
              <w:rPr>
                <w:sz w:val="20"/>
              </w:rPr>
              <w:t>Endpoint gap 1.4 × 10⁻¹⁴; 95% separation scale 0.3471</w:t>
            </w:r>
          </w:p>
        </w:tc>
        <w:tc>
          <w:tcPr>
            <w:tcW w:w="4176" w:type="dxa"/>
            <w:tcMar>
              <w:top w:w="85" w:type="dxa"/>
              <w:left w:w="95" w:type="dxa"/>
              <w:bottom w:w="85" w:type="dxa"/>
              <w:right w:w="95" w:type="dxa"/>
            </w:tcMar>
            <w:vAlign w:val="center"/>
          </w:tcPr>
          <w:p w14:paraId="42DFB884" w14:textId="77777777" w:rsidR="00CE5BE2" w:rsidRDefault="00000000" w:rsidP="0036278A">
            <w:pPr>
              <w:spacing w:after="0" w:line="247" w:lineRule="auto"/>
              <w:jc w:val="both"/>
            </w:pPr>
            <w:r>
              <w:rPr>
                <w:sz w:val="20"/>
              </w:rPr>
              <w:t>Constructed goodness labels; local radius search.</w:t>
            </w:r>
          </w:p>
        </w:tc>
      </w:tr>
      <w:tr w:rsidR="00CE5BE2" w14:paraId="2ADA299E" w14:textId="77777777">
        <w:trPr>
          <w:cantSplit/>
          <w:jc w:val="center"/>
        </w:trPr>
        <w:tc>
          <w:tcPr>
            <w:tcW w:w="1642" w:type="dxa"/>
            <w:shd w:val="clear" w:color="auto" w:fill="F2F5F7"/>
            <w:tcMar>
              <w:top w:w="85" w:type="dxa"/>
              <w:left w:w="95" w:type="dxa"/>
              <w:bottom w:w="85" w:type="dxa"/>
              <w:right w:w="95" w:type="dxa"/>
            </w:tcMar>
            <w:vAlign w:val="center"/>
          </w:tcPr>
          <w:p w14:paraId="4300ABB1" w14:textId="77777777" w:rsidR="00CE5BE2" w:rsidRDefault="00000000" w:rsidP="0036278A">
            <w:pPr>
              <w:spacing w:after="0" w:line="247" w:lineRule="auto"/>
              <w:jc w:val="both"/>
            </w:pPr>
            <w:r>
              <w:rPr>
                <w:sz w:val="20"/>
              </w:rPr>
              <w:t>L8  KP LNN body</w:t>
            </w:r>
          </w:p>
        </w:tc>
        <w:tc>
          <w:tcPr>
            <w:tcW w:w="4176" w:type="dxa"/>
            <w:shd w:val="clear" w:color="auto" w:fill="F2F5F7"/>
            <w:tcMar>
              <w:top w:w="85" w:type="dxa"/>
              <w:left w:w="95" w:type="dxa"/>
              <w:bottom w:w="85" w:type="dxa"/>
              <w:right w:w="95" w:type="dxa"/>
            </w:tcMar>
            <w:vAlign w:val="center"/>
          </w:tcPr>
          <w:p w14:paraId="0BC78E94" w14:textId="77777777" w:rsidR="00CE5BE2" w:rsidRDefault="00000000" w:rsidP="0036278A">
            <w:pPr>
              <w:spacing w:after="0" w:line="247" w:lineRule="auto"/>
              <w:jc w:val="both"/>
            </w:pPr>
            <w:r>
              <w:rPr>
                <w:sz w:val="20"/>
              </w:rPr>
              <w:t>25 outputs each locally depend on one of 9 inputs</w:t>
            </w:r>
          </w:p>
        </w:tc>
        <w:tc>
          <w:tcPr>
            <w:tcW w:w="4176" w:type="dxa"/>
            <w:shd w:val="clear" w:color="auto" w:fill="F2F5F7"/>
            <w:tcMar>
              <w:top w:w="85" w:type="dxa"/>
              <w:left w:w="95" w:type="dxa"/>
              <w:bottom w:w="85" w:type="dxa"/>
              <w:right w:w="95" w:type="dxa"/>
            </w:tcMar>
            <w:vAlign w:val="center"/>
          </w:tcPr>
          <w:p w14:paraId="01B57F1D" w14:textId="77777777" w:rsidR="00CE5BE2" w:rsidRDefault="00000000" w:rsidP="0036278A">
            <w:pPr>
              <w:spacing w:after="0" w:line="247" w:lineRule="auto"/>
              <w:jc w:val="both"/>
            </w:pPr>
            <w:r>
              <w:rPr>
                <w:sz w:val="20"/>
              </w:rPr>
              <w:t>Fixed selection region; ties need separate handling.</w:t>
            </w:r>
          </w:p>
        </w:tc>
      </w:tr>
      <w:tr w:rsidR="00CE5BE2" w14:paraId="70734F03" w14:textId="77777777">
        <w:trPr>
          <w:cantSplit/>
          <w:jc w:val="center"/>
        </w:trPr>
        <w:tc>
          <w:tcPr>
            <w:tcW w:w="1642" w:type="dxa"/>
            <w:tcMar>
              <w:top w:w="85" w:type="dxa"/>
              <w:left w:w="95" w:type="dxa"/>
              <w:bottom w:w="85" w:type="dxa"/>
              <w:right w:w="95" w:type="dxa"/>
            </w:tcMar>
            <w:vAlign w:val="center"/>
          </w:tcPr>
          <w:p w14:paraId="0E7B6114" w14:textId="77777777" w:rsidR="00CE5BE2" w:rsidRDefault="00000000" w:rsidP="0036278A">
            <w:pPr>
              <w:spacing w:after="0" w:line="247" w:lineRule="auto"/>
              <w:jc w:val="both"/>
            </w:pPr>
            <w:r>
              <w:rPr>
                <w:sz w:val="20"/>
              </w:rPr>
              <w:t>L9  Sleep update</w:t>
            </w:r>
          </w:p>
        </w:tc>
        <w:tc>
          <w:tcPr>
            <w:tcW w:w="4176" w:type="dxa"/>
            <w:tcMar>
              <w:top w:w="85" w:type="dxa"/>
              <w:left w:w="95" w:type="dxa"/>
              <w:bottom w:w="85" w:type="dxa"/>
              <w:right w:w="95" w:type="dxa"/>
            </w:tcMar>
            <w:vAlign w:val="center"/>
          </w:tcPr>
          <w:p w14:paraId="2E47FC1B" w14:textId="77777777" w:rsidR="00CE5BE2" w:rsidRDefault="00000000" w:rsidP="0036278A">
            <w:pPr>
              <w:spacing w:after="0" w:line="247" w:lineRule="auto"/>
              <w:jc w:val="both"/>
            </w:pPr>
            <w:r>
              <w:rPr>
                <w:sz w:val="20"/>
              </w:rPr>
              <w:t>Log repair residual 0.0250 for gains; 0.9808 for the adapter</w:t>
            </w:r>
          </w:p>
        </w:tc>
        <w:tc>
          <w:tcPr>
            <w:tcW w:w="4176" w:type="dxa"/>
            <w:tcMar>
              <w:top w:w="85" w:type="dxa"/>
              <w:left w:w="95" w:type="dxa"/>
              <w:bottom w:w="85" w:type="dxa"/>
              <w:right w:w="95" w:type="dxa"/>
            </w:tcMar>
            <w:vAlign w:val="center"/>
          </w:tcPr>
          <w:p w14:paraId="1A9F685C" w14:textId="77777777" w:rsidR="00CE5BE2" w:rsidRDefault="00000000" w:rsidP="0036278A">
            <w:pPr>
              <w:spacing w:after="0" w:line="247" w:lineRule="auto"/>
              <w:jc w:val="both"/>
            </w:pPr>
            <w:r>
              <w:rPr>
                <w:sz w:val="20"/>
              </w:rPr>
              <w:t>Residual divided by update norm; two constructed changes.</w:t>
            </w:r>
          </w:p>
        </w:tc>
      </w:tr>
      <w:tr w:rsidR="00CE5BE2" w14:paraId="5C00152D" w14:textId="77777777">
        <w:trPr>
          <w:cantSplit/>
          <w:jc w:val="center"/>
        </w:trPr>
        <w:tc>
          <w:tcPr>
            <w:tcW w:w="1642" w:type="dxa"/>
            <w:shd w:val="clear" w:color="auto" w:fill="F2F5F7"/>
            <w:tcMar>
              <w:top w:w="85" w:type="dxa"/>
              <w:left w:w="95" w:type="dxa"/>
              <w:bottom w:w="85" w:type="dxa"/>
              <w:right w:w="95" w:type="dxa"/>
            </w:tcMar>
            <w:vAlign w:val="center"/>
          </w:tcPr>
          <w:p w14:paraId="12AB0BC5" w14:textId="77777777" w:rsidR="00CE5BE2" w:rsidRDefault="00000000" w:rsidP="0036278A">
            <w:pPr>
              <w:spacing w:after="0" w:line="247" w:lineRule="auto"/>
              <w:jc w:val="both"/>
            </w:pPr>
            <w:r>
              <w:rPr>
                <w:sz w:val="20"/>
              </w:rPr>
              <w:t>L10  Positive attention</w:t>
            </w:r>
          </w:p>
        </w:tc>
        <w:tc>
          <w:tcPr>
            <w:tcW w:w="4176" w:type="dxa"/>
            <w:shd w:val="clear" w:color="auto" w:fill="F2F5F7"/>
            <w:tcMar>
              <w:top w:w="85" w:type="dxa"/>
              <w:left w:w="95" w:type="dxa"/>
              <w:bottom w:w="85" w:type="dxa"/>
              <w:right w:w="95" w:type="dxa"/>
            </w:tcMar>
            <w:vAlign w:val="center"/>
          </w:tcPr>
          <w:p w14:paraId="46EF4AC6" w14:textId="77777777" w:rsidR="00CE5BE2" w:rsidRDefault="00000000" w:rsidP="0036278A">
            <w:pPr>
              <w:spacing w:after="0" w:line="247" w:lineRule="auto"/>
              <w:jc w:val="both"/>
            </w:pPr>
            <w:r>
              <w:rPr>
                <w:sz w:val="20"/>
              </w:rPr>
              <w:t>Score log radius 4ρ; TV bound 0.15865 at ρ = 0.02, τ = 4</w:t>
            </w:r>
          </w:p>
        </w:tc>
        <w:tc>
          <w:tcPr>
            <w:tcW w:w="4176" w:type="dxa"/>
            <w:shd w:val="clear" w:color="auto" w:fill="F2F5F7"/>
            <w:tcMar>
              <w:top w:w="85" w:type="dxa"/>
              <w:left w:w="95" w:type="dxa"/>
              <w:bottom w:w="85" w:type="dxa"/>
              <w:right w:w="95" w:type="dxa"/>
            </w:tcMar>
            <w:vAlign w:val="center"/>
          </w:tcPr>
          <w:p w14:paraId="65146F56" w14:textId="77777777" w:rsidR="00CE5BE2" w:rsidRDefault="00000000" w:rsidP="0036278A">
            <w:pPr>
              <w:spacing w:after="0" w:line="247" w:lineRule="auto"/>
              <w:jc w:val="both"/>
            </w:pPr>
            <w:r>
              <w:rPr>
                <w:sz w:val="20"/>
              </w:rPr>
              <w:t>Score endpoints exact; normalized attention bound can be loose.</w:t>
            </w:r>
          </w:p>
        </w:tc>
      </w:tr>
    </w:tbl>
    <w:p w14:paraId="0A393E83" w14:textId="77777777" w:rsidR="00CE5BE2" w:rsidRDefault="00000000" w:rsidP="0036278A">
      <w:pPr>
        <w:pStyle w:val="BodyText"/>
        <w:spacing w:before="140"/>
        <w:jc w:val="both"/>
      </w:pPr>
      <w:r>
        <w:t xml:space="preserve">The added controls establish the duplication example, the shared-state margin counterexample, the non-Gram cross-matrix example, cancellation of common score shifts, the weighted consolidation projection, and agreement of a prefix-sum ratio solver with enumeration. All six passed. These are arithmetic checks in </w:t>
      </w:r>
      <w:r>
        <w:lastRenderedPageBreak/>
        <w:t>float64, not machine-verified interval certificates. Outward rounding and validated transcendental functions remain implementation requirements.</w:t>
      </w:r>
    </w:p>
    <w:p w14:paraId="511FCEED" w14:textId="77777777" w:rsidR="00CE5BE2" w:rsidRDefault="00000000" w:rsidP="0036278A">
      <w:pPr>
        <w:pStyle w:val="Heading1"/>
        <w:jc w:val="both"/>
      </w:pPr>
      <w:bookmarkStart w:id="10" w:name="X7d502c5f2ab859a927f73541f43a185dbc24886"/>
      <w:bookmarkEnd w:id="5"/>
      <w:bookmarkEnd w:id="9"/>
      <w:r>
        <w:t>4 P1 Exact ranges and evidence accumulation at scale</w:t>
      </w:r>
    </w:p>
    <w:p w14:paraId="4C5241CC" w14:textId="77777777" w:rsidR="00CE5BE2" w:rsidRDefault="00000000" w:rsidP="0036278A">
      <w:pPr>
        <w:pStyle w:val="Heading2"/>
        <w:jc w:val="both"/>
      </w:pPr>
      <w:bookmarkStart w:id="11" w:name="primary-study"/>
      <w:r>
        <w:t>4.1 Primary study</w:t>
      </w:r>
    </w:p>
    <w:p w14:paraId="0AB317F0" w14:textId="77777777" w:rsidR="00CE5BE2" w:rsidRDefault="00000000" w:rsidP="0036278A">
      <w:pPr>
        <w:jc w:val="both"/>
      </w:pPr>
      <w:r>
        <w:t xml:space="preserve">P1 should be the first full paper. Its proposed title is </w:t>
      </w:r>
      <w:r>
        <w:rPr>
          <w:b/>
          <w:bCs/>
        </w:rPr>
        <w:t>Log Interval Networks for Evidence Accumulation and Certified Decisions</w:t>
      </w:r>
      <w:r>
        <w:t>. The study separates an exactly certified readout experiment from a deeper architectural experiment, so a failure can be assigned to representation, learning, or certification.</w:t>
      </w:r>
    </w:p>
    <w:p w14:paraId="13AA0A16" w14:textId="77777777" w:rsidR="00CE5BE2" w:rsidRDefault="00000000" w:rsidP="0036278A">
      <w:pPr>
        <w:pStyle w:val="BodyText"/>
        <w:jc w:val="both"/>
      </w:pPr>
      <w:r>
        <w:t xml:space="preserve">The smallest primary model is a signed sigmoid feature layer </w:t>
      </w:r>
      <m:oMath>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Fx</m:t>
            </m:r>
            <m:r>
              <m:rPr>
                <m:sty m:val="p"/>
              </m:rPr>
              <w:rPr>
                <w:rFonts w:ascii="Cambria Math" w:hAnsi="Cambria Math"/>
              </w:rPr>
              <m:t>+</m:t>
            </m:r>
            <m:r>
              <w:rPr>
                <w:rFonts w:ascii="Cambria Math" w:hAnsi="Cambria Math"/>
              </w:rPr>
              <m:t>b</m:t>
            </m:r>
          </m:e>
        </m:d>
        <m:r>
          <m:rPr>
            <m:sty m:val="p"/>
          </m:rPr>
          <w:rPr>
            <w:rFonts w:ascii="Cambria Math" w:hAnsi="Cambria Math"/>
          </w:rPr>
          <m:t>&gt;</m:t>
        </m:r>
        <m:r>
          <w:rPr>
            <w:rFonts w:ascii="Cambria Math" w:hAnsi="Cambria Math"/>
          </w:rPr>
          <m:t>0</m:t>
        </m:r>
      </m:oMath>
      <w:r>
        <w:t xml:space="preserve"> and a positive readout </w:t>
      </w:r>
      <m:oMath>
        <m:r>
          <w:rPr>
            <w:rFonts w:ascii="Cambria Math" w:hAnsi="Cambria Math"/>
          </w:rPr>
          <m:t>y</m:t>
        </m:r>
        <m:r>
          <m:rPr>
            <m:sty m:val="p"/>
          </m:rPr>
          <w:rPr>
            <w:rFonts w:ascii="Cambria Math" w:hAnsi="Cambria Math"/>
          </w:rPr>
          <m:t>=exp</m:t>
        </m:r>
        <m:d>
          <m:dPr>
            <m:ctrlPr>
              <w:rPr>
                <w:rFonts w:ascii="Cambria Math" w:hAnsi="Cambria Math"/>
              </w:rPr>
            </m:ctrlPr>
          </m:dPr>
          <m:e>
            <m:r>
              <w:rPr>
                <w:rFonts w:ascii="Cambria Math" w:hAnsi="Cambria Math"/>
              </w:rPr>
              <m:t>Θ</m:t>
            </m:r>
          </m:e>
        </m:d>
        <m:r>
          <w:rPr>
            <w:rFonts w:ascii="Cambria Math" w:hAnsi="Cambria Math"/>
          </w:rPr>
          <m:t>h</m:t>
        </m:r>
        <m:d>
          <m:dPr>
            <m:ctrlPr>
              <w:rPr>
                <w:rFonts w:ascii="Cambria Math" w:hAnsi="Cambria Math"/>
              </w:rPr>
            </m:ctrlPr>
          </m:dPr>
          <m:e>
            <m:r>
              <w:rPr>
                <w:rFonts w:ascii="Cambria Math" w:hAnsi="Cambria Math"/>
              </w:rPr>
              <m:t>x</m:t>
            </m:r>
          </m:e>
        </m:d>
      </m:oMath>
      <w:r>
        <w:t>. Train the nominal model, then hold the feature map fixed while varying the readout weights. This gives exact coordinate bounds and a necessary-and-sufficient winner test because output rows are independent. It directly extends L5, whose synthetic teacher task reached 57.0% accuracy, rather than presenting that toy result as MNIST evidence.</w:t>
      </w:r>
    </w:p>
    <w:p w14:paraId="7D51B4CC" w14:textId="77777777" w:rsidR="00CE5BE2" w:rsidRDefault="00000000" w:rsidP="0036278A">
      <w:pPr>
        <w:pStyle w:val="BodyText"/>
        <w:jc w:val="both"/>
      </w:pPr>
      <w:r>
        <w:t xml:space="preserve">The secondary model inserts a positive hidden layer, </w:t>
      </w:r>
      <m:oMath>
        <m:r>
          <w:rPr>
            <w:rFonts w:ascii="Cambria Math" w:hAnsi="Cambria Math"/>
          </w:rPr>
          <m:t>z</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Ψ</m:t>
                </m:r>
              </m:e>
            </m:d>
            <m:r>
              <w:rPr>
                <w:rFonts w:ascii="Cambria Math" w:hAnsi="Cambria Math"/>
              </w:rPr>
              <m:t>h</m:t>
            </m:r>
          </m:e>
        </m:d>
      </m:oMath>
      <w:r>
        <w:t>, followed by the same positive readout. Here the marginal endpoints remain exact, but shared hidden uncertainty can make Equation 5 conservative. Report both a conditional readout box and a joint positive-tail box. A further experiment varies the independent signed first-layer weights at a point input; it must be reported separately from the clean width calculus on fixed positive features.</w:t>
      </w:r>
    </w:p>
    <w:p w14:paraId="4291E8E6" w14:textId="77777777" w:rsidR="00CE5BE2" w:rsidRDefault="00000000" w:rsidP="0036278A">
      <w:pPr>
        <w:pStyle w:val="Caption"/>
        <w:keepNext/>
        <w:jc w:val="both"/>
      </w:pPr>
      <w:r>
        <w:t>Table 4  P1 MNIST protocol proposed for preregistration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5"/>
        <w:gridCol w:w="7949"/>
      </w:tblGrid>
      <w:tr w:rsidR="00CE5BE2" w14:paraId="21097705" w14:textId="77777777">
        <w:trPr>
          <w:cantSplit/>
          <w:tblHeader/>
          <w:jc w:val="center"/>
        </w:trPr>
        <w:tc>
          <w:tcPr>
            <w:tcW w:w="2045" w:type="dxa"/>
            <w:shd w:val="clear" w:color="auto" w:fill="17324D"/>
            <w:tcMar>
              <w:top w:w="85" w:type="dxa"/>
              <w:left w:w="95" w:type="dxa"/>
              <w:bottom w:w="85" w:type="dxa"/>
              <w:right w:w="95" w:type="dxa"/>
            </w:tcMar>
            <w:vAlign w:val="center"/>
          </w:tcPr>
          <w:p w14:paraId="72A0A3E2" w14:textId="77777777" w:rsidR="00CE5BE2" w:rsidRDefault="00000000" w:rsidP="0036278A">
            <w:pPr>
              <w:spacing w:after="0" w:line="247" w:lineRule="auto"/>
              <w:jc w:val="both"/>
            </w:pPr>
            <w:r>
              <w:rPr>
                <w:b/>
                <w:color w:val="FFFFFF"/>
                <w:sz w:val="20"/>
              </w:rPr>
              <w:t>Protocol field</w:t>
            </w:r>
          </w:p>
        </w:tc>
        <w:tc>
          <w:tcPr>
            <w:tcW w:w="7949" w:type="dxa"/>
            <w:shd w:val="clear" w:color="auto" w:fill="17324D"/>
            <w:tcMar>
              <w:top w:w="85" w:type="dxa"/>
              <w:left w:w="95" w:type="dxa"/>
              <w:bottom w:w="85" w:type="dxa"/>
              <w:right w:w="95" w:type="dxa"/>
            </w:tcMar>
            <w:vAlign w:val="center"/>
          </w:tcPr>
          <w:p w14:paraId="17BBF743" w14:textId="77777777" w:rsidR="00CE5BE2" w:rsidRDefault="00000000" w:rsidP="0036278A">
            <w:pPr>
              <w:spacing w:after="0" w:line="247" w:lineRule="auto"/>
              <w:jc w:val="both"/>
            </w:pPr>
            <w:r>
              <w:rPr>
                <w:b/>
                <w:color w:val="FFFFFF"/>
                <w:sz w:val="20"/>
              </w:rPr>
              <w:t>Proposed fixed specification</w:t>
            </w:r>
          </w:p>
        </w:tc>
      </w:tr>
      <w:tr w:rsidR="00CE5BE2" w14:paraId="72DB5AD1" w14:textId="77777777">
        <w:trPr>
          <w:cantSplit/>
          <w:jc w:val="center"/>
        </w:trPr>
        <w:tc>
          <w:tcPr>
            <w:tcW w:w="2045" w:type="dxa"/>
            <w:tcMar>
              <w:top w:w="85" w:type="dxa"/>
              <w:left w:w="95" w:type="dxa"/>
              <w:bottom w:w="85" w:type="dxa"/>
              <w:right w:w="95" w:type="dxa"/>
            </w:tcMar>
            <w:vAlign w:val="center"/>
          </w:tcPr>
          <w:p w14:paraId="0327BEB5" w14:textId="77777777" w:rsidR="00CE5BE2" w:rsidRDefault="00000000" w:rsidP="0036278A">
            <w:pPr>
              <w:spacing w:after="0" w:line="247" w:lineRule="auto"/>
              <w:jc w:val="both"/>
            </w:pPr>
            <w:r>
              <w:rPr>
                <w:sz w:val="20"/>
              </w:rPr>
              <w:t>Data</w:t>
            </w:r>
          </w:p>
        </w:tc>
        <w:tc>
          <w:tcPr>
            <w:tcW w:w="7949" w:type="dxa"/>
            <w:tcMar>
              <w:top w:w="85" w:type="dxa"/>
              <w:left w:w="95" w:type="dxa"/>
              <w:bottom w:w="85" w:type="dxa"/>
              <w:right w:w="95" w:type="dxa"/>
            </w:tcMar>
            <w:vAlign w:val="center"/>
          </w:tcPr>
          <w:p w14:paraId="26CBC899" w14:textId="77777777" w:rsidR="00CE5BE2" w:rsidRDefault="00000000" w:rsidP="0036278A">
            <w:pPr>
              <w:spacing w:after="0" w:line="247" w:lineRule="auto"/>
              <w:jc w:val="both"/>
            </w:pPr>
            <w:r>
              <w:rPr>
                <w:sz w:val="20"/>
              </w:rPr>
              <w:t>MNIST: split the 60,000 training examples into 55,000 training and 5,000 validation; hold 10,000 test examples until choices are frozen. Save indices and hashes.</w:t>
            </w:r>
          </w:p>
        </w:tc>
      </w:tr>
      <w:tr w:rsidR="00CE5BE2" w14:paraId="1D035D20" w14:textId="77777777">
        <w:trPr>
          <w:cantSplit/>
          <w:jc w:val="center"/>
        </w:trPr>
        <w:tc>
          <w:tcPr>
            <w:tcW w:w="2045" w:type="dxa"/>
            <w:shd w:val="clear" w:color="auto" w:fill="F2F5F7"/>
            <w:tcMar>
              <w:top w:w="85" w:type="dxa"/>
              <w:left w:w="95" w:type="dxa"/>
              <w:bottom w:w="85" w:type="dxa"/>
              <w:right w:w="95" w:type="dxa"/>
            </w:tcMar>
            <w:vAlign w:val="center"/>
          </w:tcPr>
          <w:p w14:paraId="6437EE79" w14:textId="77777777" w:rsidR="00CE5BE2" w:rsidRDefault="00000000" w:rsidP="0036278A">
            <w:pPr>
              <w:spacing w:after="0" w:line="247" w:lineRule="auto"/>
              <w:jc w:val="both"/>
            </w:pPr>
            <w:r>
              <w:rPr>
                <w:sz w:val="20"/>
              </w:rPr>
              <w:t>Preprocessing</w:t>
            </w:r>
          </w:p>
        </w:tc>
        <w:tc>
          <w:tcPr>
            <w:tcW w:w="7949" w:type="dxa"/>
            <w:shd w:val="clear" w:color="auto" w:fill="F2F5F7"/>
            <w:tcMar>
              <w:top w:w="85" w:type="dxa"/>
              <w:left w:w="95" w:type="dxa"/>
              <w:bottom w:w="85" w:type="dxa"/>
              <w:right w:w="95" w:type="dxa"/>
            </w:tcMar>
            <w:vAlign w:val="center"/>
          </w:tcPr>
          <w:p w14:paraId="50C47D2F" w14:textId="77777777" w:rsidR="00CE5BE2" w:rsidRDefault="00000000" w:rsidP="0036278A">
            <w:pPr>
              <w:spacing w:after="0" w:line="247" w:lineRule="auto"/>
              <w:jc w:val="both"/>
            </w:pPr>
            <w:r>
              <w:rPr>
                <w:sz w:val="20"/>
              </w:rPr>
              <w:t>Pixels scaled to [0, 1]; no augmentation in the first study. Identical examples and preprocessing across models.</w:t>
            </w:r>
          </w:p>
        </w:tc>
      </w:tr>
      <w:tr w:rsidR="00CE5BE2" w14:paraId="497E2A55" w14:textId="77777777">
        <w:trPr>
          <w:cantSplit/>
          <w:jc w:val="center"/>
        </w:trPr>
        <w:tc>
          <w:tcPr>
            <w:tcW w:w="2045" w:type="dxa"/>
            <w:tcMar>
              <w:top w:w="85" w:type="dxa"/>
              <w:left w:w="95" w:type="dxa"/>
              <w:bottom w:w="85" w:type="dxa"/>
              <w:right w:w="95" w:type="dxa"/>
            </w:tcMar>
            <w:vAlign w:val="center"/>
          </w:tcPr>
          <w:p w14:paraId="2518616E" w14:textId="77777777" w:rsidR="00CE5BE2" w:rsidRDefault="00000000" w:rsidP="0036278A">
            <w:pPr>
              <w:spacing w:after="0" w:line="247" w:lineRule="auto"/>
              <w:jc w:val="both"/>
            </w:pPr>
            <w:r>
              <w:rPr>
                <w:sz w:val="20"/>
              </w:rPr>
              <w:t>Widths and replication</w:t>
            </w:r>
          </w:p>
        </w:tc>
        <w:tc>
          <w:tcPr>
            <w:tcW w:w="7949" w:type="dxa"/>
            <w:tcMar>
              <w:top w:w="85" w:type="dxa"/>
              <w:left w:w="95" w:type="dxa"/>
              <w:bottom w:w="85" w:type="dxa"/>
              <w:right w:w="95" w:type="dxa"/>
            </w:tcMar>
            <w:vAlign w:val="center"/>
          </w:tcPr>
          <w:p w14:paraId="335E7368" w14:textId="77777777" w:rsidR="00CE5BE2" w:rsidRDefault="00000000" w:rsidP="0036278A">
            <w:pPr>
              <w:spacing w:after="0" w:line="247" w:lineRule="auto"/>
              <w:jc w:val="both"/>
            </w:pPr>
            <w:r>
              <w:rPr>
                <w:sz w:val="20"/>
              </w:rPr>
              <w:t>64, 256, 1024, 4096; five independent training seeds: 11, 23, 37, 53, 71.</w:t>
            </w:r>
          </w:p>
        </w:tc>
      </w:tr>
      <w:tr w:rsidR="00CE5BE2" w14:paraId="3C7A2374" w14:textId="77777777">
        <w:trPr>
          <w:cantSplit/>
          <w:jc w:val="center"/>
        </w:trPr>
        <w:tc>
          <w:tcPr>
            <w:tcW w:w="2045" w:type="dxa"/>
            <w:shd w:val="clear" w:color="auto" w:fill="F2F5F7"/>
            <w:tcMar>
              <w:top w:w="85" w:type="dxa"/>
              <w:left w:w="95" w:type="dxa"/>
              <w:bottom w:w="85" w:type="dxa"/>
              <w:right w:w="95" w:type="dxa"/>
            </w:tcMar>
            <w:vAlign w:val="center"/>
          </w:tcPr>
          <w:p w14:paraId="082AD8A6" w14:textId="77777777" w:rsidR="00CE5BE2" w:rsidRDefault="00000000" w:rsidP="0036278A">
            <w:pPr>
              <w:spacing w:after="0" w:line="247" w:lineRule="auto"/>
              <w:jc w:val="both"/>
            </w:pPr>
            <w:r>
              <w:rPr>
                <w:sz w:val="20"/>
              </w:rPr>
              <w:t>Nominal training</w:t>
            </w:r>
          </w:p>
        </w:tc>
        <w:tc>
          <w:tcPr>
            <w:tcW w:w="7949" w:type="dxa"/>
            <w:shd w:val="clear" w:color="auto" w:fill="F2F5F7"/>
            <w:tcMar>
              <w:top w:w="85" w:type="dxa"/>
              <w:left w:w="95" w:type="dxa"/>
              <w:bottom w:w="85" w:type="dxa"/>
              <w:right w:w="95" w:type="dxa"/>
            </w:tcMar>
            <w:vAlign w:val="center"/>
          </w:tcPr>
          <w:p w14:paraId="6EC5FCA4" w14:textId="77777777" w:rsidR="00CE5BE2" w:rsidRDefault="00000000" w:rsidP="0036278A">
            <w:pPr>
              <w:spacing w:after="0" w:line="247" w:lineRule="auto"/>
              <w:jc w:val="both"/>
            </w:pPr>
            <w:r>
              <w:rPr>
                <w:sz w:val="20"/>
              </w:rPr>
              <w:t>Adam; batch 256; 20 epochs. Pilot learning rates 0.0003, 0.001, 0.003 at width 256; choose by validation accuracy, then validation loss. Freeze the choice across widths.</w:t>
            </w:r>
          </w:p>
        </w:tc>
      </w:tr>
      <w:tr w:rsidR="00CE5BE2" w14:paraId="20D77472" w14:textId="77777777">
        <w:trPr>
          <w:cantSplit/>
          <w:jc w:val="center"/>
        </w:trPr>
        <w:tc>
          <w:tcPr>
            <w:tcW w:w="2045" w:type="dxa"/>
            <w:tcMar>
              <w:top w:w="85" w:type="dxa"/>
              <w:left w:w="95" w:type="dxa"/>
              <w:bottom w:w="85" w:type="dxa"/>
              <w:right w:w="95" w:type="dxa"/>
            </w:tcMar>
            <w:vAlign w:val="center"/>
          </w:tcPr>
          <w:p w14:paraId="34AEE6FE" w14:textId="77777777" w:rsidR="00CE5BE2" w:rsidRDefault="00000000" w:rsidP="0036278A">
            <w:pPr>
              <w:spacing w:after="0" w:line="247" w:lineRule="auto"/>
              <w:jc w:val="both"/>
            </w:pPr>
            <w:r>
              <w:rPr>
                <w:sz w:val="20"/>
              </w:rPr>
              <w:t>Readout logits</w:t>
            </w:r>
          </w:p>
        </w:tc>
        <w:tc>
          <w:tcPr>
            <w:tcW w:w="7949" w:type="dxa"/>
            <w:tcMar>
              <w:top w:w="85" w:type="dxa"/>
              <w:left w:w="95" w:type="dxa"/>
              <w:bottom w:w="85" w:type="dxa"/>
              <w:right w:w="95" w:type="dxa"/>
            </w:tcMar>
            <w:vAlign w:val="center"/>
          </w:tcPr>
          <w:p w14:paraId="34E06D8C" w14:textId="77777777" w:rsidR="00CE5BE2" w:rsidRDefault="00000000" w:rsidP="0036278A">
            <w:pPr>
              <w:spacing w:after="0" w:line="247" w:lineRule="auto"/>
              <w:jc w:val="both"/>
            </w:pPr>
            <w:r>
              <w:rPr>
                <w:sz w:val="20"/>
              </w:rPr>
              <w:t>Positive model uses 8 log y for training; signed readout uses its ordinary logits. Report accuracy and decision margins before temperature rescaling.</w:t>
            </w:r>
          </w:p>
        </w:tc>
      </w:tr>
      <w:tr w:rsidR="00CE5BE2" w14:paraId="3F736A58" w14:textId="77777777">
        <w:trPr>
          <w:cantSplit/>
          <w:jc w:val="center"/>
        </w:trPr>
        <w:tc>
          <w:tcPr>
            <w:tcW w:w="2045" w:type="dxa"/>
            <w:shd w:val="clear" w:color="auto" w:fill="F2F5F7"/>
            <w:tcMar>
              <w:top w:w="85" w:type="dxa"/>
              <w:left w:w="95" w:type="dxa"/>
              <w:bottom w:w="85" w:type="dxa"/>
              <w:right w:w="95" w:type="dxa"/>
            </w:tcMar>
            <w:vAlign w:val="center"/>
          </w:tcPr>
          <w:p w14:paraId="049AF210" w14:textId="77777777" w:rsidR="00CE5BE2" w:rsidRDefault="00000000" w:rsidP="0036278A">
            <w:pPr>
              <w:spacing w:after="0" w:line="247" w:lineRule="auto"/>
              <w:jc w:val="both"/>
            </w:pPr>
            <w:r>
              <w:rPr>
                <w:sz w:val="20"/>
              </w:rPr>
              <w:t>Uncertainty</w:t>
            </w:r>
          </w:p>
        </w:tc>
        <w:tc>
          <w:tcPr>
            <w:tcW w:w="7949" w:type="dxa"/>
            <w:shd w:val="clear" w:color="auto" w:fill="F2F5F7"/>
            <w:tcMar>
              <w:top w:w="85" w:type="dxa"/>
              <w:left w:w="95" w:type="dxa"/>
              <w:bottom w:w="85" w:type="dxa"/>
              <w:right w:w="95" w:type="dxa"/>
            </w:tcMar>
            <w:vAlign w:val="center"/>
          </w:tcPr>
          <w:p w14:paraId="47450F94" w14:textId="77777777" w:rsidR="00CE5BE2" w:rsidRDefault="00000000" w:rsidP="0036278A">
            <w:pPr>
              <w:spacing w:after="0" w:line="247" w:lineRule="auto"/>
              <w:jc w:val="both"/>
            </w:pPr>
            <w:r>
              <w:rPr>
                <w:sz w:val="20"/>
              </w:rPr>
              <w:t>Uniform weight log radii 0, 0.0025, 0.005, 0.01, 0.02; primary comparison at 0.01. Separate conditional readout and joint-tail results.</w:t>
            </w:r>
          </w:p>
        </w:tc>
      </w:tr>
      <w:tr w:rsidR="00CE5BE2" w14:paraId="5148BCA0" w14:textId="77777777">
        <w:trPr>
          <w:cantSplit/>
          <w:jc w:val="center"/>
        </w:trPr>
        <w:tc>
          <w:tcPr>
            <w:tcW w:w="2045" w:type="dxa"/>
            <w:tcMar>
              <w:top w:w="85" w:type="dxa"/>
              <w:left w:w="95" w:type="dxa"/>
              <w:bottom w:w="85" w:type="dxa"/>
              <w:right w:w="95" w:type="dxa"/>
            </w:tcMar>
            <w:vAlign w:val="center"/>
          </w:tcPr>
          <w:p w14:paraId="49C39A0B" w14:textId="77777777" w:rsidR="00CE5BE2" w:rsidRDefault="00000000" w:rsidP="0036278A">
            <w:pPr>
              <w:spacing w:after="0" w:line="247" w:lineRule="auto"/>
              <w:jc w:val="both"/>
            </w:pPr>
            <w:r>
              <w:rPr>
                <w:sz w:val="20"/>
              </w:rPr>
              <w:t>Temperature ablation</w:t>
            </w:r>
          </w:p>
        </w:tc>
        <w:tc>
          <w:tcPr>
            <w:tcW w:w="7949" w:type="dxa"/>
            <w:tcMar>
              <w:top w:w="85" w:type="dxa"/>
              <w:left w:w="95" w:type="dxa"/>
              <w:bottom w:w="85" w:type="dxa"/>
              <w:right w:w="95" w:type="dxa"/>
            </w:tcMar>
            <w:vAlign w:val="center"/>
          </w:tcPr>
          <w:p w14:paraId="6FF97D4C" w14:textId="77777777" w:rsidR="00CE5BE2" w:rsidRDefault="00000000" w:rsidP="0036278A">
            <w:pPr>
              <w:spacing w:after="0" w:line="247" w:lineRule="auto"/>
              <w:jc w:val="both"/>
            </w:pPr>
            <w:r>
              <w:rPr>
                <w:sz w:val="20"/>
              </w:rPr>
              <w:t>Primary sum temperature T = 1; secondary positive-layer arms T = 0.25 and 4. These alter the layer, not merely the final confidence.</w:t>
            </w:r>
          </w:p>
        </w:tc>
      </w:tr>
      <w:tr w:rsidR="00CE5BE2" w14:paraId="01EE79E9" w14:textId="77777777">
        <w:trPr>
          <w:cantSplit/>
          <w:jc w:val="center"/>
        </w:trPr>
        <w:tc>
          <w:tcPr>
            <w:tcW w:w="2045" w:type="dxa"/>
            <w:shd w:val="clear" w:color="auto" w:fill="F2F5F7"/>
            <w:tcMar>
              <w:top w:w="85" w:type="dxa"/>
              <w:left w:w="95" w:type="dxa"/>
              <w:bottom w:w="85" w:type="dxa"/>
              <w:right w:w="95" w:type="dxa"/>
            </w:tcMar>
            <w:vAlign w:val="center"/>
          </w:tcPr>
          <w:p w14:paraId="6E79353E" w14:textId="77777777" w:rsidR="00CE5BE2" w:rsidRDefault="00000000" w:rsidP="0036278A">
            <w:pPr>
              <w:spacing w:after="0" w:line="247" w:lineRule="auto"/>
              <w:jc w:val="both"/>
            </w:pPr>
            <w:r>
              <w:rPr>
                <w:sz w:val="20"/>
              </w:rPr>
              <w:t>Measurements</w:t>
            </w:r>
          </w:p>
        </w:tc>
        <w:tc>
          <w:tcPr>
            <w:tcW w:w="7949" w:type="dxa"/>
            <w:shd w:val="clear" w:color="auto" w:fill="F2F5F7"/>
            <w:tcMar>
              <w:top w:w="85" w:type="dxa"/>
              <w:left w:w="95" w:type="dxa"/>
              <w:bottom w:w="85" w:type="dxa"/>
              <w:right w:w="95" w:type="dxa"/>
            </w:tcMar>
            <w:vAlign w:val="center"/>
          </w:tcPr>
          <w:p w14:paraId="3AFC73AD" w14:textId="77777777" w:rsidR="00CE5BE2" w:rsidRDefault="00000000" w:rsidP="0036278A">
            <w:pPr>
              <w:spacing w:after="0" w:line="247" w:lineRule="auto"/>
              <w:jc w:val="both"/>
            </w:pPr>
            <w:r>
              <w:rPr>
                <w:sz w:val="20"/>
              </w:rPr>
              <w:t>Nominal accuracy, certified accuracy, certification coverage, accuracy on released cases, log-margin quantiles, local and grouped fan in, observed flips, bits and latency.</w:t>
            </w:r>
          </w:p>
        </w:tc>
      </w:tr>
      <w:tr w:rsidR="00CE5BE2" w14:paraId="5FE4E182" w14:textId="77777777">
        <w:trPr>
          <w:cantSplit/>
          <w:jc w:val="center"/>
        </w:trPr>
        <w:tc>
          <w:tcPr>
            <w:tcW w:w="2045" w:type="dxa"/>
            <w:tcMar>
              <w:top w:w="85" w:type="dxa"/>
              <w:left w:w="95" w:type="dxa"/>
              <w:bottom w:w="85" w:type="dxa"/>
              <w:right w:w="95" w:type="dxa"/>
            </w:tcMar>
            <w:vAlign w:val="center"/>
          </w:tcPr>
          <w:p w14:paraId="34C78CC1" w14:textId="77777777" w:rsidR="00CE5BE2" w:rsidRDefault="00000000" w:rsidP="0036278A">
            <w:pPr>
              <w:spacing w:after="0" w:line="247" w:lineRule="auto"/>
              <w:jc w:val="both"/>
            </w:pPr>
            <w:r>
              <w:rPr>
                <w:sz w:val="20"/>
              </w:rPr>
              <w:t>Uncertainty reporting</w:t>
            </w:r>
          </w:p>
        </w:tc>
        <w:tc>
          <w:tcPr>
            <w:tcW w:w="7949" w:type="dxa"/>
            <w:tcMar>
              <w:top w:w="85" w:type="dxa"/>
              <w:left w:w="95" w:type="dxa"/>
              <w:bottom w:w="85" w:type="dxa"/>
              <w:right w:w="95" w:type="dxa"/>
            </w:tcMar>
            <w:vAlign w:val="center"/>
          </w:tcPr>
          <w:p w14:paraId="666F88ED" w14:textId="77777777" w:rsidR="00CE5BE2" w:rsidRDefault="00000000" w:rsidP="0036278A">
            <w:pPr>
              <w:spacing w:after="0" w:line="247" w:lineRule="auto"/>
              <w:jc w:val="both"/>
            </w:pPr>
            <w:r>
              <w:rPr>
                <w:sz w:val="20"/>
              </w:rPr>
              <w:t>Five-seed results and paired width differences; report every seed plus seed-level confidence intervals. Do not treat examples as independent training replications.</w:t>
            </w:r>
          </w:p>
        </w:tc>
      </w:tr>
      <w:tr w:rsidR="00CE5BE2" w14:paraId="12CBE3E9" w14:textId="77777777">
        <w:trPr>
          <w:cantSplit/>
          <w:jc w:val="center"/>
        </w:trPr>
        <w:tc>
          <w:tcPr>
            <w:tcW w:w="2045" w:type="dxa"/>
            <w:shd w:val="clear" w:color="auto" w:fill="F2F5F7"/>
            <w:tcMar>
              <w:top w:w="85" w:type="dxa"/>
              <w:left w:w="95" w:type="dxa"/>
              <w:bottom w:w="85" w:type="dxa"/>
              <w:right w:w="95" w:type="dxa"/>
            </w:tcMar>
            <w:vAlign w:val="center"/>
          </w:tcPr>
          <w:p w14:paraId="6AAC2A44" w14:textId="77777777" w:rsidR="00CE5BE2" w:rsidRDefault="00000000" w:rsidP="0036278A">
            <w:pPr>
              <w:spacing w:after="0" w:line="247" w:lineRule="auto"/>
              <w:jc w:val="both"/>
            </w:pPr>
            <w:r>
              <w:rPr>
                <w:sz w:val="20"/>
              </w:rPr>
              <w:t>Data discipline</w:t>
            </w:r>
          </w:p>
        </w:tc>
        <w:tc>
          <w:tcPr>
            <w:tcW w:w="7949" w:type="dxa"/>
            <w:shd w:val="clear" w:color="auto" w:fill="F2F5F7"/>
            <w:tcMar>
              <w:top w:w="85" w:type="dxa"/>
              <w:left w:w="95" w:type="dxa"/>
              <w:bottom w:w="85" w:type="dxa"/>
              <w:right w:w="95" w:type="dxa"/>
            </w:tcMar>
            <w:vAlign w:val="center"/>
          </w:tcPr>
          <w:p w14:paraId="69DE5E13" w14:textId="77777777" w:rsidR="00CE5BE2" w:rsidRDefault="00000000" w:rsidP="0036278A">
            <w:pPr>
              <w:spacing w:after="0" w:line="247" w:lineRule="auto"/>
              <w:jc w:val="both"/>
            </w:pPr>
            <w:r>
              <w:rPr>
                <w:sz w:val="20"/>
              </w:rPr>
              <w:t>Hyperparameters, thresholds, evidence-task pilot and tests fixed before final testing. Record failures and inconclusive certificates as separate outcomes.</w:t>
            </w:r>
          </w:p>
        </w:tc>
      </w:tr>
    </w:tbl>
    <w:p w14:paraId="32F30F6D" w14:textId="77777777" w:rsidR="00CE5BE2" w:rsidRDefault="00000000" w:rsidP="0036278A">
      <w:pPr>
        <w:pStyle w:val="BodyText"/>
        <w:spacing w:before="140"/>
        <w:jc w:val="both"/>
      </w:pPr>
      <w:r>
        <w:t xml:space="preserve">Use a plain signed readout on the same features as the primary control; its single-layer ranges are exact. A deeper signed MLP is an additional performance control, with Moore intervals explicitly labelled as sound </w:t>
      </w:r>
      <w:r>
        <w:lastRenderedPageBreak/>
        <w:t>and possibly loose. At each width, report parameter count and compute; across families, add matched-parameter and matched-measured-latency comparisons. A positive log radius and an additive signed radius are not automatically equivalent. Use sign-preserving multiplicative boxes for nonzero signed weights, declare the zero-weight rule, and include an additive-budget sensitivity analysis.</w:t>
      </w:r>
    </w:p>
    <w:p w14:paraId="31A3A1C3" w14:textId="77777777" w:rsidR="00CE5BE2" w:rsidRDefault="00000000" w:rsidP="0036278A">
      <w:pPr>
        <w:pStyle w:val="BodyText"/>
        <w:jc w:val="both"/>
      </w:pPr>
      <w:r>
        <w:t xml:space="preserve">Use nominal learning first to isolate representation and margin formation. A second arm adds a robust margin objective such as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γ</m:t>
                </m:r>
                <m:r>
                  <m:rPr>
                    <m:sty m:val="p"/>
                  </m:rPr>
                  <w:rPr>
                    <w:rFonts w:ascii="Cambria Math" w:hAnsi="Cambria Math"/>
                  </w:rPr>
                  <m:t>-log</m:t>
                </m:r>
                <m:sSub>
                  <m:sSubPr>
                    <m:ctrlPr>
                      <w:rPr>
                        <w:rFonts w:ascii="Cambria Math" w:hAnsi="Cambria Math"/>
                      </w:rPr>
                    </m:ctrlPr>
                  </m:sSubPr>
                  <m:e>
                    <m:bar>
                      <m:barPr>
                        <m:ctrlPr>
                          <w:rPr>
                            <w:rFonts w:ascii="Cambria Math" w:hAnsi="Cambria Math"/>
                          </w:rPr>
                        </m:ctrlPr>
                      </m:barPr>
                      <m:e>
                        <m:r>
                          <w:rPr>
                            <w:rFonts w:ascii="Cambria Math" w:hAnsi="Cambria Math"/>
                          </w:rPr>
                          <m:t>y</m:t>
                        </m:r>
                      </m:e>
                    </m:ba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log</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j</m:t>
                    </m:r>
                  </m:sub>
                </m:sSub>
              </m:e>
            </m:d>
          </m:e>
          <m:sub>
            <m:r>
              <m:rPr>
                <m:sty m:val="p"/>
              </m:rPr>
              <w:rPr>
                <w:rFonts w:ascii="Cambria Math" w:hAnsi="Cambria Math"/>
              </w:rPr>
              <m:t>+</m:t>
            </m:r>
          </m:sub>
        </m:sSub>
      </m:oMath>
      <w:r>
        <w:t>, with its coefficient selected on validation data. Report this extra training cost. A local Forward-Forward learner belongs in a later ablation; the first feasibility experiment need not confound architecture with a new learning algorithm.</w:t>
      </w:r>
    </w:p>
    <w:p w14:paraId="6D819585" w14:textId="77777777" w:rsidR="00CE5BE2" w:rsidRDefault="00000000" w:rsidP="0036278A">
      <w:pPr>
        <w:pStyle w:val="Heading2"/>
        <w:jc w:val="both"/>
      </w:pPr>
      <w:bookmarkStart w:id="12" w:name="evidence-task-and-decision-criteria"/>
      <w:bookmarkEnd w:id="11"/>
      <w:r>
        <w:t>4.2 Evidence task and decision criteria</w:t>
      </w:r>
    </w:p>
    <w:p w14:paraId="1F520DCC" w14:textId="77777777" w:rsidR="00CE5BE2" w:rsidRDefault="00000000" w:rsidP="0036278A">
      <w:pPr>
        <w:jc w:val="both"/>
      </w:pPr>
      <w:r>
        <w:t xml:space="preserve">MNIST is the practical screen, but it does not establish that a large fan-in combines independent evidence. Add a controlled task with 16 conditionally independent evidence blocks. Given a balanced binary label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sample </w:t>
      </w:r>
      <m:oMath>
        <m:sSub>
          <m:sSubPr>
            <m:ctrlPr>
              <w:rPr>
                <w:rFonts w:ascii="Cambria Math" w:hAnsi="Cambria Math"/>
              </w:rPr>
            </m:ctrlPr>
          </m:sSubPr>
          <m:e>
            <m:r>
              <w:rPr>
                <w:rFonts w:ascii="Cambria Math" w:hAnsi="Cambria Math"/>
              </w:rPr>
              <m:t>z</m:t>
            </m:r>
          </m:e>
          <m:sub>
            <m:r>
              <w:rPr>
                <w:rFonts w:ascii="Cambria Math" w:hAnsi="Cambria Math"/>
              </w:rPr>
              <m:t>g</m:t>
            </m:r>
          </m:sub>
        </m:sSub>
        <m:r>
          <m:rPr>
            <m:scr m:val="script"/>
            <m:sty m:val="p"/>
          </m:rPr>
          <w:rPr>
            <w:rFonts w:ascii="Cambria Math" w:hAnsi="Cambria Math"/>
          </w:rPr>
          <m:t>∼N</m:t>
        </m:r>
        <m:d>
          <m:dPr>
            <m:ctrlPr>
              <w:rPr>
                <w:rFonts w:ascii="Cambria Math" w:hAnsi="Cambria Math"/>
              </w:rPr>
            </m:ctrlPr>
          </m:dPr>
          <m:e>
            <m:r>
              <w:rPr>
                <w:rFonts w:ascii="Cambria Math" w:hAnsi="Cambria Math"/>
              </w:rPr>
              <m:t>cμ</m:t>
            </m:r>
            <m:r>
              <m:rPr>
                <m:sty m:val="p"/>
              </m:rPr>
              <w:rPr>
                <w:rFonts w:ascii="Cambria Math" w:hAnsi="Cambria Math"/>
              </w:rPr>
              <m:t>,</m:t>
            </m:r>
            <m:r>
              <w:rPr>
                <w:rFonts w:ascii="Cambria Math" w:hAnsi="Cambria Math"/>
              </w:rPr>
              <m:t>1</m:t>
            </m:r>
          </m:e>
        </m:d>
      </m:oMath>
      <w:r>
        <w:t xml:space="preserve"> independently. The Bayes decision uses the sign of </w:t>
      </w:r>
      <m:oMath>
        <m:nary>
          <m:naryPr>
            <m:chr m:val="∑"/>
            <m:limLoc m:val="undOvr"/>
            <m:supHide m:val="1"/>
            <m:ctrlPr>
              <w:rPr>
                <w:rFonts w:ascii="Cambria Math" w:hAnsi="Cambria Math"/>
              </w:rPr>
            </m:ctrlPr>
          </m:naryPr>
          <m:sub>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g</m:t>
                </m:r>
              </m:sub>
            </m:sSub>
          </m:e>
        </m:nary>
      </m:oMath>
      <w:r>
        <w:t xml:space="preserve">. Encode each block separately through a fixed positive map, with no cross-block mixing before the tested positive stage, and compare against an oracle using only the four largest-magnitude blocks. Choose </w:t>
      </w:r>
      <m:oMath>
        <m:r>
          <w:rPr>
            <w:rFonts w:ascii="Cambria Math" w:hAnsi="Cambria Math"/>
          </w:rPr>
          <m:t>μ</m:t>
        </m:r>
      </m:oMath>
      <w:r>
        <w:t xml:space="preserve"> on a separate pilot split so that the two oracles have distinguishable error rates; freeze it before the confirmatory runs. This task tests accumulation without making a participation ratio its own validation target.</w:t>
      </w:r>
    </w:p>
    <w:p w14:paraId="29E815F7" w14:textId="77777777" w:rsidR="00CE5BE2" w:rsidRDefault="00000000" w:rsidP="0036278A">
      <w:pPr>
        <w:pStyle w:val="BodyText"/>
        <w:jc w:val="both"/>
      </w:pPr>
      <w:r>
        <w:t xml:space="preserve">The proposed P1 acceptance target is: at </w:t>
      </w:r>
      <m:oMath>
        <m:r>
          <w:rPr>
            <w:rFonts w:ascii="Cambria Math" w:hAnsi="Cambria Math"/>
          </w:rPr>
          <m:t>ρ</m:t>
        </m:r>
        <m:r>
          <m:rPr>
            <m:sty m:val="p"/>
          </m:rPr>
          <w:rPr>
            <w:rFonts w:ascii="Cambria Math" w:hAnsi="Cambria Math"/>
          </w:rPr>
          <m:t>=</m:t>
        </m:r>
        <m:r>
          <w:rPr>
            <w:rFonts w:ascii="Cambria Math" w:hAnsi="Cambria Math"/>
          </w:rPr>
          <m:t>0.01</m:t>
        </m:r>
      </m:oMath>
      <w:r>
        <w:t>, certified accuracy changes by at most five percentage points between widths 256 and 4096; nominal accuracy is within two percentage points of the matched signed control; and the evidence task significantly outperforms the four-block oracle while using nonredundant blocks. Also report the full margin distribution and the slope of median margin against width. These thresholds are proposed registration values, not results or an existing public registration.</w:t>
      </w:r>
    </w:p>
    <w:p w14:paraId="479F69D0" w14:textId="77777777" w:rsidR="00CE5BE2" w:rsidRDefault="00000000" w:rsidP="0036278A">
      <w:pPr>
        <w:pStyle w:val="BodyText"/>
        <w:jc w:val="both"/>
      </w:pPr>
      <w:r>
        <w:t>A drop exceeding ten percentage points rejects the tested scaling hypothesis. If only the marginal certificate fails, first use a dependency-aware margin relaxation and adversarial weight search to distinguish inconclusive bounds from actual flips. Search provides counterexamples but cannot establish safety when no flip is found. One failed architecture does not refute the calculus or every positive network; it redirects that model toward exact local diagnostics. CIFAR-10 and sequence tasks are expansion gates after P1 succeeds.</w:t>
      </w:r>
    </w:p>
    <w:p w14:paraId="49AB3C89" w14:textId="77777777" w:rsidR="00CE5BE2" w:rsidRDefault="00000000" w:rsidP="0036278A">
      <w:pPr>
        <w:pStyle w:val="Heading1"/>
        <w:jc w:val="both"/>
      </w:pPr>
      <w:bookmarkStart w:id="13" w:name="Xfacc26e5cf87ae6aa6890e3b7494332845f04b5"/>
      <w:bookmarkEnd w:id="10"/>
      <w:bookmarkEnd w:id="12"/>
      <w:r>
        <w:t>5 P2 Positive Kronecker attention with dependency control</w:t>
      </w:r>
    </w:p>
    <w:p w14:paraId="493E23CB" w14:textId="77777777" w:rsidR="00CE5BE2" w:rsidRDefault="00000000" w:rsidP="0036278A">
      <w:pPr>
        <w:keepNext/>
        <w:jc w:val="both"/>
      </w:pPr>
      <w:r>
        <w:t xml:space="preserve">For positive matrix tokens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r>
              <m:rPr>
                <m:sty m:val="p"/>
              </m:rPr>
              <w:rPr>
                <w:rFonts w:ascii="Cambria Math" w:hAnsi="Cambria Math"/>
              </w:rPr>
              <m:t>×</m:t>
            </m:r>
            <m:r>
              <w:rPr>
                <w:rFonts w:ascii="Cambria Math" w:hAnsi="Cambria Math"/>
              </w:rPr>
              <m:t>q</m:t>
            </m:r>
          </m:sup>
        </m:sSup>
      </m:oMath>
      <w:r>
        <w:t xml:space="preserve">, let </w:t>
      </w:r>
      <m:oMath>
        <m:sSub>
          <m:sSubPr>
            <m:ctrlPr>
              <w:rPr>
                <w:rFonts w:ascii="Cambria Math" w:hAnsi="Cambria Math"/>
              </w:rPr>
            </m:ctrlPr>
          </m:sSubPr>
          <m:e>
            <m:r>
              <w:rPr>
                <w:rFonts w:ascii="Cambria Math" w:hAnsi="Cambria Math"/>
              </w:rPr>
              <m:t>B</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r>
              <m:rPr>
                <m:sty m:val="p"/>
              </m:rPr>
              <w:rPr>
                <w:rFonts w:ascii="Cambria Math" w:hAnsi="Cambria Math"/>
              </w:rPr>
              <m:t>×</m:t>
            </m:r>
            <m:r>
              <w:rPr>
                <w:rFonts w:ascii="Cambria Math" w:hAnsi="Cambria Math"/>
              </w:rPr>
              <m:t>p</m:t>
            </m:r>
          </m:sup>
        </m:sSup>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r>
              <w:rPr>
                <w:rFonts w:ascii="Cambria Math" w:hAnsi="Cambria Math"/>
              </w:rPr>
              <m:t>q</m:t>
            </m:r>
          </m:sup>
        </m:sSup>
      </m:oMath>
      <w:r>
        <w:t xml:space="preserve"> be positive query and key factors. Then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r>
              <m:rPr>
                <m:sty m:val="p"/>
              </m:rPr>
              <w:rPr>
                <w:rFonts w:ascii="Cambria Math" w:hAnsi="Cambria Math"/>
              </w:rPr>
              <m:t>×</m:t>
            </m:r>
            <m:r>
              <w:rPr>
                <w:rFonts w:ascii="Cambria Math" w:hAnsi="Cambria Math"/>
              </w:rPr>
              <m:t>t</m:t>
            </m:r>
          </m:sup>
        </m:sSup>
      </m:oMath>
      <w:r>
        <w:t>, with positive scores,</w:t>
      </w:r>
    </w:p>
    <w:p w14:paraId="6FEFFC48" w14:textId="77777777" w:rsidR="00CE5BE2" w:rsidRDefault="00000000" w:rsidP="0036278A">
      <w:pPr>
        <w:pStyle w:val="BodyText"/>
        <w:spacing w:before="60" w:after="160"/>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q</m:t>
              </m:r>
            </m:sub>
          </m:sSub>
          <m:sSub>
            <m:sSubPr>
              <m:ctrlPr>
                <w:rPr>
                  <w:rFonts w:ascii="Cambria Math" w:hAnsi="Cambria Math"/>
                </w:rPr>
              </m:ctrlPr>
            </m:sSubPr>
            <m:e>
              <m:r>
                <w:rPr>
                  <w:rFonts w:ascii="Cambria Math" w:hAnsi="Cambria Math"/>
                </w:rPr>
                <m:t>X</m:t>
              </m:r>
            </m:e>
            <m:sub>
              <m:r>
                <w:rPr>
                  <w:rFonts w:ascii="Cambria Math" w:hAnsi="Cambria Math"/>
                </w:rPr>
                <m:t>i</m:t>
              </m:r>
            </m:sub>
          </m:sSub>
          <m:sSubSup>
            <m:sSubSupPr>
              <m:ctrlPr>
                <w:rPr>
                  <w:rFonts w:ascii="Cambria Math" w:hAnsi="Cambria Math"/>
                </w:rPr>
              </m:ctrlPr>
            </m:sSubSupPr>
            <m:e>
              <m:r>
                <w:rPr>
                  <w:rFonts w:ascii="Cambria Math" w:hAnsi="Cambria Math"/>
                </w:rPr>
                <m:t>A</m:t>
              </m:r>
            </m:e>
            <m:sub>
              <m:r>
                <w:rPr>
                  <w:rFonts w:ascii="Cambria Math" w:hAnsi="Cambria Math"/>
                </w:rPr>
                <m:t>q</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j</m:t>
              </m:r>
            </m:sub>
          </m:sSub>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ij</m:t>
                  </m:r>
                </m:sub>
                <m:sup>
                  <m:r>
                    <w:rPr>
                      <w:rFonts w:ascii="Cambria Math" w:hAnsi="Cambria Math"/>
                    </w:rPr>
                    <m:t>τ</m:t>
                  </m:r>
                </m:sup>
              </m:sSubSup>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s</m:t>
                      </m:r>
                    </m:e>
                    <m:sub>
                      <m:r>
                        <w:rPr>
                          <w:rFonts w:ascii="Cambria Math" w:hAnsi="Cambria Math"/>
                        </w:rPr>
                        <m:t>ik</m:t>
                      </m:r>
                    </m:sub>
                    <m:sup>
                      <m:r>
                        <w:rPr>
                          <w:rFonts w:ascii="Cambria Math" w:hAnsi="Cambria Math"/>
                        </w:rPr>
                        <m:t>τ</m:t>
                      </m:r>
                    </m:sup>
                  </m:sSubSup>
                </m:e>
              </m:nary>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m:t>
              </m:r>
            </m:e>
          </m:d>
        </m:oMath>
      </m:oMathPara>
    </w:p>
    <w:p w14:paraId="64AE58AE" w14:textId="77777777" w:rsidR="00CE5BE2" w:rsidRDefault="00000000" w:rsidP="0036278A">
      <w:pPr>
        <w:jc w:val="both"/>
      </w:pPr>
      <w:r>
        <w:t xml:space="preserve">YAKAL’s signed LNS score is represented by a sign and a log magnitude [5]. Ordinary softmax requires the numerical score as its logit, so that representation needs an inverse-log conversion per score. Equation 9 instead consumes the stored positive log score directly: </w:t>
      </w:r>
      <m:oMath>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τ</m:t>
        </m:r>
        <m:r>
          <m:rPr>
            <m:sty m:val="p"/>
          </m:rPr>
          <w:rPr>
            <w:rFonts w:ascii="Cambria Math" w:hAnsi="Cambria Math"/>
          </w:rPr>
          <m:t>log</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LSE</m:t>
            </m:r>
          </m:e>
          <m:sub>
            <m:r>
              <w:rPr>
                <w:rFonts w:ascii="Cambria Math" w:hAnsi="Cambria Math"/>
              </w:rPr>
              <m:t>k</m:t>
            </m:r>
          </m:sub>
        </m:sSub>
        <m:d>
          <m:dPr>
            <m:ctrlPr>
              <w:rPr>
                <w:rFonts w:ascii="Cambria Math" w:hAnsi="Cambria Math"/>
              </w:rPr>
            </m:ctrlPr>
          </m:dPr>
          <m:e>
            <m:r>
              <w:rPr>
                <w:rFonts w:ascii="Cambria Math" w:hAnsi="Cambria Math"/>
              </w:rPr>
              <m:t>τ</m:t>
            </m:r>
            <m:r>
              <m:rPr>
                <m:sty m:val="p"/>
              </m:rPr>
              <w:rPr>
                <w:rFonts w:ascii="Cambria Math" w:hAnsi="Cambria Math"/>
              </w:rPr>
              <m:t>log</m:t>
            </m:r>
            <m:sSub>
              <m:sSubPr>
                <m:ctrlPr>
                  <w:rPr>
                    <w:rFonts w:ascii="Cambria Math" w:hAnsi="Cambria Math"/>
                  </w:rPr>
                </m:ctrlPr>
              </m:sSubPr>
              <m:e>
                <m:r>
                  <w:rPr>
                    <w:rFonts w:ascii="Cambria Math" w:hAnsi="Cambria Math"/>
                  </w:rPr>
                  <m:t>s</m:t>
                </m:r>
              </m:e>
              <m:sub>
                <m:r>
                  <w:rPr>
                    <w:rFonts w:ascii="Cambria Math" w:hAnsi="Cambria Math"/>
                  </w:rPr>
                  <m:t>ik</m:t>
                </m:r>
              </m:sub>
            </m:sSub>
          </m:e>
        </m:d>
      </m:oMath>
      <w:r>
        <w:t xml:space="preserve">. This removes that particular conversion; log-add and any final value-domain conversion still cost work. At </w:t>
      </w:r>
      <m:oMath>
        <m:r>
          <w:rPr>
            <w:rFonts w:ascii="Cambria Math" w:hAnsi="Cambria Math"/>
          </w:rPr>
          <m:t>τ</m:t>
        </m:r>
        <m:r>
          <m:rPr>
            <m:sty m:val="p"/>
          </m:rPr>
          <w:rPr>
            <w:rFonts w:ascii="Cambria Math" w:hAnsi="Cambria Math"/>
          </w:rPr>
          <m:t>=</m:t>
        </m:r>
        <m:r>
          <w:rPr>
            <w:rFonts w:ascii="Cambria Math" w:hAnsi="Cambria Math"/>
          </w:rPr>
          <m:t>1</m:t>
        </m:r>
      </m:oMath>
      <w:r>
        <w:t>, the positive-feature linear-attention reassociation is available [14]. General noninteger powers do not inherit the same linear-time implementation.</w:t>
      </w:r>
    </w:p>
    <w:p w14:paraId="0F8CF53D" w14:textId="77777777" w:rsidR="00CE5BE2" w:rsidRDefault="00000000" w:rsidP="0036278A">
      <w:pPr>
        <w:pStyle w:val="BodyText"/>
        <w:keepNext/>
        <w:jc w:val="both"/>
      </w:pPr>
      <w:r>
        <w:t>With column-major vectorization, the score has the exact identity</w:t>
      </w:r>
    </w:p>
    <w:p w14:paraId="2DA8D976" w14:textId="77777777" w:rsidR="00CE5BE2" w:rsidRDefault="00000000" w:rsidP="0036278A">
      <w:pPr>
        <w:pStyle w:val="BodyText"/>
        <w:spacing w:before="60" w:after="16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=vec</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sup>
              <m:r>
                <m:rPr>
                  <m:sty m:val="p"/>
                </m:rPr>
                <w:rPr>
                  <w:rFonts w:ascii="Cambria Math" w:hAnsi="Cambria Math"/>
                </w:rPr>
                <m:t>⊤</m:t>
              </m:r>
            </m:sup>
          </m:sSup>
          <m:r>
            <w:rPr>
              <w:rFonts w:ascii="Cambria Math" w:hAnsi="Cambria Math"/>
            </w:rPr>
            <m:t>M</m:t>
          </m:r>
          <m:r>
            <m:rPr>
              <m:sty m:val="p"/>
            </m:rPr>
            <w:rPr>
              <w:rFonts w:ascii="Cambria Math" w:hAnsi="Cambria Math"/>
            </w:rPr>
            <m:t>vec</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r>
            <w:rPr>
              <w:rFonts w:ascii="Cambria Math" w:hAnsi="Cambria Math"/>
            </w:rPr>
            <m:t>  M</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q</m:t>
                  </m:r>
                </m:sub>
                <m:sup>
                  <m:r>
                    <m:rPr>
                      <m:sty m:val="p"/>
                    </m:rPr>
                    <w:rPr>
                      <w:rFonts w:ascii="Cambria Math" w:hAnsi="Cambria Math"/>
                    </w:rPr>
                    <m:t>⊤</m:t>
                  </m:r>
                </m:sup>
              </m:sSubSup>
              <m:sSub>
                <m:sSubPr>
                  <m:ctrlPr>
                    <w:rPr>
                      <w:rFonts w:ascii="Cambria Math" w:hAnsi="Cambria Math"/>
                    </w:rPr>
                  </m:ctrlPr>
                </m:sSubPr>
                <m:e>
                  <m:r>
                    <w:rPr>
                      <w:rFonts w:ascii="Cambria Math" w:hAnsi="Cambria Math"/>
                    </w:rPr>
                    <m:t>A</m:t>
                  </m:r>
                </m:e>
                <m:sub>
                  <m:r>
                    <w:rPr>
                      <w:rFonts w:ascii="Cambria Math" w:hAnsi="Cambria Math"/>
                    </w:rPr>
                    <m:t>k</m:t>
                  </m:r>
                </m:sub>
              </m:sSub>
            </m:e>
          </m:d>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q</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k</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m:t>
              </m:r>
            </m:e>
          </m:d>
        </m:oMath>
      </m:oMathPara>
    </w:p>
    <w:p w14:paraId="41AB5577" w14:textId="77777777" w:rsidR="00CE5BE2" w:rsidRDefault="00000000" w:rsidP="0036278A">
      <w:pPr>
        <w:jc w:val="both"/>
      </w:pPr>
      <m:oMath>
        <m:r>
          <w:rPr>
            <w:rFonts w:ascii="Cambria Math" w:hAnsi="Cambria Math"/>
          </w:rPr>
          <w:lastRenderedPageBreak/>
          <m:t>M</m:t>
        </m:r>
      </m:oMath>
      <w:r>
        <w:t xml:space="preserve"> is a cross-feature matrix of rank at most </w:t>
      </w:r>
      <m:oMath>
        <m:r>
          <w:rPr>
            <w:rFonts w:ascii="Cambria Math" w:hAnsi="Cambria Math"/>
          </w:rPr>
          <m:t>rt</m:t>
        </m:r>
      </m:oMath>
      <w:r>
        <w:t xml:space="preserve">. It is a positive semidefinite Gram matrix only under suitable tying, such as identical query and key maps. Positive entries alone do not imply this property: the added check constructs a symmetric positive-entry cross-matrix with eigenvalues </w:t>
      </w:r>
      <m:oMath>
        <m:r>
          <m:rPr>
            <m:sty m:val="p"/>
          </m:rPr>
          <w:rPr>
            <w:rFonts w:ascii="Cambria Math" w:hAnsi="Cambria Math"/>
          </w:rPr>
          <m:t>-</m:t>
        </m:r>
        <m:r>
          <w:rPr>
            <w:rFonts w:ascii="Cambria Math" w:hAnsi="Cambria Math"/>
          </w:rPr>
          <m:t>0.81</m:t>
        </m:r>
      </m:oMath>
      <w:r>
        <w:t xml:space="preserve"> and </w:t>
      </w:r>
      <m:oMath>
        <m:r>
          <w:rPr>
            <w:rFonts w:ascii="Cambria Math" w:hAnsi="Cambria Math"/>
          </w:rPr>
          <m:t>1.21</m:t>
        </m:r>
      </m:oMath>
      <w:r>
        <w:t>. Diagonal dominance is not required for successful content matching; pool sparsity and selectivity should be measured rather than imposed as a theorem.</w:t>
      </w:r>
    </w:p>
    <w:p w14:paraId="64FA88A6" w14:textId="77777777" w:rsidR="00CE5BE2" w:rsidRDefault="00000000" w:rsidP="0036278A">
      <w:pPr>
        <w:pStyle w:val="BodyText"/>
        <w:keepNext/>
        <w:jc w:val="both"/>
      </w:pPr>
      <w:r>
        <w:t xml:space="preserve">At fixed positive tokens, log radius </w:t>
      </w:r>
      <m:oMath>
        <m:r>
          <w:rPr>
            <w:rFonts w:ascii="Cambria Math" w:hAnsi="Cambria Math"/>
          </w:rPr>
          <m:t>ρ</m:t>
        </m:r>
      </m:oMath>
      <w:r>
        <w:t xml:space="preserve"> in each of the four factor matrices gives score log radius </w:t>
      </w:r>
      <m:oMath>
        <m:r>
          <w:rPr>
            <w:rFonts w:ascii="Cambria Math" w:hAnsi="Cambria Math"/>
          </w:rPr>
          <m:t>4ρ</m:t>
        </m:r>
      </m:oMath>
      <w:r>
        <w:t>. Consequently,</w:t>
      </w:r>
    </w:p>
    <w:p w14:paraId="7A594103" w14:textId="77777777" w:rsidR="00CE5BE2" w:rsidRDefault="00000000" w:rsidP="0036278A">
      <w:pPr>
        <w:pStyle w:val="BodyText"/>
        <w:spacing w:before="60" w:after="160"/>
        <w:jc w:val="both"/>
      </w:pPr>
      <m:oMathPara>
        <m:oMathParaPr>
          <m:jc m:val="center"/>
        </m:oMathParaPr>
        <m:oMath>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0</m:t>
                  </m:r>
                </m:sup>
              </m:sSubSup>
            </m:e>
          </m:d>
          <m:r>
            <m:rPr>
              <m:sty m:val="p"/>
            </m:rPr>
            <w:rPr>
              <w:rFonts w:ascii="Cambria Math" w:hAnsi="Cambria Math"/>
            </w:rPr>
            <m:t>≤tanh</m:t>
          </m:r>
          <m:d>
            <m:dPr>
              <m:ctrlPr>
                <w:rPr>
                  <w:rFonts w:ascii="Cambria Math" w:hAnsi="Cambria Math"/>
                </w:rPr>
              </m:ctrlPr>
            </m:dPr>
            <m:e>
              <m:r>
                <w:rPr>
                  <w:rFonts w:ascii="Cambria Math" w:hAnsi="Cambria Math"/>
                </w:rPr>
                <m:t>2τρ</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p>
    <w:p w14:paraId="4D2001D5" w14:textId="77777777" w:rsidR="00CE5BE2" w:rsidRDefault="00000000" w:rsidP="0036278A">
      <w:pPr>
        <w:jc w:val="both"/>
      </w:pPr>
      <w:r>
        <w:t xml:space="preserve">L10 reproduces this radius and the bound 0.15865 at </w:t>
      </w:r>
      <m:oMath>
        <m:r>
          <w:rPr>
            <w:rFonts w:ascii="Cambria Math" w:hAnsi="Cambria Math"/>
          </w:rPr>
          <m:t>ρ</m:t>
        </m:r>
        <m:r>
          <m:rPr>
            <m:sty m:val="p"/>
          </m:rPr>
          <w:rPr>
            <w:rFonts w:ascii="Cambria Math" w:hAnsi="Cambria Math"/>
          </w:rPr>
          <m:t>=</m:t>
        </m:r>
        <m:r>
          <w:rPr>
            <w:rFonts w:ascii="Cambria Math" w:hAnsi="Cambria Math"/>
          </w:rPr>
          <m:t>0.02</m:t>
        </m:r>
      </m:oMath>
      <w:r>
        <w:t xml:space="preserve">, </w:t>
      </w:r>
      <m:oMath>
        <m:r>
          <w:rPr>
            <w:rFonts w:ascii="Cambria Math" w:hAnsi="Cambria Math"/>
          </w:rPr>
          <m:t>τ</m:t>
        </m:r>
        <m:r>
          <m:rPr>
            <m:sty m:val="p"/>
          </m:rPr>
          <w:rPr>
            <w:rFonts w:ascii="Cambria Math" w:hAnsi="Cambria Math"/>
          </w:rPr>
          <m:t>=</m:t>
        </m:r>
        <m:r>
          <w:rPr>
            <w:rFonts w:ascii="Cambria Math" w:hAnsi="Cambria Math"/>
          </w:rPr>
          <m:t>4</m:t>
        </m:r>
      </m:oMath>
      <w:r>
        <w:t xml:space="preserve">. The sampled maximum TV is only 0.01062, 0.00469, and 0.00196 for token sizes </w:t>
      </w:r>
      <m:oMath>
        <m:r>
          <w:rPr>
            <w:rFonts w:ascii="Cambria Math" w:hAnsi="Cambria Math"/>
          </w:rPr>
          <m:t>4</m:t>
        </m:r>
        <m:r>
          <m:rPr>
            <m:sty m:val="p"/>
          </m:rPr>
          <w:rPr>
            <w:rFonts w:ascii="Cambria Math" w:hAnsi="Cambria Math"/>
          </w:rPr>
          <m:t>×</m:t>
        </m:r>
        <m:r>
          <w:rPr>
            <w:rFonts w:ascii="Cambria Math" w:hAnsi="Cambria Math"/>
          </w:rPr>
          <m:t>4</m:t>
        </m:r>
      </m:oMath>
      <w:r>
        <w:t xml:space="preserve">, </w:t>
      </w:r>
      <m:oMath>
        <m:r>
          <w:rPr>
            <w:rFonts w:ascii="Cambria Math" w:hAnsi="Cambria Math"/>
          </w:rPr>
          <m:t>8</m:t>
        </m:r>
        <m:r>
          <m:rPr>
            <m:sty m:val="p"/>
          </m:rPr>
          <w:rPr>
            <w:rFonts w:ascii="Cambria Math" w:hAnsi="Cambria Math"/>
          </w:rPr>
          <m:t>×</m:t>
        </m:r>
        <m:r>
          <w:rPr>
            <w:rFonts w:ascii="Cambria Math" w:hAnsi="Cambria Math"/>
          </w:rPr>
          <m:t>8</m:t>
        </m:r>
      </m:oMath>
      <w:r>
        <w:t xml:space="preserve">, and </w:t>
      </w:r>
      <m:oMath>
        <m:r>
          <w:rPr>
            <w:rFonts w:ascii="Cambria Math" w:hAnsi="Cambria Math"/>
          </w:rPr>
          <m:t>16</m:t>
        </m:r>
        <m:r>
          <m:rPr>
            <m:sty m:val="p"/>
          </m:rPr>
          <w:rPr>
            <w:rFonts w:ascii="Cambria Math" w:hAnsi="Cambria Math"/>
          </w:rPr>
          <m:t>×</m:t>
        </m:r>
        <m:r>
          <w:rPr>
            <w:rFonts w:ascii="Cambria Math" w:hAnsi="Cambria Math"/>
          </w:rPr>
          <m:t>16</m:t>
        </m:r>
      </m:oMath>
      <w:r>
        <w:t xml:space="preserve">. Shared factors make the score-box relaxation loose. Indeed, simultaneously increasing every factor by </w:t>
      </w:r>
      <m:oMath>
        <m:sSup>
          <m:sSupPr>
            <m:ctrlPr>
              <w:rPr>
                <w:rFonts w:ascii="Cambria Math" w:hAnsi="Cambria Math"/>
              </w:rPr>
            </m:ctrlPr>
          </m:sSupPr>
          <m:e>
            <m:r>
              <w:rPr>
                <w:rFonts w:ascii="Cambria Math" w:hAnsi="Cambria Math"/>
              </w:rPr>
              <m:t>e</m:t>
            </m:r>
          </m:e>
          <m:sup>
            <m:r>
              <w:rPr>
                <w:rFonts w:ascii="Cambria Math" w:hAnsi="Cambria Math"/>
              </w:rPr>
              <m:t>ρ</m:t>
            </m:r>
          </m:sup>
        </m:sSup>
      </m:oMath>
      <w:r>
        <w:t xml:space="preserve"> attains all upper score endpoints, but shifts every logit by the same amount and leaves attention unchanged.</w:t>
      </w:r>
    </w:p>
    <w:p w14:paraId="5FF31807" w14:textId="77777777" w:rsidR="00CE5BE2" w:rsidRDefault="00000000" w:rsidP="0036278A">
      <w:pPr>
        <w:pStyle w:val="BodyText"/>
        <w:keepNext/>
        <w:jc w:val="both"/>
      </w:pPr>
      <w:r>
        <w:t xml:space="preserve">P2 should therefore investigate </w:t>
      </w:r>
      <w:r>
        <w:rPr>
          <w:b/>
          <w:bCs/>
        </w:rPr>
        <w:t>relative score variation</w:t>
      </w:r>
      <w:r>
        <w:t xml:space="preserve">, not just scalar score widths. If </w:t>
      </w:r>
      <m:oMath>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r>
          <w:rPr>
            <w:rFonts w:ascii="Cambria Math" w:hAnsi="Cambria Math"/>
          </w:rPr>
          <m:t>τ</m:t>
        </m:r>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ij</m:t>
                </m:r>
              </m:sub>
              <m:sup>
                <m:r>
                  <w:rPr>
                    <w:rFonts w:ascii="Cambria Math" w:hAnsi="Cambria Math"/>
                  </w:rPr>
                  <m:t>0</m:t>
                </m:r>
              </m:sup>
            </m:sSubSup>
          </m:e>
        </m:d>
      </m:oMath>
      <w:r>
        <w:t>, then the sharper dependency target is</w:t>
      </w:r>
    </w:p>
    <w:p w14:paraId="0BEDA19B" w14:textId="77777777" w:rsidR="00CE5BE2" w:rsidRDefault="00000000" w:rsidP="0036278A">
      <w:pPr>
        <w:pStyle w:val="BodyText"/>
        <w:spacing w:before="60" w:after="160"/>
        <w:jc w:val="both"/>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θ</m:t>
              </m:r>
              <m:r>
                <m:rPr>
                  <m:scr m:val="script"/>
                  <m:sty m:val="p"/>
                </m:rPr>
                <w:rPr>
                  <w:rFonts w:ascii="Cambria Math" w:hAnsi="Cambria Math"/>
                </w:rPr>
                <m:t>∈B</m:t>
              </m:r>
            </m:lim>
          </m:limLow>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sSub>
                <m:sSubPr>
                  <m:ctrlPr>
                    <w:rPr>
                      <w:rFonts w:ascii="Cambria Math" w:hAnsi="Cambria Math"/>
                    </w:rPr>
                  </m:ctrlPr>
                </m:sSubPr>
                <m:e>
                  <m:r>
                    <w:rPr>
                      <w:rFonts w:ascii="Cambria Math" w:hAnsi="Cambria Math"/>
                    </w:rPr>
                    <m:t>δ</m:t>
                  </m:r>
                </m:e>
                <m:sub>
                  <m:r>
                    <w:rPr>
                      <w:rFonts w:ascii="Cambria Math" w:hAnsi="Cambria Math"/>
                    </w:rPr>
                    <m:t>ij</m:t>
                  </m:r>
                </m:sub>
              </m:sSub>
            </m:e>
          </m:d>
          <m:r>
            <m:rPr>
              <m:sty m:val="p"/>
            </m:rPr>
            <w:rPr>
              <w:rFonts w:ascii="Cambria Math" w:hAnsi="Cambria Math"/>
            </w:rPr>
            <m:t>,</m:t>
          </m:r>
          <m:r>
            <w:rPr>
              <w:rFonts w:ascii="Cambria Math" w:hAnsi="Cambria Math"/>
            </w:rPr>
            <m:t>  </m:t>
          </m:r>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0</m:t>
                  </m:r>
                </m:sup>
              </m:sSubSup>
            </m:e>
          </m:d>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m:t>
              </m:r>
            </m:e>
          </m:d>
        </m:oMath>
      </m:oMathPara>
    </w:p>
    <w:p w14:paraId="365D81B7" w14:textId="77777777" w:rsidR="00CE5BE2" w:rsidRDefault="00000000" w:rsidP="0036278A">
      <w:pPr>
        <w:jc w:val="both"/>
      </w:pPr>
      <w:r>
        <w:t xml:space="preserve">Computing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exactly is generally a new optimization problem. Pairwise log-score bounds, tied-factor relaxations, and low-dimensional branch refinement are candidate approaches; a Jacobian calculation alone is not a finite-radius certificate. A common gain gives </w:t>
      </w: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0</m:t>
        </m:r>
      </m:oMath>
      <w:r>
        <w:t>, exposing what independent boxes discard. An exact threshold solve on an independent score box certifies that relaxed box, not the original joint attention computation. Variable attention combined with correlated value projections needs the same distinction.</w:t>
      </w:r>
    </w:p>
    <w:p w14:paraId="3C460B1E" w14:textId="77777777" w:rsidR="00CE5BE2" w:rsidRDefault="00000000" w:rsidP="0036278A">
      <w:pPr>
        <w:pStyle w:val="BodyText"/>
        <w:jc w:val="both"/>
      </w:pPr>
      <w:r>
        <w:t xml:space="preserve">Compare signed YAKAL, positive YAKAL at </w:t>
      </w:r>
      <m:oMath>
        <m:r>
          <w:rPr>
            <w:rFonts w:ascii="Cambria Math" w:hAnsi="Cambria Math"/>
          </w:rPr>
          <m:t>τ</m:t>
        </m:r>
        <m:r>
          <m:rPr>
            <m:sty m:val="p"/>
          </m:rPr>
          <w:rPr>
            <w:rFonts w:ascii="Cambria Math" w:hAnsi="Cambria Math"/>
          </w:rPr>
          <m:t>=</m:t>
        </m:r>
        <m:r>
          <w:rPr>
            <w:rFonts w:ascii="Cambria Math" w:hAnsi="Cambria Math"/>
          </w:rPr>
          <m:t>1</m:t>
        </m:r>
      </m:oMath>
      <w:r>
        <w:t xml:space="preserve">, learned </w:t>
      </w:r>
      <m:oMath>
        <m:r>
          <w:rPr>
            <w:rFonts w:ascii="Cambria Math" w:hAnsi="Cambria Math"/>
          </w:rPr>
          <m:t>τ</m:t>
        </m:r>
      </m:oMath>
      <w:r>
        <w:t xml:space="preserve">, and sparse positive pools on LRA-Image and Pathfinder at matched budgets. Record accuracy, token size, log-score spread, concentration-normalized spread, effective key count,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bounds, and measured latency. Positive token encodings need their own representational baseline. The dense-versus-sparse L10 result may partly reflect token gain variation, so repeat it after normalizing token mass outside the uncertain computation.</w:t>
      </w:r>
    </w:p>
    <w:p w14:paraId="66255C3B" w14:textId="77777777" w:rsidR="00CE5BE2" w:rsidRDefault="00000000" w:rsidP="0036278A">
      <w:pPr>
        <w:pStyle w:val="BodyText"/>
        <w:jc w:val="both"/>
      </w:pPr>
      <w:r>
        <w:t xml:space="preserve">The proposed certification target is TV at most 0.1 for at least 95% of held-out queries at factor log radius 0.02. Freeze this target before benchmark testing. Reject the proposed P2 operating point if accuracy is over two percentage points below the matched signed control or if a registered useful TV target cannot be met at equal cost. Growth of </w:t>
      </w:r>
      <m:oMath>
        <m:r>
          <w:rPr>
            <w:rFonts w:ascii="Cambria Math" w:hAnsi="Cambria Math"/>
          </w:rPr>
          <m:t>τ</m:t>
        </m:r>
      </m:oMath>
      <w:r>
        <w:t xml:space="preserve"> like </w:t>
      </w:r>
      <m:oMath>
        <m:rad>
          <m:radPr>
            <m:degHide m:val="1"/>
            <m:ctrlPr>
              <w:rPr>
                <w:rFonts w:ascii="Cambria Math" w:hAnsi="Cambria Math"/>
              </w:rPr>
            </m:ctrlPr>
          </m:radPr>
          <m:deg/>
          <m:e>
            <m:r>
              <w:rPr>
                <w:rFonts w:ascii="Cambria Math" w:hAnsi="Cambria Math"/>
              </w:rPr>
              <m:t>pq</m:t>
            </m:r>
          </m:e>
        </m:rad>
      </m:oMath>
      <w:r>
        <w:t xml:space="preserve"> diagnoses failure of Equation 11; it does not by itself refute a stronger correlated certificate. The fallback is accurate signed scoring with certified local value or expert ranges, retaining appropriate accumulator precision.</w:t>
      </w:r>
    </w:p>
    <w:p w14:paraId="42503793" w14:textId="77777777" w:rsidR="00CE5BE2" w:rsidRDefault="00000000" w:rsidP="0036278A">
      <w:pPr>
        <w:pStyle w:val="Heading1"/>
        <w:jc w:val="both"/>
      </w:pPr>
      <w:bookmarkStart w:id="14" w:name="X0b8db6318619e4eb34d4eac2f4d7755306215d4"/>
      <w:bookmarkEnd w:id="13"/>
      <w:r>
        <w:t>6 P3 Consolidation and precision that preserve decisions</w:t>
      </w:r>
    </w:p>
    <w:p w14:paraId="1A70CAB6" w14:textId="77777777" w:rsidR="00CE5BE2" w:rsidRDefault="00000000" w:rsidP="0036278A">
      <w:pPr>
        <w:pStyle w:val="Heading2"/>
        <w:jc w:val="both"/>
      </w:pPr>
      <w:bookmarkStart w:id="15" w:name="X9a2db9dd8946344a2ca301b71c8c643cacf77bd"/>
      <w:r>
        <w:t>6.1 The update must fit the quantity it changes</w:t>
      </w:r>
    </w:p>
    <w:p w14:paraId="741D6674" w14:textId="77777777" w:rsidR="00CE5BE2" w:rsidRDefault="00000000" w:rsidP="0036278A">
      <w:pPr>
        <w:jc w:val="both"/>
      </w:pPr>
      <w:r>
        <w:t>The sleep design fits a Kronecker approximation to an additive adapter change and then updates base-factor logarithms [2]. These are different geometries. In L9, using normalized delta factors makes the proposed logarithmic update undefined for 28.0% or 63.8% of base entries in two constructions. Replacing factors by their absolute values permits a numerical comparison but changes the rule. At unit consolidation strength, that surrogate leaves only 1.88% or 1.51% of the original base norm.</w:t>
      </w:r>
    </w:p>
    <w:p w14:paraId="26F07524" w14:textId="77777777" w:rsidR="00CE5BE2" w:rsidRDefault="00000000" w:rsidP="0036278A">
      <w:pPr>
        <w:pStyle w:val="BodyText"/>
        <w:keepNext/>
        <w:jc w:val="both"/>
      </w:pPr>
      <w:r>
        <w:lastRenderedPageBreak/>
        <w:t xml:space="preserve">For </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&gt;</m:t>
        </m:r>
        <m:r>
          <w:rPr>
            <w:rFonts w:ascii="Cambria Math" w:hAnsi="Cambria Math"/>
          </w:rPr>
          <m:t>0</m:t>
        </m:r>
      </m:oMath>
      <w:r>
        <w:t xml:space="preserve">, with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r>
              <m:rPr>
                <m:sty m:val="p"/>
              </m:rPr>
              <w:rPr>
                <w:rFonts w:ascii="Cambria Math" w:hAnsi="Cambria Math"/>
              </w:rPr>
              <m:t>×</m:t>
            </m:r>
            <m:r>
              <w:rPr>
                <w:rFonts w:ascii="Cambria Math" w:hAnsi="Cambria Math"/>
              </w:rPr>
              <m:t>q</m:t>
            </m:r>
          </m:sup>
        </m:sSup>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r>
              <m:rPr>
                <m:sty m:val="p"/>
              </m:rPr>
              <w:rPr>
                <w:rFonts w:ascii="Cambria Math" w:hAnsi="Cambria Math"/>
              </w:rPr>
              <m:t>×</m:t>
            </m:r>
            <m:r>
              <w:rPr>
                <w:rFonts w:ascii="Cambria Math" w:hAnsi="Cambria Math"/>
              </w:rPr>
              <m:t>s</m:t>
            </m:r>
          </m:sup>
        </m:sSup>
      </m:oMath>
      <w:r>
        <w:t xml:space="preserve">, assume </w:t>
      </w:r>
      <m:oMath>
        <m:r>
          <w:rPr>
            <w:rFonts w:ascii="Cambria Math" w:hAnsi="Cambria Math"/>
          </w:rPr>
          <m:t>W</m:t>
        </m:r>
        <m:r>
          <m:rPr>
            <m:sty m:val="p"/>
          </m:rPr>
          <w:rPr>
            <w:rFonts w:ascii="Cambria Math" w:hAnsi="Cambria Math"/>
          </w:rPr>
          <m:t>+</m:t>
        </m:r>
        <m:r>
          <w:rPr>
            <w:rFonts w:ascii="Cambria Math" w:hAnsi="Cambria Math"/>
          </w:rPr>
          <m:t>ΔW</m:t>
        </m:r>
        <m:r>
          <m:rPr>
            <m:sty m:val="p"/>
          </m:rPr>
          <w:rPr>
            <w:rFonts w:ascii="Cambria Math" w:hAnsi="Cambria Math"/>
          </w:rPr>
          <m:t>&gt;</m:t>
        </m:r>
        <m:r>
          <w:rPr>
            <w:rFonts w:ascii="Cambria Math" w:hAnsi="Cambria Math"/>
          </w:rPr>
          <m:t>0</m:t>
        </m:r>
      </m:oMath>
      <w:r>
        <w:t>. A consistent log-domain target is</w:t>
      </w:r>
    </w:p>
    <w:p w14:paraId="71CAA970" w14:textId="77777777" w:rsidR="00CE5BE2" w:rsidRDefault="00000000" w:rsidP="0036278A">
      <w:pPr>
        <w:pStyle w:val="BodyText"/>
        <w:spacing w:before="60" w:after="160"/>
        <w:jc w:val="both"/>
      </w:pPr>
      <m:oMathPara>
        <m:oMathParaPr>
          <m:jc m:val="center"/>
        </m:oMathParaPr>
        <m:oMath>
          <m:r>
            <w:rPr>
              <w:rFonts w:ascii="Cambria Math" w:hAnsi="Cambria Math"/>
            </w:rPr>
            <m:t>D</m:t>
          </m:r>
          <m:r>
            <m:rPr>
              <m:sty m:val="p"/>
            </m:rPr>
            <w:rPr>
              <w:rFonts w:ascii="Cambria Math" w:hAnsi="Cambria Math"/>
            </w:rPr>
            <m:t>=log</m:t>
          </m:r>
          <m: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ΔW</m:t>
                  </m:r>
                </m:e>
              </m:d>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  </m:t>
          </m:r>
          <m:r>
            <m:rPr>
              <m:sty m:val="p"/>
            </m:rPr>
            <w:rPr>
              <w:rFonts w:ascii="Cambria Math" w:hAnsi="Cambria Math"/>
            </w:rPr>
            <m:t>log</m:t>
          </m:r>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new</m:t>
              </m:r>
            </m:sup>
          </m:sSubSup>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m:t>
              </m:r>
            </m:e>
          </m:d>
        </m:oMath>
      </m:oMathPara>
    </w:p>
    <w:p w14:paraId="06D312D8" w14:textId="77777777" w:rsidR="00CE5BE2" w:rsidRDefault="00000000" w:rsidP="0036278A">
      <w:pPr>
        <w:jc w:val="both"/>
      </w:pPr>
      <w:r>
        <w:t xml:space="preserve">The factor increments fit </w:t>
      </w:r>
      <m:oMath>
        <m:sSub>
          <m:sSubPr>
            <m:ctrlPr>
              <w:rPr>
                <w:rFonts w:ascii="Cambria Math" w:hAnsi="Cambria Math"/>
              </w:rPr>
            </m:ctrlPr>
          </m:sSubPr>
          <m:e>
            <m:r>
              <w:rPr>
                <w:rFonts w:ascii="Cambria Math" w:hAnsi="Cambria Math"/>
              </w:rPr>
              <m:t>D</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r>
              <m:rPr>
                <m:sty m:val="p"/>
              </m:rPr>
              <w:rPr>
                <w:rFonts w:ascii="Cambria Math" w:hAnsi="Cambria Math"/>
              </w:rPr>
              <m:t>,</m:t>
            </m:r>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r>
              <m:rPr>
                <m:sty m:val="p"/>
              </m:rPr>
              <w:rPr>
                <w:rFonts w:ascii="Cambria Math" w:hAnsi="Cambria Math"/>
              </w:rPr>
              <m:t>,</m:t>
            </m:r>
            <m:r>
              <w:rPr>
                <w:rFonts w:ascii="Cambria Math" w:hAnsi="Cambria Math"/>
              </w:rPr>
              <m:t>kl</m:t>
            </m:r>
          </m:sub>
        </m:sSub>
      </m:oMath>
      <w:r>
        <w:t xml:space="preserve">. With ordinary block means,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each subtract half the grand mean. This fits an outer sum, not the conventional Kronecker sum involving identities. At </w:t>
      </w:r>
      <m:oMath>
        <m:r>
          <w:rPr>
            <w:rFonts w:ascii="Cambria Math" w:hAnsi="Cambria Math"/>
          </w:rPr>
          <m:t>α</m:t>
        </m:r>
        <m:r>
          <m:rPr>
            <m:sty m:val="p"/>
          </m:rPr>
          <w:rPr>
            <w:rFonts w:ascii="Cambria Math" w:hAnsi="Cambria Math"/>
          </w:rPr>
          <m:t>=</m:t>
        </m:r>
        <m:r>
          <w:rPr>
            <w:rFonts w:ascii="Cambria Math" w:hAnsi="Cambria Math"/>
          </w:rPr>
          <m:t>1</m:t>
        </m:r>
      </m:oMath>
      <w:r>
        <w:t>, gain-type updates are recovered to second order under a small relative-change assumption. L9 gives relative residual 0.0250 for gain-type updates and 0.9808 for the generic adapter construction. The nearest Kronecker product gives 0.0246 and 0.9770, respectively. These are individual constructed examples, not universal retention percentages.</w:t>
      </w:r>
    </w:p>
    <w:p w14:paraId="6A86A456" w14:textId="77777777" w:rsidR="00CE5BE2" w:rsidRDefault="00000000" w:rsidP="0036278A">
      <w:pPr>
        <w:pStyle w:val="BodyText"/>
        <w:jc w:val="both"/>
      </w:pPr>
      <w:r>
        <w:t>The reported tangent fraction 0.210 is a ratio of norms; its squared-energy fraction is about 4.4%. Moreover, ordinary log-space least squares is not the Frobenius-optimal tangent projection in weight space. That distinction suggests an inexpensive improvement.</w:t>
      </w:r>
    </w:p>
    <w:p w14:paraId="4A5B561A" w14:textId="77777777" w:rsidR="00CE5BE2" w:rsidRDefault="00000000" w:rsidP="0036278A">
      <w:pPr>
        <w:pStyle w:val="Heading2"/>
        <w:jc w:val="both"/>
      </w:pPr>
      <w:bookmarkStart w:id="16" w:name="weighted-block-means-and-the-residual"/>
      <w:bookmarkEnd w:id="15"/>
      <w:r>
        <w:t>6.2 Weighted block means and the residual</w:t>
      </w:r>
    </w:p>
    <w:p w14:paraId="2D02FBA3" w14:textId="77777777" w:rsidR="00CE5BE2" w:rsidRDefault="00000000" w:rsidP="0036278A">
      <w:pPr>
        <w:keepNext/>
        <w:jc w:val="both"/>
      </w:pPr>
      <w:r>
        <w:t xml:space="preserve">Let </w:t>
      </w:r>
      <m:oMath>
        <m:r>
          <w:rPr>
            <w:rFonts w:ascii="Cambria Math" w:hAnsi="Cambria Math"/>
          </w:rPr>
          <m:t>a</m:t>
        </m:r>
        <m:r>
          <m:rPr>
            <m:sty m:val="p"/>
          </m:rPr>
          <w:rPr>
            <w:rFonts w:ascii="Cambria Math" w:hAnsi="Cambria Math"/>
          </w:rPr>
          <m:t>=vec</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e>
        </m:d>
      </m:oMath>
      <w:r>
        <w:t xml:space="preserve"> and </w:t>
      </w:r>
      <m:oMath>
        <m:r>
          <w:rPr>
            <w:rFonts w:ascii="Cambria Math" w:hAnsi="Cambria Math"/>
          </w:rPr>
          <m:t>b</m:t>
        </m:r>
        <m:r>
          <m:rPr>
            <m:sty m:val="p"/>
          </m:rPr>
          <w:rPr>
            <w:rFonts w:ascii="Cambria Math" w:hAnsi="Cambria Math"/>
          </w:rPr>
          <m:t>=vec</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e>
        </m:d>
      </m:oMath>
      <w:r>
        <w:t xml:space="preserve">, and rearrange </w:t>
      </w:r>
      <m:oMath>
        <m:r>
          <w:rPr>
            <w:rFonts w:ascii="Cambria Math" w:hAnsi="Cambria Math"/>
          </w:rPr>
          <m:t>D</m:t>
        </m:r>
      </m:oMath>
      <w:r>
        <w:t xml:space="preserve"> into coordinates </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indexed by factor entries. Set </w:t>
      </w: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w:t>
      </w:r>
      <m:oMath>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j</m:t>
            </m:r>
          </m:sub>
          <m:sup>
            <m:r>
              <w:rPr>
                <w:rFonts w:ascii="Cambria Math" w:hAnsi="Cambria Math"/>
              </w:rPr>
              <m:t>2</m:t>
            </m:r>
          </m:sup>
        </m:sSubSup>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and </w:t>
      </w:r>
      <m:oMath>
        <m:r>
          <w:rPr>
            <w:rFonts w:ascii="Cambria Math" w:hAnsi="Cambria Math"/>
          </w:rPr>
          <m:t>μ</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i</m:t>
                </m:r>
              </m:sub>
            </m:sSub>
          </m:e>
        </m:nary>
        <m:sSub>
          <m:sSubPr>
            <m:ctrlPr>
              <w:rPr>
                <w:rFonts w:ascii="Cambria Math" w:hAnsi="Cambria Math"/>
              </w:rPr>
            </m:ctrlPr>
          </m:sSubPr>
          <m:e>
            <m:r>
              <w:rPr>
                <w:rFonts w:ascii="Cambria Math" w:hAnsi="Cambria Math"/>
              </w:rPr>
              <m:t>ω</m:t>
            </m:r>
          </m:e>
          <m:sub>
            <m:r>
              <w:rPr>
                <w:rFonts w:ascii="Cambria Math" w:hAnsi="Cambria Math"/>
              </w:rPr>
              <m:t>j</m:t>
            </m:r>
          </m:sub>
        </m:sSub>
        <m:sSub>
          <m:sSubPr>
            <m:ctrlPr>
              <w:rPr>
                <w:rFonts w:ascii="Cambria Math" w:hAnsi="Cambria Math"/>
              </w:rPr>
            </m:ctrlPr>
          </m:sSubPr>
          <m:e>
            <m:r>
              <w:rPr>
                <w:rFonts w:ascii="Cambria Math" w:hAnsi="Cambria Math"/>
              </w:rPr>
              <m:t>D</m:t>
            </m:r>
          </m:e>
          <m:sub>
            <m:r>
              <w:rPr>
                <w:rFonts w:ascii="Cambria Math" w:hAnsi="Cambria Math"/>
              </w:rPr>
              <m:t>ij</m:t>
            </m:r>
          </m:sub>
        </m:sSub>
      </m:oMath>
      <w:r>
        <w:t>. Then</w:t>
      </w:r>
    </w:p>
    <w:p w14:paraId="667C6E09" w14:textId="77777777" w:rsidR="00CE5BE2" w:rsidRDefault="00000000" w:rsidP="0036278A">
      <w:pPr>
        <w:pStyle w:val="BodyText"/>
        <w:spacing w:before="60" w:after="160"/>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1</m:t>
              </m:r>
              <m:r>
                <m:rPr>
                  <m:sty m:val="p"/>
                </m:rPr>
                <w:rPr>
                  <w:rFonts w:ascii="Cambria Math" w:hAnsi="Cambria Math"/>
                </w:rPr>
                <m:t>,</m:t>
              </m:r>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j</m:t>
                  </m:r>
                </m:sub>
              </m:sSub>
            </m:e>
          </m:nary>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2</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i</m:t>
                  </m:r>
                </m:sub>
              </m:sSub>
            </m:e>
          </m:nary>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m:t>
              </m:r>
            </m:e>
          </m:d>
        </m:oMath>
      </m:oMathPara>
    </w:p>
    <w:p w14:paraId="4E963698" w14:textId="77777777" w:rsidR="00CE5BE2" w:rsidRDefault="00000000" w:rsidP="0036278A">
      <w:pPr>
        <w:keepNext/>
        <w:jc w:val="both"/>
      </w:pPr>
      <w:r>
        <w:t xml:space="preserve">These weighted means minimize </w:t>
      </w:r>
      <m:oMath>
        <m:nary>
          <m:naryPr>
            <m:chr m:val="∑"/>
            <m:limLoc m:val="undOvr"/>
            <m:supHide m:val="1"/>
            <m:ctrlPr>
              <w:rPr>
                <w:rFonts w:ascii="Cambria Math" w:hAnsi="Cambria Math"/>
              </w:rPr>
            </m:ctrlPr>
          </m:naryPr>
          <m:sub>
            <m:r>
              <w:rPr>
                <w:rFonts w:ascii="Cambria Math" w:hAnsi="Cambria Math"/>
              </w:rPr>
              <m:t>ij</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sSubSup>
          <m:sSubSupPr>
            <m:ctrlPr>
              <w:rPr>
                <w:rFonts w:ascii="Cambria Math" w:hAnsi="Cambria Math"/>
              </w:rPr>
            </m:ctrlPr>
          </m:sSubSupPr>
          <m:e>
            <m:r>
              <w:rPr>
                <w:rFonts w:ascii="Cambria Math" w:hAnsi="Cambria Math"/>
              </w:rPr>
              <m:t>b</m:t>
            </m:r>
          </m:e>
          <m:sub>
            <m:r>
              <w:rPr>
                <w:rFonts w:ascii="Cambria Math" w:hAnsi="Cambria Math"/>
              </w:rPr>
              <m:t>j</m:t>
            </m:r>
          </m:sub>
          <m:sup>
            <m:r>
              <w:rPr>
                <w:rFonts w:ascii="Cambria Math" w:hAnsi="Cambria Math"/>
              </w:rPr>
              <m:t>2</m:t>
            </m:r>
          </m:sup>
        </m:sSub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r>
                      <m:rPr>
                        <m:sty m:val="p"/>
                      </m:rPr>
                      <w:rPr>
                        <w:rFonts w:ascii="Cambria Math" w:hAnsi="Cambria Math"/>
                      </w:rPr>
                      <m:t>,</m:t>
                    </m:r>
                    <m:r>
                      <w:rPr>
                        <w:rFonts w:ascii="Cambria Math" w:hAnsi="Cambria Math"/>
                      </w:rPr>
                      <m:t>j</m:t>
                    </m:r>
                  </m:sub>
                </m:sSub>
              </m:e>
            </m:d>
          </m:e>
          <m:sup>
            <m:r>
              <w:rPr>
                <w:rFonts w:ascii="Cambria Math" w:hAnsi="Cambria Math"/>
              </w:rPr>
              <m:t>2</m:t>
            </m:r>
          </m:sup>
        </m:sSup>
      </m:oMath>
      <w:r>
        <w:t xml:space="preserve">, up to the additive gauge. This follows from the normal equations, or from orthogonal projection under the product measure </w:t>
      </w:r>
      <m:oMath>
        <m:r>
          <w:rPr>
            <w:rFonts w:ascii="Cambria Math" w:hAnsi="Cambria Math"/>
          </w:rPr>
          <m:t>π</m:t>
        </m:r>
        <m:r>
          <m:rPr>
            <m:sty m:val="p"/>
          </m:rPr>
          <w:rPr>
            <w:rFonts w:ascii="Cambria Math" w:hAnsi="Cambria Math"/>
          </w:rPr>
          <m:t>⊗</m:t>
        </m:r>
        <m:r>
          <w:rPr>
            <w:rFonts w:ascii="Cambria Math" w:hAnsi="Cambria Math"/>
          </w:rPr>
          <m:t>ω</m:t>
        </m:r>
      </m:oMath>
      <w:r>
        <w:t xml:space="preserve">. With </w:t>
      </w:r>
      <m:oMath>
        <m:r>
          <w:rPr>
            <w:rFonts w:ascii="Cambria Math" w:hAnsi="Cambria Math"/>
          </w:rPr>
          <m:t>D</m:t>
        </m:r>
        <m:r>
          <m:rPr>
            <m:sty m:val="p"/>
          </m:rPr>
          <w:rPr>
            <w:rFonts w:ascii="Cambria Math" w:hAnsi="Cambria Math"/>
          </w:rPr>
          <m:t>=</m:t>
        </m:r>
        <m:r>
          <w:rPr>
            <w:rFonts w:ascii="Cambria Math" w:hAnsi="Cambria Math"/>
          </w:rPr>
          <m:t>ΔW</m:t>
        </m:r>
        <m:r>
          <m:rPr>
            <m:sty m:val="p"/>
          </m:rPr>
          <w:rPr>
            <w:rFonts w:ascii="Cambria Math" w:hAnsi="Cambria Math"/>
          </w:rPr>
          <m:t>⊘</m:t>
        </m:r>
        <m:r>
          <w:rPr>
            <w:rFonts w:ascii="Cambria Math" w:hAnsi="Cambria Math"/>
          </w:rPr>
          <m:t>W</m:t>
        </m:r>
      </m:oMath>
      <w:r>
        <w:t xml:space="preserve">, multiplying the fitted outer sum by </w:t>
      </w:r>
      <m:oMath>
        <m:r>
          <w:rPr>
            <w:rFonts w:ascii="Cambria Math" w:hAnsi="Cambria Math"/>
          </w:rPr>
          <m:t>W</m:t>
        </m:r>
      </m:oMath>
      <w:r>
        <w:t xml:space="preserve"> gives the Frobenius orthogonal projection onto</w:t>
      </w:r>
    </w:p>
    <w:p w14:paraId="73B95190" w14:textId="77777777" w:rsidR="00CE5BE2" w:rsidRDefault="00000000" w:rsidP="0036278A">
      <w:pPr>
        <w:pStyle w:val="BodyText"/>
        <w:spacing w:before="60" w:after="160"/>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15</m:t>
              </m:r>
            </m:e>
          </m:d>
        </m:oMath>
      </m:oMathPara>
    </w:p>
    <w:p w14:paraId="277AF42E" w14:textId="77777777" w:rsidR="00CE5BE2" w:rsidRDefault="00000000" w:rsidP="0036278A">
      <w:pPr>
        <w:jc w:val="both"/>
      </w:pPr>
      <w:r>
        <w:t xml:space="preserve">The additional check agrees with direct least squares to </w:t>
      </w:r>
      <m:oMath>
        <m:r>
          <w:rPr>
            <w:rFonts w:ascii="Cambria Math" w:hAnsi="Cambria Math"/>
          </w:rPr>
          <m:t>8.88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Its residual norm is 4.672 versus 5.875 for unweighted block means. The nonlinear log fit and its first-order version should both be evaluated; first-order optimality does not guarantee a finite sleep update preserves accuracy.</w:t>
      </w:r>
    </w:p>
    <w:p w14:paraId="32F64DB9" w14:textId="77777777" w:rsidR="00CE5BE2" w:rsidRDefault="00000000" w:rsidP="0036278A">
      <w:pPr>
        <w:pStyle w:val="BodyText"/>
        <w:jc w:val="both"/>
      </w:pPr>
      <w:r>
        <w:t xml:space="preserve">For </w:t>
      </w:r>
      <m:oMath>
        <m:r>
          <w:rPr>
            <w:rFonts w:ascii="Cambria Math" w:hAnsi="Cambria Math"/>
          </w:rPr>
          <m:t>ΔW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t</m:t>
                </m:r>
              </m:sub>
            </m:sSub>
          </m:e>
        </m:nary>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the first-order relative target decomposes as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e>
            </m:d>
          </m:e>
        </m:nary>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e>
        </m:d>
      </m:oMath>
      <w:r>
        <w:t xml:space="preserve">. Both ordinary and weighted means can therefore be computed from the factors in </w:t>
      </w:r>
      <m:oMath>
        <m:r>
          <w:rPr>
            <w:rFonts w:ascii="Cambria Math" w:hAnsi="Cambria Math"/>
          </w:rPr>
          <m:t>O</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pq</m:t>
                </m:r>
                <m:r>
                  <m:rPr>
                    <m:sty m:val="p"/>
                  </m:rPr>
                  <w:rPr>
                    <w:rFonts w:ascii="Cambria Math" w:hAnsi="Cambria Math"/>
                  </w:rPr>
                  <m:t>+</m:t>
                </m:r>
                <m:r>
                  <w:rPr>
                    <w:rFonts w:ascii="Cambria Math" w:hAnsi="Cambria Math"/>
                  </w:rPr>
                  <m:t>rs</m:t>
                </m:r>
              </m:e>
            </m:d>
          </m:e>
        </m:d>
      </m:oMath>
      <w:r>
        <w:t xml:space="preserve"> work. The exact entrywise logarithm generally loses this cheap separability. A relative-change bound, not a small Frobenius norm alone, is needed for a uniform approximation guarantee.</w:t>
      </w:r>
    </w:p>
    <w:p w14:paraId="2E1070D9" w14:textId="77777777" w:rsidR="00CE5BE2" w:rsidRDefault="00000000" w:rsidP="0036278A">
      <w:pPr>
        <w:pStyle w:val="BodyText"/>
        <w:jc w:val="both"/>
      </w:pPr>
      <w:r>
        <w:t>The unexplained residual must remain stored or be bounded before adapter deletion. A generic signed residual cannot be represented as an additive sum of positive Kronecker terms. Options include retaining a signed correction with a separate sound bound, fitting a larger positive representation to the full target when feasible, or splitting a correction into positive and negative pathways and charging the resulting cancellation and dependency costs. Rank growth alone does not automatically preserve two-pass exactness.</w:t>
      </w:r>
    </w:p>
    <w:p w14:paraId="47C608FA" w14:textId="77777777" w:rsidR="00CE5BE2" w:rsidRDefault="00000000" w:rsidP="0036278A">
      <w:pPr>
        <w:pStyle w:val="Heading2"/>
        <w:jc w:val="both"/>
      </w:pPr>
      <w:bookmarkStart w:id="17" w:name="bit-allocation-and-wake-learning"/>
      <w:bookmarkEnd w:id="16"/>
      <w:r>
        <w:t>6.3 Bit allocation and wake learning</w:t>
      </w:r>
    </w:p>
    <w:p w14:paraId="135337FD" w14:textId="77777777" w:rsidR="00CE5BE2" w:rsidRDefault="00000000" w:rsidP="0036278A">
      <w:pPr>
        <w:jc w:val="both"/>
      </w:pPr>
      <w:r>
        <w:t xml:space="preserve">Rounding a positive log weight to grid step </w:t>
      </w:r>
      <m:oMath>
        <m:r>
          <w:rPr>
            <w:rFonts w:ascii="Cambria Math" w:hAnsi="Cambria Math"/>
          </w:rPr>
          <m:t>Δ</m:t>
        </m:r>
      </m:oMath>
      <w:r>
        <w:t xml:space="preserve"> identifies a preimage interval of radius </w:t>
      </w:r>
      <m:oMath>
        <m:r>
          <w:rPr>
            <w:rFonts w:ascii="Cambria Math" w:hAnsi="Cambria Math"/>
          </w:rPr>
          <m:t>Δ</m:t>
        </m:r>
        <m:r>
          <m:rPr>
            <m:sty m:val="p"/>
          </m:rPr>
          <w:rPr>
            <w:rFonts w:ascii="Cambria Math" w:hAnsi="Cambria Math"/>
          </w:rPr>
          <m:t>/</m:t>
        </m:r>
        <m:r>
          <w:rPr>
            <w:rFonts w:ascii="Cambria Math" w:hAnsi="Cambria Math"/>
          </w:rPr>
          <m:t>2</m:t>
        </m:r>
      </m:oMath>
      <w:r>
        <w:t>, provided clipping is handled explicitly. Repeated re-quantization carries an accumulated radius at most the sum of the individual rounding radii. Increasing the number of stored bits later does not recover information already discarded; additional observations or a retained residual are needed.</w:t>
      </w:r>
    </w:p>
    <w:p w14:paraId="7A979E3A" w14:textId="77777777" w:rsidR="00CE5BE2" w:rsidRDefault="00000000" w:rsidP="0036278A">
      <w:pPr>
        <w:pStyle w:val="BodyText"/>
        <w:jc w:val="both"/>
      </w:pPr>
      <w:r>
        <w:lastRenderedPageBreak/>
        <w:t xml:space="preserve">For a single positive linear readout on crisp features, uniform grid step </w:t>
      </w:r>
      <m:oMath>
        <m:r>
          <w:rPr>
            <w:rFonts w:ascii="Cambria Math" w:hAnsi="Cambria Math"/>
          </w:rPr>
          <m:t>Δ</m:t>
        </m:r>
      </m:oMath>
      <w:r>
        <w:t xml:space="preserve"> gives exact output log width </w:t>
      </w:r>
      <m:oMath>
        <m:r>
          <w:rPr>
            <w:rFonts w:ascii="Cambria Math" w:hAnsi="Cambria Math"/>
          </w:rPr>
          <m:t>Δ</m:t>
        </m:r>
      </m:oMath>
      <w:r>
        <w:t xml:space="preserve">. Its nominal winner is robust precisely when its stored log margin exceeds </w:t>
      </w:r>
      <m:oMath>
        <m:r>
          <w:rPr>
            <w:rFonts w:ascii="Cambria Math" w:hAnsi="Cambria Math"/>
          </w:rPr>
          <m:t>Δ</m:t>
        </m:r>
      </m:oMath>
      <w:r>
        <w:t>. In L5, six bits certify 10.2% of original decisions while the rounded model agrees on 89.4%; ten bits certify 88.8% while agreement is 99.6%. This is a guarantee about permitted model variation, not a claim that the original decision is correct. For deeper nonexpansive positive stacks, accumulated log widths give sufficient conditions; the one-layer necessity does not carry over through shared hidden parameters.</w:t>
      </w:r>
    </w:p>
    <w:p w14:paraId="259E158D" w14:textId="77777777" w:rsidR="00CE5BE2" w:rsidRDefault="00000000" w:rsidP="0036278A">
      <w:pPr>
        <w:pStyle w:val="BodyText"/>
        <w:jc w:val="both"/>
      </w:pPr>
      <w:r>
        <w:t>P3 will allocate factor bits under a total memory budget that includes endpoints, scales, signs, adapters, rank metadata, and protected examples. Its primary comparison is certificate-guided precision against uniform precision and usage-and-age scheduling at equal total bits and charged decision cost. Include no-sleep, ordinary repaired sleep, weighted repaired sleep, and residual-preserving sleep controls. An undefined original rule is recorded as undefined; any absolute-value surrogate must be named separately.</w:t>
      </w:r>
    </w:p>
    <w:p w14:paraId="3CAD8D14" w14:textId="77777777" w:rsidR="00CE5BE2" w:rsidRDefault="00000000" w:rsidP="0036278A">
      <w:pPr>
        <w:pStyle w:val="BodyText"/>
        <w:jc w:val="both"/>
      </w:pPr>
      <w:r>
        <w:t>Forward-Forward supplies a local learning option [15]. For independent affine rows and fixed input, ReLU-squared goodness has exact endpoint bounds; a nested radius scale gives a monotone validation-set feasibility test suitable for bisection. L7’s positives and negatives were selected from the nominal goodness itself. Its 95% threshold at scale 0.3471 verifies the search mechanism, not successful representation learning. Forward-only radius selection also does not make local weight fitting gradient-free. Kronecker parameter sharing and incoming uncertainty require renewed exactness analysis.</w:t>
      </w:r>
    </w:p>
    <w:p w14:paraId="6909FD59" w14:textId="77777777" w:rsidR="00CE5BE2" w:rsidRDefault="00000000" w:rsidP="0036278A">
      <w:pPr>
        <w:pStyle w:val="BodyText"/>
        <w:jc w:val="both"/>
      </w:pPr>
      <w:r>
        <w:t>The P3 retention claim is accepted only when a stored box contains the reference parameters, or a separate functional residual bound covers the change. Test split MNIST first, then split CIFAR-100 with explicit class-incremental evaluation. Reject a claimed benefit if it disappears at equal memory and measured cost. Repair alone has no theorem guaranteeing performance at least as good as no sleep.</w:t>
      </w:r>
    </w:p>
    <w:p w14:paraId="3F492B4E" w14:textId="77777777" w:rsidR="00CE5BE2" w:rsidRDefault="00000000" w:rsidP="0036278A">
      <w:pPr>
        <w:pStyle w:val="Heading1"/>
        <w:jc w:val="both"/>
      </w:pPr>
      <w:bookmarkStart w:id="18" w:name="Xda4ad9869b28e7c5cef22017c254e5b9834e1ae"/>
      <w:bookmarkEnd w:id="14"/>
      <w:bookmarkEnd w:id="17"/>
      <w:r>
        <w:t>7 P4 Action release through opponent intervals</w:t>
      </w:r>
    </w:p>
    <w:p w14:paraId="750F1F5B" w14:textId="77777777" w:rsidR="00CE5BE2" w:rsidRDefault="00000000" w:rsidP="0036278A">
      <w:pPr>
        <w:keepNext/>
        <w:jc w:val="both"/>
      </w:pPr>
      <w:r>
        <w:t>At fixed cortical input, positive Go and Stop decks with disjoint parameters give an exact salience interval by opposite parameter corners. With linear decks and log-sum-exp channel aggregation,</w:t>
      </w:r>
    </w:p>
    <w:p w14:paraId="6032E5F6" w14:textId="77777777" w:rsidR="00CE5BE2" w:rsidRDefault="00000000" w:rsidP="0036278A">
      <w:pPr>
        <w:pStyle w:val="BodyText"/>
        <w:spacing w:before="60" w:after="16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c</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+log</m:t>
          </m:r>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c</m:t>
                  </m:r>
                </m:sub>
                <m:sup>
                  <m:r>
                    <m:rPr>
                      <m:sty m:val="p"/>
                    </m:rPr>
                    <w:rPr>
                      <w:rFonts w:ascii="Cambria Math" w:hAnsi="Cambria Math"/>
                    </w:rPr>
                    <m:t>⊤</m:t>
                  </m:r>
                </m:sup>
              </m:sSubSup>
              <m:r>
                <w:rPr>
                  <w:rFonts w:ascii="Cambria Math" w:hAnsi="Cambria Math"/>
                </w:rPr>
                <m:t>x</m:t>
              </m:r>
            </m:e>
          </m:d>
          <m:r>
            <m:rPr>
              <m:sty m:val="p"/>
            </m:rPr>
            <w:rPr>
              <w:rFonts w:ascii="Cambria Math" w:hAnsi="Cambria Math"/>
            </w:rPr>
            <m:t>-log</m:t>
          </m:r>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c</m:t>
                  </m:r>
                </m:sub>
                <m:sup>
                  <m:r>
                    <m:rPr>
                      <m:sty m:val="p"/>
                    </m:rPr>
                    <w:rPr>
                      <w:rFonts w:ascii="Cambria Math" w:hAnsi="Cambria Math"/>
                    </w:rPr>
                    <m:t>⊤</m:t>
                  </m:r>
                </m:sup>
              </m:sSubSup>
              <m:r>
                <w:rPr>
                  <w:rFonts w:ascii="Cambria Math" w:hAnsi="Cambria Math"/>
                </w:rPr>
                <m:t>x</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m:t>
              </m:r>
            </m:e>
          </m:d>
        </m:oMath>
      </m:oMathPara>
    </w:p>
    <w:p w14:paraId="1BACEA9B" w14:textId="77777777" w:rsidR="00CE5BE2" w:rsidRDefault="00000000" w:rsidP="0036278A">
      <w:pPr>
        <w:jc w:val="both"/>
      </w:pPr>
      <w:r>
        <w:t xml:space="preserve">This construction is invariant under a common positive rescaling of </w:t>
      </w:r>
      <m:oMath>
        <m:r>
          <w:rPr>
            <w:rFonts w:ascii="Cambria Math" w:hAnsi="Cambria Math"/>
          </w:rPr>
          <m:t>x</m:t>
        </m:r>
      </m:oMath>
      <w:r>
        <w:t xml:space="preserve">. For a positive input box and positive </w:t>
      </w:r>
      <m:oMath>
        <m:sSub>
          <m:sSubPr>
            <m:ctrlPr>
              <w:rPr>
                <w:rFonts w:ascii="Cambria Math" w:hAnsi="Cambria Math"/>
              </w:rPr>
            </m:ctrlPr>
          </m:sSubPr>
          <m:e>
            <m:r>
              <w:rPr>
                <w:rFonts w:ascii="Cambria Math" w:hAnsi="Cambria Math"/>
              </w:rPr>
              <m:t>h</m:t>
            </m:r>
          </m:e>
          <m:sub>
            <m:r>
              <w:rPr>
                <w:rFonts w:ascii="Cambria Math" w:hAnsi="Cambria Math"/>
              </w:rPr>
              <m:t>c</m:t>
            </m:r>
          </m:sub>
        </m:sSub>
      </m:oMath>
      <w:r>
        <w:t xml:space="preserve">, its extrema occur at threshold vertices ordered by </w:t>
      </w:r>
      <m:oMath>
        <m:sSub>
          <m:sSubPr>
            <m:ctrlPr>
              <w:rPr>
                <w:rFonts w:ascii="Cambria Math" w:hAnsi="Cambria Math"/>
              </w:rPr>
            </m:ctrlPr>
          </m:sSubPr>
          <m:e>
            <m:r>
              <w:rPr>
                <w:rFonts w:ascii="Cambria Math" w:hAnsi="Cambria Math"/>
              </w:rPr>
              <m:t>g</m:t>
            </m:r>
          </m:e>
          <m:sub>
            <m:r>
              <w:rPr>
                <w:rFonts w:ascii="Cambria Math" w:hAnsi="Cambria Math"/>
              </w:rPr>
              <m:t>ck</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ck</m:t>
            </m:r>
          </m:sub>
        </m:sSub>
      </m:oMath>
      <w:r>
        <w:t xml:space="preserve"> [10]. Joint interval factors use the appropriate opposing factor corners before the threshold solve. Prefix sums give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log</m:t>
            </m:r>
            <m:r>
              <w:rPr>
                <w:rFonts w:ascii="Cambria Math" w:hAnsi="Cambria Math"/>
              </w:rPr>
              <m:t>n</m:t>
            </m:r>
          </m:e>
        </m:d>
      </m:oMath>
      <w:r>
        <w:t xml:space="preserve"> time; the supplied reference routine explicitly materializes all threshold vertices and takes quadratic memory and arithmetic after sorting. The added prefix implementation matches 12,800 enumerated vertices to </w:t>
      </w:r>
      <m:oMath>
        <m:r>
          <w:rPr>
            <w:rFonts w:ascii="Cambria Math" w:hAnsi="Cambria Math"/>
          </w:rPr>
          <m:t>5.33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w:t>
      </w:r>
    </w:p>
    <w:p w14:paraId="53B106C9" w14:textId="77777777" w:rsidR="00CE5BE2" w:rsidRDefault="00000000" w:rsidP="0036278A">
      <w:pPr>
        <w:pStyle w:val="BodyText"/>
        <w:jc w:val="both"/>
      </w:pPr>
      <w:r>
        <w:t>Nonlinear positive decks retain the fixed-input parameter argument when their parameter dependence is monotone, but they generally lose the linear-fractional input solve. An uncertain cortical box must itself enclose the actual upstream state. Exactness of an individual action range also does not imply that different actions’ endpoint values can occur jointly.</w:t>
      </w:r>
    </w:p>
    <w:p w14:paraId="495E3BFD" w14:textId="77777777" w:rsidR="00CE5BE2" w:rsidRDefault="00000000" w:rsidP="0036278A">
      <w:pPr>
        <w:pStyle w:val="BodyText"/>
        <w:jc w:val="both"/>
      </w:pPr>
      <w:r>
        <w:t>The proposed brake releases an action only when its lower salience exceeds every competitor’s upper salience. Otherwise it acquires another observation, increases precision, evaluates a stronger certificate, or abstains. Specify a finite deadline and a waiting cost: an interval that never shrinks must not cause indefinite waiting. Frank’s model motivates a conflict-dependent global brake [16]; interpreting the trigger as interval overlap is a new computational hypothesis, not an established neural mechanism.</w:t>
      </w:r>
    </w:p>
    <w:p w14:paraId="3F303320" w14:textId="77777777" w:rsidR="00CE5BE2" w:rsidRDefault="00000000" w:rsidP="0036278A">
      <w:pPr>
        <w:pStyle w:val="BodyText"/>
        <w:keepNext/>
        <w:jc w:val="both"/>
      </w:pPr>
      <w:r>
        <w:t>For a bounded scalar return under a specified fixed probability law,</w:t>
      </w:r>
    </w:p>
    <w:p w14:paraId="372620C7" w14:textId="77777777" w:rsidR="00CE5BE2" w:rsidRDefault="00000000" w:rsidP="0036278A">
      <w:pPr>
        <w:pStyle w:val="BodyText"/>
        <w:spacing w:before="60" w:after="160"/>
        <w:jc w:val="both"/>
      </w:pPr>
      <m:oMathPara>
        <m:oMathParaPr>
          <m:jc m:val="center"/>
        </m:oMathParaPr>
        <m:oMath>
          <m:sSub>
            <m:sSubPr>
              <m:ctrlPr>
                <w:rPr>
                  <w:rFonts w:ascii="Cambria Math" w:hAnsi="Cambria Math"/>
                </w:rPr>
              </m:ctrlPr>
            </m:sSubPr>
            <m:e>
              <m:r>
                <m:rPr>
                  <m:sty m:val="p"/>
                </m:rPr>
                <w:rPr>
                  <w:rFonts w:ascii="Cambria Math" w:hAnsi="Cambria Math"/>
                </w:rPr>
                <m:t>CE</m:t>
              </m:r>
            </m:e>
            <m:sub>
              <m:r>
                <w:rPr>
                  <w:rFonts w:ascii="Cambria Math" w:hAnsi="Cambria Math"/>
                </w:rPr>
                <m:t>β</m:t>
              </m:r>
            </m:sub>
          </m:sSub>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m:rPr>
                  <m:sty m:val="p"/>
                </m:rPr>
                <w:rPr>
                  <w:rFonts w:ascii="Cambria Math" w:hAnsi="Cambria Math"/>
                </w:rPr>
                <m:t>log</m:t>
              </m:r>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βR</m:t>
                      </m:r>
                    </m:sup>
                  </m:sSup>
                </m:e>
              </m:d>
            </m:num>
            <m:den>
              <m:r>
                <w:rPr>
                  <w:rFonts w:ascii="Cambria Math" w:hAnsi="Cambria Math"/>
                </w:rPr>
                <m:t>β</m:t>
              </m:r>
            </m:den>
          </m:f>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CE</m:t>
              </m:r>
            </m:e>
            <m:sub>
              <m:r>
                <w:rPr>
                  <w:rFonts w:ascii="Cambria Math" w:hAnsi="Cambria Math"/>
                </w:rPr>
                <m:t>0</m:t>
              </m:r>
            </m:sub>
          </m:sSub>
          <m:d>
            <m:dPr>
              <m:ctrlPr>
                <w:rPr>
                  <w:rFonts w:ascii="Cambria Math" w:hAnsi="Cambria Math"/>
                </w:rPr>
              </m:ctrlPr>
            </m:dPr>
            <m:e>
              <m:r>
                <w:rPr>
                  <w:rFonts w:ascii="Cambria Math" w:hAnsi="Cambria Math"/>
                </w:rPr>
                <m:t>R</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17</m:t>
              </m:r>
            </m:e>
          </m:d>
        </m:oMath>
      </m:oMathPara>
    </w:p>
    <w:p w14:paraId="4CC43714" w14:textId="77777777" w:rsidR="00CE5BE2" w:rsidRDefault="00000000" w:rsidP="0036278A">
      <w:pPr>
        <w:jc w:val="both"/>
      </w:pPr>
      <w:r>
        <w:lastRenderedPageBreak/>
        <w:t xml:space="preserve">This quantity is nondecreasing in </w:t>
      </w:r>
      <m:oMath>
        <m:r>
          <w:rPr>
            <w:rFonts w:ascii="Cambria Math" w:hAnsi="Cambria Math"/>
          </w:rPr>
          <m:t>β</m:t>
        </m:r>
      </m:oMath>
      <w:r>
        <w:t xml:space="preserve"> and approaches the essential lower and upper support endpoints. Applying it to parameter uncertainty requires a law over the box, with support reaching the extrema of a continuous predictor. Outcome risk and uncertainty about the model are separate distributions. Holding the law and box fixed makes </w:t>
      </w:r>
      <m:oMath>
        <m:r>
          <w:rPr>
            <w:rFonts w:ascii="Cambria Math" w:hAnsi="Cambria Math"/>
          </w:rPr>
          <m:t>β</m:t>
        </m:r>
      </m:oMath>
      <w:r>
        <w:t xml:space="preserve"> an operating-point selector without changing the interval; learning or exploration can subsequently change both.</w:t>
      </w:r>
    </w:p>
    <w:p w14:paraId="1E81CA5E" w14:textId="77777777" w:rsidR="00CE5BE2" w:rsidRDefault="00000000" w:rsidP="0036278A">
      <w:pPr>
        <w:pStyle w:val="BodyText"/>
        <w:jc w:val="both"/>
      </w:pPr>
      <w:r>
        <w:t>These limits resemble pessimistic and optimistic evaluations. They do not by themselves solve a robust MDP or inherit offline-RL guarantees [17,18]. A sequential control claim additionally needs a model set, policy class, transition constraints, horizon, and a justified order of optimization. The toy certainty-equivalent check makes none of those claims.</w:t>
      </w:r>
    </w:p>
    <w:p w14:paraId="743D324A" w14:textId="77777777" w:rsidR="00CE5BE2" w:rsidRDefault="00000000" w:rsidP="0036278A">
      <w:pPr>
        <w:pStyle w:val="BodyText"/>
        <w:jc w:val="both"/>
      </w:pPr>
      <w:r>
        <w:t>P4 should begin with bandits and controlled conflict tasks, separating centre difference from interval width. Compare the overlap brake with validation-tuned centre-gap and entropy rules, plus a dependency-aware action-margin rule. Equalize observation cost and waiting time. The proposed prediction is improved reward per unit time and lower error at matched release rate. Reject the tested brake if it fails to improve this frontier. Removing it changes behavior only on overlap trials under the stipulated paired policy, but those trials need not all be erroneous; robustness of a model choice requires valid uncertainty sets to imply anything about the true best action.</w:t>
      </w:r>
    </w:p>
    <w:p w14:paraId="6ABF3F49" w14:textId="77777777" w:rsidR="00CE5BE2" w:rsidRDefault="00000000" w:rsidP="0036278A">
      <w:pPr>
        <w:pStyle w:val="Heading1"/>
        <w:jc w:val="both"/>
      </w:pPr>
      <w:bookmarkStart w:id="19" w:name="n1-clarifying-the-kp-lnn-operator"/>
      <w:bookmarkEnd w:id="18"/>
      <w:r>
        <w:t>8 N1 Clarifying the KP LNN operator</w:t>
      </w:r>
    </w:p>
    <w:p w14:paraId="45EBBDD8" w14:textId="77777777" w:rsidR="00CE5BE2" w:rsidRDefault="00000000" w:rsidP="0036278A">
      <w:pPr>
        <w:jc w:val="both"/>
      </w:pPr>
      <w:r>
        <w:t xml:space="preserve">N1 should distinguish the original </w:t>
      </w:r>
      <w:r>
        <w:rPr>
          <w:b/>
          <w:bCs/>
        </w:rPr>
        <w:t>KP-LNN-0</w:t>
      </w:r>
      <w:r>
        <w:t xml:space="preserve"> multiply and prune body from the </w:t>
      </w:r>
      <w:r>
        <w:rPr>
          <w:b/>
          <w:bCs/>
        </w:rPr>
        <w:t>KP-LNN-Sum</w:t>
      </w:r>
      <w:r>
        <w:t xml:space="preserve"> Kronecker contraction. On a region where the selected rows, columns, and exponent signs are fixed, the first construction maps each surviving output to one input entry, or its reciprocal, multiplied by weight factors. Its log-input Jacobian has one nonzero entry per output row. Routing comparisons may depend on many inputs, and behavior at ties requires a tie rule. The statement is therefore about the smooth pieces of the body, not absence of all multivariable computation [3].</w:t>
      </w:r>
    </w:p>
    <w:p w14:paraId="7FDED7A3" w14:textId="77777777" w:rsidR="00CE5BE2" w:rsidRDefault="00000000" w:rsidP="0036278A">
      <w:pPr>
        <w:pStyle w:val="BodyText"/>
        <w:jc w:val="both"/>
      </w:pPr>
      <w:r>
        <w:t xml:space="preserve">The basal-ganglia contraction </w:t>
      </w:r>
      <m:oMath>
        <m:r>
          <w:rPr>
            <w:rFonts w:ascii="Cambria Math" w:hAnsi="Cambria Math"/>
          </w:rPr>
          <m:t>BX</m:t>
        </m:r>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uses positive summation [4]. Its log-domain temperature-zero limit selects one maximizing input term when that maximizer is unique, but the operator and its dimensional reduction remain different from multiply and prune. Tied maxima can share derivative mass. Adding a log-add introduces genuine accumulation and changes both arithmetic cost and expressivity.</w:t>
      </w:r>
    </w:p>
    <w:p w14:paraId="2303960E" w14:textId="77777777" w:rsidR="00CE5BE2" w:rsidRDefault="00000000" w:rsidP="0036278A">
      <w:pPr>
        <w:pStyle w:val="BodyText"/>
        <w:jc w:val="both"/>
      </w:pPr>
      <w:r>
        <w:t>For pruning, certify a retained-versus-rejected score gap under the uncertainty set. If selection can change, preserve feasible branches or use a sound enclosure; exact analysis need not always enumerate branches, but it cannot silently freeze an uncertified route. N1 has a scope counterexample criterion rather than a performance threshold: an allowed body operation that mixes two input values on a fixed selection region would refute the single-source proposition.</w:t>
      </w:r>
    </w:p>
    <w:p w14:paraId="5BA06B14" w14:textId="77777777" w:rsidR="00CE5BE2" w:rsidRDefault="00000000" w:rsidP="0036278A">
      <w:pPr>
        <w:pStyle w:val="Heading1"/>
        <w:jc w:val="both"/>
      </w:pPr>
      <w:bookmarkStart w:id="20" w:name="X51e3527bb402e82c5c834ed32d1ace09560044e"/>
      <w:bookmarkEnd w:id="19"/>
      <w:r>
        <w:t>9 Execution order and implementation contract</w:t>
      </w:r>
    </w:p>
    <w:p w14:paraId="3438CFDC" w14:textId="77777777" w:rsidR="00CE5BE2" w:rsidRDefault="00000000" w:rsidP="0036278A">
      <w:pPr>
        <w:pStyle w:val="Caption"/>
        <w:keepNext/>
        <w:jc w:val="both"/>
      </w:pPr>
      <w:r>
        <w:t>Table 5  Four papers and a clarification note with explicit rejection evidence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
        <w:gridCol w:w="3960"/>
        <w:gridCol w:w="5386"/>
      </w:tblGrid>
      <w:tr w:rsidR="00CE5BE2" w14:paraId="62C040B7" w14:textId="77777777">
        <w:trPr>
          <w:cantSplit/>
          <w:tblHeader/>
          <w:jc w:val="center"/>
        </w:trPr>
        <w:tc>
          <w:tcPr>
            <w:tcW w:w="648" w:type="dxa"/>
            <w:shd w:val="clear" w:color="auto" w:fill="17324D"/>
            <w:tcMar>
              <w:top w:w="85" w:type="dxa"/>
              <w:left w:w="95" w:type="dxa"/>
              <w:bottom w:w="85" w:type="dxa"/>
              <w:right w:w="95" w:type="dxa"/>
            </w:tcMar>
            <w:vAlign w:val="center"/>
          </w:tcPr>
          <w:p w14:paraId="028AEC7D" w14:textId="77777777" w:rsidR="00CE5BE2" w:rsidRDefault="00000000" w:rsidP="0036278A">
            <w:pPr>
              <w:spacing w:after="0" w:line="247" w:lineRule="auto"/>
              <w:jc w:val="both"/>
            </w:pPr>
            <w:r>
              <w:rPr>
                <w:b/>
                <w:color w:val="FFFFFF"/>
                <w:sz w:val="20"/>
              </w:rPr>
              <w:t>Item</w:t>
            </w:r>
          </w:p>
        </w:tc>
        <w:tc>
          <w:tcPr>
            <w:tcW w:w="3960" w:type="dxa"/>
            <w:shd w:val="clear" w:color="auto" w:fill="17324D"/>
            <w:tcMar>
              <w:top w:w="85" w:type="dxa"/>
              <w:left w:w="95" w:type="dxa"/>
              <w:bottom w:w="85" w:type="dxa"/>
              <w:right w:w="95" w:type="dxa"/>
            </w:tcMar>
            <w:vAlign w:val="center"/>
          </w:tcPr>
          <w:p w14:paraId="269F286A" w14:textId="77777777" w:rsidR="00CE5BE2" w:rsidRDefault="00000000" w:rsidP="0036278A">
            <w:pPr>
              <w:spacing w:after="0" w:line="247" w:lineRule="auto"/>
              <w:jc w:val="both"/>
            </w:pPr>
            <w:r>
              <w:rPr>
                <w:b/>
                <w:color w:val="FFFFFF"/>
                <w:sz w:val="20"/>
              </w:rPr>
              <w:t>Primary deliverable</w:t>
            </w:r>
          </w:p>
        </w:tc>
        <w:tc>
          <w:tcPr>
            <w:tcW w:w="5386" w:type="dxa"/>
            <w:shd w:val="clear" w:color="auto" w:fill="17324D"/>
            <w:tcMar>
              <w:top w:w="85" w:type="dxa"/>
              <w:left w:w="95" w:type="dxa"/>
              <w:bottom w:w="85" w:type="dxa"/>
              <w:right w:w="95" w:type="dxa"/>
            </w:tcMar>
            <w:vAlign w:val="center"/>
          </w:tcPr>
          <w:p w14:paraId="42DE3C68" w14:textId="77777777" w:rsidR="00CE5BE2" w:rsidRDefault="00000000" w:rsidP="0036278A">
            <w:pPr>
              <w:spacing w:after="0" w:line="247" w:lineRule="auto"/>
              <w:jc w:val="both"/>
            </w:pPr>
            <w:r>
              <w:rPr>
                <w:b/>
                <w:color w:val="FFFFFF"/>
                <w:sz w:val="20"/>
              </w:rPr>
              <w:t>Evidence against the practical claim</w:t>
            </w:r>
          </w:p>
        </w:tc>
      </w:tr>
      <w:tr w:rsidR="00CE5BE2" w14:paraId="055B299A" w14:textId="77777777">
        <w:trPr>
          <w:cantSplit/>
          <w:jc w:val="center"/>
        </w:trPr>
        <w:tc>
          <w:tcPr>
            <w:tcW w:w="648" w:type="dxa"/>
            <w:tcMar>
              <w:top w:w="85" w:type="dxa"/>
              <w:left w:w="95" w:type="dxa"/>
              <w:bottom w:w="85" w:type="dxa"/>
              <w:right w:w="95" w:type="dxa"/>
            </w:tcMar>
            <w:vAlign w:val="center"/>
          </w:tcPr>
          <w:p w14:paraId="047F8BA5" w14:textId="77777777" w:rsidR="00CE5BE2" w:rsidRDefault="00000000" w:rsidP="0036278A">
            <w:pPr>
              <w:spacing w:after="0" w:line="247" w:lineRule="auto"/>
              <w:jc w:val="both"/>
            </w:pPr>
            <w:r>
              <w:rPr>
                <w:sz w:val="20"/>
              </w:rPr>
              <w:t>P1</w:t>
            </w:r>
          </w:p>
        </w:tc>
        <w:tc>
          <w:tcPr>
            <w:tcW w:w="3960" w:type="dxa"/>
            <w:tcMar>
              <w:top w:w="85" w:type="dxa"/>
              <w:left w:w="95" w:type="dxa"/>
              <w:bottom w:w="85" w:type="dxa"/>
              <w:right w:w="95" w:type="dxa"/>
            </w:tcMar>
            <w:vAlign w:val="center"/>
          </w:tcPr>
          <w:p w14:paraId="2C1CE048" w14:textId="77777777" w:rsidR="00CE5BE2" w:rsidRDefault="00000000" w:rsidP="0036278A">
            <w:pPr>
              <w:spacing w:after="0" w:line="247" w:lineRule="auto"/>
              <w:jc w:val="both"/>
            </w:pPr>
            <w:r>
              <w:rPr>
                <w:sz w:val="20"/>
              </w:rPr>
              <w:t>Exact evaluator and trained width experiment with independent-evidence controls</w:t>
            </w:r>
          </w:p>
        </w:tc>
        <w:tc>
          <w:tcPr>
            <w:tcW w:w="5386" w:type="dxa"/>
            <w:tcMar>
              <w:top w:w="85" w:type="dxa"/>
              <w:left w:w="95" w:type="dxa"/>
              <w:bottom w:w="85" w:type="dxa"/>
              <w:right w:w="95" w:type="dxa"/>
            </w:tcMar>
            <w:vAlign w:val="center"/>
          </w:tcPr>
          <w:p w14:paraId="6AD4EB7E" w14:textId="77777777" w:rsidR="00CE5BE2" w:rsidRDefault="00000000" w:rsidP="0036278A">
            <w:pPr>
              <w:spacing w:after="0" w:line="247" w:lineRule="auto"/>
              <w:jc w:val="both"/>
            </w:pPr>
            <w:r>
              <w:rPr>
                <w:sz w:val="20"/>
              </w:rPr>
              <w:t>More than 10 percentage points lost in certified accuracy from width 256 to 4096 in the registered setting; diagnose loose bounds separately.</w:t>
            </w:r>
          </w:p>
        </w:tc>
      </w:tr>
      <w:tr w:rsidR="00CE5BE2" w14:paraId="327EC5E0" w14:textId="77777777">
        <w:trPr>
          <w:cantSplit/>
          <w:jc w:val="center"/>
        </w:trPr>
        <w:tc>
          <w:tcPr>
            <w:tcW w:w="648" w:type="dxa"/>
            <w:shd w:val="clear" w:color="auto" w:fill="F2F5F7"/>
            <w:tcMar>
              <w:top w:w="85" w:type="dxa"/>
              <w:left w:w="95" w:type="dxa"/>
              <w:bottom w:w="85" w:type="dxa"/>
              <w:right w:w="95" w:type="dxa"/>
            </w:tcMar>
            <w:vAlign w:val="center"/>
          </w:tcPr>
          <w:p w14:paraId="1557B0EB" w14:textId="77777777" w:rsidR="00CE5BE2" w:rsidRDefault="00000000" w:rsidP="0036278A">
            <w:pPr>
              <w:spacing w:after="0" w:line="247" w:lineRule="auto"/>
              <w:jc w:val="both"/>
            </w:pPr>
            <w:r>
              <w:rPr>
                <w:sz w:val="20"/>
              </w:rPr>
              <w:t>P2</w:t>
            </w:r>
          </w:p>
        </w:tc>
        <w:tc>
          <w:tcPr>
            <w:tcW w:w="3960" w:type="dxa"/>
            <w:shd w:val="clear" w:color="auto" w:fill="F2F5F7"/>
            <w:tcMar>
              <w:top w:w="85" w:type="dxa"/>
              <w:left w:w="95" w:type="dxa"/>
              <w:bottom w:w="85" w:type="dxa"/>
              <w:right w:w="95" w:type="dxa"/>
            </w:tcMar>
            <w:vAlign w:val="center"/>
          </w:tcPr>
          <w:p w14:paraId="602AF525" w14:textId="77777777" w:rsidR="00CE5BE2" w:rsidRDefault="00000000" w:rsidP="0036278A">
            <w:pPr>
              <w:spacing w:after="0" w:line="247" w:lineRule="auto"/>
              <w:jc w:val="both"/>
            </w:pPr>
            <w:r>
              <w:rPr>
                <w:sz w:val="20"/>
              </w:rPr>
              <w:t>Positive Kronecker attention with relative-score certificates</w:t>
            </w:r>
          </w:p>
        </w:tc>
        <w:tc>
          <w:tcPr>
            <w:tcW w:w="5386" w:type="dxa"/>
            <w:shd w:val="clear" w:color="auto" w:fill="F2F5F7"/>
            <w:tcMar>
              <w:top w:w="85" w:type="dxa"/>
              <w:left w:w="95" w:type="dxa"/>
              <w:bottom w:w="85" w:type="dxa"/>
              <w:right w:w="95" w:type="dxa"/>
            </w:tcMar>
            <w:vAlign w:val="center"/>
          </w:tcPr>
          <w:p w14:paraId="6B0B7B1C" w14:textId="77777777" w:rsidR="00CE5BE2" w:rsidRDefault="00000000" w:rsidP="0036278A">
            <w:pPr>
              <w:spacing w:after="0" w:line="247" w:lineRule="auto"/>
              <w:jc w:val="both"/>
            </w:pPr>
            <w:r>
              <w:rPr>
                <w:sz w:val="20"/>
              </w:rPr>
              <w:t>Accuracy loss above 2 points or no useful TV certificate at the matched cost target.</w:t>
            </w:r>
          </w:p>
        </w:tc>
      </w:tr>
      <w:tr w:rsidR="00CE5BE2" w14:paraId="42032DA7" w14:textId="77777777">
        <w:trPr>
          <w:cantSplit/>
          <w:jc w:val="center"/>
        </w:trPr>
        <w:tc>
          <w:tcPr>
            <w:tcW w:w="648" w:type="dxa"/>
            <w:tcMar>
              <w:top w:w="85" w:type="dxa"/>
              <w:left w:w="95" w:type="dxa"/>
              <w:bottom w:w="85" w:type="dxa"/>
              <w:right w:w="95" w:type="dxa"/>
            </w:tcMar>
            <w:vAlign w:val="center"/>
          </w:tcPr>
          <w:p w14:paraId="447A0102" w14:textId="77777777" w:rsidR="00CE5BE2" w:rsidRDefault="00000000" w:rsidP="0036278A">
            <w:pPr>
              <w:spacing w:after="0" w:line="247" w:lineRule="auto"/>
              <w:jc w:val="both"/>
            </w:pPr>
            <w:r>
              <w:rPr>
                <w:sz w:val="20"/>
              </w:rPr>
              <w:t>P3</w:t>
            </w:r>
          </w:p>
        </w:tc>
        <w:tc>
          <w:tcPr>
            <w:tcW w:w="3960" w:type="dxa"/>
            <w:tcMar>
              <w:top w:w="85" w:type="dxa"/>
              <w:left w:w="95" w:type="dxa"/>
              <w:bottom w:w="85" w:type="dxa"/>
              <w:right w:w="95" w:type="dxa"/>
            </w:tcMar>
            <w:vAlign w:val="center"/>
          </w:tcPr>
          <w:p w14:paraId="17859361" w14:textId="77777777" w:rsidR="00CE5BE2" w:rsidRDefault="00000000" w:rsidP="0036278A">
            <w:pPr>
              <w:spacing w:after="0" w:line="247" w:lineRule="auto"/>
              <w:jc w:val="both"/>
            </w:pPr>
            <w:r>
              <w:rPr>
                <w:sz w:val="20"/>
              </w:rPr>
              <w:t>Weighted consolidation, residual accounting and precision scheduling</w:t>
            </w:r>
          </w:p>
        </w:tc>
        <w:tc>
          <w:tcPr>
            <w:tcW w:w="5386" w:type="dxa"/>
            <w:tcMar>
              <w:top w:w="85" w:type="dxa"/>
              <w:left w:w="95" w:type="dxa"/>
              <w:bottom w:w="85" w:type="dxa"/>
              <w:right w:w="95" w:type="dxa"/>
            </w:tcMar>
            <w:vAlign w:val="center"/>
          </w:tcPr>
          <w:p w14:paraId="7A73A80E" w14:textId="77777777" w:rsidR="00CE5BE2" w:rsidRDefault="00000000" w:rsidP="0036278A">
            <w:pPr>
              <w:spacing w:after="0" w:line="247" w:lineRule="auto"/>
              <w:jc w:val="both"/>
            </w:pPr>
            <w:r>
              <w:rPr>
                <w:sz w:val="20"/>
              </w:rPr>
              <w:t>No retention advantage over uniform or usage-and-age precision at equal total bits and measured cost.</w:t>
            </w:r>
          </w:p>
        </w:tc>
      </w:tr>
      <w:tr w:rsidR="00CE5BE2" w14:paraId="4B3211FF" w14:textId="77777777">
        <w:trPr>
          <w:cantSplit/>
          <w:jc w:val="center"/>
        </w:trPr>
        <w:tc>
          <w:tcPr>
            <w:tcW w:w="648" w:type="dxa"/>
            <w:shd w:val="clear" w:color="auto" w:fill="F2F5F7"/>
            <w:tcMar>
              <w:top w:w="85" w:type="dxa"/>
              <w:left w:w="95" w:type="dxa"/>
              <w:bottom w:w="85" w:type="dxa"/>
              <w:right w:w="95" w:type="dxa"/>
            </w:tcMar>
            <w:vAlign w:val="center"/>
          </w:tcPr>
          <w:p w14:paraId="0EFB3038" w14:textId="77777777" w:rsidR="00CE5BE2" w:rsidRDefault="00000000" w:rsidP="0036278A">
            <w:pPr>
              <w:spacing w:after="0" w:line="247" w:lineRule="auto"/>
              <w:jc w:val="both"/>
            </w:pPr>
            <w:r>
              <w:rPr>
                <w:sz w:val="20"/>
              </w:rPr>
              <w:lastRenderedPageBreak/>
              <w:t>P4</w:t>
            </w:r>
          </w:p>
        </w:tc>
        <w:tc>
          <w:tcPr>
            <w:tcW w:w="3960" w:type="dxa"/>
            <w:shd w:val="clear" w:color="auto" w:fill="F2F5F7"/>
            <w:tcMar>
              <w:top w:w="85" w:type="dxa"/>
              <w:left w:w="95" w:type="dxa"/>
              <w:bottom w:w="85" w:type="dxa"/>
              <w:right w:w="95" w:type="dxa"/>
            </w:tcMar>
            <w:vAlign w:val="center"/>
          </w:tcPr>
          <w:p w14:paraId="557591EF" w14:textId="77777777" w:rsidR="00CE5BE2" w:rsidRDefault="00000000" w:rsidP="0036278A">
            <w:pPr>
              <w:spacing w:after="0" w:line="247" w:lineRule="auto"/>
              <w:jc w:val="both"/>
            </w:pPr>
            <w:r>
              <w:rPr>
                <w:sz w:val="20"/>
              </w:rPr>
              <w:t>Opponent action release with explicit observation and waiting costs</w:t>
            </w:r>
          </w:p>
        </w:tc>
        <w:tc>
          <w:tcPr>
            <w:tcW w:w="5386" w:type="dxa"/>
            <w:shd w:val="clear" w:color="auto" w:fill="F2F5F7"/>
            <w:tcMar>
              <w:top w:w="85" w:type="dxa"/>
              <w:left w:w="95" w:type="dxa"/>
              <w:bottom w:w="85" w:type="dxa"/>
              <w:right w:w="95" w:type="dxa"/>
            </w:tcMar>
            <w:vAlign w:val="center"/>
          </w:tcPr>
          <w:p w14:paraId="1A6C6381" w14:textId="77777777" w:rsidR="00CE5BE2" w:rsidRDefault="00000000" w:rsidP="0036278A">
            <w:pPr>
              <w:spacing w:after="0" w:line="247" w:lineRule="auto"/>
              <w:jc w:val="both"/>
            </w:pPr>
            <w:r>
              <w:rPr>
                <w:sz w:val="20"/>
              </w:rPr>
              <w:t>No improvement over tuned centre-gap, entropy and dependency-aware controls on the reward–time frontier.</w:t>
            </w:r>
          </w:p>
        </w:tc>
      </w:tr>
      <w:tr w:rsidR="00CE5BE2" w14:paraId="52B3409B" w14:textId="77777777">
        <w:trPr>
          <w:cantSplit/>
          <w:jc w:val="center"/>
        </w:trPr>
        <w:tc>
          <w:tcPr>
            <w:tcW w:w="648" w:type="dxa"/>
            <w:tcMar>
              <w:top w:w="85" w:type="dxa"/>
              <w:left w:w="95" w:type="dxa"/>
              <w:bottom w:w="85" w:type="dxa"/>
              <w:right w:w="95" w:type="dxa"/>
            </w:tcMar>
            <w:vAlign w:val="center"/>
          </w:tcPr>
          <w:p w14:paraId="5AE93E13" w14:textId="77777777" w:rsidR="00CE5BE2" w:rsidRDefault="00000000" w:rsidP="0036278A">
            <w:pPr>
              <w:spacing w:after="0" w:line="247" w:lineRule="auto"/>
              <w:jc w:val="both"/>
            </w:pPr>
            <w:r>
              <w:rPr>
                <w:sz w:val="20"/>
              </w:rPr>
              <w:t>N1</w:t>
            </w:r>
          </w:p>
        </w:tc>
        <w:tc>
          <w:tcPr>
            <w:tcW w:w="3960" w:type="dxa"/>
            <w:tcMar>
              <w:top w:w="85" w:type="dxa"/>
              <w:left w:w="95" w:type="dxa"/>
              <w:bottom w:w="85" w:type="dxa"/>
              <w:right w:w="95" w:type="dxa"/>
            </w:tcMar>
            <w:vAlign w:val="center"/>
          </w:tcPr>
          <w:p w14:paraId="40FF41F5" w14:textId="77777777" w:rsidR="00CE5BE2" w:rsidRDefault="00000000" w:rsidP="0036278A">
            <w:pPr>
              <w:spacing w:after="0" w:line="247" w:lineRule="auto"/>
              <w:jc w:val="both"/>
            </w:pPr>
            <w:r>
              <w:rPr>
                <w:sz w:val="20"/>
              </w:rPr>
              <w:t>Operator note separating multiply and prune from sum contraction</w:t>
            </w:r>
          </w:p>
        </w:tc>
        <w:tc>
          <w:tcPr>
            <w:tcW w:w="5386" w:type="dxa"/>
            <w:tcMar>
              <w:top w:w="85" w:type="dxa"/>
              <w:left w:w="95" w:type="dxa"/>
              <w:bottom w:w="85" w:type="dxa"/>
              <w:right w:w="95" w:type="dxa"/>
            </w:tcMar>
            <w:vAlign w:val="center"/>
          </w:tcPr>
          <w:p w14:paraId="1B9232CA" w14:textId="77777777" w:rsidR="00CE5BE2" w:rsidRDefault="00000000" w:rsidP="0036278A">
            <w:pPr>
              <w:spacing w:after="0" w:line="247" w:lineRule="auto"/>
              <w:jc w:val="both"/>
            </w:pPr>
            <w:r>
              <w:rPr>
                <w:sz w:val="20"/>
              </w:rPr>
              <w:t>A permitted fixed-selection body operation that genuinely mixes input values refutes the single-source characterization.</w:t>
            </w:r>
          </w:p>
        </w:tc>
      </w:tr>
    </w:tbl>
    <w:p w14:paraId="41C25040" w14:textId="77777777" w:rsidR="00CE5BE2" w:rsidRDefault="00000000" w:rsidP="0036278A">
      <w:pPr>
        <w:pStyle w:val="BodyText"/>
        <w:spacing w:before="140"/>
        <w:jc w:val="both"/>
      </w:pPr>
      <w:r>
        <w:t>P1 and N1 come first. P2 and P3 can then reuse the same interval and dependency interfaces, followed by P4. For Construction-AGI, an early transfer task is a controlled engineering surrogate with a known solver and declared admissible inputs. A parameter-box certificate establishes robustness of that surrogate’s output ordering; physical correctness and design-code compliance still require their own checks.</w:t>
      </w:r>
    </w:p>
    <w:p w14:paraId="568D8E33" w14:textId="77777777" w:rsidR="00CE5BE2" w:rsidRDefault="00000000" w:rsidP="0036278A">
      <w:pPr>
        <w:pStyle w:val="BodyText"/>
        <w:jc w:val="both"/>
      </w:pPr>
      <w:r>
        <w:t>The evaluator should attach a semantic tag to every result: exact coordinate range, sound enclosure, or nominal estimate. Preserve primitive factor identities through shared operations. The minimal C# port needs log-interval addition and multiplication, stable log-add-exp, monotone activation bounds, factorized products, sorted ratio evaluation, quantization preimages, and explicit dependency identifiers. Keep the graph-cut path optional until needed; its per-output cost is different from the matrix paths.</w:t>
      </w:r>
    </w:p>
    <w:p w14:paraId="0F952A66" w14:textId="77777777" w:rsidR="00CE5BE2" w:rsidRDefault="00000000" w:rsidP="0036278A">
      <w:pPr>
        <w:pStyle w:val="BodyText"/>
        <w:jc w:val="both"/>
      </w:pPr>
      <w:r>
        <w:t>Use a validated numerical layer for certified deployment. Standard exp/log calls and a single next-representable-number adjustment do not automatically enclose transcendental error. Specify overflow, underflow, zero tags, clipping, LUT approximation error, tie handling, and accumulation order. The current float64 checks validate formulas and expose counterexamples; they do not complete this numerical contract. A software port is feasible, while the claimed hardware advantage remains a separate measured experiment.</w:t>
      </w:r>
    </w:p>
    <w:p w14:paraId="688845CC" w14:textId="77777777" w:rsidR="00CE5BE2" w:rsidRDefault="00000000" w:rsidP="0036278A">
      <w:pPr>
        <w:pStyle w:val="BodyText"/>
        <w:jc w:val="both"/>
      </w:pPr>
      <w:r>
        <w:t>Report a performance decomposition: nominal pass, endpoint passes, score relaxation, dependency refinement, storage metadata, and memory traffic. Cache nominal quantities only when their dependencies are fixed. The practical research target is a useful certified decision at an acceptable total cost, not two passes considered in isolation.</w:t>
      </w:r>
    </w:p>
    <w:p w14:paraId="4EEA8C88" w14:textId="77777777" w:rsidR="00CE5BE2" w:rsidRDefault="00000000" w:rsidP="0036278A">
      <w:pPr>
        <w:pStyle w:val="Heading1"/>
        <w:jc w:val="both"/>
      </w:pPr>
      <w:bookmarkStart w:id="21" w:name="conclusion"/>
      <w:bookmarkEnd w:id="20"/>
      <w:r>
        <w:t>10 Conclusion</w:t>
      </w:r>
    </w:p>
    <w:p w14:paraId="171E2D0D" w14:textId="77777777" w:rsidR="00CE5BE2" w:rsidRDefault="00000000" w:rsidP="0036278A">
      <w:pPr>
        <w:jc w:val="both"/>
      </w:pPr>
      <w:r>
        <w:t>Log interval networks provide an exact range calculus for monotone positive computations and a direct interpretation of stored log precision as tolerated parameter variation. Their strongest unresolved issue is whether training can preserve useful margins while accumulating independent evidence. The next paper should test that question with matched controls and a duplication-resistant measurement design.</w:t>
      </w:r>
    </w:p>
    <w:p w14:paraId="7BB317EC" w14:textId="77777777" w:rsidR="00CE5BE2" w:rsidRDefault="00000000" w:rsidP="0036278A">
      <w:pPr>
        <w:pStyle w:val="BodyText"/>
        <w:jc w:val="both"/>
      </w:pPr>
      <w:r>
        <w:t>The broader programme then has three concrete extensions: certify differential rather than common-mode attention variation; consolidate the part of an update that the current Kronecker representation can absorb while preserving its residual; and release actions only when an explicitly costed uncertainty policy justifies them. These tasks connect the earlier papers through testable computational claims without assuming that a positive architecture is automatically an exact, accurate, or efficient Transformer.</w:t>
      </w:r>
    </w:p>
    <w:p w14:paraId="20A9AE86" w14:textId="77777777" w:rsidR="00CE5BE2" w:rsidRDefault="00000000" w:rsidP="0036278A">
      <w:pPr>
        <w:pStyle w:val="Heading1"/>
        <w:jc w:val="both"/>
      </w:pPr>
      <w:bookmarkStart w:id="22" w:name="references"/>
      <w:bookmarkEnd w:id="21"/>
      <w:r>
        <w:t>References</w:t>
      </w:r>
    </w:p>
    <w:p w14:paraId="289912D6" w14:textId="77777777" w:rsidR="00CE5BE2" w:rsidRDefault="00000000" w:rsidP="0036278A">
      <w:pPr>
        <w:spacing w:after="120" w:line="245" w:lineRule="auto"/>
        <w:jc w:val="both"/>
      </w:pPr>
      <w:r>
        <w:rPr>
          <w:sz w:val="20"/>
        </w:rPr>
        <w:t xml:space="preserve">[1] Ghosh, Debi Prasad. (2026). </w:t>
      </w:r>
      <w:r>
        <w:rPr>
          <w:i/>
          <w:iCs/>
          <w:sz w:val="20"/>
        </w:rPr>
        <w:t>Interval Transformers with Exact Local Weight Ranges and Sparse Expert Routing</w:t>
      </w:r>
      <w:r>
        <w:rPr>
          <w:sz w:val="20"/>
        </w:rPr>
        <w:t>. Manuscript, 1 October 2026.</w:t>
      </w:r>
    </w:p>
    <w:p w14:paraId="13747283" w14:textId="77777777" w:rsidR="00CE5BE2" w:rsidRDefault="00000000" w:rsidP="0036278A">
      <w:pPr>
        <w:pStyle w:val="BodyText"/>
        <w:spacing w:after="120" w:line="245" w:lineRule="auto"/>
        <w:jc w:val="both"/>
      </w:pPr>
      <w:r>
        <w:rPr>
          <w:sz w:val="20"/>
        </w:rPr>
        <w:t xml:space="preserve">[2] Dibya Ghosh, Dyuti Ghosh, and Debi Prasad Ghosh. (2025). </w:t>
      </w:r>
      <w:r>
        <w:rPr>
          <w:i/>
          <w:iCs/>
          <w:sz w:val="20"/>
        </w:rPr>
        <w:t>Sleep-Consolidated Non-Backprop Learning with Logarithmic Long-Term Memory and Kronecker-Structured Weights</w:t>
      </w:r>
      <w:r>
        <w:rPr>
          <w:sz w:val="20"/>
        </w:rPr>
        <w:t>. Manuscript dated 21 September. https://doi.org/10.13140/RG.2.2.20326.89925</w:t>
      </w:r>
    </w:p>
    <w:p w14:paraId="7559CC1A" w14:textId="77777777" w:rsidR="00CE5BE2" w:rsidRDefault="00000000" w:rsidP="0036278A">
      <w:pPr>
        <w:pStyle w:val="BodyText"/>
        <w:spacing w:after="120" w:line="245" w:lineRule="auto"/>
        <w:jc w:val="both"/>
      </w:pPr>
      <w:r>
        <w:rPr>
          <w:sz w:val="20"/>
        </w:rPr>
        <w:t xml:space="preserve">[3] Dibya Ghosh, Dyuti Ghosh, and Debi Prasad Ghosh. (2025). </w:t>
      </w:r>
      <w:r>
        <w:rPr>
          <w:i/>
          <w:iCs/>
          <w:sz w:val="20"/>
        </w:rPr>
        <w:t>Kronecker Product Logarithmic Neural Networks (KP-LNN): An Addition-Free, Signless Architecture for Matrix-Native Computation</w:t>
      </w:r>
      <w:r>
        <w:rPr>
          <w:sz w:val="20"/>
        </w:rPr>
        <w:t>. Manuscript dated 25 September. https://doi.org/10.13140/RG.2.2.28337.85604</w:t>
      </w:r>
    </w:p>
    <w:p w14:paraId="10F7EA59" w14:textId="77777777" w:rsidR="00CE5BE2" w:rsidRDefault="00000000" w:rsidP="0036278A">
      <w:pPr>
        <w:pStyle w:val="BodyText"/>
        <w:spacing w:after="120" w:line="245" w:lineRule="auto"/>
        <w:jc w:val="both"/>
      </w:pPr>
      <w:r>
        <w:rPr>
          <w:sz w:val="20"/>
        </w:rPr>
        <w:lastRenderedPageBreak/>
        <w:t xml:space="preserve">[4] Dibya Ghosh, Dyuti Ghosh, and Debi Prasad Ghosh. (2025). </w:t>
      </w:r>
      <w:r>
        <w:rPr>
          <w:i/>
          <w:iCs/>
          <w:sz w:val="20"/>
        </w:rPr>
        <w:t>Kronecker-Factored Positive Logarithmic Network Model of the Basal Ganglia with Addition-Free RL</w:t>
      </w:r>
      <w:r>
        <w:rPr>
          <w:sz w:val="20"/>
        </w:rPr>
        <w:t>. Preprint. https://doi.org/10.13140/RG.2.2.17714.47041</w:t>
      </w:r>
    </w:p>
    <w:p w14:paraId="11E61733" w14:textId="77777777" w:rsidR="00CE5BE2" w:rsidRDefault="00000000" w:rsidP="0036278A">
      <w:pPr>
        <w:pStyle w:val="BodyText"/>
        <w:spacing w:after="120" w:line="245" w:lineRule="auto"/>
        <w:jc w:val="both"/>
      </w:pPr>
      <w:r>
        <w:rPr>
          <w:sz w:val="20"/>
        </w:rPr>
        <w:t xml:space="preserve">[5] Dibya Ghosh, Dyuti Ghosh, and Debi Prasad Ghosh. (2025). </w:t>
      </w:r>
      <w:r>
        <w:rPr>
          <w:i/>
          <w:iCs/>
          <w:sz w:val="20"/>
        </w:rPr>
        <w:t>Yet Another Kronecker Attention in LNS (YAKAL): Fusing Algebraic Structure and Logarithmic Arithmetic for Efficient Self-Attention</w:t>
      </w:r>
      <w:r>
        <w:rPr>
          <w:sz w:val="20"/>
        </w:rPr>
        <w:t>. Manuscript dated 30 September. https://doi.org/10.13140/RG.2.2.26466.80329</w:t>
      </w:r>
    </w:p>
    <w:p w14:paraId="4314C237" w14:textId="77777777" w:rsidR="00CE5BE2" w:rsidRDefault="00000000" w:rsidP="0036278A">
      <w:pPr>
        <w:pStyle w:val="BodyText"/>
        <w:spacing w:after="120" w:line="245" w:lineRule="auto"/>
        <w:jc w:val="both"/>
      </w:pPr>
      <w:r>
        <w:rPr>
          <w:sz w:val="20"/>
        </w:rPr>
        <w:t>[6] Miyashita, D., Lee, E. H., and Murmann, B. (2016). Convolutional Neural Networks using Logarithmic Data Representation. arXiv:1603.01025. https://arxiv.org/abs/1603.01025</w:t>
      </w:r>
    </w:p>
    <w:p w14:paraId="0E6B84C9" w14:textId="77777777" w:rsidR="00CE5BE2" w:rsidRDefault="00000000" w:rsidP="0036278A">
      <w:pPr>
        <w:pStyle w:val="BodyText"/>
        <w:spacing w:after="120" w:line="245" w:lineRule="auto"/>
        <w:jc w:val="both"/>
      </w:pPr>
      <w:r>
        <w:rPr>
          <w:sz w:val="20"/>
        </w:rPr>
        <w:t>[7] Zhao, J., Dai, S., Venkatesan, R., Zimmer, B., Ali, M., Liu, M.-Y., Khailany, B., Dally, B., and Anandkumar, A. (2021). LNS-Madam: Low-Precision Training in Logarithmic Number System using Multiplicative Weight Update. arXiv:2106.13914. https://arxiv.org/abs/2106.13914</w:t>
      </w:r>
    </w:p>
    <w:p w14:paraId="4DD1CD77" w14:textId="77777777" w:rsidR="00CE5BE2" w:rsidRDefault="00000000" w:rsidP="0036278A">
      <w:pPr>
        <w:pStyle w:val="BodyText"/>
        <w:spacing w:after="120" w:line="245" w:lineRule="auto"/>
        <w:jc w:val="both"/>
      </w:pPr>
      <w:r>
        <w:rPr>
          <w:sz w:val="20"/>
        </w:rPr>
        <w:t xml:space="preserve">[8] Wołczyk, M., Piczak, K., Wójcik, B., Pustelnik, Ł., Morawiecki, P., Tabor, J., Trzciński, T., and Spurek, P. (2022). Continual Learning with Guarantees via Weight Interval Constraints. </w:t>
      </w:r>
      <w:r>
        <w:rPr>
          <w:i/>
          <w:iCs/>
          <w:sz w:val="20"/>
        </w:rPr>
        <w:t>Proceedings of ICML</w:t>
      </w:r>
      <w:r>
        <w:rPr>
          <w:sz w:val="20"/>
        </w:rPr>
        <w:t>, PMLR 162, 23897–23911. https://proceedings.mlr.press/v162/wolczyk22a.html</w:t>
      </w:r>
    </w:p>
    <w:p w14:paraId="04C41BC9" w14:textId="77777777" w:rsidR="00CE5BE2" w:rsidRDefault="00000000" w:rsidP="0036278A">
      <w:pPr>
        <w:pStyle w:val="BodyText"/>
        <w:spacing w:after="120" w:line="245" w:lineRule="auto"/>
        <w:jc w:val="both"/>
      </w:pPr>
      <w:r>
        <w:rPr>
          <w:sz w:val="20"/>
        </w:rPr>
        <w:t xml:space="preserve">[9] Daniëls, H. A. M., and Velikova, M. V. (2010). Monotone and partially monotone neural networks. </w:t>
      </w:r>
      <w:r>
        <w:rPr>
          <w:i/>
          <w:iCs/>
          <w:sz w:val="20"/>
        </w:rPr>
        <w:t>IEEE Transactions on Neural Networks</w:t>
      </w:r>
      <w:r>
        <w:rPr>
          <w:sz w:val="20"/>
        </w:rPr>
        <w:t>, 21(6), 906–917. https://research.tilburguniversity.edu/en/publications/monotone-and-partially-monotone-neural-networks/</w:t>
      </w:r>
    </w:p>
    <w:p w14:paraId="726AA16B" w14:textId="77777777" w:rsidR="00CE5BE2" w:rsidRDefault="00000000" w:rsidP="0036278A">
      <w:pPr>
        <w:pStyle w:val="BodyText"/>
        <w:spacing w:after="120" w:line="245" w:lineRule="auto"/>
        <w:jc w:val="both"/>
      </w:pPr>
      <w:r>
        <w:rPr>
          <w:sz w:val="20"/>
        </w:rPr>
        <w:t xml:space="preserve">[10] Karnik, N. N., and Mendel, J. M. (2001). Centroid of a type-2 fuzzy set. </w:t>
      </w:r>
      <w:r>
        <w:rPr>
          <w:i/>
          <w:iCs/>
          <w:sz w:val="20"/>
        </w:rPr>
        <w:t>Information Sciences</w:t>
      </w:r>
      <w:r>
        <w:rPr>
          <w:sz w:val="20"/>
        </w:rPr>
        <w:t>, 132, 195–220. https://doi.org/10.1016/S0020-0255(01)00069-X</w:t>
      </w:r>
    </w:p>
    <w:p w14:paraId="7FBF76EF" w14:textId="77777777" w:rsidR="00CE5BE2" w:rsidRDefault="00000000" w:rsidP="0036278A">
      <w:pPr>
        <w:pStyle w:val="BodyText"/>
        <w:spacing w:after="120" w:line="245" w:lineRule="auto"/>
        <w:jc w:val="both"/>
      </w:pPr>
      <w:r>
        <w:rPr>
          <w:sz w:val="20"/>
        </w:rPr>
        <w:t xml:space="preserve">[11] Kolmogorov, V., and Zabih, R. (2004). What energy functions can be minimized via graph cuts? </w:t>
      </w:r>
      <w:r>
        <w:rPr>
          <w:i/>
          <w:iCs/>
          <w:sz w:val="20"/>
        </w:rPr>
        <w:t>IEEE Transactions on Pattern Analysis and Machine Intelligence</w:t>
      </w:r>
      <w:r>
        <w:rPr>
          <w:sz w:val="20"/>
        </w:rPr>
        <w:t>, 26(2), 147–159. https://doi.org/10.1109/TPAMI.2004.1262177</w:t>
      </w:r>
    </w:p>
    <w:p w14:paraId="6F42B2C5" w14:textId="77777777" w:rsidR="00CE5BE2" w:rsidRDefault="00000000" w:rsidP="0036278A">
      <w:pPr>
        <w:pStyle w:val="BodyText"/>
        <w:spacing w:after="120" w:line="245" w:lineRule="auto"/>
        <w:jc w:val="both"/>
      </w:pPr>
      <w:r>
        <w:rPr>
          <w:sz w:val="20"/>
        </w:rPr>
        <w:t xml:space="preserve">[12] Alon, N., and Naor, A. (2006). Approximating the cut-norm via Grothendieck’s inequality. </w:t>
      </w:r>
      <w:r>
        <w:rPr>
          <w:i/>
          <w:iCs/>
          <w:sz w:val="20"/>
        </w:rPr>
        <w:t>SIAM Journal on Computing</w:t>
      </w:r>
      <w:r>
        <w:rPr>
          <w:sz w:val="20"/>
        </w:rPr>
        <w:t>, 35(4), 787–803. https://doi.org/10.1137/S0097539704441629</w:t>
      </w:r>
    </w:p>
    <w:p w14:paraId="6CD12AD2" w14:textId="77777777" w:rsidR="00CE5BE2" w:rsidRDefault="00000000" w:rsidP="0036278A">
      <w:pPr>
        <w:pStyle w:val="BodyText"/>
        <w:spacing w:after="120" w:line="245" w:lineRule="auto"/>
        <w:jc w:val="both"/>
      </w:pPr>
      <w:r>
        <w:rPr>
          <w:sz w:val="20"/>
        </w:rPr>
        <w:t xml:space="preserve">[13] Van Loan, C. F., and Pitsianis, N. (1993). Approximation with Kronecker products. In </w:t>
      </w:r>
      <w:r>
        <w:rPr>
          <w:i/>
          <w:iCs/>
          <w:sz w:val="20"/>
        </w:rPr>
        <w:t>Linear Algebra for Large Scale and Real-Time Applications</w:t>
      </w:r>
      <w:r>
        <w:rPr>
          <w:sz w:val="20"/>
        </w:rPr>
        <w:t>, pp. 293–314. https://doi.org/10.1007/978-94-015-8196-7_17</w:t>
      </w:r>
    </w:p>
    <w:p w14:paraId="2F64B2DA" w14:textId="77777777" w:rsidR="00CE5BE2" w:rsidRDefault="00000000" w:rsidP="0036278A">
      <w:pPr>
        <w:pStyle w:val="BodyText"/>
        <w:spacing w:after="120" w:line="245" w:lineRule="auto"/>
        <w:jc w:val="both"/>
      </w:pPr>
      <w:r>
        <w:rPr>
          <w:sz w:val="20"/>
        </w:rPr>
        <w:t xml:space="preserve">[14] Katharopoulos, A., Vyas, A., Pappas, N., and Fleuret, F. (2020). Transformers are RNNs: Fast Autoregressive Transformers with Linear Attention. </w:t>
      </w:r>
      <w:r>
        <w:rPr>
          <w:i/>
          <w:iCs/>
          <w:sz w:val="20"/>
        </w:rPr>
        <w:t>Proceedings of ICML</w:t>
      </w:r>
      <w:r>
        <w:rPr>
          <w:sz w:val="20"/>
        </w:rPr>
        <w:t>, PMLR 119, 5156–5165. https://proceedings.mlr.press/v119/katharopoulos20a.html</w:t>
      </w:r>
    </w:p>
    <w:p w14:paraId="452E12B6" w14:textId="77777777" w:rsidR="00CE5BE2" w:rsidRDefault="00000000" w:rsidP="0036278A">
      <w:pPr>
        <w:pStyle w:val="BodyText"/>
        <w:spacing w:after="120" w:line="245" w:lineRule="auto"/>
        <w:jc w:val="both"/>
      </w:pPr>
      <w:r>
        <w:rPr>
          <w:sz w:val="20"/>
        </w:rPr>
        <w:t>[15] Hinton, G. (2022). The Forward-Forward Algorithm: Some Preliminary Investigations. arXiv:2212.13345. https://arxiv.org/abs/2212.13345</w:t>
      </w:r>
    </w:p>
    <w:p w14:paraId="1390AED4" w14:textId="77777777" w:rsidR="00CE5BE2" w:rsidRDefault="00000000" w:rsidP="0036278A">
      <w:pPr>
        <w:pStyle w:val="BodyText"/>
        <w:spacing w:after="120" w:line="245" w:lineRule="auto"/>
        <w:jc w:val="both"/>
      </w:pPr>
      <w:r>
        <w:rPr>
          <w:sz w:val="20"/>
        </w:rPr>
        <w:t xml:space="preserve">[16] Frank, M. J. (2006). Hold your horses: A dynamic computational role for the subthalamic nucleus in decision making. </w:t>
      </w:r>
      <w:r>
        <w:rPr>
          <w:i/>
          <w:iCs/>
          <w:sz w:val="20"/>
        </w:rPr>
        <w:t>Neural Networks</w:t>
      </w:r>
      <w:r>
        <w:rPr>
          <w:sz w:val="20"/>
        </w:rPr>
        <w:t>, 19(8), 1120–1136. https://doi.org/10.1016/j.neunet.2006.03.006</w:t>
      </w:r>
    </w:p>
    <w:p w14:paraId="308FC545" w14:textId="77777777" w:rsidR="00CE5BE2" w:rsidRDefault="00000000" w:rsidP="0036278A">
      <w:pPr>
        <w:pStyle w:val="BodyText"/>
        <w:spacing w:after="120" w:line="245" w:lineRule="auto"/>
        <w:jc w:val="both"/>
      </w:pPr>
      <w:r>
        <w:rPr>
          <w:sz w:val="20"/>
        </w:rPr>
        <w:t xml:space="preserve">[17] Givan, R., Leach, S., and Dean, T. (2000). Bounded-parameter Markov decision processes. </w:t>
      </w:r>
      <w:r>
        <w:rPr>
          <w:i/>
          <w:iCs/>
          <w:sz w:val="20"/>
        </w:rPr>
        <w:t>Artificial Intelligence</w:t>
      </w:r>
      <w:r>
        <w:rPr>
          <w:sz w:val="20"/>
        </w:rPr>
        <w:t>, 122(1–2), 71–109. https://doi.org/10.1016/S0004-3702(00)00047-3</w:t>
      </w:r>
    </w:p>
    <w:p w14:paraId="168FC222" w14:textId="77777777" w:rsidR="00CE5BE2" w:rsidRDefault="00000000" w:rsidP="0036278A">
      <w:pPr>
        <w:pStyle w:val="BodyText"/>
        <w:spacing w:after="120" w:line="245" w:lineRule="auto"/>
        <w:jc w:val="both"/>
      </w:pPr>
      <w:r>
        <w:rPr>
          <w:sz w:val="20"/>
        </w:rPr>
        <w:t xml:space="preserve">[18] Jin, Y., Yang, Z., and Wang, Z. (2021). Is Pessimism Provably Efficient for Offline RL? </w:t>
      </w:r>
      <w:r>
        <w:rPr>
          <w:i/>
          <w:iCs/>
          <w:sz w:val="20"/>
        </w:rPr>
        <w:t>Proceedings of ICML</w:t>
      </w:r>
      <w:r>
        <w:rPr>
          <w:sz w:val="20"/>
        </w:rPr>
        <w:t>, PMLR 139, 5084–5096. https://proceedings.mlr.press/v139/jin21e.html</w:t>
      </w:r>
    </w:p>
    <w:p w14:paraId="24175291" w14:textId="77777777" w:rsidR="00CE5BE2" w:rsidRDefault="00000000" w:rsidP="0036278A">
      <w:pPr>
        <w:pStyle w:val="Heading1"/>
        <w:jc w:val="both"/>
      </w:pPr>
      <w:bookmarkStart w:id="23" w:name="Xab15d07dd3c9991618371874474de86af4a6a6b"/>
      <w:bookmarkEnd w:id="22"/>
      <w:r>
        <w:t>Appendix Reproduction and proposed registration</w:t>
      </w:r>
    </w:p>
    <w:p w14:paraId="2DC751B4" w14:textId="77777777" w:rsidR="00CE5BE2" w:rsidRDefault="00000000" w:rsidP="0036278A">
      <w:pPr>
        <w:jc w:val="both"/>
      </w:pPr>
      <w:r>
        <w:t>The supplement contains the unchanged L1–L10 script and output, six added checks and results, and the proposed P1 protocol. Run all ten checks in order: they share NumPy generator seed 20261001. The added checks use seed 20261002 where needed. The README records dependencies and execution commands.</w:t>
      </w:r>
    </w:p>
    <w:p w14:paraId="529635BD" w14:textId="77777777" w:rsidR="00CE5BE2" w:rsidRDefault="00000000" w:rsidP="0036278A">
      <w:pPr>
        <w:pStyle w:val="BodyText"/>
        <w:jc w:val="both"/>
      </w:pPr>
      <w:r>
        <w:t>Ordinary float64 arithmetic and simulated quantization do not constitute a validated interval backend or a complete LNS hardware emulator. L5 uses Adam on log weights; L7 tests radius selection on constructed goodness labels. Neither establishes end-to-end non-backprop learning. P1 specifies future MNIST experiments; no trained MNIST results are claimed.</w:t>
      </w:r>
      <w:bookmarkEnd w:id="23"/>
    </w:p>
    <w:sectPr w:rsidR="00CE5BE2" w:rsidSect="00034616">
      <w:footerReference w:type="default" r:id="rId9"/>
      <w:pgSz w:w="12240" w:h="15840"/>
      <w:pgMar w:top="1080" w:right="1123" w:bottom="1037" w:left="1123"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69752" w14:textId="77777777" w:rsidR="00D815D8" w:rsidRDefault="00D815D8">
      <w:pPr>
        <w:spacing w:after="0" w:line="240" w:lineRule="auto"/>
      </w:pPr>
      <w:r>
        <w:separator/>
      </w:r>
    </w:p>
  </w:endnote>
  <w:endnote w:type="continuationSeparator" w:id="0">
    <w:p w14:paraId="2D62A1CE" w14:textId="77777777" w:rsidR="00D815D8" w:rsidRDefault="00D81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0F545" w14:textId="77777777" w:rsidR="00CE5BE2" w:rsidRDefault="00000000">
    <w:pPr>
      <w:pStyle w:val="Footer"/>
      <w:jc w:val="center"/>
    </w:pPr>
    <w:r>
      <w:fldChar w:fldCharType="begin"/>
    </w:r>
    <w:r>
      <w:instrText>PAGE</w:instrText>
    </w:r>
    <w:r>
      <w:fldChar w:fldCharType="separate"/>
    </w:r>
    <w:r w:rsidR="0036278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1508D" w14:textId="77777777" w:rsidR="00D815D8" w:rsidRDefault="00D815D8">
      <w:r>
        <w:separator/>
      </w:r>
    </w:p>
  </w:footnote>
  <w:footnote w:type="continuationSeparator" w:id="0">
    <w:p w14:paraId="6067324A" w14:textId="77777777" w:rsidR="00D815D8" w:rsidRDefault="00D815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1C27EE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84919724">
    <w:abstractNumId w:val="8"/>
  </w:num>
  <w:num w:numId="2" w16cid:durableId="1495955088">
    <w:abstractNumId w:val="6"/>
  </w:num>
  <w:num w:numId="3" w16cid:durableId="1774662912">
    <w:abstractNumId w:val="5"/>
  </w:num>
  <w:num w:numId="4" w16cid:durableId="920405455">
    <w:abstractNumId w:val="4"/>
  </w:num>
  <w:num w:numId="5" w16cid:durableId="908809986">
    <w:abstractNumId w:val="7"/>
  </w:num>
  <w:num w:numId="6" w16cid:durableId="620651309">
    <w:abstractNumId w:val="3"/>
  </w:num>
  <w:num w:numId="7" w16cid:durableId="935746899">
    <w:abstractNumId w:val="2"/>
  </w:num>
  <w:num w:numId="8" w16cid:durableId="63261344">
    <w:abstractNumId w:val="1"/>
  </w:num>
  <w:num w:numId="9" w16cid:durableId="1973750244">
    <w:abstractNumId w:val="0"/>
  </w:num>
  <w:num w:numId="10" w16cid:durableId="18591576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5BE2"/>
    <w:rsid w:val="00203B7F"/>
    <w:rsid w:val="0036278A"/>
    <w:rsid w:val="004F51D9"/>
    <w:rsid w:val="00CE5BE2"/>
    <w:rsid w:val="00D815D8"/>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C415"/>
  <w15:docId w15:val="{68A8BBD9-0567-4707-9113-C63B03AC4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7" w:lineRule="auto"/>
    </w:pPr>
    <w:rPr>
      <w:rFonts w:ascii="Times New Roman" w:eastAsia="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6733</Words>
  <Characters>38383</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 Interval Networks for Certified Decisions and Structured Memory</dc:title>
  <dc:subject>Research programme for positive logarithmic networks, Kronecker attention, certified memory and action selection</dc:subject>
  <dc:creator>Debi Prasad Ghosh</dc:creator>
  <cp:keywords>Log interval network; logarithmic arithmetic; Kronecker product; certified decisions; memory consolidation</cp:keywords>
  <dc:description/>
  <cp:lastModifiedBy>Debiprasad Ghosh</cp:lastModifiedBy>
  <cp:revision>3</cp:revision>
  <dcterms:created xsi:type="dcterms:W3CDTF">2026-10-01T17:00:00Z</dcterms:created>
  <dcterms:modified xsi:type="dcterms:W3CDTF">2026-10-04T02:39:00Z</dcterms:modified>
</cp:coreProperties>
</file>