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Forward Deployed Construction Engineering</w:t>
      </w:r>
    </w:p>
    <w:p>
      <w:pPr>
        <w:pStyle w:val="Subtitle"/>
      </w:pPr>
      <w:r>
        <w:t>Revalidation, evidence and value across an AI vendor’s customers</w:t>
      </w:r>
    </w:p>
    <w:p>
      <w:pPr>
        <w:pStyle w:val="Meta"/>
      </w:pPr>
      <w:r>
        <w:t>Working paper  |  Version 2.0  |  5 September 2026</w:t>
      </w:r>
    </w:p>
    <w:p>
      <w:r/>
      <w:r>
        <w:rPr>
          <w:b/>
        </w:rPr>
        <w:t>Abstract.</w:t>
      </w:r>
      <w:r>
        <w:t xml:space="preserve"> A Forward Deployed Construction Engineer (FDCE) is defined here as an AI-company employee embedded in a contractually bounded construction workflow. The role delivers a useful local solution and a reviewed contribution to the vendor’s reusable capability. Its central reuse measure is revalidation effort at a stated quality and scope; its data responsibility is to make evaluation assumptions, observation gaps and selection effects inspectable. Deployment authority, asset rights and evidence obligations are assigned explicitly among vendor, contractor, client and other record holders. The appointment grants no construction approval authority. Revalidation costs and benefits remain unmeasured; this is a role proposal linked to a separate study protocol.</w:t>
      </w:r>
    </w:p>
    <w:p>
      <w:pPr>
        <w:pStyle w:val="Heading1"/>
      </w:pPr>
      <w:r>
        <w:t>1. Assign the parties before defining the remit</w:t>
      </w:r>
    </w:p>
    <w:p>
      <w:r>
        <w:t xml:space="preserve">The </w:t>
      </w:r>
      <w:r>
        <w:rPr>
          <w:b/>
        </w:rPr>
        <w:t>AI company employs the FDCE</w:t>
      </w:r>
      <w:r>
        <w:t>, funds product generalization and maintenance, and agrees a deployment scope with a named customer. That customer can be the contractor, the plant owner/client, or a jointly authorized arrangement. The contractor principally needs executable and closable work packages; the client needs an operable asset and usable lifecycle information; the vendor needs repeatable workflows with sustainable service economics. Their actual contract, operating and renewal horizons must be recorded rather than inferred from industry-wide year ranges.</w:t>
      </w:r>
    </w:p>
    <w:p>
      <w:r>
        <w:t>Each engagement names the paying party, operational sponsor, rule authority, data custodians, permitted recipients and escalation route. The customer sponsor secures internal cooperation; the vendor account team manages commercial scope; a product owner accepts transferable changes. The FDCE coordinates these relationships and implements the workflow. None of these roles can confer rights held by an unrepresented subcontractor, consultant, inspector or equipment supplier.</w:t>
      </w:r>
    </w:p>
    <w:p>
      <w:pPr>
        <w:pStyle w:val="Caption"/>
      </w:pPr>
      <w:r>
        <w:t>Table 1. Proposed stewardship; legal rights remain agreement-specific</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8DC"/>
          <w:left w:val="single" w:sz="4" w:color="D4D8DC"/>
          <w:bottom w:val="single" w:sz="4" w:color="D4D8DC"/>
          <w:right w:val="single" w:sz="4" w:color="D4D8DC"/>
          <w:insideH w:val="single" w:sz="4" w:color="D4D8DC"/>
          <w:insideV w:val="single" w:sz="4" w:color="D4D8DC"/>
        </w:tblBorders>
      </w:tblPr>
      <w:tblGrid>
        <w:gridCol w:w="3000"/>
        <w:gridCol w:w="2760"/>
        <w:gridCol w:w="3600"/>
      </w:tblGrid>
      <w:tr>
        <w:trPr>
          <w:cantSplit/>
          <w:tblHeader/>
        </w:trPr>
        <w:tc>
          <w:tcPr>
            <w:tcW w:type="dxa" w:w="3000"/>
            <w:vAlign w:val="center"/>
            <w:shd w:fill="F2F4F7" w:val="clear"/>
          </w:tcPr>
          <w:p>
            <w:pPr>
              <w:pStyle w:val="TableText"/>
            </w:pPr>
            <w:r>
              <w:rPr>
                <w:b/>
              </w:rPr>
              <w:t>Asset class</w:t>
            </w:r>
          </w:p>
        </w:tc>
        <w:tc>
          <w:tcPr>
            <w:tcW w:type="dxa" w:w="2760"/>
            <w:vAlign w:val="center"/>
            <w:shd w:fill="F2F4F7" w:val="clear"/>
          </w:tcPr>
          <w:p>
            <w:pPr>
              <w:pStyle w:val="TableText"/>
            </w:pPr>
            <w:r>
              <w:rPr>
                <w:b/>
              </w:rPr>
              <w:t>Proposed steward</w:t>
            </w:r>
          </w:p>
        </w:tc>
        <w:tc>
          <w:tcPr>
            <w:tcW w:type="dxa" w:w="3600"/>
            <w:vAlign w:val="center"/>
            <w:shd w:fill="F2F4F7" w:val="clear"/>
          </w:tcPr>
          <w:p>
            <w:pPr>
              <w:pStyle w:val="TableText"/>
            </w:pPr>
            <w:r>
              <w:rPr>
                <w:b/>
              </w:rPr>
              <w:t>Required allocation</w:t>
            </w:r>
          </w:p>
        </w:tc>
      </w:tr>
      <w:tr>
        <w:trPr>
          <w:cantSplit/>
        </w:trPr>
        <w:tc>
          <w:tcPr>
            <w:tcW w:type="dxa" w:w="3000"/>
            <w:vAlign w:val="center"/>
          </w:tcPr>
          <w:p>
            <w:pPr>
              <w:pStyle w:val="TableText"/>
            </w:pPr>
            <w:r>
              <w:rPr>
                <w:b w:val="0"/>
              </w:rPr>
              <w:t>Shared kernel, parsers and product connectors</w:t>
            </w:r>
          </w:p>
        </w:tc>
        <w:tc>
          <w:tcPr>
            <w:tcW w:type="dxa" w:w="2760"/>
            <w:vAlign w:val="center"/>
          </w:tcPr>
          <w:p>
            <w:pPr>
              <w:pStyle w:val="TableText"/>
            </w:pPr>
            <w:r>
              <w:rPr>
                <w:b w:val="0"/>
              </w:rPr>
              <w:t>AI company</w:t>
            </w:r>
          </w:p>
        </w:tc>
        <w:tc>
          <w:tcPr>
            <w:tcW w:type="dxa" w:w="3600"/>
            <w:vAlign w:val="center"/>
          </w:tcPr>
          <w:p>
            <w:pPr>
              <w:pStyle w:val="TableText"/>
            </w:pPr>
            <w:r>
              <w:rPr>
                <w:b w:val="0"/>
              </w:rPr>
              <w:t>Reusable code rights; support and version policy</w:t>
            </w:r>
          </w:p>
        </w:tc>
      </w:tr>
      <w:tr>
        <w:trPr>
          <w:cantSplit/>
        </w:trPr>
        <w:tc>
          <w:tcPr>
            <w:tcW w:type="dxa" w:w="3000"/>
            <w:vAlign w:val="center"/>
          </w:tcPr>
          <w:p>
            <w:pPr>
              <w:pStyle w:val="TableText"/>
            </w:pPr>
            <w:r>
              <w:rPr>
                <w:b w:val="0"/>
              </w:rPr>
              <w:t>Local rules, approval matrix and tag mappings</w:t>
            </w:r>
          </w:p>
        </w:tc>
        <w:tc>
          <w:tcPr>
            <w:tcW w:type="dxa" w:w="2760"/>
            <w:vAlign w:val="center"/>
          </w:tcPr>
          <w:p>
            <w:pPr>
              <w:pStyle w:val="TableText"/>
            </w:pPr>
            <w:r>
              <w:rPr>
                <w:b w:val="0"/>
              </w:rPr>
              <w:t>Customer’s designated regime owner</w:t>
            </w:r>
          </w:p>
        </w:tc>
        <w:tc>
          <w:tcPr>
            <w:tcW w:type="dxa" w:w="3600"/>
            <w:vAlign w:val="center"/>
          </w:tcPr>
          <w:p>
            <w:pPr>
              <w:pStyle w:val="TableText"/>
            </w:pPr>
            <w:r>
              <w:rPr>
                <w:b w:val="0"/>
              </w:rPr>
              <w:t>Semantic approval; code rights and maintenance priced separately</w:t>
            </w:r>
          </w:p>
        </w:tc>
      </w:tr>
      <w:tr>
        <w:trPr>
          <w:cantSplit/>
        </w:trPr>
        <w:tc>
          <w:tcPr>
            <w:tcW w:type="dxa" w:w="3000"/>
            <w:vAlign w:val="center"/>
          </w:tcPr>
          <w:p>
            <w:pPr>
              <w:pStyle w:val="TableText"/>
            </w:pPr>
            <w:r>
              <w:rPr>
                <w:b w:val="0"/>
              </w:rPr>
              <w:t>Drawings, surveys and inspection records</w:t>
            </w:r>
          </w:p>
        </w:tc>
        <w:tc>
          <w:tcPr>
            <w:tcW w:type="dxa" w:w="2760"/>
            <w:vAlign w:val="center"/>
          </w:tcPr>
          <w:p>
            <w:pPr>
              <w:pStyle w:val="TableText"/>
            </w:pPr>
            <w:r>
              <w:rPr>
                <w:b w:val="0"/>
              </w:rPr>
              <w:t>Existing rights holders and custodians</w:t>
            </w:r>
          </w:p>
        </w:tc>
        <w:tc>
          <w:tcPr>
            <w:tcW w:type="dxa" w:w="3600"/>
            <w:vAlign w:val="center"/>
          </w:tcPr>
          <w:p>
            <w:pPr>
              <w:pStyle w:val="TableText"/>
            </w:pPr>
            <w:r>
              <w:rPr>
                <w:b w:val="0"/>
              </w:rPr>
              <w:t>Access, recipients, retention and learning permissions</w:t>
            </w:r>
          </w:p>
        </w:tc>
      </w:tr>
      <w:tr>
        <w:trPr>
          <w:cantSplit/>
        </w:trPr>
        <w:tc>
          <w:tcPr>
            <w:tcW w:type="dxa" w:w="3000"/>
            <w:vAlign w:val="center"/>
          </w:tcPr>
          <w:p>
            <w:pPr>
              <w:pStyle w:val="TableText"/>
            </w:pPr>
            <w:r>
              <w:rPr>
                <w:b w:val="0"/>
              </w:rPr>
              <w:t>Physical automation equipment</w:t>
            </w:r>
          </w:p>
        </w:tc>
        <w:tc>
          <w:tcPr>
            <w:tcW w:type="dxa" w:w="2760"/>
            <w:vAlign w:val="center"/>
          </w:tcPr>
          <w:p>
            <w:pPr>
              <w:pStyle w:val="TableText"/>
            </w:pPr>
            <w:r>
              <w:rPr>
                <w:b w:val="0"/>
              </w:rPr>
              <w:t>Vendor/lessor or purchaser</w:t>
            </w:r>
          </w:p>
        </w:tc>
        <w:tc>
          <w:tcPr>
            <w:tcW w:type="dxa" w:w="3600"/>
            <w:vAlign w:val="center"/>
          </w:tcPr>
          <w:p>
            <w:pPr>
              <w:pStyle w:val="TableText"/>
            </w:pPr>
            <w:r>
              <w:rPr>
                <w:b w:val="0"/>
              </w:rPr>
              <w:t>Ownership, commissioning, service and exit terms</w:t>
            </w:r>
          </w:p>
        </w:tc>
      </w:tr>
    </w:tbl>
    <w:p>
      <w:pPr>
        <w:pStyle w:val="AfterTable"/>
      </w:pPr>
      <w:r>
        <w:t>Vendor employment gives reuse a persistent commercial home; it does not automatically license customer material. Nor must every local rule become customer-owned software. A customer can control its obligations while licensing vendor code, and a vendor can sell a recurring revalidation service. Separate legal title, semantic authority, maintenance duty and the party paying each cost. Purpose-limited information rights in the UK BIM protocol illustrate why these questions require actual agreements [3].</w:t>
      </w:r>
    </w:p>
    <w:p>
      <w:r>
        <w:t>The vendor model has direct precedents. Procore’s Datagrid FDE description places production workflow delivery and onsite adoption in Customer Success [1]. The checked Trunk Tools FDX posting emphasizes construction operations and AI adoption, with product collaboration rather than agent building [2]. These are related but distinct jobs. Their placement does not establish customer ownership of deployment code, or the reason for that organizational choice.</w:t>
      </w:r>
    </w:p>
    <w:p>
      <w:pPr>
        <w:pStyle w:val="Heading1"/>
      </w:pPr>
      <w:r>
        <w:t>2. Make revalidation the economic primitive</w:t>
      </w:r>
    </w:p>
    <w:p>
      <w:r>
        <w:t>Replication cost and applicability cost are different. A readiness rule can be copied instantly yet require substantial review against another specification, method statement and authority matrix. Define V as the cost of establishing that a particular asset version remains applicable and acceptable at one deployment. Measure the underlying hours by role as well as money. This is a property of an asset, its receiving context and required assurance level, not simply of its file format.</w:t>
      </w:r>
    </w:p>
    <w:p>
      <w:pPr>
        <w:pStyle w:val="Equation"/>
      </w:pPr>
      <m:oMath>
        <m:r>
          <m:rPr>
            <m:nor/>
          </m:rPr>
          <m:t xml:space="preserve">C(N) = F + </m:t>
        </m:r>
        <m:nary>
          <m:naryPr>
            <m:chr m:val="∑"/>
            <m:limLoc m:val="subSup"/>
          </m:naryPr>
          <m:sub>
            <m:r>
              <m:rPr>
                <m:nor/>
              </m:rPr>
              <m:t xml:space="preserve">d = 1</m:t>
            </m:r>
          </m:sub>
          <m:sup>
            <m:r>
              <m:rPr>
                <m:nor/>
              </m:rPr>
              <m:t xml:space="preserve">N</m:t>
            </m:r>
          </m:sup>
          <m:e>
            <m:r>
              <m:rPr>
                <m:nor/>
              </m:rPr>
              <m:t xml:space="preserve">(</m:t>
            </m:r>
            <m:sSub>
              <m:e>
                <m:r>
                  <m:rPr>
                    <m:nor/>
                  </m:rPr>
                  <m:t xml:space="preserve">V</m:t>
                </m:r>
              </m:e>
              <m:sub>
                <m:r>
                  <m:rPr>
                    <m:nor/>
                  </m:rPr>
                  <m:t xml:space="preserve">d</m:t>
                </m:r>
              </m:sub>
            </m:sSub>
            <m:r>
              <m:rPr>
                <m:nor/>
              </m:rPr>
              <m:t xml:space="preserve"> + </m:t>
            </m:r>
            <m:sSub>
              <m:e>
                <m:r>
                  <m:rPr>
                    <m:nor/>
                  </m:rPr>
                  <m:t xml:space="preserve">A</m:t>
                </m:r>
              </m:e>
              <m:sub>
                <m:r>
                  <m:rPr>
                    <m:nor/>
                  </m:rPr>
                  <m:t xml:space="preserve">d</m:t>
                </m:r>
              </m:sub>
            </m:sSub>
            <m:r>
              <m:rPr>
                <m:nor/>
              </m:rPr>
              <m:t xml:space="preserve"> + </m:t>
            </m:r>
            <m:sSub>
              <m:e>
                <m:r>
                  <m:rPr>
                    <m:nor/>
                  </m:rPr>
                  <m:t xml:space="preserve">O</m:t>
                </m:r>
              </m:e>
              <m:sub>
                <m:r>
                  <m:rPr>
                    <m:nor/>
                  </m:rPr>
                  <m:t xml:space="preserve">d</m:t>
                </m:r>
              </m:sub>
            </m:sSub>
            <m:r>
              <m:rPr>
                <m:nor/>
              </m:rPr>
              <m:t xml:space="preserve">)</m:t>
            </m:r>
          </m:e>
        </m:nary>
        <m:r>
          <m:rPr>
            <m:nor/>
          </m:rPr>
          <m:t xml:space="preserve"> + </m:t>
        </m:r>
        <m:nary>
          <m:naryPr>
            <m:chr m:val="∑"/>
            <m:limLoc m:val="subSup"/>
          </m:naryPr>
          <m:sub>
            <m:r>
              <m:rPr>
                <m:nor/>
              </m:rPr>
              <m:t xml:space="preserve">u = 1</m:t>
            </m:r>
          </m:sub>
          <m:sup>
            <m:r>
              <m:rPr>
                <m:nor/>
              </m:rPr>
              <m:t xml:space="preserve">U(N)</m:t>
            </m:r>
          </m:sup>
          <m:e>
            <m:sSub>
              <m:e>
                <m:r>
                  <m:rPr>
                    <m:nor/>
                  </m:rPr>
                  <m:t xml:space="preserve">M</m:t>
                </m:r>
              </m:e>
              <m:sub>
                <m:r>
                  <m:rPr>
                    <m:nor/>
                  </m:rPr>
                  <m:t xml:space="preserve">u</m:t>
                </m:r>
              </m:sub>
            </m:sSub>
          </m:e>
        </m:nary>
      </m:oMath>
    </w:p>
    <w:p>
      <w:r>
        <w:t>For a declared accounting horizon, F is fixed development/generalization cost; V is revalidation; A is adaptation and integration changes; O is operation, support and maintenance; M is each new physical unit’s build or acquisition cost. N counts deployments and U(N) counts new units. Redeploying one gantry does not manufacture another. Sums collect incurred costs; interactions between modules must be recorded once within deployment work, not assumed to vanish or superpose independently.</w:t>
      </w:r>
    </w:p>
    <w:p>
      <w:r>
        <w:t>Three useful regimes follow: digital assets with small V within a stable supported envelope; digital predicates with material local V; and physical systems with V plus unit costs. With other costs negligible and V constant, digital reuse reduces to C(N) = F + NV. Positive-V software and hardware can share a fixed-plus-recurring cost form. Hardware still differs in utilization, mobility, repair and residual value; matching algebra does not make the investments equivalent.</w:t>
      </w:r>
    </w:p>
    <w:p>
      <w:r>
        <w:t>A well-tested unit conversion routine or revision traversal algorithm may have low V. A connector can have high V when authentication, identifiers or source semantics change. A bounded rule family may transfer cheaply. Accordingly, schema/rule separation is a candidate explanation of measured V, not a theorem assigning schemas zero cost. Every proposed asset class currently has unknown V; neither a near-zero floor nor a decline after the second deployment has been demonstrated.</w:t>
      </w:r>
    </w:p>
    <w:p>
      <w:r>
        <w:t>Volume aggregation can make a robotics vendor or lessor an attractive supplier. It does not prove that rental always beats ownership. One to one hundred units is approximately 6.64 doublings, which says nothing by itself about production time, payback or utilization. Compare the specific ownership and rental costs, availability, mobilization, maintenance and residual value. Equipment ownership does not require the contractor to be its manufacturer.</w:t>
      </w:r>
    </w:p>
    <w:p>
      <w:pPr>
        <w:pStyle w:val="Heading1"/>
      </w:pPr>
      <w:r>
        <w:t>3. Filter the workflow by its authorization and evidence</w:t>
      </w:r>
    </w:p>
    <w:p>
      <w:pPr>
        <w:pStyle w:val="Caption"/>
      </w:pPr>
      <w:r>
        <w:t>Table 2. Engagement scope determines the supported workflow</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8DC"/>
          <w:left w:val="single" w:sz="4" w:color="D4D8DC"/>
          <w:bottom w:val="single" w:sz="4" w:color="D4D8DC"/>
          <w:right w:val="single" w:sz="4" w:color="D4D8DC"/>
          <w:insideH w:val="single" w:sz="4" w:color="D4D8DC"/>
          <w:insideV w:val="single" w:sz="4" w:color="D4D8DC"/>
        </w:tblBorders>
      </w:tblPr>
      <w:tblGrid>
        <w:gridCol w:w="2280"/>
        <w:gridCol w:w="1740"/>
        <w:gridCol w:w="2940"/>
        <w:gridCol w:w="2400"/>
      </w:tblGrid>
      <w:tr>
        <w:trPr>
          <w:cantSplit/>
          <w:tblHeader/>
        </w:trPr>
        <w:tc>
          <w:tcPr>
            <w:tcW w:type="dxa" w:w="2280"/>
            <w:vAlign w:val="center"/>
            <w:shd w:fill="F2F4F7" w:val="clear"/>
          </w:tcPr>
          <w:p>
            <w:pPr>
              <w:pStyle w:val="TableText"/>
            </w:pPr>
            <w:r>
              <w:rPr>
                <w:b/>
              </w:rPr>
              <w:t>Workflow</w:t>
            </w:r>
          </w:p>
        </w:tc>
        <w:tc>
          <w:tcPr>
            <w:tcW w:type="dxa" w:w="1740"/>
            <w:vAlign w:val="center"/>
            <w:shd w:fill="F2F4F7" w:val="clear"/>
          </w:tcPr>
          <w:p>
            <w:pPr>
              <w:pStyle w:val="TableText"/>
            </w:pPr>
            <w:r>
              <w:rPr>
                <w:b/>
              </w:rPr>
              <w:t>Typical sponsor</w:t>
            </w:r>
          </w:p>
        </w:tc>
        <w:tc>
          <w:tcPr>
            <w:tcW w:type="dxa" w:w="2940"/>
            <w:vAlign w:val="center"/>
            <w:shd w:fill="F2F4F7" w:val="clear"/>
          </w:tcPr>
          <w:p>
            <w:pPr>
              <w:pStyle w:val="TableText"/>
            </w:pPr>
            <w:r>
              <w:rPr>
                <w:b/>
              </w:rPr>
              <w:t>Authorized deliverable</w:t>
            </w:r>
          </w:p>
        </w:tc>
        <w:tc>
          <w:tcPr>
            <w:tcW w:type="dxa" w:w="2400"/>
            <w:vAlign w:val="center"/>
            <w:shd w:fill="F2F4F7" w:val="clear"/>
          </w:tcPr>
          <w:p>
            <w:pPr>
              <w:pStyle w:val="TableText"/>
            </w:pPr>
            <w:r>
              <w:rPr>
                <w:b/>
              </w:rPr>
              <w:t>External dependency</w:t>
            </w:r>
          </w:p>
        </w:tc>
      </w:tr>
      <w:tr>
        <w:trPr>
          <w:cantSplit/>
        </w:trPr>
        <w:tc>
          <w:tcPr>
            <w:tcW w:type="dxa" w:w="2280"/>
            <w:vAlign w:val="center"/>
          </w:tcPr>
          <w:p>
            <w:pPr>
              <w:pStyle w:val="TableText"/>
            </w:pPr>
            <w:r>
              <w:rPr>
                <w:b w:val="0"/>
              </w:rPr>
              <w:t>Trestle erection evidence</w:t>
            </w:r>
          </w:p>
        </w:tc>
        <w:tc>
          <w:tcPr>
            <w:tcW w:type="dxa" w:w="1740"/>
            <w:vAlign w:val="center"/>
          </w:tcPr>
          <w:p>
            <w:pPr>
              <w:pStyle w:val="TableText"/>
            </w:pPr>
            <w:r>
              <w:rPr>
                <w:b w:val="0"/>
              </w:rPr>
              <w:t>Contractor</w:t>
            </w:r>
          </w:p>
        </w:tc>
        <w:tc>
          <w:tcPr>
            <w:tcW w:type="dxa" w:w="2940"/>
            <w:vAlign w:val="center"/>
          </w:tcPr>
          <w:p>
            <w:pPr>
              <w:pStyle w:val="TableText"/>
            </w:pPr>
            <w:r>
              <w:rPr>
                <w:b w:val="0"/>
              </w:rPr>
              <w:t>Reconcile its work-package records</w:t>
            </w:r>
          </w:p>
        </w:tc>
        <w:tc>
          <w:tcPr>
            <w:tcW w:type="dxa" w:w="2400"/>
            <w:vAlign w:val="center"/>
          </w:tcPr>
          <w:p>
            <w:pPr>
              <w:pStyle w:val="TableText"/>
            </w:pPr>
            <w:r>
              <w:rPr>
                <w:b w:val="0"/>
              </w:rPr>
              <w:t>Surveyor, inspector, erection trade</w:t>
            </w:r>
          </w:p>
        </w:tc>
      </w:tr>
      <w:tr>
        <w:trPr>
          <w:cantSplit/>
        </w:trPr>
        <w:tc>
          <w:tcPr>
            <w:tcW w:type="dxa" w:w="2280"/>
            <w:vAlign w:val="center"/>
          </w:tcPr>
          <w:p>
            <w:pPr>
              <w:pStyle w:val="TableText"/>
            </w:pPr>
            <w:r>
              <w:rPr>
                <w:b w:val="0"/>
              </w:rPr>
              <w:t>Quantity or change reconciliation</w:t>
            </w:r>
          </w:p>
        </w:tc>
        <w:tc>
          <w:tcPr>
            <w:tcW w:type="dxa" w:w="1740"/>
            <w:vAlign w:val="center"/>
          </w:tcPr>
          <w:p>
            <w:pPr>
              <w:pStyle w:val="TableText"/>
            </w:pPr>
            <w:r>
              <w:rPr>
                <w:b w:val="0"/>
              </w:rPr>
              <w:t>Contractor or client</w:t>
            </w:r>
          </w:p>
        </w:tc>
        <w:tc>
          <w:tcPr>
            <w:tcW w:type="dxa" w:w="2940"/>
            <w:vAlign w:val="center"/>
          </w:tcPr>
          <w:p>
            <w:pPr>
              <w:pStyle w:val="TableText"/>
            </w:pPr>
            <w:r>
              <w:rPr>
                <w:b w:val="0"/>
              </w:rPr>
              <w:t>Analysis under the buyer’s agreed regime</w:t>
            </w:r>
          </w:p>
        </w:tc>
        <w:tc>
          <w:tcPr>
            <w:tcW w:type="dxa" w:w="2400"/>
            <w:vAlign w:val="center"/>
          </w:tcPr>
          <w:p>
            <w:pPr>
              <w:pStyle w:val="TableText"/>
            </w:pPr>
            <w:r>
              <w:rPr>
                <w:b w:val="0"/>
              </w:rPr>
              <w:t>Designer, supplier, counterparty records</w:t>
            </w:r>
          </w:p>
        </w:tc>
      </w:tr>
      <w:tr>
        <w:trPr>
          <w:cantSplit/>
        </w:trPr>
        <w:tc>
          <w:tcPr>
            <w:tcW w:type="dxa" w:w="2280"/>
            <w:vAlign w:val="center"/>
          </w:tcPr>
          <w:p>
            <w:pPr>
              <w:pStyle w:val="TableText"/>
            </w:pPr>
            <w:r>
              <w:rPr>
                <w:b w:val="0"/>
              </w:rPr>
              <w:t>Handover dossier preparation</w:t>
            </w:r>
          </w:p>
        </w:tc>
        <w:tc>
          <w:tcPr>
            <w:tcW w:type="dxa" w:w="1740"/>
            <w:vAlign w:val="center"/>
          </w:tcPr>
          <w:p>
            <w:pPr>
              <w:pStyle w:val="TableText"/>
            </w:pPr>
            <w:r>
              <w:rPr>
                <w:b w:val="0"/>
              </w:rPr>
              <w:t>Contractor</w:t>
            </w:r>
          </w:p>
        </w:tc>
        <w:tc>
          <w:tcPr>
            <w:tcW w:type="dxa" w:w="2940"/>
            <w:vAlign w:val="center"/>
          </w:tcPr>
          <w:p>
            <w:pPr>
              <w:pStyle w:val="TableText"/>
            </w:pPr>
            <w:r>
              <w:rPr>
                <w:b w:val="0"/>
              </w:rPr>
              <w:t>Assemble its contracted submission</w:t>
            </w:r>
          </w:p>
        </w:tc>
        <w:tc>
          <w:tcPr>
            <w:tcW w:type="dxa" w:w="2400"/>
            <w:vAlign w:val="center"/>
          </w:tcPr>
          <w:p>
            <w:pPr>
              <w:pStyle w:val="TableText"/>
            </w:pPr>
            <w:r>
              <w:rPr>
                <w:b w:val="0"/>
              </w:rPr>
              <w:t>OEMs, testing agencies, client formats</w:t>
            </w:r>
          </w:p>
        </w:tc>
      </w:tr>
      <w:tr>
        <w:trPr>
          <w:cantSplit/>
        </w:trPr>
        <w:tc>
          <w:tcPr>
            <w:tcW w:type="dxa" w:w="2280"/>
            <w:vAlign w:val="center"/>
          </w:tcPr>
          <w:p>
            <w:pPr>
              <w:pStyle w:val="TableText"/>
            </w:pPr>
            <w:r>
              <w:rPr>
                <w:b w:val="0"/>
              </w:rPr>
              <w:t>Commissioning acceptance / asset ingestion</w:t>
            </w:r>
          </w:p>
        </w:tc>
        <w:tc>
          <w:tcPr>
            <w:tcW w:type="dxa" w:w="1740"/>
            <w:vAlign w:val="center"/>
          </w:tcPr>
          <w:p>
            <w:pPr>
              <w:pStyle w:val="TableText"/>
            </w:pPr>
            <w:r>
              <w:rPr>
                <w:b w:val="0"/>
              </w:rPr>
              <w:t>Client or expressly delegated sponsor</w:t>
            </w:r>
          </w:p>
        </w:tc>
        <w:tc>
          <w:tcPr>
            <w:tcW w:type="dxa" w:w="2940"/>
            <w:vAlign w:val="center"/>
          </w:tcPr>
          <w:p>
            <w:pPr>
              <w:pStyle w:val="TableText"/>
            </w:pPr>
            <w:r>
              <w:rPr>
                <w:b w:val="0"/>
              </w:rPr>
              <w:t>Reconcile acceptance evidence and asset tags</w:t>
            </w:r>
          </w:p>
        </w:tc>
        <w:tc>
          <w:tcPr>
            <w:tcW w:type="dxa" w:w="2400"/>
            <w:vAlign w:val="center"/>
          </w:tcPr>
          <w:p>
            <w:pPr>
              <w:pStyle w:val="TableText"/>
            </w:pPr>
            <w:r>
              <w:rPr>
                <w:b w:val="0"/>
              </w:rPr>
              <w:t>Contractor, OEMs, operator</w:t>
            </w:r>
          </w:p>
        </w:tc>
      </w:tr>
    </w:tbl>
    <w:p>
      <w:pPr>
        <w:pStyle w:val="AfterTable"/>
      </w:pPr>
      <w:r>
        <w:t>Commissioning therefore needs two distinct scopes: the contractor may prepare what it owes; the client controls its acceptance regime unless expressly delegated. A joint engagement can span the boundary if each party authorizes the necessary access and outputs. One signature cannot silently authorize every EPC workflow or access another party’s systems.</w:t>
      </w:r>
    </w:p>
    <w:p>
      <w:r>
        <w:t>Start with reconciliation of records already generated for existing purposes. Surveys, drawing revisions and inspection releases can supply a first deployment without introducing a new form. Set zero new routine entry as a pilot design target, then measure extraction, correction, access and exception-handling effort. Existing records are not automatically accessible or semantically compatible.</w:t>
      </w:r>
    </w:p>
    <w:p>
      <w:r>
        <w:t>For every source, identify its custodian, obligation to supply it, usable delivery channel and cost bearer. A subcontractor may gain faster payment or less duplicate administration; those benefits must be established, not presumed. A required source beyond the sponsor’s assured access or commercial arrangements is a high recurring-cost risk. Remediation may need an interface, compensation, an agreed deliverable or a narrower scope.</w:t>
      </w:r>
    </w:p>
    <w:p>
      <w:r>
        <w:t>Intra-party reconciliation is a sensible first deployment hypothesis because it can reduce coordination boundaries. It is not free of claims exposure: internal records can affect later disputes. Conversely, contractor-funded evidence is not automatically unacceptable to a client. Source authority, provenance, agreed procedures and contestability matter. Test whether cross-party sources are less complete and slower under comparable obligations; do not label every missing record strategic withholding.</w:t>
      </w:r>
    </w:p>
    <w:p>
      <w:pPr>
        <w:pStyle w:val="Heading1"/>
      </w:pPr>
      <w:r>
        <w:t>4. Represent evidence without acquiring approval authority</w:t>
      </w:r>
    </w:p>
    <w:p>
      <w:r>
        <w:t xml:space="preserve">At an explicit cutoff, each applicable requirement has three states: </w:t>
      </w:r>
      <w:r>
        <w:rPr>
          <w:b/>
        </w:rPr>
        <w:t>S</w:t>
      </w:r>
      <w:r>
        <w:t xml:space="preserve">, supported satisfaction; </w:t>
      </w:r>
      <w:r>
        <w:rPr>
          <w:b/>
        </w:rPr>
        <w:t>F</w:t>
      </w:r>
      <w:r>
        <w:t xml:space="preserve">, supported non-satisfaction; and </w:t>
      </w:r>
      <w:r>
        <w:rPr>
          <w:b/>
        </w:rPr>
        <w:t>U</w:t>
      </w:r>
      <w:r>
        <w:t>, insufficient observation. Keep contradictory evidence as a separate conflict flag. Missing evidence is U unless a justified completeness condition establishes absence. Record authorized not-applicable decisions. Unknown applicability, an unconfigured rule catalogue or an unresolved conflict cannot produce an affirmative aggregate.</w:t>
      </w:r>
    </w:p>
    <w:p>
      <w:r>
        <w:t>Represent identity, document revision, source provenance, authority scope, revocation and effective time explicitly. Distinguish when an event occurred, when its record existed, and when the system ingested it. PROV-O and SHACL provide established foundations for provenance and data/constraint separation [6,7]; they do not supply construction applicability conditions or physical assurance.</w:t>
      </w:r>
    </w:p>
    <w:p>
      <w:r>
        <w:t>Petri nets are useful when approvals proceed concurrently and their dependencies can deadlock. Encode U, S and F explicitly as token states or mutually exclusive places, with authority and revision guards. A marking alone does not create an unknown state. A bounded model can be examined for blocked approval cycles and whether an affirmative evidence state is reachable without prerequisites; CPN documentation illustrates state-space, dead-marking and liveness checks [4]. Partial exploration cannot certify that no deadlock exists.</w:t>
      </w:r>
    </w:p>
    <w:p>
      <w:r>
        <w:t xml:space="preserve">The workflow might report “evidence requirements satisfied for rule pack v3 at 08:00”, including coverage and expiry. </w:t>
      </w:r>
      <w:r>
        <w:rPr>
          <w:b/>
        </w:rPr>
        <w:t>The FDCE appointment grants no design approval, inspection acceptance or permission to erect.</w:t>
      </w:r>
      <w:r>
        <w:t xml:space="preserve"> Authorized people retain those responsibilities. A separately delegated role, if any, must be recorded independently. Model verification establishes properties of the encoded process; it does not certify site conditions or ISO 9001 conformity.</w:t>
      </w:r>
    </w:p>
    <w:p>
      <w:pPr>
        <w:pStyle w:val="Heading1"/>
      </w:pPr>
      <w:r>
        <w:t>5. Preserve evaluable variation and inspect label coverage</w:t>
      </w:r>
    </w:p>
    <w:p>
      <w:r>
        <w:t>The data problem includes selection as well as noise. If work is deferred, its outcome under proceeding at that time remains unobserved. A rotating shadow sample can reveal outcomes where humans proceed despite a hidden model objection; it cannot reveal outcomes where humans defer. Independent audits can label contemporaneous evidence conditions without pretending to observe those counterfactual construction outcomes.</w:t>
      </w:r>
    </w:p>
    <w:p>
      <w:r>
        <w:t>Lakkaraju and colleagues propose contraction for comparison using heterogeneous human decision makers [5]. The companion protocol treats it as a conditional evaluation option. Assignment by trade, competence, package difficulty or resource availability can defeat the required comparability. The FDCE documents decision context; an independent study lead owns the validity of the identification claim.</w:t>
      </w:r>
    </w:p>
    <w:p>
      <w:r>
        <w:t>Standardization removes variation in the standardized decision rule, limiting comparison with alternatives. It need not stop learning about other inputs, extraction errors, calibration or changing site conditions. Keep measurement definitions stable, preserve rule versions and assignment records, and test authorized discretionary workflow variants where useful. Never retain deficient inspections or vary mandatory release requirements merely to generate contrast.</w:t>
      </w:r>
    </w:p>
    <w:p>
      <w:r>
        <w:t>Operational records, permitted learning exports and reusable code have separate purposes and rights. Preserve required records and corrections; de-identification does not grant reuse rights or privilege. England and Wales PD57AD illustrates jurisdiction-specific preservation duties [8]. Research exports must disclose exclusions and their potential bias, without defeating the underlying record obligations.</w:t>
      </w:r>
    </w:p>
    <w:p>
      <w:pPr>
        <w:pStyle w:val="Heading1"/>
      </w:pPr>
      <w:r>
        <w:t>6. Own cost, quality and the field-to-product transfer</w:t>
      </w:r>
    </w:p>
    <w:p>
      <w:r>
        <w:t>The FDCE owns the revalidation ledger and improvement work, jointly with those who authorize local requirements. Report hours per asset redeployment, scope changes, elapsed access delays, all-party effort and the resulting quality. Reducing the review standard or exporting work to a supplier is not a reduction in V at constant assurance. Retire an asset when its net benefit or maintained fitness fails; a valuable asset can retain a justified positive V.</w:t>
      </w:r>
    </w:p>
    <w:p>
      <w:r>
        <w:t>A deployment yields a working solution and a bounded reuse candidate carrying applicability limits, dependencies, transfer permissions, adverse examples and a maintenance owner. The vendor reserves product-engineering capacity to accept, generalize and release useful changes. Another engineer must be able to deploy the accepted version using the recorded procedure. Tacit lessons become product capability only when later deployments demonstrate less dependence on the original FDCE.</w:t>
      </w:r>
    </w:p>
    <w:p>
      <w:r>
        <w:t>Track adaptation, revalidation, product-support and outsourced effort together. A suggestive scaling signal is FDE headcount growing more slowly than comparable revenue; revenue per FDE would rise. Revenue growing sublinearly in FDE headcount means the opposite. Neither ratio proves productization: pricing, acquisitions, scope, outsourcing and service quality confound it. Matched customer cohorts and full delivery costs offer stronger evidence.</w:t>
      </w:r>
    </w:p>
    <w:p>
      <w:r>
        <w:t>Hiring should test field judgment, implementation ability and the ability to influence people without line authority. Prior superintendent or package-owner experience can build credibility, but is neither necessary nor sufficient. Domain expertise also improves requirements and validation. The sponsor must provide an escalation path; credibility alone cannot secure another party’s records.</w:t>
      </w:r>
    </w:p>
    <w:p>
      <w:r/>
      <w:r>
        <w:rPr>
          <w:b/>
        </w:rPr>
        <w:t>Assumptions and future perspective.</w:t>
      </w:r>
      <w:r>
        <w:t xml:space="preserve"> No customer agreements, measured V values, decision-assignment evidence or deployment outcomes have been supplied. Vendor-wide compounding remains a conjecture about permitted transfer at sustained quality. Its defensible future is a maintained product core, explicitly priced local assurance and continuing independent evaluation. The next empirical step is a measured transfer between customers, followed by enough replications to distinguish a cost floor from a learning trend.</w:t>
      </w:r>
    </w:p>
    <w:p>
      <w:pPr>
        <w:pStyle w:val="Heading1"/>
        <w:pageBreakBefore/>
      </w:pPr>
      <w:r>
        <w:t>References and source scope</w:t>
      </w:r>
    </w:p>
    <w:p>
      <w:pPr>
        <w:pStyle w:val="Source"/>
      </w:pPr>
      <w:r>
        <w:t xml:space="preserve">[1] Procore Technologies. Forward Deployed Engineer (Datagrid), employer job description; accessed 5 September 2026. Evidence of role scope, not asset ownership. </w:t>
      </w:r>
      <w:hyperlink r:id="rId11">
        <w:r>
          <w:rPr>
            <w:color w:val="2E74B5"/>
            <w:u w:val="single"/>
          </w:rPr>
          <w:t>Source</w:t>
        </w:r>
      </w:hyperlink>
    </w:p>
    <w:p>
      <w:pPr>
        <w:pStyle w:val="Source"/>
      </w:pPr>
      <w:r>
        <w:t xml:space="preserve">[2] Trunk Tools. Forward Deployed Expert, New York, employer job description; accessed 5 September 2026. </w:t>
      </w:r>
      <w:hyperlink r:id="rId12">
        <w:r>
          <w:rPr>
            <w:color w:val="2E74B5"/>
            <w:u w:val="single"/>
          </w:rPr>
          <w:t>Source</w:t>
        </w:r>
      </w:hyperlink>
    </w:p>
    <w:p>
      <w:pPr>
        <w:pStyle w:val="Source"/>
      </w:pPr>
      <w:r>
        <w:t xml:space="preserve">[3] UK BIM Framework (2020). Information Protocol to support BS EN ISO 19650-2, May 2020; clauses 8 and 13.23. Illustrative English-law template. </w:t>
      </w:r>
      <w:hyperlink r:id="rId13">
        <w:r>
          <w:rPr>
            <w:color w:val="2E74B5"/>
            <w:u w:val="single"/>
          </w:rPr>
          <w:t>Source</w:t>
        </w:r>
      </w:hyperlink>
    </w:p>
    <w:p>
      <w:pPr>
        <w:pStyle w:val="Source"/>
      </w:pPr>
      <w:r>
        <w:t xml:space="preserve">[4] CPN Tools documentation (2018). Saving a standard state space report. Example includes boundedness, dead markings and liveness properties. </w:t>
      </w:r>
      <w:hyperlink r:id="rId14">
        <w:r>
          <w:rPr>
            <w:color w:val="2E74B5"/>
            <w:u w:val="single"/>
          </w:rPr>
          <w:t>Source</w:t>
        </w:r>
      </w:hyperlink>
    </w:p>
    <w:p>
      <w:pPr>
        <w:pStyle w:val="Source"/>
      </w:pPr>
      <w:r>
        <w:t xml:space="preserve">[5] Lakkaraju, H., Kleinberg, J., Leskovec, J., Ludwig, J., and Mullainathan, S. (2017). The Selective Labels Problem: Evaluating Algorithmic Predictions in the Presence of Unobservables. KDD, 275–284. DOI: 10.1145/3097983.3098066. </w:t>
      </w:r>
      <w:hyperlink r:id="rId15">
        <w:r>
          <w:rPr>
            <w:color w:val="2E74B5"/>
            <w:u w:val="single"/>
          </w:rPr>
          <w:t>Source</w:t>
        </w:r>
      </w:hyperlink>
    </w:p>
    <w:p>
      <w:pPr>
        <w:pStyle w:val="Source"/>
      </w:pPr>
      <w:r>
        <w:t xml:space="preserve">[6] W3C (2013). PROV-O: The PROV Ontology. Recommendation, 30 April 2013. </w:t>
      </w:r>
      <w:hyperlink r:id="rId16">
        <w:r>
          <w:rPr>
            <w:color w:val="2E74B5"/>
            <w:u w:val="single"/>
          </w:rPr>
          <w:t>Source</w:t>
        </w:r>
      </w:hyperlink>
    </w:p>
    <w:p>
      <w:pPr>
        <w:pStyle w:val="Source"/>
      </w:pPr>
      <w:r>
        <w:t xml:space="preserve">[7] W3C (2017). Shapes Constraint Language (SHACL). Recommendation, 20 July 2017. </w:t>
      </w:r>
      <w:hyperlink r:id="rId17">
        <w:r>
          <w:rPr>
            <w:color w:val="2E74B5"/>
            <w:u w:val="single"/>
          </w:rPr>
          <w:t>Source</w:t>
        </w:r>
      </w:hyperlink>
    </w:p>
    <w:p>
      <w:pPr>
        <w:pStyle w:val="Source"/>
      </w:pPr>
      <w:r>
        <w:t xml:space="preserve">[8] Ministry of Justice, England and Wales. Practice Direction 57AD, paragraphs 3, 4 and 14; accessed 5 September 2026. Jurisdiction-specific disclosure rules. </w:t>
      </w:r>
      <w:hyperlink r:id="rId18">
        <w:r>
          <w:rPr>
            <w:color w:val="2E74B5"/>
            <w:u w:val="single"/>
          </w:rPr>
          <w:t>Source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5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FDCE | Role definition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lvlJc w:val="left"/>
      <w:pPr>
        <w:tabs>
          <w:tab w:val="num" w:pos="720"/>
        </w:tabs>
        <w:ind w:left="720" w:hanging="360"/>
        <w:spacing w:before="0" w:after="160" w:line="280" w:lineRule="auto"/>
      </w:pPr>
    </w:lvl>
  </w:abstractNum>
  <w:num w:numId="90">
    <w:abstractNumId w:val="90"/>
  </w:num>
  <w:abstractNum w:abstractNumId="91">
    <w:multiLevelType w:val="singleLevel"/>
    <w:lvl w:ilvl="0">
      <w:start w:val="1"/>
      <w:numFmt w:val="decimal"/>
      <w:lvlText w:val="%1."/>
      <w:lvlJc w:val="left"/>
      <w:pPr>
        <w:tabs>
          <w:tab w:val="num" w:pos="720"/>
        </w:tabs>
        <w:ind w:left="720" w:hanging="360"/>
        <w:spacing w:before="0" w:after="160" w:line="280" w:lineRule="auto"/>
      </w:pPr>
    </w:lvl>
  </w:abstract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cs="Calibri"/>
      <w:b w:val="0"/>
      <w:i w:val="0"/>
      <w:color w:val="202020"/>
      <w:sz w:val="22"/>
    </w:rPr>
  </w:style>
  <w:style w:type="paragraph" w:styleId="Header">
    <w:name w:val="header"/>
    <w:basedOn w:val="Normal"/>
    <w:link w:val="HeaderChar"/>
    <w:uiPriority w:val="99"/>
    <w:unhideWhenUsed/>
    <w:rsid w:val="00E618BF"/>
    <w:pPr>
      <w:widowControl/>
      <w:tabs>
        <w:tab w:val="center" w:pos="4680"/>
        <w:tab w:val="right" w:pos="9360"/>
      </w:tabs>
      <w:spacing w:after="0" w:line="264" w:lineRule="auto" w:before="0"/>
    </w:pPr>
    <w:rPr>
      <w:rFonts w:ascii="Calibri" w:hAnsi="Calibri" w:eastAsia="Calibri" w:cs="Calibri"/>
      <w:b w:val="0"/>
      <w:i w:val="0"/>
      <w:color w:val="666666"/>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64" w:lineRule="auto" w:before="0"/>
    </w:pPr>
    <w:rPr>
      <w:rFonts w:ascii="Calibri" w:hAnsi="Calibri" w:eastAsia="Calibri" w:cs="Calibri"/>
      <w:b w:val="0"/>
      <w:i w:val="0"/>
      <w:color w:val="666666"/>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eastAsia="Calibri" w:cs="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eastAsia="Calibri" w:cs="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eastAsia="Calibri" w:cs="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64" w:lineRule="auto" w:before="0"/>
      <w:contextualSpacing/>
    </w:pPr>
    <w:rPr>
      <w:rFonts w:asciiTheme="majorHAnsi" w:eastAsiaTheme="majorEastAsia" w:hAnsiTheme="majorHAnsi" w:cstheme="majorBidi" w:ascii="Calibri" w:hAnsi="Calibri" w:eastAsia="Calibri" w:cs="Calibri"/>
      <w:b/>
      <w:i w:val="0"/>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line="264" w:lineRule="auto"/>
    </w:pPr>
    <w:rPr>
      <w:rFonts w:asciiTheme="majorHAnsi" w:eastAsiaTheme="majorEastAsia" w:hAnsiTheme="majorHAnsi" w:cstheme="majorBidi" w:ascii="Calibri" w:hAnsi="Calibri" w:eastAsia="Calibri" w:cs="Calibri"/>
      <w:b w:val="0"/>
      <w:i w:val="0"/>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spacing w:before="0" w:after="160" w:line="280" w:lineRule="auto"/>
      <w:ind w:left="720" w:hanging="360"/>
      <w:contextualSpacing/>
      <w:numPr>
        <w:ilvl w:val="0"/>
        <w:numId w:val="90"/>
      </w:numPr>
    </w:pPr>
    <w:rPr>
      <w:rFonts w:ascii="Calibri" w:hAnsi="Calibri" w:eastAsia="Calibri" w:cs="Calibri"/>
      <w:b w:val="0"/>
      <w:i w:val="0"/>
      <w:color w:val="20202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spacing w:before="0" w:after="160" w:line="280" w:lineRule="auto"/>
      <w:ind w:left="720" w:hanging="360"/>
      <w:contextualSpacing/>
      <w:numPr>
        <w:ilvl w:val="0"/>
        <w:numId w:val="91"/>
      </w:numPr>
    </w:pPr>
    <w:rPr>
      <w:rFonts w:ascii="Calibri" w:hAnsi="Calibri" w:eastAsia="Calibri" w:cs="Calibri"/>
      <w:b w:val="0"/>
      <w:i w:val="0"/>
      <w:color w:val="20202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64" w:lineRule="auto" w:before="120" w:after="100"/>
    </w:pPr>
    <w:rPr>
      <w:rFonts w:ascii="Calibri" w:hAnsi="Calibri" w:eastAsia="Calibri" w:cs="Calibri"/>
      <w:b w:val="0"/>
      <w:bCs/>
      <w:i w:val="0"/>
      <w:color w:val="55555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widowControl/>
      <w:spacing w:before="0" w:after="180" w:line="264" w:lineRule="auto"/>
    </w:pPr>
    <w:rPr>
      <w:rFonts w:ascii="Calibri" w:hAnsi="Calibri" w:eastAsia="Calibri" w:cs="Calibri"/>
      <w:b w:val="0"/>
      <w:i w:val="0"/>
      <w:color w:val="555555"/>
      <w:sz w:val="18"/>
    </w:rPr>
  </w:style>
  <w:style w:type="paragraph" w:customStyle="1" w:styleId="Source">
    <w:name w:val="Source"/>
    <w:pPr>
      <w:widowControl/>
      <w:spacing w:before="0" w:after="100" w:line="264" w:lineRule="auto"/>
    </w:pPr>
    <w:rPr>
      <w:rFonts w:ascii="Calibri" w:hAnsi="Calibri" w:eastAsia="Calibri" w:cs="Calibri"/>
      <w:b w:val="0"/>
      <w:i w:val="0"/>
      <w:color w:val="333333"/>
      <w:sz w:val="19"/>
    </w:rPr>
  </w:style>
  <w:style w:type="paragraph" w:customStyle="1" w:styleId="TableText">
    <w:name w:val="Table Text"/>
    <w:pPr>
      <w:widowControl/>
      <w:spacing w:before="0" w:after="60" w:line="264" w:lineRule="auto"/>
    </w:pPr>
    <w:rPr>
      <w:rFonts w:ascii="Calibri" w:hAnsi="Calibri" w:eastAsia="Calibri" w:cs="Calibri"/>
      <w:b w:val="0"/>
      <w:i w:val="0"/>
      <w:color w:val="202020"/>
      <w:sz w:val="19"/>
    </w:rPr>
  </w:style>
  <w:style w:type="paragraph" w:customStyle="1" w:styleId="Equation">
    <w:name w:val="Equation"/>
    <w:pPr>
      <w:keepNext/>
      <w:widowControl/>
      <w:spacing w:before="100" w:after="140" w:line="264" w:lineRule="auto"/>
    </w:pPr>
    <w:rPr>
      <w:rFonts w:ascii="Calibri" w:hAnsi="Calibri" w:eastAsia="Calibri" w:cs="Calibri"/>
      <w:b w:val="0"/>
      <w:i w:val="0"/>
      <w:color w:val="202020"/>
      <w:sz w:val="22"/>
    </w:rPr>
  </w:style>
  <w:style w:type="paragraph" w:customStyle="1" w:styleId="Furniture">
    <w:name w:val="Furniture"/>
    <w:pPr>
      <w:widowControl/>
      <w:spacing w:before="0" w:after="0" w:line="264" w:lineRule="auto"/>
    </w:pPr>
    <w:rPr>
      <w:rFonts w:ascii="Calibri" w:hAnsi="Calibri" w:eastAsia="Calibri" w:cs="Calibri"/>
      <w:b w:val="0"/>
      <w:i w:val="0"/>
      <w:color w:val="666666"/>
      <w:sz w:val="16"/>
    </w:rPr>
  </w:style>
  <w:style w:type="paragraph" w:customStyle="1" w:styleId="AfterTable">
    <w:name w:val="After Table"/>
    <w:pPr>
      <w:widowControl/>
      <w:spacing w:before="120" w:after="120" w:line="264" w:lineRule="auto"/>
    </w:pPr>
    <w:rPr>
      <w:rFonts w:ascii="Calibri" w:hAnsi="Calibri" w:eastAsia="Calibri" w:cs="Calibri"/>
      <w:b w:val="0"/>
      <w:i w:val="0"/>
      <w:color w:val="202020"/>
      <w:sz w:val="22"/>
    </w:rPr>
  </w:style>
  <w:style w:type="paragraph" w:customStyle="1" w:styleId="TableCitation">
    <w:name w:val="Table Citation"/>
    <w:pPr>
      <w:widowControl/>
      <w:spacing w:before="80" w:after="80" w:line="264" w:lineRule="auto"/>
    </w:pPr>
    <w:rPr>
      <w:rFonts w:ascii="Calibri" w:hAnsi="Calibri" w:eastAsia="Calibri" w:cs="Calibri"/>
      <w:b w:val="0"/>
      <w:i w:val="0"/>
      <w:color w:val="55555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e.linkedin.com/jobs/view/forward-deployed-engineer-datagrid-at-procore-technologies-4405274535" TargetMode="External"/><Relationship Id="rId12" Type="http://schemas.openxmlformats.org/officeDocument/2006/relationships/hyperlink" Target="https://www.linkedin.com/jobs/view/forward-deployed-expert-at-trunk-tools-4446388147" TargetMode="External"/><Relationship Id="rId13" Type="http://schemas.openxmlformats.org/officeDocument/2006/relationships/hyperlink" Target="https://ukbimframework.org/wp-content/uploads/2020/06/Information-Protocol-to-support-BS-EN-ISO19650-2.pdf" TargetMode="External"/><Relationship Id="rId14" Type="http://schemas.openxmlformats.org/officeDocument/2006/relationships/hyperlink" Target="https://cpntools.org/2018/01/15/saving-a-standard-state-space-report/" TargetMode="External"/><Relationship Id="rId15" Type="http://schemas.openxmlformats.org/officeDocument/2006/relationships/hyperlink" Target="https://www.cs.cornell.edu/home/kleinber/kdd17-selective.pdf" TargetMode="External"/><Relationship Id="rId16" Type="http://schemas.openxmlformats.org/officeDocument/2006/relationships/hyperlink" Target="https://www.w3.org/TR/prov-o/" TargetMode="External"/><Relationship Id="rId17" Type="http://schemas.openxmlformats.org/officeDocument/2006/relationships/hyperlink" Target="https://www.w3.org/TR/shacl/" TargetMode="External"/><Relationship Id="rId18" Type="http://schemas.openxmlformats.org/officeDocument/2006/relationships/hyperlink" Target="https://www.justice.gov.uk/courts/procedure-rules/civil/rules/part-57a-business-and-property-courts/practice-direction-57ad-disclosure-in-the-business-and-property-cou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Forward Deployed Construction Engineering</dc:title>
  <dc:subject>Revalidation, evidence and value across an AI vendor’s customers</dc:subject>
  <dc:creator/>
  <cp:keywords>FDCE; construction; reuse; data; evidence; deployment</cp:keywords>
  <dc:description>generated by python-docx</dc:description>
  <cp:lastModifiedBy/>
  <cp:revision>1</cp:revision>
  <dcterms:created xsi:type="dcterms:W3CDTF">2013-12-23T23:15:00Z</dcterms:created>
  <dcterms:modified xsi:type="dcterms:W3CDTF">2013-12-23T23:15:00Z</dcterms:modified>
  <cp:category/>
</cp:coreProperties>
</file>