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PRNGed Pre-trained Titans (PPT)</w:t>
      </w:r>
    </w:p>
    <w:p>
      <w:pPr>
        <w:pStyle w:val="Subtitle"/>
      </w:pPr>
      <w:r>
        <w:t>Procedural Memory with Low-Rank Test-Time Writing and Selective Access</w:t>
      </w:r>
    </w:p>
    <w:p>
      <w:r>
        <w:t>Debi Prasad Ghosh</w:t>
      </w:r>
    </w:p>
    <w:p>
      <w:pPr>
        <w:pStyle w:val="Small"/>
      </w:pPr>
      <w:r>
        <w:t>Revised conceptual manuscript • 6 September 2026</w:t>
        <w:br/>
        <w:t>Based on the 15 December 2025 preprint [1]. New extensions are proposals; no model-training or benchmark results are reported.</w:t>
      </w:r>
    </w:p>
    <w:p>
      <w:pPr>
        <w:pStyle w:val="Heading1"/>
      </w:pPr>
      <w:r>
        <w:t>Abstract</w:t>
      </w:r>
    </w:p>
    <w:p>
      <w:r>
        <w:t>Long-context intelligence requires both retaining useful information and making it available when needed. These functions incur different costs and can fail independently. Building on Titans, this paper develops PRNGed Pre-trained Titans (PPT), a conceptual architecture with a procedurally regenerated memory substrate, sparse memory-expert routing, and low-rank parameters updated at test time. Fixed seeds specify reproducible feature operators; they do not encode subsequently acquired experiences. Experience-dependent state resides in writable overlays and any explicitly retained auxiliary records. We distinguish fixed-parameter in-context adaptation, online memory learning, memory readout, and admission of retrieved information into a bounded active workspace. The revised formulation specifies causal processing, nondegenerate initialization, factor-space update geometry, memory lifecycle, and separate read, write, and forgetting controls. Exact parameter counts distinguish active accelerator state from the full retained memory bank. We propose ablations that test retention, accessibility, interference, recovery, and systems cost independently. Global-workspace and attention-schema theories motivate a limited functional comparison, without identifying the architecture with phenomenal consciousness. PPT contributes a testable design and corrected accounting; its accuracy, efficiency, and cognitive interpretation remain empirical questions.</w:t>
      </w:r>
    </w:p>
    <w:p>
      <w:pPr>
        <w:pStyle w:val="Heading1"/>
      </w:pPr>
      <w:r>
        <w:t>1. Introduction: retention and use</w:t>
      </w:r>
    </w:p>
    <w:p>
      <w:r>
        <w:t>The original PPT proposal [1] separates a regenerable substrate from writable history. This revision preserves that separation while addressing a second boundary: information can be stored yet fail to affect the current decision. A larger archive, a successful memory write, and effective access to a remembered fact are different achievements.</w:t>
      </w:r>
      <w:r>
        <w:t xml:space="preserve"> Long-context availability does not guarantee reliable use [9].</w:t>
      </w:r>
    </w:p>
    <w:p>
      <w:r>
        <w:t>The motivating reading example is similarly underdetermined. Continuing to scan a page while thinking about another subject does not establish that all words were understood and then forgotten. Eye movements during mindless reading can become less sensitive to linguistic variables [7]. The engineering lesson is to localize failures through interventions on processing, writing, retrieval, and use.</w:t>
      </w:r>
    </w:p>
    <w:p>
      <w:r>
        <w:br w:type="page"/>
      </w:r>
    </w:p>
    <w:p>
      <w:pPr>
        <w:pStyle w:val="Heading1"/>
      </w:pPr>
      <w:r>
        <w:t>2. Background and attribution</w:t>
      </w:r>
    </w:p>
    <w:p>
      <w:r>
        <w:rPr>
          <w:b/>
        </w:rPr>
        <w:t xml:space="preserve">Titans. </w:t>
      </w:r>
      <w:r>
        <w:t>Behrouz, Zhong, and Mirrokni [2] combine attention with a neural memory learned at test time. Their memory update includes an associative objective, momentum, and adaptive forgetting. PPT inherits this motivation and restricts online changes to factors attached to a fixed procedural base. It is a proposed variant, not an implementation-equivalent reproduction of a Titans model.</w:t>
      </w:r>
    </w:p>
    <w:p>
      <w:r>
        <w:rPr>
          <w:b/>
        </w:rPr>
        <w:t xml:space="preserve">LoRA. </w:t>
      </w:r>
      <w:r>
        <w:t>Low-rank adaptation freezes a base matrix and trains a factorized additive update [3]. PPT changes the deployment role of those factors: they become online memory state. The premise that low rank suffices for task adaptation does not itself prove that a fixed rank can preserve an arbitrarily long stream of associations.</w:t>
      </w:r>
    </w:p>
    <w:p>
      <w:r>
        <w:rPr>
          <w:b/>
        </w:rPr>
        <w:t xml:space="preserve">Procedural generation. </w:t>
      </w:r>
      <w:r>
        <w:t>SeedLM reconstructs trained weight blocks using pseudorandom bases and compressed coefficients [4]. PPT instead fixes a procedural prior before reader training. Reconstructing a selected random matrix is not compression of arbitrary learned knowledge. The generator specification, indexing convention, normalization, and numerical format are part of the reconstruction contract.</w:t>
      </w:r>
    </w:p>
    <w:p>
      <w:r>
        <w:rPr>
          <w:b/>
        </w:rPr>
        <w:t xml:space="preserve">Related memory developments. </w:t>
      </w:r>
      <w:r>
        <w:t>ATLAS revisits memory capacity and the temporal scope of the write objective [10]. TNT addresses the efficiency–accuracy tradeoff of chunkwise training [11]. Both should inform baseline selection; improvements reported for those systems are not evidence of PPT performance.</w:t>
      </w:r>
    </w:p>
    <w:p>
      <w:pPr>
        <w:pStyle w:val="Heading1"/>
      </w:pPr>
      <w:r>
        <w:t>3. Core proposal: three distinct states</w:t>
      </w:r>
    </w:p>
    <w:p>
      <w:r>
        <w:t>Let Θ collect the slowly trained backbone, key/query/value projections, router, fusion, and controller parameters. They remain fixed during a deployment episode. Each expert i has a fixed seed sᵢ and fast state Φᵢ, comprising low-rank factors and explicitly specified optimizer state. The active workspace Cₜ is transient and has a configured size bound.</w:t>
      </w:r>
    </w:p>
    <w:p>
      <w:pPr>
        <w:pStyle w:val="Equation"/>
      </w:pPr>
      <m:oMath>
        <m:sSub>
          <m:e>
            <m:r>
              <m:t xml:space="preserve">W</m:t>
            </m:r>
          </m:e>
          <m:sub>
            <m:r>
              <m:t xml:space="preserve">i</m:t>
            </m:r>
            <m:r>
              <m:t xml:space="preserve">,</m:t>
            </m:r>
            <m:r>
              <m:t xml:space="preserve">ℓ</m:t>
            </m:r>
          </m:sub>
        </m:sSub>
        <m:r>
          <m:t xml:space="preserve">(</m:t>
        </m:r>
        <m:r>
          <m:t xml:space="preserve">t</m:t>
        </m:r>
        <m:r>
          <m:t xml:space="preserve">)</m:t>
        </m:r>
        <m:r>
          <m:t xml:space="preserve"> </m:t>
        </m:r>
        <m:r>
          <m:t xml:space="preserve">=</m:t>
        </m:r>
        <m:r>
          <m:t xml:space="preserve"> </m:t>
        </m:r>
        <m:sSup>
          <m:e>
            <m:sSub>
              <m:e>
                <m:r>
                  <m:t xml:space="preserve">W</m:t>
                </m:r>
              </m:e>
              <m:sub>
                <m:r>
                  <m:t xml:space="preserve">i</m:t>
                </m:r>
                <m:r>
                  <m:t xml:space="preserve">,</m:t>
                </m:r>
                <m:r>
                  <m:t xml:space="preserve">ℓ</m:t>
                </m:r>
              </m:sub>
            </m:sSub>
          </m:e>
          <m:sup>
            <m:r>
              <m:rPr>
                <m:sty m:val="p"/>
              </m:rPr>
              <m:t xml:space="preserve">base</m:t>
            </m:r>
          </m:sup>
        </m:sSup>
        <m:r>
          <m:t xml:space="preserve">(</m:t>
        </m:r>
        <m:sSub>
          <m:e>
            <m:r>
              <m:t xml:space="preserve">s</m:t>
            </m:r>
          </m:e>
          <m:sub>
            <m:r>
              <m:t xml:space="preserve">i</m:t>
            </m:r>
          </m:sub>
        </m:sSub>
        <m:r>
          <m:t xml:space="preserve">)</m:t>
        </m:r>
        <m:r>
          <m:t xml:space="preserve"> </m:t>
        </m:r>
        <m:r>
          <m:t xml:space="preserve">+</m:t>
        </m:r>
        <m:r>
          <m:t xml:space="preserve"> </m:t>
        </m:r>
        <m:sSub>
          <m:e>
            <m:r>
              <m:t xml:space="preserve">c</m:t>
            </m:r>
          </m:e>
          <m:sub>
            <m:r>
              <m:t xml:space="preserve">ℓ</m:t>
            </m:r>
          </m:sub>
        </m:sSub>
        <m:r>
          <m:t xml:space="preserve"> </m:t>
        </m:r>
        <m:sSub>
          <m:e>
            <m:r>
              <m:t xml:space="preserve">A</m:t>
            </m:r>
          </m:e>
          <m:sub>
            <m:r>
              <m:t xml:space="preserve">i</m:t>
            </m:r>
            <m:r>
              <m:t xml:space="preserve">,</m:t>
            </m:r>
            <m:r>
              <m:t xml:space="preserve">ℓ</m:t>
            </m:r>
          </m:sub>
        </m:sSub>
        <m:r>
          <m:t xml:space="preserve">(</m:t>
        </m:r>
        <m:r>
          <m:t xml:space="preserve">t</m:t>
        </m:r>
        <m:r>
          <m:t xml:space="preserve">)</m:t>
        </m:r>
        <m:sSub>
          <m:e>
            <m:r>
              <m:t xml:space="preserve">B</m:t>
            </m:r>
          </m:e>
          <m:sub>
            <m:r>
              <m:t xml:space="preserve">i</m:t>
            </m:r>
            <m:r>
              <m:t xml:space="preserve">,</m:t>
            </m:r>
            <m:r>
              <m:t xml:space="preserve">ℓ</m:t>
            </m:r>
          </m:sub>
        </m:sSub>
        <m:r>
          <m:t xml:space="preserve">(</m:t>
        </m:r>
        <m:r>
          <m:t xml:space="preserve">t</m:t>
        </m:r>
        <m:r>
          <m:t xml:space="preserve">)</m:t>
        </m:r>
      </m:oMath>
    </w:p>
    <w:p>
      <w:r>
        <w:t>Here A has shape dᵢₙ × r, B has shape r × dₒᵤₜ, and cℓ is a fixed adapter scale. The seed regenerates only the base. Previously written, inactive experts require retained overlays if their histories are to remain recoverable.</w:t>
      </w:r>
    </w:p>
    <w:p>
      <w:r>
        <w:t>The proposed contribution is the joint specification of procedural bases, sparse online factor learning, and separately auditable access control. It is not a claim that any component alone is novel or that their combination has demonstrated an advantage.</w:t>
      </w:r>
    </w:p>
    <w:p>
      <w:r>
        <w:br w:type="page"/>
      </w:r>
    </w:p>
    <w:p>
      <w:pPr>
        <w:pStyle w:val="Heading1"/>
      </w:pPr>
      <w:r>
        <w:t>4. Training the reader and writer</w:t>
      </w:r>
    </w:p>
    <w:p>
      <w:pPr>
        <w:pStyle w:val="Heading2"/>
      </w:pPr>
      <w:r>
        <w:t>4.1 Reader alignment</w:t>
      </w:r>
    </w:p>
    <w:p>
      <w:r>
        <w:t>In Phase I, train Θ with the procedural branch present and its additive overlay set to zero. This exposes the reader to the base feature family. Zero overlay means AB = 0; it must not be interpreted as requiring both factors to be zero when writing begins. Use a deterministic, suitably scaled nonzero A and B = 0, or the reverse. Both factors set to zero give zero first-order gradients for a loss depending on AB.</w:t>
      </w:r>
      <w:r>
        <w:t xml:space="preserve"> The backbone uses causal transformer processing [5].</w:t>
      </w:r>
    </w:p>
    <w:p>
      <w:r>
        <w:t>Phase I is an optional initialization stage. It does not establish that the reader will exploit memories after the writer changes them. The model may learn to ignore the memory branch, so the benefit of this stage must be ablated.</w:t>
      </w:r>
    </w:p>
    <w:p>
      <w:pPr>
        <w:pStyle w:val="Heading2"/>
      </w:pPr>
      <w:r>
        <w:t>4.2 Episodic writer training</w:t>
      </w:r>
    </w:p>
    <w:p>
      <w:r>
        <w:t>In Phase II, unroll the same causal read/write process intended for deployment. Reset or restore fast state according to the declared episode boundary. Predict future targets using only observed history, perform local associative updates, and train the slow parameters on subsequent prediction or task loss. State explicitly whether differentiation through the update is exact, truncated, or first-order approximated.</w:t>
      </w:r>
    </w:p>
    <w:p>
      <w:pPr>
        <w:pStyle w:val="Equation"/>
      </w:pPr>
      <m:oMath>
        <m:sSub>
          <m:e>
            <m:r>
              <m:t xml:space="preserve">L</m:t>
            </m:r>
          </m:e>
          <m:sub>
            <m:r>
              <m:rPr>
                <m:sty m:val="p"/>
              </m:rPr>
              <m:t xml:space="preserve">outer</m:t>
            </m:r>
          </m:sub>
        </m:sSub>
        <m:r>
          <m:t xml:space="preserve">(</m:t>
        </m:r>
        <m:r>
          <m:t xml:space="preserve">Θ</m:t>
        </m:r>
        <m:r>
          <m:t xml:space="preserve">)</m:t>
        </m:r>
        <m:r>
          <m:t xml:space="preserve"> </m:t>
        </m:r>
        <m:r>
          <m:t xml:space="preserve">=</m:t>
        </m:r>
        <m:r>
          <m:t xml:space="preserve"> </m:t>
        </m:r>
        <m:sSub>
          <m:e>
            <m:r>
              <m:t xml:space="preserve">E</m:t>
            </m:r>
          </m:e>
          <m:sub>
            <m:r>
              <m:rPr>
                <m:sty m:val="p"/>
              </m:rPr>
              <m:t xml:space="preserve">episode</m:t>
            </m:r>
          </m:sub>
        </m:sSub>
        <m:r>
          <m:t xml:space="preserve">[</m:t>
        </m:r>
        <m:sSub>
          <m:e>
            <m:r>
              <m:t xml:space="preserve">∑</m:t>
            </m:r>
          </m:e>
          <m:sub>
            <m:r>
              <m:t xml:space="preserve">t</m:t>
            </m:r>
          </m:sub>
        </m:sSub>
        <m:r>
          <m:t xml:space="preserve"> </m:t>
        </m:r>
        <m:r>
          <m:t xml:space="preserve">−</m:t>
        </m:r>
        <m:r>
          <m:rPr>
            <m:sty m:val="p"/>
          </m:rPr>
          <m:t xml:space="preserve">log</m:t>
        </m:r>
        <m:r>
          <m:t xml:space="preserve"> </m:t>
        </m:r>
        <m:sSub>
          <m:e>
            <m:r>
              <m:t xml:space="preserve">p</m:t>
            </m:r>
          </m:e>
          <m:sub>
            <m:r>
              <m:t xml:space="preserve">Θ</m:t>
            </m:r>
          </m:sub>
        </m:sSub>
        <m:r>
          <m:t xml:space="preserve">(</m:t>
        </m:r>
        <m:sSub>
          <m:e>
            <m:r>
              <m:t xml:space="preserve">x</m:t>
            </m:r>
          </m:e>
          <m:sub>
            <m:r>
              <m:t xml:space="preserve">t</m:t>
            </m:r>
            <m:r>
              <m:t xml:space="preserve">+</m:t>
            </m:r>
            <m:r>
              <m:t xml:space="preserve">1</m:t>
            </m:r>
          </m:sub>
        </m:sSub>
        <m:r>
          <m:t xml:space="preserve"> </m:t>
        </m:r>
        <m:r>
          <m:t xml:space="preserve">|</m:t>
        </m:r>
        <m:r>
          <m:t xml:space="preserve"> </m:t>
        </m:r>
        <m:sSub>
          <m:e>
            <m:r>
              <m:t xml:space="preserve">x</m:t>
            </m:r>
          </m:e>
          <m:sub>
            <m:r>
              <m:t xml:space="preserve">≤</m:t>
            </m:r>
            <m:r>
              <m:t xml:space="preserve">t</m:t>
            </m:r>
          </m:sub>
        </m:sSub>
        <m:r>
          <m:t xml:space="preserve">,</m:t>
        </m:r>
        <m:r>
          <m:t xml:space="preserve"> </m:t>
        </m:r>
        <m:sSub>
          <m:e>
            <m:r>
              <m:t xml:space="preserve">Φ</m:t>
            </m:r>
          </m:e>
          <m:sub>
            <m:r>
              <m:t xml:space="preserve">t</m:t>
            </m:r>
            <m:r>
              <m:t xml:space="preserve">−</m:t>
            </m:r>
            <m:r>
              <m:t xml:space="preserve">1</m:t>
            </m:r>
          </m:sub>
        </m:sSub>
        <m:r>
          <m:t xml:space="preserve">)</m:t>
        </m:r>
        <m:r>
          <m:t xml:space="preserve">]</m:t>
        </m:r>
        <m:r>
          <m:t xml:space="preserve"> </m:t>
        </m:r>
        <m:r>
          <m:t xml:space="preserve">+</m:t>
        </m:r>
        <m:r>
          <m:t xml:space="preserve"> </m:t>
        </m:r>
        <m:r>
          <m:rPr>
            <m:sty m:val="p"/>
          </m:rPr>
          <m:t xml:space="preserve">regularizers</m:t>
        </m:r>
      </m:oMath>
    </w:p>
    <w:p>
      <w:r>
        <w:t>The regularizers may discourage router collapse, excessive writes, or poor monitoring calibration. Their weights are hyperparameters. A held-out task loss is needed to distinguish useful memory from merely fitting the local association target. Train and evaluate the actual reset policy, rank budget, context bound, and write schedule.</w:t>
      </w:r>
    </w:p>
    <w:p>
      <w:pPr>
        <w:pStyle w:val="Heading2"/>
      </w:pPr>
      <w:r>
        <w:t>4.3 Test-time operation</w:t>
      </w:r>
    </w:p>
    <w:p>
      <w:r>
        <w:t>During deployment, Θ and the seeds remain fixed; only the declared fast state changes. This is online memory learning even though the backbone is frozen. In-context learning in the fixed-parameter sense remains a distinct mechanism: examples or instructions alter behaviour through the currently available context without an explicit parameter update.</w:t>
      </w:r>
    </w:p>
    <w:p>
      <w:r>
        <w:t>External retrieval can supply observations to the same system, but RAG is optional. Neural-memory readout does not require a document database. “Long-term” here means that information may survive eviction from the active context; persistence across sessions requires an additional retention policy.</w:t>
      </w:r>
    </w:p>
    <w:p>
      <w:r>
        <w:br w:type="page"/>
      </w:r>
    </w:p>
    <w:p>
      <w:pPr>
        <w:pStyle w:val="Heading1"/>
      </w:pPr>
      <w:r>
        <w:t>5. Sparse memory and selective access</w:t>
      </w:r>
    </w:p>
    <w:p>
      <w:pPr>
        <w:pStyle w:val="Heading2"/>
      </w:pPr>
      <w:r>
        <w:t>5.1 Separate read and write routing</w:t>
      </w:r>
    </w:p>
    <w:p>
      <w:r>
        <w:t>Use causal read and write routers. Their selected expert sets may overlap without being identical. A read router seeks an expert useful for the current question; a write router assigns a new association to a suitable store. Coupling the two should be an ablation rather than an assumption. Routing may use learned addressing, bounded indexing metadata, or both; all retained metadata must be counted.</w:t>
      </w:r>
    </w:p>
    <w:p>
      <w:r>
        <w:t>For online prediction, route from the observed prefix or from a completed earlier chunk. Pooling an entire training chunk and using its summary to route predictions of earlier tokens leaks future information. A completed chunk may support writes for subsequent chunks, but its within-chunk prediction schedule must remain causal.</w:t>
      </w:r>
    </w:p>
    <w:p>
      <w:pPr>
        <w:pStyle w:val="Heading2"/>
      </w:pPr>
      <w:r>
        <w:t>5.2 A bounded workspace extension</w:t>
      </w:r>
    </w:p>
    <w:p>
      <w:r>
        <w:t>The original output fusion can influence prediction directly. To test a global-access hypothesis, an optional extension instead admits a bounded set of selected memory representations into a workspace read by multiple task processes. One possible recurrence is:</w:t>
      </w:r>
    </w:p>
    <w:p>
      <w:pPr>
        <w:pStyle w:val="Equation"/>
      </w:pPr>
      <m:oMath>
        <m:sSub>
          <m:e>
            <m:r>
              <m:t xml:space="preserve">r</m:t>
            </m:r>
          </m:e>
          <m:sub>
            <m:r>
              <m:t xml:space="preserve">t</m:t>
            </m:r>
          </m:sub>
        </m:sSub>
        <m:r>
          <m:t xml:space="preserve"> </m:t>
        </m:r>
        <m:r>
          <m:t xml:space="preserve">=</m:t>
        </m:r>
        <m:r>
          <m:t xml:space="preserve"> </m:t>
        </m:r>
        <m:r>
          <m:rPr>
            <m:sty m:val="p"/>
          </m:rPr>
          <m:t xml:space="preserve">Read</m:t>
        </m:r>
        <m:r>
          <m:t xml:space="preserve">(</m:t>
        </m:r>
        <m:sSub>
          <m:e>
            <m:r>
              <m:t xml:space="preserve">q</m:t>
            </m:r>
          </m:e>
          <m:sub>
            <m:r>
              <m:t xml:space="preserve">t</m:t>
            </m:r>
          </m:sub>
        </m:sSub>
        <m:r>
          <m:t xml:space="preserve">,</m:t>
        </m:r>
        <m:sSub>
          <m:e>
            <m:r>
              <m:t xml:space="preserve">Φ</m:t>
            </m:r>
          </m:e>
          <m:sub>
            <m:r>
              <m:t xml:space="preserve">t</m:t>
            </m:r>
            <m:r>
              <m:t xml:space="preserve">−</m:t>
            </m:r>
            <m:r>
              <m:t xml:space="preserve">1</m:t>
            </m:r>
          </m:sub>
        </m:sSub>
        <m:r>
          <m:t xml:space="preserve">)</m:t>
        </m:r>
        <m:r>
          <m:t xml:space="preserve">;</m:t>
        </m:r>
        <m:r>
          <m:t xml:space="preserve"> </m:t>
        </m:r>
        <m:r>
          <m:t xml:space="preserve"> </m:t>
        </m:r>
        <m:sSub>
          <m:e>
            <m:r>
              <m:t xml:space="preserve">C</m:t>
            </m:r>
          </m:e>
          <m:sub>
            <m:r>
              <m:t xml:space="preserve">t</m:t>
            </m:r>
          </m:sub>
        </m:sSub>
        <m:r>
          <m:t xml:space="preserve"> </m:t>
        </m:r>
        <m:r>
          <m:t xml:space="preserve">=</m:t>
        </m:r>
        <m:r>
          <m:t xml:space="preserve"> </m:t>
        </m:r>
        <m:sSub>
          <m:e>
            <m:r>
              <m:rPr>
                <m:sty m:val="p"/>
              </m:rPr>
              <m:t xml:space="preserve">Select</m:t>
            </m:r>
          </m:e>
          <m:sub>
            <m:r>
              <m:t xml:space="preserve">B</m:t>
            </m:r>
          </m:sub>
        </m:sSub>
        <m:r>
          <m:t xml:space="preserve">(</m:t>
        </m:r>
        <m:sSub>
          <m:e>
            <m:r>
              <m:t xml:space="preserve">C</m:t>
            </m:r>
          </m:e>
          <m:sub>
            <m:r>
              <m:t xml:space="preserve">t</m:t>
            </m:r>
            <m:r>
              <m:t xml:space="preserve">−</m:t>
            </m:r>
            <m:r>
              <m:t xml:space="preserve">1</m:t>
            </m:r>
          </m:sub>
        </m:sSub>
        <m:r>
          <m:t xml:space="preserve">,</m:t>
        </m:r>
        <m:sSub>
          <m:e>
            <m:r>
              <m:t xml:space="preserve">h</m:t>
            </m:r>
          </m:e>
          <m:sub>
            <m:r>
              <m:t xml:space="preserve">t</m:t>
            </m:r>
          </m:sub>
        </m:sSub>
        <m:r>
          <m:t xml:space="preserve">,</m:t>
        </m:r>
        <m:sSub>
          <m:e>
            <m:r>
              <m:t xml:space="preserve">r</m:t>
            </m:r>
          </m:e>
          <m:sub>
            <m:r>
              <m:t xml:space="preserve">t</m:t>
            </m:r>
          </m:sub>
        </m:sSub>
        <m:r>
          <m:t xml:space="preserve">,</m:t>
        </m:r>
        <m:sSub>
          <m:e>
            <m:r>
              <m:t xml:space="preserve">g</m:t>
            </m:r>
          </m:e>
          <m:sub>
            <m:r>
              <m:t xml:space="preserve">t</m:t>
            </m:r>
          </m:sub>
        </m:sSub>
        <m:r>
          <m:t xml:space="preserve">)</m:t>
        </m:r>
      </m:oMath>
    </w:p>
    <w:p>
      <w:r>
        <w:t>SelectB enforces a stated capacity B and can retain, replace, or reject candidates; gₜ encodes the current goal. A small workspace is not by itself a global workspace. The extension must specify the participating readers, the shared representational interface, and which behaviours depend causally on admitted content.</w:t>
      </w:r>
    </w:p>
    <w:p>
      <w:pPr>
        <w:pStyle w:val="Heading2"/>
      </w:pPr>
      <w:r>
        <w:t>5.3 Independent controls and monitoring</w:t>
      </w:r>
    </w:p>
    <w:p>
      <w:r>
        <w:t>A write gate controls whether a candidate changes memory; an access gate controls whether a read affects the active workspace; a forgetting policy controls retained state over time. Surprise may inform writing but is not a measure of truth or task importance. Learn these controls against defined objectives and compare them with simple policies.</w:t>
      </w:r>
    </w:p>
    <w:p>
      <w:r>
        <w:t>An optional monitor estimates failed access or insufficient evidence and chooses bounded repair actions: reroute, retrieve an additional candidate, reread an available observation, or abstain. Such monitoring draws functional motivation from attention-schema theory [8]. Global-workspace theory motivates selective shared availability [6]. Neither interpretation establishes phenomenal consciousness.</w:t>
      </w:r>
    </w:p>
    <w:p>
      <w:r>
        <w:br w:type="page"/>
      </w:r>
    </w:p>
    <w:p>
      <w:pPr>
        <w:pStyle w:val="Heading1"/>
      </w:pPr>
      <w:r>
        <w:t>6. Systems contract and memory accounting</w:t>
      </w:r>
    </w:p>
    <w:p>
      <w:r>
        <w:t>A counter-addressable generator should map the seed, layer, expert, and matrix coordinates to reproducible values. Generation must be independent of tile scheduling. Floating-point transforms and kernel versions must be pinned when bitwise reproducibility is claimed. A fused implementation computes XWbase + c(XA)B without storing a dense base matrix in high-bandwidth memory.</w:t>
      </w:r>
    </w:p>
    <w:p>
      <w:r>
        <w:t>Procedural generation trades some weight traffic for generator work. It does not eliminate dense matrix arithmetic, activations, backward work, or data movement for adapters. A prototype must measure generator cost, occupancy, repeated generation during backward computation, adapter transfer, and end-to-end latency. A materialized version of exactly the same seed matrices is an essential control.</w:t>
      </w:r>
    </w:p>
    <w:p>
      <w:r>
        <w:t>For one square d × d memory layer, the dense parameter count is d² and the two factor count is 2dr. At d = 4096 and r = 16 these are 16,777,216 and 131,072: a 128× reduction in the parameter array count. The earlier 256× example omitted one factor. This ratio is not an end-to-end memory or speedup estimate.</w:t>
      </w:r>
    </w:p>
    <w:p>
      <w:r>
        <w:t>Sparse activation bounds the active adapter working set, not the complete retained bank. With N written experts, L square memory layers and k active experts, factor counts are 2NLdr in the retained bank and 2kLdr in the active set, before optimizer copies, metadata, caches and workspace. Lazy allocation replaces N by the number actually written; dormant histories still consume storage somewhere.</w:t>
      </w:r>
    </w:p>
    <w:p>
      <w:pPr>
        <w:pStyle w:val="Heading1"/>
      </w:pPr>
      <w:r>
        <w:t>7. Limitations and boundaries</w:t>
      </w:r>
    </w:p>
    <w:p>
      <w:r>
        <w:t>A bounded-context claim requires an explicit sliding window or equivalent state bound in the backbone. Merely attaching neural memory to Core(x₁:ₜ) leaves the original growing-context cost intact. With a fixed window, long-range recall becomes dependent on the learned memory and must be measured rather than presumed.</w:t>
      </w:r>
    </w:p>
    <w:p>
      <w:r>
        <w:t>Additional limits include finite adapter capacity, interference between related writes, routing mismatch between learning and recall, numerical instability, and retention of erroneous observations. Low rank constrains individual weight perturbations, not the rank or semantic simplicity of the nonlinear input–output function. Factor decay need not erase an individual fact selectively, and numeric reset is not a general machine-unlearning guarantee.</w:t>
      </w:r>
    </w:p>
    <w:p>
      <w:r>
        <w:br w:type="page"/>
      </w:r>
    </w:p>
    <w:p>
      <w:pPr>
        <w:pStyle w:val="Heading1"/>
      </w:pPr>
      <w:r>
        <w:t>8. Evaluation and conclusion</w:t>
      </w:r>
    </w:p>
    <w:p>
      <w:pPr>
        <w:pStyle w:val="Heading2"/>
      </w:pPr>
      <w:r>
        <w:t>8.1 A minimal falsifiable study</w:t>
      </w:r>
    </w:p>
    <w:p>
      <w:r>
        <w:t>Begin with a causal key–value stream containing interleaved topics, distractors, corrections and delayed questions after the corresponding source tokens leave the context window. Measure exact recall, correction uptake, interference with older facts, and transfer of a recalled fact to a second task. Use multiple seeds and held-out episodes, with identical data and reporting of both quality and cost.</w:t>
      </w:r>
    </w:p>
    <w:p>
      <w:r>
        <w:rPr>
          <w:b/>
        </w:rPr>
        <w:t xml:space="preserve">Retention intervention. </w:t>
      </w:r>
      <w:r>
        <w:t>Disable writes while retaining the same read and workspace paths. This tests whether post-eviction performance depends on acquired fast state.</w:t>
      </w:r>
    </w:p>
    <w:p>
      <w:r>
        <w:rPr>
          <w:b/>
        </w:rPr>
        <w:t xml:space="preserve">Access intervention. </w:t>
      </w:r>
      <w:r>
        <w:t>Retain the written state but suppress or perturb read routing or workspace admission. Restore the path afterward. Recovery without rewriting distinguishes access failure from destruction of stored state.</w:t>
      </w:r>
    </w:p>
    <w:p>
      <w:r>
        <w:rPr>
          <w:b/>
        </w:rPr>
        <w:t xml:space="preserve">Monitoring intervention. </w:t>
      </w:r>
      <w:r>
        <w:t>Compare the monitor against an equal-compute fixed retry policy. Report recovery success, false alarms, unnecessary writes, and calibration against observable error labels, rather than only self-reported confidence.</w:t>
      </w:r>
    </w:p>
    <w:p>
      <w:r>
        <w:rPr>
          <w:b/>
        </w:rPr>
        <w:t xml:space="preserve">Systems intervention. </w:t>
      </w:r>
      <w:r>
        <w:t>Compare procedurally generated and materialized versions of identical bases, plus a matched trainable-base memory. Sweep rank, expert count, active experts and chunk/window sizes. Report peak accelerator memory, retained bytes, bytes transferred, latency and throughput for both prompt ingestion and generation.</w:t>
      </w:r>
    </w:p>
    <w:p>
      <w:r>
        <w:t>Use a fixed-window transformer without memory, a memory-enabled fixed-window baseline, a full-context baseline where feasible, a documented Titans implementation, and a low-rank memory without procedural generation. Include an external-retrieval baseline where the data permit fair indexing. Later comparisons should consider ATLAS and TNT [10,11] under explicit implementation and budget constraints.</w:t>
      </w:r>
    </w:p>
    <w:p>
      <w:pPr>
        <w:pStyle w:val="Heading2"/>
      </w:pPr>
      <w:r>
        <w:t>8.2 What would support or weaken PPT?</w:t>
      </w:r>
    </w:p>
    <w:p>
      <w:r>
        <w:t>The systems hypothesis gains support if procedural generation improves measured cost at comparable task quality. The memory hypothesis gains support if useful recall survives context eviction with competitive retained-state cost. The access extension gains support if its interventions affect multiple downstream uses and its monitor improves recovery beyond matched retries. Failure on any of these axes narrows the corresponding claim.</w:t>
      </w:r>
    </w:p>
    <w:p>
      <w:r>
        <w:t>PPT is best understood as a separation of reconstructible structure, writable history and selective current use. The consciousness discussion motivates experiments about access and monitoring; it does not supply evidence that the system has subjective experience. The next decisive contribution is a reproducible implementation and controlled study of these separations.</w:t>
      </w:r>
    </w:p>
    <w:p>
      <w:r>
        <w:br w:type="page"/>
      </w:r>
    </w:p>
    <w:p>
      <w:pPr>
        <w:pStyle w:val="Heading1"/>
      </w:pPr>
      <w:r>
        <w:t>Appendix A. Mathematical specification</w:t>
      </w:r>
    </w:p>
    <w:p>
      <w:pPr>
        <w:pStyle w:val="Heading2"/>
      </w:pPr>
      <w:r>
        <w:t>A.1 Associative objective and update coordinates</w:t>
      </w:r>
    </w:p>
    <w:p>
      <w:r>
        <w:t>For one expert and layer, write W = W₀ + cAB. Let kₜ and vₜ be compatible key and value vectors computed from an observed token state using slow projections. For the local inner update, detach the target and observed features from the fast-state differentiation unless another gradient path is explicitly intended.</w:t>
      </w:r>
    </w:p>
    <w:p>
      <w:pPr>
        <w:pStyle w:val="Equation"/>
      </w:pPr>
      <m:oMath>
        <m:sSub>
          <m:e>
            <m:r>
              <m:t xml:space="preserve">ℓ</m:t>
            </m:r>
          </m:e>
          <m:sub>
            <m:r>
              <m:t xml:space="preserve">t</m:t>
            </m:r>
          </m:sub>
        </m:sSub>
        <m:r>
          <m:t xml:space="preserve">(</m:t>
        </m:r>
        <m:r>
          <m:t xml:space="preserve">A</m:t>
        </m:r>
        <m:r>
          <m:t xml:space="preserve">,</m:t>
        </m:r>
        <m:r>
          <m:t xml:space="preserve">B</m:t>
        </m:r>
        <m:r>
          <m:t xml:space="preserve">)</m:t>
        </m:r>
        <m:r>
          <m:t xml:space="preserve"> </m:t>
        </m:r>
        <m:r>
          <m:t xml:space="preserve">=</m:t>
        </m:r>
        <m:r>
          <m:t xml:space="preserve"> </m:t>
        </m:r>
        <m:f>
          <m:num>
            <m:r>
              <m:t xml:space="preserve">1</m:t>
            </m:r>
          </m:num>
          <m:den>
            <m:r>
              <m:t xml:space="preserve">2</m:t>
            </m:r>
          </m:den>
        </m:f>
        <m:r>
          <m:t xml:space="preserve">‖</m:t>
        </m:r>
        <m:r>
          <m:t xml:space="preserve">M</m:t>
        </m:r>
        <m:r>
          <m:t xml:space="preserve">(</m:t>
        </m:r>
        <m:sSub>
          <m:e>
            <m:r>
              <m:t xml:space="preserve">k</m:t>
            </m:r>
          </m:e>
          <m:sub>
            <m:r>
              <m:t xml:space="preserve">t</m:t>
            </m:r>
          </m:sub>
        </m:sSub>
        <m:r>
          <m:t xml:space="preserve">;</m:t>
        </m:r>
        <m:sSub>
          <m:e>
            <m:r>
              <m:t xml:space="preserve">W</m:t>
            </m:r>
          </m:e>
          <m:sub>
            <m:r>
              <m:t xml:space="preserve">0</m:t>
            </m:r>
          </m:sub>
        </m:sSub>
        <m:r>
          <m:t xml:space="preserve">+</m:t>
        </m:r>
        <m:r>
          <m:t xml:space="preserve">c</m:t>
        </m:r>
        <m:r>
          <m:t xml:space="preserve">A</m:t>
        </m:r>
        <m:r>
          <m:t xml:space="preserve">B</m:t>
        </m:r>
        <m:r>
          <m:t xml:space="preserve">)</m:t>
        </m:r>
        <m:r>
          <m:t xml:space="preserve">−</m:t>
        </m:r>
        <m:sSub>
          <m:e>
            <m:r>
              <m:t xml:space="preserve">v</m:t>
            </m:r>
          </m:e>
          <m:sub>
            <m:r>
              <m:t xml:space="preserve">t</m:t>
            </m:r>
          </m:sub>
        </m:sSub>
        <m:sSup>
          <m:e>
            <m:r>
              <m:t xml:space="preserve">‖</m:t>
            </m:r>
          </m:e>
          <m:sup>
            <m:r>
              <m:t xml:space="preserve">2</m:t>
            </m:r>
          </m:sup>
        </m:sSup>
        <m:r>
          <m:t xml:space="preserve">;</m:t>
        </m:r>
        <m:r>
          <m:t xml:space="preserve"> </m:t>
        </m:r>
        <m:r>
          <m:t xml:space="preserve"> </m:t>
        </m:r>
        <m:r>
          <m:t xml:space="preserve">G</m:t>
        </m:r>
        <m:r>
          <m:t xml:space="preserve"> </m:t>
        </m:r>
        <m:r>
          <m:t xml:space="preserve">=</m:t>
        </m:r>
        <m:r>
          <m:t xml:space="preserve"> </m:t>
        </m:r>
        <m:f>
          <m:num>
            <m:r>
              <m:t xml:space="preserve">∂</m:t>
            </m:r>
            <m:sSub>
              <m:e>
                <m:r>
                  <m:t xml:space="preserve">ℓ</m:t>
                </m:r>
              </m:e>
              <m:sub>
                <m:r>
                  <m:t xml:space="preserve">t</m:t>
                </m:r>
              </m:sub>
            </m:sSub>
          </m:num>
          <m:den>
            <m:r>
              <m:t xml:space="preserve">∂</m:t>
            </m:r>
            <m:r>
              <m:t xml:space="preserve">W</m:t>
            </m:r>
          </m:den>
        </m:f>
      </m:oMath>
    </w:p>
    <w:p>
      <w:pPr>
        <w:pStyle w:val="Equation"/>
      </w:pPr>
      <m:oMath>
        <m:f>
          <m:num>
            <m:r>
              <m:t xml:space="preserve">∂</m:t>
            </m:r>
            <m:sSub>
              <m:e>
                <m:r>
                  <m:t xml:space="preserve">ℓ</m:t>
                </m:r>
              </m:e>
              <m:sub>
                <m:r>
                  <m:t xml:space="preserve">t</m:t>
                </m:r>
              </m:sub>
            </m:sSub>
          </m:num>
          <m:den>
            <m:r>
              <m:t xml:space="preserve">∂</m:t>
            </m:r>
            <m:r>
              <m:t xml:space="preserve">A</m:t>
            </m:r>
          </m:den>
        </m:f>
        <m:r>
          <m:t xml:space="preserve"> </m:t>
        </m:r>
        <m:r>
          <m:t xml:space="preserve">=</m:t>
        </m:r>
        <m:r>
          <m:t xml:space="preserve"> </m:t>
        </m:r>
        <m:r>
          <m:t xml:space="preserve">c</m:t>
        </m:r>
        <m:r>
          <m:t xml:space="preserve">G</m:t>
        </m:r>
        <m:sSup>
          <m:e>
            <m:r>
              <m:t xml:space="preserve">B</m:t>
            </m:r>
          </m:e>
          <m:sup>
            <m:r>
              <m:t xml:space="preserve">T</m:t>
            </m:r>
          </m:sup>
        </m:sSup>
        <m:r>
          <m:t xml:space="preserve">;</m:t>
        </m:r>
        <m:r>
          <m:t xml:space="preserve"> </m:t>
        </m:r>
        <m:r>
          <m:t xml:space="preserve"> </m:t>
        </m:r>
        <m:r>
          <m:t xml:space="preserve"> </m:t>
        </m:r>
        <m:r>
          <m:t xml:space="preserve"> </m:t>
        </m:r>
        <m:r>
          <m:t xml:space="preserve"> </m:t>
        </m:r>
        <m:r>
          <m:t xml:space="preserve"> </m:t>
        </m:r>
        <m:r>
          <m:t xml:space="preserve"> </m:t>
        </m:r>
        <m:r>
          <m:t xml:space="preserve"> </m:t>
        </m:r>
        <m:r>
          <m:t xml:space="preserve"> </m:t>
        </m:r>
        <m:r>
          <m:t xml:space="preserve"> </m:t>
        </m:r>
        <m:r>
          <m:t xml:space="preserve"> </m:t>
        </m:r>
        <m:r>
          <m:t xml:space="preserve"> </m:t>
        </m:r>
        <m:r>
          <m:t xml:space="preserve"> </m:t>
        </m:r>
        <m:r>
          <m:t xml:space="preserve"> </m:t>
        </m:r>
        <m:r>
          <m:t xml:space="preserve"> </m:t>
        </m:r>
        <m:r>
          <m:t xml:space="preserve"> </m:t>
        </m:r>
        <m:r>
          <m:t xml:space="preserve"> </m:t>
        </m:r>
        <m:f>
          <m:num>
            <m:r>
              <m:t xml:space="preserve">∂</m:t>
            </m:r>
            <m:sSub>
              <m:e>
                <m:r>
                  <m:t xml:space="preserve">ℓ</m:t>
                </m:r>
              </m:e>
              <m:sub>
                <m:r>
                  <m:t xml:space="preserve">t</m:t>
                </m:r>
              </m:sub>
            </m:sSub>
          </m:num>
          <m:den>
            <m:r>
              <m:t xml:space="preserve">∂</m:t>
            </m:r>
            <m:r>
              <m:t xml:space="preserve">B</m:t>
            </m:r>
          </m:den>
        </m:f>
        <m:r>
          <m:t xml:space="preserve"> </m:t>
        </m:r>
        <m:r>
          <m:t xml:space="preserve">=</m:t>
        </m:r>
        <m:r>
          <m:t xml:space="preserve"> </m:t>
        </m:r>
        <m:r>
          <m:t xml:space="preserve">c</m:t>
        </m:r>
        <m:sSup>
          <m:e>
            <m:r>
              <m:t xml:space="preserve">A</m:t>
            </m:r>
          </m:e>
          <m:sup>
            <m:r>
              <m:t xml:space="preserve">T</m:t>
            </m:r>
          </m:sup>
        </m:sSup>
        <m:r>
          <m:t xml:space="preserve">G</m:t>
        </m:r>
      </m:oMath>
    </w:p>
    <w:p>
      <w:r>
        <w:t>These are chain-rule gradients in factor coordinates. For simultaneous gradient descent with step ε and no momentum or decay, use gradients evaluated at the same old A and B. The induced matrix change is:</w:t>
      </w:r>
    </w:p>
    <w:p>
      <w:pPr>
        <w:pStyle w:val="Equation"/>
      </w:pPr>
      <m:oMath>
        <m:r>
          <m:t xml:space="preserve">δ</m:t>
        </m:r>
        <m:r>
          <m:t xml:space="preserve">W</m:t>
        </m:r>
        <m:r>
          <m:t xml:space="preserve"> </m:t>
        </m:r>
        <m:r>
          <m:t xml:space="preserve">=</m:t>
        </m:r>
        <m:r>
          <m:t xml:space="preserve"> </m:t>
        </m:r>
        <m:r>
          <m:t xml:space="preserve">−</m:t>
        </m:r>
        <m:r>
          <m:t xml:space="preserve">ε</m:t>
        </m:r>
        <m:sSup>
          <m:e>
            <m:r>
              <m:t xml:space="preserve">c</m:t>
            </m:r>
          </m:e>
          <m:sup>
            <m:r>
              <m:t xml:space="preserve">2</m:t>
            </m:r>
          </m:sup>
        </m:sSup>
        <m:r>
          <m:t xml:space="preserve">(</m:t>
        </m:r>
        <m:r>
          <m:t xml:space="preserve">G</m:t>
        </m:r>
        <m:sSup>
          <m:e>
            <m:r>
              <m:t xml:space="preserve">B</m:t>
            </m:r>
          </m:e>
          <m:sup>
            <m:r>
              <m:t xml:space="preserve">T</m:t>
            </m:r>
          </m:sup>
        </m:sSup>
        <m:r>
          <m:t xml:space="preserve">B</m:t>
        </m:r>
        <m:r>
          <m:t xml:space="preserve"> </m:t>
        </m:r>
        <m:r>
          <m:t xml:space="preserve">+</m:t>
        </m:r>
        <m:r>
          <m:t xml:space="preserve"> </m:t>
        </m:r>
        <m:r>
          <m:t xml:space="preserve">A</m:t>
        </m:r>
        <m:sSup>
          <m:e>
            <m:r>
              <m:t xml:space="preserve">A</m:t>
            </m:r>
          </m:e>
          <m:sup>
            <m:r>
              <m:t xml:space="preserve">T</m:t>
            </m:r>
          </m:sup>
        </m:sSup>
        <m:r>
          <m:t xml:space="preserve">G</m:t>
        </m:r>
        <m:r>
          <m:t xml:space="preserve">)</m:t>
        </m:r>
        <m:r>
          <m:t xml:space="preserve"> </m:t>
        </m:r>
        <m:r>
          <m:t xml:space="preserve">+</m:t>
        </m:r>
        <m:r>
          <m:t xml:space="preserve"> </m:t>
        </m:r>
        <m:sSup>
          <m:e>
            <m:r>
              <m:t xml:space="preserve">ε</m:t>
            </m:r>
          </m:e>
          <m:sup>
            <m:r>
              <m:t xml:space="preserve">2</m:t>
            </m:r>
          </m:sup>
        </m:sSup>
        <m:sSup>
          <m:e>
            <m:r>
              <m:t xml:space="preserve">c</m:t>
            </m:r>
          </m:e>
          <m:sup>
            <m:r>
              <m:t xml:space="preserve">3</m:t>
            </m:r>
          </m:sup>
        </m:sSup>
        <m:r>
          <m:t xml:space="preserve">G</m:t>
        </m:r>
        <m:sSup>
          <m:e>
            <m:r>
              <m:t xml:space="preserve">B</m:t>
            </m:r>
          </m:e>
          <m:sup>
            <m:r>
              <m:t xml:space="preserve">T</m:t>
            </m:r>
          </m:sup>
        </m:sSup>
        <m:sSup>
          <m:e>
            <m:r>
              <m:t xml:space="preserve">A</m:t>
            </m:r>
          </m:e>
          <m:sup>
            <m:r>
              <m:t xml:space="preserve">T</m:t>
            </m:r>
          </m:sup>
        </m:sSup>
        <m:r>
          <m:t xml:space="preserve">G</m:t>
        </m:r>
      </m:oMath>
    </w:p>
    <w:p>
      <w:r>
        <w:t>Thus the first-order update is geometry-dependent, not generally the Euclidean orthogonal projection of −εG onto a rank-r tangent space. A true projected or Riemannian method would require a different specified algorithm. The factorized representation also has the symmetry (A,B) ↦ (AQ,Q⁻¹B) for invertible Q; ordinary factor optimization is not generally invariant to this change of coordinates.</w:t>
      </w:r>
    </w:p>
    <w:p>
      <w:pPr>
        <w:pStyle w:val="Heading2"/>
      </w:pPr>
      <w:r>
        <w:t>A.2 A declared factor-space learning rule</w:t>
      </w:r>
    </w:p>
    <w:p>
      <w:r>
        <w:t>For each active written expert, let uₜ ∈ [0,1] be a write gate, ηₜ ≥ 0 a step size, μₜ ∈ [0,1) momentum retention, and λₜ ∈ [0,1] desired no-gradient matrix retention. One possible baseline rule is:</w:t>
      </w:r>
    </w:p>
    <w:p>
      <w:pPr>
        <w:pStyle w:val="Equation"/>
      </w:pPr>
      <m:oMath>
        <m:sSup>
          <m:e>
            <m:sSub>
              <m:e>
                <m:r>
                  <m:t xml:space="preserve">V</m:t>
                </m:r>
              </m:e>
              <m:sub>
                <m:r>
                  <m:t xml:space="preserve">t</m:t>
                </m:r>
              </m:sub>
            </m:sSub>
          </m:e>
          <m:sup>
            <m:r>
              <m:t xml:space="preserve">A</m:t>
            </m:r>
          </m:sup>
        </m:sSup>
        <m:r>
          <m:t xml:space="preserve"> </m:t>
        </m:r>
        <m:r>
          <m:t xml:space="preserve">=</m:t>
        </m:r>
        <m:r>
          <m:t xml:space="preserve"> </m:t>
        </m:r>
        <m:sSub>
          <m:e>
            <m:r>
              <m:t xml:space="preserve">μ</m:t>
            </m:r>
          </m:e>
          <m:sub>
            <m:r>
              <m:t xml:space="preserve">t</m:t>
            </m:r>
          </m:sub>
        </m:sSub>
        <m:r>
          <m:t xml:space="preserve"> </m:t>
        </m:r>
        <m:sSup>
          <m:e>
            <m:sSub>
              <m:e>
                <m:r>
                  <m:t xml:space="preserve">V</m:t>
                </m:r>
              </m:e>
              <m:sub>
                <m:r>
                  <m:t xml:space="preserve">t</m:t>
                </m:r>
                <m:r>
                  <m:t xml:space="preserve">−</m:t>
                </m:r>
                <m:r>
                  <m:t xml:space="preserve">1</m:t>
                </m:r>
              </m:sub>
            </m:sSub>
          </m:e>
          <m:sup>
            <m:r>
              <m:t xml:space="preserve">A</m:t>
            </m:r>
          </m:sup>
        </m:sSup>
        <m:r>
          <m:t xml:space="preserve"> </m:t>
        </m:r>
        <m:r>
          <m:t xml:space="preserve">−</m:t>
        </m:r>
        <m:r>
          <m:t xml:space="preserve"> </m:t>
        </m:r>
        <m:sSub>
          <m:e>
            <m:r>
              <m:t xml:space="preserve">η</m:t>
            </m:r>
          </m:e>
          <m:sub>
            <m:r>
              <m:t xml:space="preserve">t</m:t>
            </m:r>
          </m:sub>
        </m:sSub>
        <m:r>
          <m:t xml:space="preserve"> </m:t>
        </m:r>
        <m:sSub>
          <m:e>
            <m:r>
              <m:t xml:space="preserve">u</m:t>
            </m:r>
          </m:e>
          <m:sub>
            <m:r>
              <m:t xml:space="preserve">t</m:t>
            </m:r>
          </m:sub>
        </m:sSub>
        <m:f>
          <m:num>
            <m:r>
              <m:t xml:space="preserve">∂</m:t>
            </m:r>
            <m:sSub>
              <m:e>
                <m:r>
                  <m:t xml:space="preserve">ℓ</m:t>
                </m:r>
              </m:e>
              <m:sub>
                <m:r>
                  <m:t xml:space="preserve">t</m:t>
                </m:r>
              </m:sub>
            </m:sSub>
          </m:num>
          <m:den>
            <m:r>
              <m:t xml:space="preserve">∂</m:t>
            </m:r>
            <m:r>
              <m:t xml:space="preserve">A</m:t>
            </m:r>
          </m:den>
        </m:f>
        <m:r>
          <m:t xml:space="preserve">;</m:t>
        </m:r>
        <m:r>
          <m:t xml:space="preserve"> </m:t>
        </m:r>
        <m:r>
          <m:t xml:space="preserve"> </m:t>
        </m:r>
        <m:r>
          <m:t xml:space="preserve"> </m:t>
        </m:r>
        <m:sSub>
          <m:e>
            <m:r>
              <m:t xml:space="preserve">A</m:t>
            </m:r>
          </m:e>
          <m:sub>
            <m:r>
              <m:t xml:space="preserve">t</m:t>
            </m:r>
          </m:sub>
        </m:sSub>
        <m:r>
          <m:t xml:space="preserve"> </m:t>
        </m:r>
        <m:r>
          <m:t xml:space="preserve">=</m:t>
        </m:r>
        <m:r>
          <m:t xml:space="preserve"> </m:t>
        </m:r>
        <m:rad>
          <m:radPr>
            <m:degHide m:val="1"/>
          </m:radPr>
          <m:deg/>
          <m:e>
            <m:sSub>
              <m:e>
                <m:r>
                  <m:t xml:space="preserve">λ</m:t>
                </m:r>
              </m:e>
              <m:sub>
                <m:r>
                  <m:t xml:space="preserve">t</m:t>
                </m:r>
              </m:sub>
            </m:sSub>
          </m:e>
        </m:rad>
        <m:sSub>
          <m:e>
            <m:r>
              <m:t xml:space="preserve">A</m:t>
            </m:r>
          </m:e>
          <m:sub>
            <m:r>
              <m:t xml:space="preserve">t</m:t>
            </m:r>
            <m:r>
              <m:t xml:space="preserve">−</m:t>
            </m:r>
            <m:r>
              <m:t xml:space="preserve">1</m:t>
            </m:r>
          </m:sub>
        </m:sSub>
        <m:r>
          <m:t xml:space="preserve">+</m:t>
        </m:r>
        <m:sSup>
          <m:e>
            <m:sSub>
              <m:e>
                <m:r>
                  <m:t xml:space="preserve">V</m:t>
                </m:r>
              </m:e>
              <m:sub>
                <m:r>
                  <m:t xml:space="preserve">t</m:t>
                </m:r>
              </m:sub>
            </m:sSub>
          </m:e>
          <m:sup>
            <m:r>
              <m:t xml:space="preserve">A</m:t>
            </m:r>
          </m:sup>
        </m:sSup>
      </m:oMath>
    </w:p>
    <w:p>
      <w:pPr>
        <w:pStyle w:val="Equation"/>
      </w:pPr>
      <m:oMath>
        <m:sSup>
          <m:e>
            <m:sSub>
              <m:e>
                <m:r>
                  <m:t xml:space="preserve">V</m:t>
                </m:r>
              </m:e>
              <m:sub>
                <m:r>
                  <m:t xml:space="preserve">t</m:t>
                </m:r>
              </m:sub>
            </m:sSub>
          </m:e>
          <m:sup>
            <m:r>
              <m:t xml:space="preserve">B</m:t>
            </m:r>
          </m:sup>
        </m:sSup>
        <m:r>
          <m:t xml:space="preserve"> </m:t>
        </m:r>
        <m:r>
          <m:t xml:space="preserve">=</m:t>
        </m:r>
        <m:r>
          <m:t xml:space="preserve"> </m:t>
        </m:r>
        <m:sSub>
          <m:e>
            <m:r>
              <m:t xml:space="preserve">μ</m:t>
            </m:r>
          </m:e>
          <m:sub>
            <m:r>
              <m:t xml:space="preserve">t</m:t>
            </m:r>
          </m:sub>
        </m:sSub>
        <m:r>
          <m:t xml:space="preserve"> </m:t>
        </m:r>
        <m:sSup>
          <m:e>
            <m:sSub>
              <m:e>
                <m:r>
                  <m:t xml:space="preserve">V</m:t>
                </m:r>
              </m:e>
              <m:sub>
                <m:r>
                  <m:t xml:space="preserve">t</m:t>
                </m:r>
                <m:r>
                  <m:t xml:space="preserve">−</m:t>
                </m:r>
                <m:r>
                  <m:t xml:space="preserve">1</m:t>
                </m:r>
              </m:sub>
            </m:sSub>
          </m:e>
          <m:sup>
            <m:r>
              <m:t xml:space="preserve">B</m:t>
            </m:r>
          </m:sup>
        </m:sSup>
        <m:r>
          <m:t xml:space="preserve"> </m:t>
        </m:r>
        <m:r>
          <m:t xml:space="preserve">−</m:t>
        </m:r>
        <m:r>
          <m:t xml:space="preserve"> </m:t>
        </m:r>
        <m:sSub>
          <m:e>
            <m:r>
              <m:t xml:space="preserve">η</m:t>
            </m:r>
          </m:e>
          <m:sub>
            <m:r>
              <m:t xml:space="preserve">t</m:t>
            </m:r>
          </m:sub>
        </m:sSub>
        <m:r>
          <m:t xml:space="preserve"> </m:t>
        </m:r>
        <m:sSub>
          <m:e>
            <m:r>
              <m:t xml:space="preserve">u</m:t>
            </m:r>
          </m:e>
          <m:sub>
            <m:r>
              <m:t xml:space="preserve">t</m:t>
            </m:r>
          </m:sub>
        </m:sSub>
        <m:f>
          <m:num>
            <m:r>
              <m:t xml:space="preserve">∂</m:t>
            </m:r>
            <m:sSub>
              <m:e>
                <m:r>
                  <m:t xml:space="preserve">ℓ</m:t>
                </m:r>
              </m:e>
              <m:sub>
                <m:r>
                  <m:t xml:space="preserve">t</m:t>
                </m:r>
              </m:sub>
            </m:sSub>
          </m:num>
          <m:den>
            <m:r>
              <m:t xml:space="preserve">∂</m:t>
            </m:r>
            <m:r>
              <m:t xml:space="preserve">B</m:t>
            </m:r>
          </m:den>
        </m:f>
        <m:r>
          <m:t xml:space="preserve">;</m:t>
        </m:r>
        <m:r>
          <m:t xml:space="preserve"> </m:t>
        </m:r>
        <m:r>
          <m:t xml:space="preserve"> </m:t>
        </m:r>
        <m:r>
          <m:t xml:space="preserve"> </m:t>
        </m:r>
        <m:sSub>
          <m:e>
            <m:r>
              <m:t xml:space="preserve">B</m:t>
            </m:r>
          </m:e>
          <m:sub>
            <m:r>
              <m:t xml:space="preserve">t</m:t>
            </m:r>
          </m:sub>
        </m:sSub>
        <m:r>
          <m:t xml:space="preserve"> </m:t>
        </m:r>
        <m:r>
          <m:t xml:space="preserve">=</m:t>
        </m:r>
        <m:r>
          <m:t xml:space="preserve"> </m:t>
        </m:r>
        <m:rad>
          <m:radPr>
            <m:degHide m:val="1"/>
          </m:radPr>
          <m:deg/>
          <m:e>
            <m:sSub>
              <m:e>
                <m:r>
                  <m:t xml:space="preserve">λ</m:t>
                </m:r>
              </m:e>
              <m:sub>
                <m:r>
                  <m:t xml:space="preserve">t</m:t>
                </m:r>
              </m:sub>
            </m:sSub>
          </m:e>
        </m:rad>
        <m:sSub>
          <m:e>
            <m:r>
              <m:t xml:space="preserve">B</m:t>
            </m:r>
          </m:e>
          <m:sub>
            <m:r>
              <m:t xml:space="preserve">t</m:t>
            </m:r>
            <m:r>
              <m:t xml:space="preserve">−</m:t>
            </m:r>
            <m:r>
              <m:t xml:space="preserve">1</m:t>
            </m:r>
          </m:sub>
        </m:sSub>
        <m:r>
          <m:t xml:space="preserve">+</m:t>
        </m:r>
        <m:sSup>
          <m:e>
            <m:sSub>
              <m:e>
                <m:r>
                  <m:t xml:space="preserve">V</m:t>
                </m:r>
              </m:e>
              <m:sub>
                <m:r>
                  <m:t xml:space="preserve">t</m:t>
                </m:r>
              </m:sub>
            </m:sSub>
          </m:e>
          <m:sup>
            <m:r>
              <m:t xml:space="preserve">B</m:t>
            </m:r>
          </m:sup>
        </m:sSup>
      </m:oMath>
    </w:p>
    <w:p>
      <w:r>
        <w:t>Use distinct symbols for adapter scale c, learning rate η, and forgetting λ. These updates are a proposed PPT factor optimizer inspired by Titans [2], not an equality with its dense-memory dynamics. With momentum zero, suppressing the new gradient prevents new evidence from entering the update; with residual momentum, uₜ = 0 alone does not freeze the factors.</w:t>
      </w:r>
    </w:p>
    <w:p>
      <w:r>
        <w:br w:type="page"/>
      </w:r>
    </w:p>
    <w:p>
      <w:pPr>
        <w:pStyle w:val="Heading1"/>
      </w:pPr>
      <w:r>
        <w:t>Appendix A. Forgetting, capacity and causality</w:t>
      </w:r>
    </w:p>
    <w:p>
      <w:pPr>
        <w:pStyle w:val="Heading2"/>
      </w:pPr>
      <w:r>
        <w:t>A.3 Decay and reset are different operations</w:t>
      </w:r>
    </w:p>
    <w:p>
      <w:r>
        <w:t>If both momentum buffers and new gradients vanish, scaling both factors by √λ gives ΔWnew = λΔWold. Scaling both factors by (1 − α), as in the earlier formulation, instead gives ΔWnew = (1 − α)²ΔWold. With nonzero momentum, cross terms appear and simple matrix-decay equivalence no longer holds.</w:t>
      </w:r>
    </w:p>
    <w:p>
      <w:r>
        <w:t>Specify a separate freeze operation that leaves factors and optimizer buffers unchanged. For a full episode reset, restore the deterministic nonzero A initializer, set B = 0, and clear both momentum buffers. Resetting A and B to zero would leave the subsequent bilinear write path unable to start under first-order gradients. A paused expert also needs an explicit clock: decay on access count and decay on elapsed stream time are different policies.</w:t>
      </w:r>
    </w:p>
    <w:p>
      <w:pPr>
        <w:pStyle w:val="Heading2"/>
      </w:pPr>
      <w:r>
        <w:t>A.4 Retained bytes and effective capacity</w:t>
      </w:r>
    </w:p>
    <w:p>
      <w:pPr>
        <w:pStyle w:val="Equation"/>
      </w:pPr>
      <m:oMath>
        <m:sSub>
          <m:e>
            <m:r>
              <m:t xml:space="preserve">P</m:t>
            </m:r>
          </m:e>
          <m:sub>
            <m:r>
              <m:rPr>
                <m:sty m:val="p"/>
              </m:rPr>
              <m:t xml:space="preserve">fast</m:t>
            </m:r>
          </m:sub>
        </m:sSub>
        <m:r>
          <m:t xml:space="preserve"> </m:t>
        </m:r>
        <m:r>
          <m:t xml:space="preserve">=</m:t>
        </m:r>
        <m:r>
          <m:t xml:space="preserve"> </m:t>
        </m:r>
        <m:sSub>
          <m:e>
            <m:r>
              <m:t xml:space="preserve">∑</m:t>
            </m:r>
          </m:e>
          <m:sub>
            <m:r>
              <m:t xml:space="preserve">i</m:t>
            </m:r>
            <m:r>
              <m:t xml:space="preserve">∈</m:t>
            </m:r>
            <m:r>
              <m:rPr>
                <m:sty m:val="p"/>
              </m:rPr>
              <m:t xml:space="preserve">written</m:t>
            </m:r>
          </m:sub>
        </m:sSub>
        <m:sSub>
          <m:e>
            <m:r>
              <m:t xml:space="preserve">∑</m:t>
            </m:r>
          </m:e>
          <m:sub>
            <m:r>
              <m:t xml:space="preserve">ℓ</m:t>
            </m:r>
          </m:sub>
        </m:sSub>
        <m:r>
          <m:t xml:space="preserve"> </m:t>
        </m:r>
        <m:sSub>
          <m:e>
            <m:r>
              <m:t xml:space="preserve">r</m:t>
            </m:r>
          </m:e>
          <m:sub>
            <m:r>
              <m:t xml:space="preserve">ℓ</m:t>
            </m:r>
          </m:sub>
        </m:sSub>
        <m:r>
          <m:t xml:space="preserve">(</m:t>
        </m:r>
        <m:sSub>
          <m:e>
            <m:r>
              <m:t xml:space="preserve">d</m:t>
            </m:r>
          </m:e>
          <m:sub>
            <m:r>
              <m:rPr>
                <m:sty m:val="p"/>
              </m:rPr>
              <m:t xml:space="preserve">in</m:t>
            </m:r>
            <m:r>
              <m:t xml:space="preserve">,</m:t>
            </m:r>
            <m:r>
              <m:t xml:space="preserve">ℓ</m:t>
            </m:r>
          </m:sub>
        </m:sSub>
        <m:r>
          <m:t xml:space="preserve">+</m:t>
        </m:r>
        <m:sSub>
          <m:e>
            <m:r>
              <m:t xml:space="preserve">d</m:t>
            </m:r>
          </m:e>
          <m:sub>
            <m:r>
              <m:rPr>
                <m:sty m:val="p"/>
              </m:rPr>
              <m:t xml:space="preserve">out</m:t>
            </m:r>
            <m:r>
              <m:t xml:space="preserve">,</m:t>
            </m:r>
            <m:r>
              <m:t xml:space="preserve">ℓ</m:t>
            </m:r>
          </m:sub>
        </m:sSub>
        <m:r>
          <m:t xml:space="preserve">)</m:t>
        </m:r>
      </m:oMath>
    </w:p>
    <w:p>
      <w:pPr>
        <w:pStyle w:val="Equation"/>
      </w:pPr>
      <m:oMath>
        <m:sSub>
          <m:e>
            <m:r>
              <m:rPr>
                <m:sty m:val="p"/>
              </m:rPr>
              <m:t xml:space="preserve">Bytes</m:t>
            </m:r>
          </m:e>
          <m:sub>
            <m:r>
              <m:rPr>
                <m:sty m:val="p"/>
              </m:rPr>
              <m:t xml:space="preserve">retained</m:t>
            </m:r>
          </m:sub>
        </m:sSub>
        <m:r>
          <m:t xml:space="preserve"> </m:t>
        </m:r>
        <m:r>
          <m:t xml:space="preserve">=</m:t>
        </m:r>
        <m:r>
          <m:t xml:space="preserve"> </m:t>
        </m:r>
        <m:r>
          <m:t xml:space="preserve">q</m:t>
        </m:r>
        <m:r>
          <m:t xml:space="preserve">(</m:t>
        </m:r>
        <m:r>
          <m:t xml:space="preserve">1</m:t>
        </m:r>
        <m:r>
          <m:t xml:space="preserve">+</m:t>
        </m:r>
        <m:sSub>
          <m:e>
            <m:r>
              <m:t xml:space="preserve">n</m:t>
            </m:r>
          </m:e>
          <m:sub>
            <m:r>
              <m:rPr>
                <m:sty m:val="p"/>
              </m:rPr>
              <m:t xml:space="preserve">opt</m:t>
            </m:r>
          </m:sub>
        </m:sSub>
        <m:r>
          <m:t xml:space="preserve">)</m:t>
        </m:r>
        <m:sSub>
          <m:e>
            <m:r>
              <m:t xml:space="preserve">P</m:t>
            </m:r>
          </m:e>
          <m:sub>
            <m:r>
              <m:rPr>
                <m:sty m:val="p"/>
              </m:rPr>
              <m:t xml:space="preserve">fast</m:t>
            </m:r>
          </m:sub>
        </m:sSub>
        <m:r>
          <m:t xml:space="preserve"> </m:t>
        </m:r>
        <m:r>
          <m:t xml:space="preserve">+</m:t>
        </m:r>
        <m:r>
          <m:t xml:space="preserve"> </m:t>
        </m:r>
        <m:sSub>
          <m:e>
            <m:r>
              <m:rPr>
                <m:sty m:val="p"/>
              </m:rPr>
              <m:t xml:space="preserve">Bytes</m:t>
            </m:r>
          </m:e>
          <m:sub>
            <m:r>
              <m:rPr>
                <m:sty m:val="p"/>
              </m:rPr>
              <m:t xml:space="preserve">seeds</m:t>
            </m:r>
          </m:sub>
        </m:sSub>
        <m:r>
          <m:t xml:space="preserve"> </m:t>
        </m:r>
        <m:r>
          <m:t xml:space="preserve">+</m:t>
        </m:r>
        <m:r>
          <m:t xml:space="preserve"> </m:t>
        </m:r>
        <m:sSub>
          <m:e>
            <m:r>
              <m:rPr>
                <m:sty m:val="p"/>
              </m:rPr>
              <m:t xml:space="preserve">Bytes</m:t>
            </m:r>
          </m:e>
          <m:sub>
            <m:r>
              <m:rPr>
                <m:sty m:val="p"/>
              </m:rPr>
              <m:t xml:space="preserve">metadata</m:t>
            </m:r>
          </m:sub>
        </m:sSub>
      </m:oMath>
    </w:p>
    <w:p>
      <w:r>
        <w:t>Here q is bytes per stored scalar and nopt is the number of equally sized optimizer arrays; mixed precision requires separate terms. Count backbone state, workspace, KV cache, backward activations and temporary buffers separately. With fixed seeds and S retained adaptive bits, there are at most 2ˢ distinct stored adaptive states. Exact retrieval of arbitrary independent histories cannot exceed that information budget without additional storage. This is a counting limit, not a usable-capacity guarantee.</w:t>
      </w:r>
    </w:p>
    <w:p>
      <w:pPr>
        <w:pStyle w:val="Heading2"/>
      </w:pPr>
      <w:r>
        <w:t>A.5 Causal schedule</w:t>
      </w:r>
    </w:p>
    <w:p>
      <w:r>
        <w:t>Before observing xₜ, the system has state Φₜ₋₁ and Cₜ₋₁. Consume xₜ using the bounded backbone, query Φₜ₋₁, admit selected results to Cₜ and compute the distribution for xₜ₊₁. Then update fast memory from xₜ and commit Φₜ. This read-before-write schedule is one causal convention; other conventions must specify precisely which observations each prediction can use.</w:t>
      </w:r>
    </w:p>
    <w:p>
      <w:r>
        <w:t>In teacher forcing, never use xₜ₊₁ to construct the features, route or memory state used to predict xₜ₊₁. Prefill must ingest every prompt token through the same memory lifecycle. Generated tokens must pass through ingestion exactly once, with an explicit source policy: accepting self-generated content as evidence can otherwise reinforce mistakes.</w:t>
      </w:r>
    </w:p>
    <w:p>
      <w:r>
        <w:br w:type="page"/>
      </w:r>
    </w:p>
    <w:p>
      <w:pPr>
        <w:pStyle w:val="Heading1"/>
      </w:pPr>
      <w:r>
        <w:t>Appendix B. Causal reference algorithm</w:t>
      </w:r>
    </w:p>
    <w:p>
      <w:pPr>
        <w:pStyle w:val="Small"/>
      </w:pPr>
      <w:r>
        <w:t>This is implementation-oriented pseudocode, not a tested model implementation. Initialize once for a new episode, or restore a compatible checkpoint for continuation. Treat each observed prompt token and each generated token as one ingestion event.</w:t>
      </w:r>
    </w:p>
    <w:p>
      <w:pPr>
        <w:pStyle w:val="Code"/>
      </w:pPr>
      <w:r>
        <w:t>function NEW_EPISODE(config):</w:t>
      </w:r>
    </w:p>
    <w:p>
      <w:pPr>
        <w:pStyle w:val="Code"/>
      </w:pPr>
      <w:r>
        <w:t xml:space="preserve">    core = bounded_core_state(window=config.window)</w:t>
      </w:r>
    </w:p>
    <w:p>
      <w:pPr>
        <w:pStyle w:val="Code"/>
      </w:pPr>
      <w:r>
        <w:t xml:space="preserve">    workspace = empty_workspace(capacity=config.capacity)</w:t>
      </w:r>
    </w:p>
    <w:p>
      <w:pPr>
        <w:pStyle w:val="Code"/>
      </w:pPr>
      <w:r>
        <w:t xml:space="preserve">    bank = lazy_memory_bank(seeds=config.seeds)</w:t>
      </w:r>
    </w:p>
    <w:p>
      <w:pPr>
        <w:pStyle w:val="Code"/>
      </w:pPr>
      <w:r>
        <w:t xml:space="preserve">    # On first write: deterministic nonzero A, B=0, VA=VB=0.</w:t>
      </w:r>
    </w:p>
    <w:p>
      <w:pPr>
        <w:pStyle w:val="Code"/>
      </w:pPr>
      <w:r>
        <w:t xml:space="preserve">    return state(core, workspace, bank)</w:t>
      </w:r>
    </w:p>
    <w:p>
      <w:pPr>
        <w:pStyle w:val="Code"/>
      </w:pPr>
    </w:p>
    <w:p>
      <w:pPr>
        <w:pStyle w:val="Code"/>
      </w:pPr>
      <w:r>
        <w:t>function INGEST(x, source, state):</w:t>
      </w:r>
    </w:p>
    <w:p>
      <w:pPr>
        <w:pStyle w:val="Code"/>
      </w:pPr>
      <w:r>
        <w:t xml:space="preserve">    h = core_step(x, state.core)        # Consume x exactly once.</w:t>
      </w:r>
    </w:p>
    <w:p>
      <w:pPr>
        <w:pStyle w:val="Code"/>
      </w:pPr>
      <w:r>
        <w:t xml:space="preserve">    q = query_projection(h)</w:t>
      </w:r>
    </w:p>
    <w:p>
      <w:pPr>
        <w:pStyle w:val="Code"/>
      </w:pPr>
      <w:r>
        <w:t xml:space="preserve">    read_ids = causal_read_route(h, state.workspace)</w:t>
      </w:r>
    </w:p>
    <w:p>
      <w:pPr>
        <w:pStyle w:val="Code"/>
      </w:pPr>
      <w:r>
        <w:t xml:space="preserve">    r = read_bank(q, read_ids, state.bank)  # Old fast state.</w:t>
      </w:r>
    </w:p>
    <w:p>
      <w:pPr>
        <w:pStyle w:val="Code"/>
      </w:pPr>
      <w:r>
        <w:t xml:space="preserve">    candidate = select_bounded(state.workspace, h, r)</w:t>
      </w:r>
    </w:p>
    <w:p>
      <w:pPr>
        <w:pStyle w:val="Code"/>
      </w:pPr>
      <w:r>
        <w:t xml:space="preserve">    if monitor_requests_repair(candidate):</w:t>
      </w:r>
    </w:p>
    <w:p>
      <w:pPr>
        <w:pStyle w:val="Code"/>
      </w:pPr>
      <w:r>
        <w:t xml:space="preserve">        candidate = bounded_repair(candidate, state.bank)</w:t>
      </w:r>
    </w:p>
    <w:p>
      <w:pPr>
        <w:pStyle w:val="Code"/>
      </w:pPr>
      <w:r>
        <w:t xml:space="preserve">    logits_next = output_head(h, candidate)</w:t>
      </w:r>
    </w:p>
    <w:p>
      <w:pPr>
        <w:pStyle w:val="Code"/>
      </w:pPr>
    </w:p>
    <w:p>
      <w:pPr>
        <w:pStyle w:val="Code"/>
      </w:pPr>
      <w:r>
        <w:t xml:space="preserve">    if source_policy_allows_write(source):</w:t>
      </w:r>
    </w:p>
    <w:p>
      <w:pPr>
        <w:pStyle w:val="Code"/>
      </w:pPr>
      <w:r>
        <w:t xml:space="preserve">        k, v = associative_targets(h)</w:t>
      </w:r>
    </w:p>
    <w:p>
      <w:pPr>
        <w:pStyle w:val="Code"/>
      </w:pPr>
      <w:r>
        <w:t xml:space="preserve">        write_ids = causal_write_route(h, candidate)</w:t>
      </w:r>
    </w:p>
    <w:p>
      <w:pPr>
        <w:pStyle w:val="Code"/>
      </w:pPr>
      <w:r>
        <w:t xml:space="preserve">        for i in write_ids:</w:t>
      </w:r>
    </w:p>
    <w:p>
      <w:pPr>
        <w:pStyle w:val="Code"/>
      </w:pPr>
      <w:r>
        <w:t xml:space="preserve">            expert = state.bank.allocate_or_load(i)</w:t>
      </w:r>
    </w:p>
    <w:p>
      <w:pPr>
        <w:pStyle w:val="Code"/>
      </w:pPr>
      <w:r>
        <w:t xml:space="preserve">            gradA, gradB = local_gradients(k, v, expert)</w:t>
      </w:r>
    </w:p>
    <w:p>
      <w:pPr>
        <w:pStyle w:val="Code"/>
      </w:pPr>
      <w:r>
        <w:t xml:space="preserve">            # Both gradients evaluated at the old factors.</w:t>
      </w:r>
    </w:p>
    <w:p>
      <w:pPr>
        <w:pStyle w:val="Code"/>
      </w:pPr>
      <w:r>
        <w:t xml:space="preserve">            controls = write_controller(h, candidate, expert)</w:t>
      </w:r>
    </w:p>
    <w:p>
      <w:pPr>
        <w:pStyle w:val="Code"/>
      </w:pPr>
      <w:r>
        <w:t xml:space="preserve">            apply_declared_clock_and_factor_update(</w:t>
      </w:r>
    </w:p>
    <w:p>
      <w:pPr>
        <w:pStyle w:val="Code"/>
      </w:pPr>
      <w:r>
        <w:t xml:space="preserve">                expert, gradA, gradB, controls)</w:t>
      </w:r>
    </w:p>
    <w:p>
      <w:pPr>
        <w:pStyle w:val="Code"/>
      </w:pPr>
      <w:r>
        <w:t xml:space="preserve">    state.workspace = candidate</w:t>
      </w:r>
    </w:p>
    <w:p>
      <w:pPr>
        <w:pStyle w:val="Code"/>
      </w:pPr>
      <w:r>
        <w:t xml:space="preserve">    return logits_next, state</w:t>
      </w:r>
    </w:p>
    <w:p>
      <w:pPr>
        <w:pStyle w:val="Code"/>
      </w:pPr>
    </w:p>
    <w:p>
      <w:pPr>
        <w:pStyle w:val="Code"/>
      </w:pPr>
      <w:r>
        <w:t>state = NEW_EPISODE(config)            # Or restore checkpoint.</w:t>
      </w:r>
    </w:p>
    <w:p>
      <w:pPr>
        <w:pStyle w:val="Code"/>
      </w:pPr>
      <w:r>
        <w:t>for x in prompt:</w:t>
      </w:r>
    </w:p>
    <w:p>
      <w:pPr>
        <w:pStyle w:val="Code"/>
      </w:pPr>
      <w:r>
        <w:t xml:space="preserve">    logits, state = INGEST(x, OBSERVED, state)</w:t>
      </w:r>
    </w:p>
    <w:p>
      <w:pPr>
        <w:pStyle w:val="Code"/>
      </w:pPr>
      <w:r>
        <w:t>for step in range(max_new_tokens):</w:t>
      </w:r>
    </w:p>
    <w:p>
      <w:pPr>
        <w:pStyle w:val="Code"/>
      </w:pPr>
      <w:r>
        <w:t xml:space="preserve">    x = sample(logits)</w:t>
      </w:r>
    </w:p>
    <w:p>
      <w:pPr>
        <w:pStyle w:val="Code"/>
      </w:pPr>
      <w:r>
        <w:t xml:space="preserve">    emit(x)</w:t>
      </w:r>
    </w:p>
    <w:p>
      <w:pPr>
        <w:pStyle w:val="Code"/>
      </w:pPr>
      <w:r>
        <w:t xml:space="preserve">    if is_end_token(x): break</w:t>
      </w:r>
    </w:p>
    <w:p>
      <w:pPr>
        <w:pStyle w:val="Code"/>
      </w:pPr>
      <w:r>
        <w:t xml:space="preserve">    logits, state = INGEST(x, GENERATED, state)</w:t>
      </w:r>
    </w:p>
    <w:p>
      <w:pPr>
        <w:pStyle w:val="Small"/>
      </w:pPr>
      <w:r>
        <w:t>Contract: use a start token for an empty prompt; bound repair work; apply one documented policy for inactive-expert decay and momentum; preserve generator version and optimizer state in checkpoints. The loop never reprocesses the full prefix alongside an already populated KV cache.</w:t>
      </w:r>
    </w:p>
    <w:p>
      <w:r>
        <w:br w:type="page"/>
      </w:r>
    </w:p>
    <w:p>
      <w:pPr>
        <w:pStyle w:val="Heading1"/>
      </w:pPr>
      <w:r>
        <w:t>References</w:t>
      </w:r>
    </w:p>
    <w:p>
      <w:pPr>
        <w:pStyle w:val="Reference"/>
      </w:pPr>
      <w:r>
        <w:t xml:space="preserve">[1] Ghosh, D. P. (2025). PRNGed Pre-trained Titans (PPT): Procedural Long-Term Memory for Test-Time Memorization via Mixture-of-Seeds and Low-Rank Writing. ResearchGate preprint, 15 December. </w:t>
      </w:r>
      <w:hyperlink r:id="rId11">
        <w:r>
          <w:rPr>
            <w:color w:val="245D88"/>
          </w:rPr>
          <w:t>https://doi.org/10.13140/RG.2.2.13828.39048</w:t>
        </w:r>
      </w:hyperlink>
    </w:p>
    <w:p>
      <w:pPr>
        <w:pStyle w:val="Reference"/>
      </w:pPr>
      <w:r>
        <w:t xml:space="preserve">[2] Behrouz, A., Zhong, P., &amp; Mirrokni, V. Titans: Learning to Memorize at Test Time. arXiv:2501.00663, v1 submitted 31 December 2024. </w:t>
      </w:r>
      <w:hyperlink r:id="rId12">
        <w:r>
          <w:rPr>
            <w:color w:val="245D88"/>
          </w:rPr>
          <w:t>https://arxiv.org/abs/2501.00663</w:t>
        </w:r>
      </w:hyperlink>
    </w:p>
    <w:p>
      <w:pPr>
        <w:pStyle w:val="Reference"/>
      </w:pPr>
      <w:r>
        <w:t xml:space="preserve">[3] Hu, E. J., et al. (2021). LoRA: Low-Rank Adaptation of Large Language Models. arXiv:2106.09685. </w:t>
      </w:r>
      <w:hyperlink r:id="rId13">
        <w:r>
          <w:rPr>
            <w:color w:val="245D88"/>
          </w:rPr>
          <w:t>https://arxiv.org/abs/2106.09685</w:t>
        </w:r>
      </w:hyperlink>
    </w:p>
    <w:p>
      <w:pPr>
        <w:pStyle w:val="Reference"/>
      </w:pPr>
      <w:r>
        <w:t xml:space="preserve">[4] Shafipour, R., et al. (2024). SeedLM: Compressing LLM Weights into Seeds of Pseudo-Random Generators. arXiv:2410.10714. </w:t>
      </w:r>
      <w:hyperlink r:id="rId14">
        <w:r>
          <w:rPr>
            <w:color w:val="245D88"/>
          </w:rPr>
          <w:t>https://arxiv.org/abs/2410.10714</w:t>
        </w:r>
      </w:hyperlink>
    </w:p>
    <w:p>
      <w:pPr>
        <w:pStyle w:val="Reference"/>
      </w:pPr>
      <w:r>
        <w:t xml:space="preserve">[5] Vaswani, A., et al. (2017). Attention Is All You Need. Advances in Neural Information Processing Systems. </w:t>
      </w:r>
      <w:hyperlink r:id="rId15">
        <w:r>
          <w:rPr>
            <w:color w:val="245D88"/>
          </w:rPr>
          <w:t>https://arxiv.org/abs/1706.03762</w:t>
        </w:r>
      </w:hyperlink>
    </w:p>
    <w:p>
      <w:pPr>
        <w:pStyle w:val="Reference"/>
      </w:pPr>
      <w:r>
        <w:t xml:space="preserve">[6] VanRullen, R., &amp; Kanai, R. (2021). Deep learning and the Global Workspace Theory. Trends in Neurosciences. </w:t>
      </w:r>
      <w:hyperlink r:id="rId16">
        <w:r>
          <w:rPr>
            <w:color w:val="245D88"/>
          </w:rPr>
          <w:t>https://pubmed.ncbi.nlm.nih.gov/34001376/</w:t>
        </w:r>
      </w:hyperlink>
    </w:p>
    <w:p>
      <w:pPr>
        <w:pStyle w:val="Reference"/>
      </w:pPr>
      <w:r>
        <w:t xml:space="preserve">[7] Reichle, E. D., Reineberg, A. E., &amp; Schooler, J. W. (2010). Eye movements during mindless reading. Psychological Science. </w:t>
      </w:r>
      <w:hyperlink r:id="rId17">
        <w:r>
          <w:rPr>
            <w:color w:val="245D88"/>
          </w:rPr>
          <w:t>https://pubmed.ncbi.nlm.nih.gov/20679524/</w:t>
        </w:r>
      </w:hyperlink>
    </w:p>
    <w:p>
      <w:pPr>
        <w:pStyle w:val="Reference"/>
      </w:pPr>
      <w:r>
        <w:t xml:space="preserve">[8] Webb, T. W., &amp; Graziano, M. S. A. (2015). The attention schema theory: a mechanistic account of subjective awareness. Frontiers in Psychology, 6, 500. </w:t>
      </w:r>
      <w:hyperlink r:id="rId18">
        <w:r>
          <w:rPr>
            <w:color w:val="245D88"/>
          </w:rPr>
          <w:t>https://doi.org/10.3389/fpsyg.2015.00500</w:t>
        </w:r>
      </w:hyperlink>
    </w:p>
    <w:p>
      <w:pPr>
        <w:pStyle w:val="Reference"/>
      </w:pPr>
      <w:r>
        <w:t xml:space="preserve">[9] Liu, N. F., et al. (2024). Lost in the Middle: How Language Models Use Long Contexts. Transactions of the Association for Computational Linguistics, 12, 157–173. </w:t>
      </w:r>
      <w:hyperlink r:id="rId19">
        <w:r>
          <w:rPr>
            <w:color w:val="245D88"/>
          </w:rPr>
          <w:t>https://aclanthology.org/2024.tacl-1.9/</w:t>
        </w:r>
      </w:hyperlink>
    </w:p>
    <w:p>
      <w:pPr>
        <w:pStyle w:val="Reference"/>
      </w:pPr>
      <w:r>
        <w:t xml:space="preserve">[10] Behrouz, A., et al. (2025). ATLAS: Learning to Optimally Memorize the Context at Test Time. arXiv:2505.23735. </w:t>
      </w:r>
      <w:hyperlink r:id="rId20">
        <w:r>
          <w:rPr>
            <w:color w:val="245D88"/>
          </w:rPr>
          <w:t>https://arxiv.org/abs/2505.23735</w:t>
        </w:r>
      </w:hyperlink>
    </w:p>
    <w:p>
      <w:pPr>
        <w:pStyle w:val="Reference"/>
      </w:pPr>
      <w:r>
        <w:t xml:space="preserve">[11] Li, Z., et al. (2025). TNT: Improving Chunkwise Training for Test-Time Memorization. arXiv:2511.07343. </w:t>
      </w:r>
      <w:hyperlink r:id="rId21">
        <w:r>
          <w:rPr>
            <w:color w:val="245D88"/>
          </w:rPr>
          <w:t>https://arxiv.org/abs/2511.07343</w:t>
        </w:r>
      </w:hyperlink>
    </w:p>
    <w:p>
      <w:pPr>
        <w:pStyle w:val="Small"/>
      </w:pPr>
      <w:r>
        <w:t>Source note. This revision was prepared from the publicly readable manuscript at the original DOI, including Appendices A and B. It is a new editable draft, not a redline of an uploaded Word source. The original DOI identifies the earlier preprint; it has not been assigned to this revision.</w:t>
      </w:r>
    </w:p>
    <w:p>
      <w:r>
        <w:br w:type="page"/>
      </w:r>
    </w:p>
    <w:p>
      <w:pPr>
        <w:pStyle w:val="Heading1"/>
      </w:pPr>
      <w:r>
        <w:t>Editorial revision record</w:t>
      </w:r>
    </w:p>
    <w:p>
      <w:r>
        <w:t>This record is for the author and may be removed before submission. Sections 1–8 and Appendices A–B retain the original conceptual progression, with a new evaluation section and a bounded-access extension.</w:t>
      </w:r>
    </w:p>
    <w:p>
      <w:r>
        <w:rPr>
          <w:b/>
        </w:rPr>
        <w:t xml:space="preserve">Titans attribution. </w:t>
      </w:r>
      <w:r>
        <w:t>Added the missing formal reference. The accessible original mentions Titans in Appendix A.5 and Appendix B, but its bibliography lists eight other works. Use the plural name “Titans.” The arXiv record gives a 31 December 2024 v1 submission despite the 2501 identifier.</w:t>
      </w:r>
    </w:p>
    <w:p>
      <w:r>
        <w:rPr>
          <w:b/>
        </w:rPr>
        <w:t xml:space="preserve">Memory versus consciousness. </w:t>
      </w:r>
      <w:r>
        <w:t>Separated context-dependent inference, online factor learning, memory readout, workspace admission and monitoring. Kept the cognitive interpretation explicitly functional and hypothetical.</w:t>
      </w:r>
    </w:p>
    <w:p>
      <w:r>
        <w:rPr>
          <w:b/>
        </w:rPr>
        <w:t xml:space="preserve">Initialization. </w:t>
      </w:r>
      <w:r>
        <w:t>Replaced the ambiguous zero-factor reset with zero overlay and one nonzero factor, preventing a dead first-order write path.</w:t>
      </w:r>
    </w:p>
    <w:p>
      <w:r>
        <w:rPr>
          <w:b/>
        </w:rPr>
        <w:t xml:space="preserve">Update geometry. </w:t>
      </w:r>
      <w:r>
        <w:t>Replaced the orthogonal-projection claim in A.5.3 with the exact chain-rule gradients and the induced matrix-update expansion. The rank-at-most-r set has singular strata, so the draft avoids calling every factor state a smooth rank-r manifold.</w:t>
      </w:r>
    </w:p>
    <w:p>
      <w:r>
        <w:rPr>
          <w:b/>
        </w:rPr>
        <w:t xml:space="preserve">Forgetting. </w:t>
      </w:r>
      <w:r>
        <w:t>Distinguished factor decay from matrix decay, residual momentum from new writes, freeze from reset, and access-clock decay from elapsed-time decay. Defined a matrix-retention convention for the no-gradient, no-momentum case.</w:t>
      </w:r>
    </w:p>
    <w:p>
      <w:r>
        <w:rPr>
          <w:b/>
        </w:rPr>
        <w:t xml:space="preserve">Footprint. </w:t>
      </w:r>
      <w:r>
        <w:t>Corrected the two-factor count to 2dr and the 4096/16 example to 128×. Added full-bank storage, optimizer copies, metadata and temporary-state qualifications.</w:t>
      </w:r>
    </w:p>
    <w:p>
      <w:r>
        <w:rPr>
          <w:b/>
        </w:rPr>
        <w:t xml:space="preserve">Causality and prefill. </w:t>
      </w:r>
      <w:r>
        <w:t>Removed full-chunk lookahead from online routing; specified read-before-write timing, prompt ingestion, exactly-once token processing, and an explicit policy for generated content.</w:t>
      </w:r>
    </w:p>
    <w:p>
      <w:r>
        <w:rPr>
          <w:b/>
        </w:rPr>
        <w:t xml:space="preserve">Training mismatch. </w:t>
      </w:r>
      <w:r>
        <w:t>Added episodic training with the writer active and an outer task objective. The draft no longer assumes that a reader trained only with zero overlays will automatically use written memories.</w:t>
      </w:r>
    </w:p>
    <w:p>
      <w:r>
        <w:rPr>
          <w:b/>
        </w:rPr>
        <w:t xml:space="preserve">Bounded working memory. </w:t>
      </w:r>
      <w:r>
        <w:t>Added an explicit backbone context bound and treated selective shared access as an optional extension. The original Core(x₁:ₜ) expression did not itself establish bounded online state.</w:t>
      </w:r>
    </w:p>
    <w:p>
      <w:r>
        <w:rPr>
          <w:b/>
        </w:rPr>
        <w:t xml:space="preserve">Presentation and claims. </w:t>
      </w:r>
      <w:r>
        <w:t>Removed broken citation markup and the “ChatGPT” implementation comparison, which was only generic transformer pseudocode. Added fair baselines, failure interventions and claim-specific success criteria. No benchmark numbers or biological equivalences have been invented.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 6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PRNGed Pre-trained Titans | Revised conceptual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color w:val="202020"/>
      <w:sz w:val="22"/>
    </w:rPr>
  </w:style>
  <w:style w:type="paragraph" w:styleId="Header">
    <w:name w:val="header"/>
    <w:basedOn w:val="Normal"/>
    <w:link w:val="HeaderChar"/>
    <w:uiPriority w:val="99"/>
    <w:unhideWhenUsed/>
    <w:rsid w:val="00E618BF"/>
    <w:pPr>
      <w:widowControl/>
      <w:tabs>
        <w:tab w:val="center" w:pos="4680"/>
        <w:tab w:val="right" w:pos="9360"/>
      </w:tabs>
      <w:spacing w:after="0" w:line="264" w:lineRule="auto" w:before="0"/>
    </w:pPr>
    <w:rPr>
      <w:rFonts w:ascii="Calibri" w:hAnsi="Calibri"/>
      <w:b w:val="0"/>
      <w:color w:val="68758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64" w:lineRule="auto" w:before="0"/>
    </w:pPr>
    <w:rPr>
      <w:rFonts w:ascii="Calibri" w:hAnsi="Calibri"/>
      <w:b w:val="0"/>
      <w:color w:val="68758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b/>
      <w:color w:val="15365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64" w:lineRule="auto"/>
    </w:pPr>
    <w:rPr>
      <w:rFonts w:asciiTheme="majorHAnsi" w:eastAsiaTheme="majorEastAsia" w:hAnsiTheme="majorHAnsi" w:cstheme="majorBidi" w:ascii="Calibri" w:hAnsi="Calibri"/>
      <w:b w:val="0"/>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widowControl/>
      <w:spacing w:before="100" w:after="140" w:line="264" w:lineRule="auto"/>
    </w:pPr>
    <w:rPr>
      <w:rFonts w:ascii="Cambria Math" w:hAnsi="Cambria Math"/>
      <w:b w:val="0"/>
      <w:color w:val="202020"/>
      <w:sz w:val="22"/>
    </w:rPr>
  </w:style>
  <w:style w:type="paragraph" w:customStyle="1" w:styleId="Code">
    <w:name w:val="Code"/>
    <w:pPr>
      <w:widowControl/>
      <w:spacing w:before="0" w:after="0" w:line="247" w:lineRule="auto"/>
    </w:pPr>
    <w:rPr>
      <w:rFonts w:ascii="DejaVu Sans Mono" w:hAnsi="DejaVu Sans Mono"/>
      <w:b w:val="0"/>
      <w:color w:val="202020"/>
      <w:sz w:val="17"/>
    </w:rPr>
  </w:style>
  <w:style w:type="paragraph" w:customStyle="1" w:styleId="Reference">
    <w:name w:val="Reference"/>
    <w:pPr>
      <w:widowControl/>
      <w:spacing w:before="0" w:after="120" w:line="259" w:lineRule="auto"/>
    </w:pPr>
    <w:rPr>
      <w:rFonts w:ascii="Calibri" w:hAnsi="Calibri"/>
      <w:b w:val="0"/>
      <w:color w:val="202020"/>
      <w:sz w:val="19"/>
    </w:rPr>
  </w:style>
  <w:style w:type="paragraph" w:customStyle="1" w:styleId="Small">
    <w:name w:val="Small"/>
    <w:pPr>
      <w:widowControl/>
      <w:spacing w:before="0" w:after="100" w:line="264" w:lineRule="auto"/>
    </w:pPr>
    <w:rPr>
      <w:rFonts w:ascii="Calibri" w:hAnsi="Calibri"/>
      <w:b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3140/RG.2.2.13828.39048" TargetMode="External"/><Relationship Id="rId12" Type="http://schemas.openxmlformats.org/officeDocument/2006/relationships/hyperlink" Target="https://arxiv.org/abs/2501.00663" TargetMode="External"/><Relationship Id="rId13" Type="http://schemas.openxmlformats.org/officeDocument/2006/relationships/hyperlink" Target="https://arxiv.org/abs/2106.09685" TargetMode="External"/><Relationship Id="rId14" Type="http://schemas.openxmlformats.org/officeDocument/2006/relationships/hyperlink" Target="https://arxiv.org/abs/2410.10714" TargetMode="External"/><Relationship Id="rId15" Type="http://schemas.openxmlformats.org/officeDocument/2006/relationships/hyperlink" Target="https://arxiv.org/abs/1706.03762" TargetMode="External"/><Relationship Id="rId16" Type="http://schemas.openxmlformats.org/officeDocument/2006/relationships/hyperlink" Target="https://pubmed.ncbi.nlm.nih.gov/34001376/" TargetMode="External"/><Relationship Id="rId17" Type="http://schemas.openxmlformats.org/officeDocument/2006/relationships/hyperlink" Target="https://pubmed.ncbi.nlm.nih.gov/20679524/" TargetMode="External"/><Relationship Id="rId18" Type="http://schemas.openxmlformats.org/officeDocument/2006/relationships/hyperlink" Target="https://doi.org/10.3389/fpsyg.2015.00500" TargetMode="External"/><Relationship Id="rId19" Type="http://schemas.openxmlformats.org/officeDocument/2006/relationships/hyperlink" Target="https://aclanthology.org/2024.tacl-1.9/" TargetMode="External"/><Relationship Id="rId20" Type="http://schemas.openxmlformats.org/officeDocument/2006/relationships/hyperlink" Target="https://arxiv.org/abs/2505.23735" TargetMode="External"/><Relationship Id="rId21" Type="http://schemas.openxmlformats.org/officeDocument/2006/relationships/hyperlink" Target="https://arxiv.org/abs/2511.073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PRNGed Pre-trained Titans: Revised Conceptual Manuscript</dc:title>
  <dc:subject>Procedural memory, low-rank test-time learning, and selective access</dc:subject>
  <dc:creator>Debi Prasad Ghosh</dc:creator>
  <cp:keywords/>
  <dc:description>Conceptual revision; no model benchmarks performed. See editorial revision record.</dc:description>
  <cp:lastModifiedBy/>
  <cp:revision>1</cp:revision>
  <dcterms:created xsi:type="dcterms:W3CDTF">2013-12-23T23:15:00Z</dcterms:created>
  <dcterms:modified xsi:type="dcterms:W3CDTF">2013-12-23T23:15:00Z</dcterms:modified>
  <cp:category/>
</cp:coreProperties>
</file>