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Cost of Deciding</w:t>
        <w:br/>
        <w:t>What to Remember</w:t>
      </w:r>
    </w:p>
    <w:p>
      <w:pPr>
        <w:pStyle w:val="Subtitle"/>
      </w:pPr>
      <w:r>
        <w:t>Projected Interference and Budgeted Admission for Procedural Neural Memory</w:t>
      </w:r>
    </w:p>
    <w:p>
      <w:r>
        <w:t>Debi Prasad Ghosh</w:t>
      </w:r>
    </w:p>
    <w:p>
      <w:pPr>
        <w:pStyle w:val="Small"/>
      </w:pPr>
      <w:r>
        <w:t>Debias Parametric Guru, Kolkata, India</w:t>
        <w:br/>
        <w:t>Research manuscript • 6 September 2026</w:t>
      </w:r>
    </w:p>
    <w:p>
      <w:pPr>
        <w:pStyle w:val="Heading1"/>
      </w:pPr>
      <w:r>
        <w:t>Abstract</w:t>
      </w:r>
    </w:p>
    <w:p>
      <w:r>
        <w:t>Procedural neural memory removes reproducible dense bases from retained storage, but a memory-admission controller can reintroduce comparable state when it evaluates damage to previous associations. For a square linear memory layer, generic dense key covariance and key–target cross-statistics contain 2d² scalars, twice the d²-scalar base eliminated by procedural generation at equal precision. We formulate admission under a total retained-state budget and derive exact interference expressions for low-rank candidate writes. Fixed write subspaces admit compact exact sufficient statistics; changing subspaces require additional information or an approximation with an explicit error budget. A residual-dependent bound identifies when curvature-only scoring is justified. We distinguish diagonal Gauss–Newton proxies from empirical Fisher estimates and show why Kronecker factorization is not an intermediate covariance approximation for isotropic linear regression. Controlled experiments diagnose the gap between identifier recall and vector reconstruction and retest partitioning away from ceiling. At a separately calibrated single-pass operating point, one rank-16 expert achieves 64.6% identifier recall, compared with 0.9% for eight rank-2 experts with prescribed topic routing, at equal factor count. These results constrain a linear partitioning claim; they do not establish the value of procedural seeds or a nonlinear admission controller. The paper provides a costed estimator framework and an executable protocol for measuring the admission crossover; that end-to-end crossover remains to be measured.</w:t>
      </w:r>
    </w:p>
    <w:p>
      <w:pPr>
        <w:pStyle w:val="Small"/>
      </w:pPr>
      <w:r>
        <w:t>Keywords: test-time memory; memory admission; low-rank adaptation; covariance sketching; interference; certificate-preserving forgetting.</w:t>
      </w:r>
    </w:p>
    <w:p>
      <w:pPr>
        <w:pStyle w:val="Heading1"/>
      </w:pPr>
      <w:r>
        <w:t>1. Introduction</w:t>
      </w:r>
    </w:p>
    <w:p>
      <w:r>
        <w:t>PRNGed Pre-trained Titans (PPT) separates a regenerable dense substrate from writable low-rank history [1]. This separation makes a second resource question unavoidable: how much information must a controller retain to decide whether a new observation is worth writing? A small writable memory is not a small system if its admission policy maintains a larger unreported archive.</w:t>
      </w:r>
    </w:p>
    <w:p>
      <w:r>
        <w:br w:type="page"/>
      </w:r>
    </w:p>
    <w:p>
      <w:pPr>
        <w:pStyle w:val="Heading1"/>
      </w:pPr>
      <w:r>
        <w:t>1.1 Contribution and evidence boundary</w:t>
      </w:r>
    </w:p>
    <w:p>
      <w:r>
        <w:t>The object studied here is a constrained admission decision, with actions to skip an observation, modify an existing expert, or allocate an expert. Storage prices alone do not determine which action is useful. The controller also needs a query-value model, an interference estimate, and a declared set of protected obligations. The state supporting each of these functions belongs in the resource budget.</w:t>
      </w:r>
    </w:p>
    <w:p>
      <w:r/>
      <w:r>
        <w:rPr>
          <w:b/>
        </w:rPr>
        <w:t xml:space="preserve">Formal contribution. </w:t>
      </w:r>
      <w:r>
        <w:t>We derive projected interference identities, give a compact exact construction for a fixed write subspace, show why current projections cannot answer arbitrary future directions, and bound the error of curvature-only and sketched scoring. These are linear-algebra results under stated assumptions, not capacity laws for nonlinear memory.</w:t>
      </w:r>
    </w:p>
    <w:p>
      <w:r/>
      <w:r>
        <w:rPr>
          <w:b/>
        </w:rPr>
        <w:t xml:space="preserve">Empirical contribution. </w:t>
      </w:r>
      <w:r>
        <w:t>We audit the near-ceiling pilot using target rank and reconstruction error, then report density and recall-age diagnostics using separate calibration and evaluation seeds. The experiments test rank partitioning with a prescribed writer; admission gates and procedural bases are not evaluated.</w:t>
      </w:r>
    </w:p>
    <w:p>
      <w:r/>
      <w:r>
        <w:rPr>
          <w:b/>
        </w:rPr>
        <w:t xml:space="preserve">Research hypothesis. </w:t>
      </w:r>
      <w:r>
        <w:t>Affordable interference-aware admission can improve delayed query performance after its own decision state is charged against the same byte budget as the memory it protects. Section 10 specifies the comparison needed to test this hypothesis. No positive crossover is inferred from the accounting alone.</w:t>
      </w:r>
    </w:p>
    <w:p>
      <w:pPr>
        <w:pStyle w:val="Heading1"/>
      </w:pPr>
      <w:r>
        <w:t>2. Related work</w:t>
      </w:r>
    </w:p>
    <w:p>
      <w:r>
        <w:t>Titans learns a neural associative memory at test time, with mechanisms including momentum and forgetting [2]. ATLAS expands the temporal scope of the memory objective [3], while TNT studies chunkwise training of test-time memorization models [4]. These works motivate the admission setting but do not supply measurements for the procedural model considered here.</w:t>
      </w:r>
    </w:p>
    <w:p>
      <w:r>
        <w:t>LoRA supplies the factorized perturbation parameterization [5]. EWC protects previously important parameters using a quadratic penalty with diagonal Fisher information [6]. K-FAC approximates layerwise Fisher blocks through Kronecker factors [7]. Neither parameterization implies that a rank slot corresponds to a single fact, nor that curvature is identical to expected future value.</w:t>
      </w:r>
    </w:p>
    <w:p>
      <w:r>
        <w:t>Gradient Episodic Memory and Gradient-based Sample Selection already connect forgetting and retention to constrained optimization [8,9]. The novelty sought here is therefore not the first use of interference or curvature. It is an explicit accounting of decision-state cost in procedural low-rank admission, together with the distinction between fixed-subspace sufficiency and drifting-subspace estimation. Frequent Directions provides an established streaming sketch rather than a new estimator invention [10].</w:t>
      </w:r>
    </w:p>
    <w:p>
      <w:r>
        <w:br w:type="page"/>
      </w:r>
    </w:p>
    <w:p>
      <w:pPr>
        <w:pStyle w:val="Heading1"/>
      </w:pPr>
      <w:r>
        <w:t>3. State and storage contract</w:t>
      </w:r>
    </w:p>
    <w:p>
      <w:r>
        <w:t>Let N be the number of live experts and L the number of memory layers. A layer maps a key k in Rᵈ to a value in Rᵈᵒ through Mᵀk, with M=M₀+AB, A of size d×r, and B of size r×dₒ. M₀ is fixed and reproducible. The symbol C below denotes a key–target cross-statistic; it is deliberately distinct from the right factor B.</w:t>
      </w:r>
    </w:p>
    <w:p>
      <w:pPr>
        <w:pStyle w:val="Equation"/>
        <w:tabs>
          <w:tab w:pos="9331" w:val="right"/>
        </w:tabs>
      </w:pPr>
      <w:r/>
      <m:oMath>
        <m:sSub>
          <m:e>
            <m:r>
              <m:t xml:space="preserve">S</m:t>
            </m:r>
          </m:e>
          <m:sub>
            <m:r>
              <m:rPr>
                <m:sty m:val="p"/>
              </m:rPr>
              <m:t xml:space="preserve">overlay</m:t>
            </m:r>
          </m:sub>
        </m:sSub>
        <m:r>
          <m:t xml:space="preserve">=</m:t>
        </m:r>
        <m:r>
          <m:t xml:space="preserve">(</m:t>
        </m:r>
        <m:r>
          <m:t xml:space="preserve">d</m:t>
        </m:r>
        <m:r>
          <m:t xml:space="preserve">+</m:t>
        </m:r>
        <m:sSub>
          <m:e>
            <m:r>
              <m:t xml:space="preserve">d</m:t>
            </m:r>
          </m:e>
          <m:sub>
            <m:r>
              <m:t xml:space="preserve">o</m:t>
            </m:r>
          </m:sub>
        </m:sSub>
        <m:r>
          <m:t xml:space="preserve">)</m:t>
        </m:r>
        <m:r>
          <m:t xml:space="preserve">r</m:t>
        </m:r>
        <m:r>
          <m:t xml:space="preserve">(</m:t>
        </m:r>
        <m:sSub>
          <m:e>
            <m:r>
              <m:t xml:space="preserve">q</m:t>
            </m:r>
          </m:e>
          <m:sub>
            <m:r>
              <m:t xml:space="preserve">f</m:t>
            </m:r>
          </m:sub>
        </m:sSub>
        <m:r>
          <m:t xml:space="preserve">+</m:t>
        </m:r>
        <m:sSub>
          <m:e>
            <m:r>
              <m:t xml:space="preserve">∑</m:t>
            </m:r>
          </m:e>
          <m:sub>
            <m:r>
              <m:t xml:space="preserve">u</m:t>
            </m:r>
          </m:sub>
        </m:sSub>
        <m:r>
          <m:t xml:space="preserve"> </m:t>
        </m:r>
        <m:sSub>
          <m:e>
            <m:r>
              <m:t xml:space="preserve">q</m:t>
            </m:r>
          </m:e>
          <m:sub>
            <m:r>
              <m:t xml:space="preserve">u</m:t>
            </m:r>
          </m:sub>
        </m:sSub>
        <m:r>
          <m:t xml:space="preserve">)</m:t>
        </m:r>
      </m:oMath>
      <w:r>
        <w:tab/>
        <w:t>(1)</w:t>
      </w:r>
    </w:p>
    <w:p>
      <w:r>
        <w:t>Here q denotes bytes per scalar, and u indexes optimizer arrays that persist across writes. Seed, routing, audit, admission and provenance state are additional terms. Persistent state and peak temporary workspace are different measurements; dense reconstruction during a write is charged to the latter even when no dense matrix persists.</w:t>
      </w:r>
    </w:p>
    <w:p>
      <w:pPr>
        <w:pStyle w:val="Equation"/>
        <w:tabs>
          <w:tab w:pos="9331" w:val="right"/>
        </w:tabs>
      </w:pPr>
      <w:r/>
      <m:oMath>
        <m:sSub>
          <m:e>
            <m:r>
              <m:t xml:space="preserve">S</m:t>
            </m:r>
          </m:e>
          <m:sub>
            <m:r>
              <m:rPr>
                <m:sty m:val="p"/>
              </m:rPr>
              <m:t xml:space="preserve">total</m:t>
            </m:r>
          </m:sub>
        </m:sSub>
        <m:r>
          <m:t xml:space="preserve">=</m:t>
        </m:r>
        <m:sSub>
          <m:e>
            <m:r>
              <m:t xml:space="preserve">S</m:t>
            </m:r>
          </m:e>
          <m:sub>
            <m:r>
              <m:rPr>
                <m:sty m:val="p"/>
              </m:rPr>
              <m:t xml:space="preserve">overlay</m:t>
            </m:r>
          </m:sub>
        </m:sSub>
        <m:r>
          <m:t xml:space="preserve">+</m:t>
        </m:r>
        <m:sSub>
          <m:e>
            <m:r>
              <m:t xml:space="preserve">S</m:t>
            </m:r>
          </m:e>
          <m:sub>
            <m:r>
              <m:rPr>
                <m:sty m:val="p"/>
              </m:rPr>
              <m:t xml:space="preserve">decision</m:t>
            </m:r>
          </m:sub>
        </m:sSub>
        <m:r>
          <m:t xml:space="preserve">+</m:t>
        </m:r>
        <m:sSub>
          <m:e>
            <m:r>
              <m:t xml:space="preserve">S</m:t>
            </m:r>
          </m:e>
          <m:sub>
            <m:r>
              <m:rPr>
                <m:sty m:val="p"/>
              </m:rPr>
              <m:t xml:space="preserve">routing</m:t>
            </m:r>
          </m:sub>
        </m:sSub>
        <m:r>
          <m:t xml:space="preserve">+</m:t>
        </m:r>
        <m:sSub>
          <m:e>
            <m:r>
              <m:t xml:space="preserve">S</m:t>
            </m:r>
          </m:e>
          <m:sub>
            <m:r>
              <m:rPr>
                <m:sty m:val="p"/>
              </m:rPr>
              <m:t xml:space="preserve">provenance</m:t>
            </m:r>
          </m:sub>
        </m:sSub>
        <m:r>
          <m:t xml:space="preserve">+</m:t>
        </m:r>
        <m:sSub>
          <m:e>
            <m:r>
              <m:t xml:space="preserve">S</m:t>
            </m:r>
          </m:e>
          <m:sub>
            <m:r>
              <m:rPr>
                <m:sty m:val="p"/>
              </m:rPr>
              <m:t xml:space="preserve">other</m:t>
            </m:r>
          </m:sub>
        </m:sSub>
      </m:oMath>
      <w:r>
        <w:tab/>
        <w:t>(2)</w:t>
      </w:r>
    </w:p>
    <w:p>
      <w:pPr>
        <w:pStyle w:val="Heading2"/>
      </w:pPr>
      <w:r>
        <w:t>3.1 The dense-statistics reversal</w:t>
      </w:r>
    </w:p>
    <w:p>
      <w:r>
        <w:t>For a square layer, an implementation storing full H and C keeps 2d² scalars. Across independently routed expert histories this becomes 2NLd², compared with NLd² base scalars removed by procedural generation. At equal precision, dense admission statistics therefore reintroduce twice the deleted base. This statement concerns that representation; H is symmetric, structured histories may be compressible, and some statistics can be shared when histories actually coincide.</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6CDD4"/>
          <w:left w:val="single" w:sz="4" w:color="C6CDD4"/>
          <w:bottom w:val="single" w:sz="4" w:color="C6CDD4"/>
          <w:right w:val="single" w:sz="4" w:color="C6CDD4"/>
          <w:insideH w:val="single" w:sz="4" w:color="C6CDD4"/>
          <w:insideV w:val="single" w:sz="4" w:color="C6CDD4"/>
        </w:tblBorders>
      </w:tblPr>
      <w:tblGrid>
        <w:gridCol w:w="5000"/>
        <w:gridCol w:w="2080"/>
        <w:gridCol w:w="2280"/>
      </w:tblGrid>
      <w:tr>
        <w:trPr>
          <w:cantSplit/>
          <w:tblHeader/>
        </w:trPr>
        <w:tc>
          <w:tcPr>
            <w:tcW w:type="dxa" w:w="5000"/>
            <w:shd w:fill="F2F4F7"/>
          </w:tcPr>
          <w:p>
            <w:pPr>
              <w:pStyle w:val="TableText"/>
            </w:pPr>
            <w:r>
              <w:rPr>
                <w:b/>
              </w:rPr>
              <w:t>Per expert-layer, d=4096, r=16</w:t>
            </w:r>
          </w:p>
        </w:tc>
        <w:tc>
          <w:tcPr>
            <w:tcW w:type="dxa" w:w="2080"/>
            <w:shd w:fill="F2F4F7"/>
          </w:tcPr>
          <w:p>
            <w:pPr>
              <w:pStyle w:val="TableText"/>
            </w:pPr>
            <w:r>
              <w:rPr>
                <w:b/>
              </w:rPr>
              <w:t>Scalars</w:t>
            </w:r>
          </w:p>
        </w:tc>
        <w:tc>
          <w:tcPr>
            <w:tcW w:type="dxa" w:w="2280"/>
            <w:shd w:fill="F2F4F7"/>
          </w:tcPr>
          <w:p>
            <w:pPr>
              <w:pStyle w:val="TableText"/>
            </w:pPr>
            <w:r>
              <w:rPr>
                <w:b/>
              </w:rPr>
              <w:t>fp32 bytes</w:t>
            </w:r>
          </w:p>
        </w:tc>
      </w:tr>
      <w:tr>
        <w:trPr>
          <w:cantSplit/>
        </w:trPr>
        <w:tc>
          <w:tcPr>
            <w:tcW w:type="dxa" w:w="5000"/>
          </w:tcPr>
          <w:p>
            <w:pPr>
              <w:pStyle w:val="TableText"/>
            </w:pPr>
            <w:r>
              <w:t>Deleted dense base</w:t>
            </w:r>
          </w:p>
        </w:tc>
        <w:tc>
          <w:tcPr>
            <w:tcW w:type="dxa" w:w="2080"/>
          </w:tcPr>
          <w:p>
            <w:pPr>
              <w:pStyle w:val="TableText"/>
            </w:pPr>
            <w:r>
              <w:t>16,777,216</w:t>
            </w:r>
          </w:p>
        </w:tc>
        <w:tc>
          <w:tcPr>
            <w:tcW w:type="dxa" w:w="2280"/>
          </w:tcPr>
          <w:p>
            <w:pPr>
              <w:pStyle w:val="TableText"/>
            </w:pPr>
            <w:r>
              <w:t>64 MiB</w:t>
            </w:r>
          </w:p>
        </w:tc>
      </w:tr>
      <w:tr>
        <w:trPr>
          <w:cantSplit/>
        </w:trPr>
        <w:tc>
          <w:tcPr>
            <w:tcW w:type="dxa" w:w="5000"/>
          </w:tcPr>
          <w:p>
            <w:pPr>
              <w:pStyle w:val="TableText"/>
            </w:pPr>
            <w:r>
              <w:t>Two factors + one momentum array per factor</w:t>
            </w:r>
          </w:p>
        </w:tc>
        <w:tc>
          <w:tcPr>
            <w:tcW w:type="dxa" w:w="2080"/>
          </w:tcPr>
          <w:p>
            <w:pPr>
              <w:pStyle w:val="TableText"/>
            </w:pPr>
            <w:r>
              <w:t>262,144</w:t>
            </w:r>
          </w:p>
        </w:tc>
        <w:tc>
          <w:tcPr>
            <w:tcW w:type="dxa" w:w="2280"/>
          </w:tcPr>
          <w:p>
            <w:pPr>
              <w:pStyle w:val="TableText"/>
            </w:pPr>
            <w:r>
              <w:t>1 MiB</w:t>
            </w:r>
          </w:p>
        </w:tc>
      </w:tr>
      <w:tr>
        <w:trPr>
          <w:cantSplit/>
        </w:trPr>
        <w:tc>
          <w:tcPr>
            <w:tcW w:type="dxa" w:w="5000"/>
          </w:tcPr>
          <w:p>
            <w:pPr>
              <w:pStyle w:val="TableText"/>
            </w:pPr>
            <w:r>
              <w:t>Full H</w:t>
            </w:r>
          </w:p>
        </w:tc>
        <w:tc>
          <w:tcPr>
            <w:tcW w:type="dxa" w:w="2080"/>
          </w:tcPr>
          <w:p>
            <w:pPr>
              <w:pStyle w:val="TableText"/>
            </w:pPr>
            <w:r>
              <w:t>16,777,216</w:t>
            </w:r>
          </w:p>
        </w:tc>
        <w:tc>
          <w:tcPr>
            <w:tcW w:type="dxa" w:w="2280"/>
          </w:tcPr>
          <w:p>
            <w:pPr>
              <w:pStyle w:val="TableText"/>
            </w:pPr>
            <w:r>
              <w:t>64 MiB</w:t>
            </w:r>
          </w:p>
        </w:tc>
      </w:tr>
      <w:tr>
        <w:trPr>
          <w:cantSplit/>
        </w:trPr>
        <w:tc>
          <w:tcPr>
            <w:tcW w:type="dxa" w:w="5000"/>
          </w:tcPr>
          <w:p>
            <w:pPr>
              <w:pStyle w:val="TableText"/>
            </w:pPr>
            <w:r>
              <w:t>Full H and C</w:t>
            </w:r>
          </w:p>
        </w:tc>
        <w:tc>
          <w:tcPr>
            <w:tcW w:type="dxa" w:w="2080"/>
          </w:tcPr>
          <w:p>
            <w:pPr>
              <w:pStyle w:val="TableText"/>
            </w:pPr>
            <w:r>
              <w:t>33,554,432</w:t>
            </w:r>
          </w:p>
        </w:tc>
        <w:tc>
          <w:tcPr>
            <w:tcW w:type="dxa" w:w="2280"/>
          </w:tcPr>
          <w:p>
            <w:pPr>
              <w:pStyle w:val="TableText"/>
            </w:pPr>
            <w:r>
              <w:t>128 MiB</w:t>
            </w:r>
          </w:p>
        </w:tc>
      </w:tr>
      <w:tr>
        <w:trPr>
          <w:cantSplit/>
        </w:trPr>
        <w:tc>
          <w:tcPr>
            <w:tcW w:type="dxa" w:w="5000"/>
          </w:tcPr>
          <w:p>
            <w:pPr>
              <w:pStyle w:val="TableText"/>
            </w:pPr>
            <w:r>
              <w:t>Symmetry-packed H and full C</w:t>
            </w:r>
          </w:p>
        </w:tc>
        <w:tc>
          <w:tcPr>
            <w:tcW w:type="dxa" w:w="2080"/>
          </w:tcPr>
          <w:p>
            <w:pPr>
              <w:pStyle w:val="TableText"/>
            </w:pPr>
            <w:r>
              <w:t>25,167,872</w:t>
            </w:r>
          </w:p>
        </w:tc>
        <w:tc>
          <w:tcPr>
            <w:tcW w:type="dxa" w:w="2280"/>
          </w:tcPr>
          <w:p>
            <w:pPr>
              <w:pStyle w:val="TableText"/>
            </w:pPr>
            <w:r>
              <w:t>96.008 MiB</w:t>
            </w:r>
          </w:p>
        </w:tc>
      </w:tr>
    </w:tbl>
    <w:p>
      <w:pPr>
        <w:pStyle w:val="Caption"/>
      </w:pPr>
      <w:r>
        <w:t>Table 1. Full-array and symmetry-packed counts. A bf16 deleted base occupies 32 MiB; comparing it with fp32 H and C gives a fourfold byte ratio, not twofold. The 128× statistics-to-overlay ratio in the fp32 example equals d/(2r).</w:t>
      </w:r>
    </w:p>
    <w:p>
      <w:r>
        <w:t xml:space="preserve">We impose </w:t>
      </w:r>
      <m:oMath>
        <m:sSub>
          <m:e>
            <m:r>
              <m:t xml:space="preserve">S</m:t>
            </m:r>
          </m:e>
          <m:sub>
            <m:r>
              <m:rPr>
                <m:sty m:val="p"/>
              </m:rPr>
              <m:t xml:space="preserve">decision</m:t>
            </m:r>
          </m:sub>
        </m:sSub>
      </m:oMath>
      <w:r>
        <w:t xml:space="preserve"> ≤ ρ </w:t>
      </w:r>
      <m:oMath>
        <m:sSub>
          <m:e>
            <m:r>
              <m:t xml:space="preserve">S</m:t>
            </m:r>
          </m:e>
          <m:sub>
            <m:r>
              <m:rPr>
                <m:sty m:val="p"/>
              </m:rPr>
              <m:t xml:space="preserve">overlay</m:t>
            </m:r>
          </m:sub>
        </m:sSub>
      </m:oMath>
      <w:r>
        <w:t>, with 0&lt;ρ≤1, as a design envelope to be tested. This is not a theorem that every viable system must use less decision state than overlay state. A more expensive controller could still be worthwhile under a different total budget or value objective; fixed-subspace exact controllers are also possible.</w:t>
      </w:r>
    </w:p>
    <w:p>
      <w:r>
        <w:br w:type="page"/>
      </w:r>
    </w:p>
    <w:p>
      <w:pPr>
        <w:pStyle w:val="Heading1"/>
      </w:pPr>
      <w:r>
        <w:t>3.2 Allocation in cached-token equivalents</w:t>
      </w:r>
    </w:p>
    <w:p>
      <w:r>
        <w:t>A common storage denominator is the comparator’s retained KV payload per token. It depends on the KV heads, their dimensions, and their precision, rather than on query-head count alone [11,12].</w:t>
      </w:r>
    </w:p>
    <w:p>
      <w:pPr>
        <w:pStyle w:val="Equation"/>
        <w:tabs>
          <w:tab w:pos="9331" w:val="right"/>
        </w:tabs>
      </w:pPr>
      <w:r/>
      <m:oMath>
        <m:sSub>
          <m:e>
            <m:r>
              <m:t xml:space="preserve">c</m:t>
            </m:r>
          </m:e>
          <m:sub>
            <m:r>
              <m:rPr>
                <m:sty m:val="p"/>
              </m:rPr>
              <m:t xml:space="preserve">KV</m:t>
            </m:r>
          </m:sub>
        </m:sSub>
        <m:r>
          <m:t xml:space="preserve">=</m:t>
        </m:r>
        <m:sSup>
          <m:e>
            <m:sSub>
              <m:e>
                <m:r>
                  <m:t xml:space="preserve">∑</m:t>
                </m:r>
              </m:e>
              <m:sub>
                <m:r>
                  <m:t xml:space="preserve">ℓ</m:t>
                </m:r>
                <m:r>
                  <m:t xml:space="preserve">=</m:t>
                </m:r>
                <m:r>
                  <m:t xml:space="preserve">1</m:t>
                </m:r>
              </m:sub>
            </m:sSub>
          </m:e>
          <m:sup>
            <m:sSub>
              <m:e>
                <m:r>
                  <m:t xml:space="preserve">L</m:t>
                </m:r>
              </m:e>
              <m:sub>
                <m:r>
                  <m:t xml:space="preserve">b</m:t>
                </m:r>
              </m:sub>
            </m:sSub>
          </m:sup>
        </m:sSup>
        <m:sSub>
          <m:e>
            <m:r>
              <m:t xml:space="preserve">H</m:t>
            </m:r>
          </m:e>
          <m:sub>
            <m:r>
              <m:rPr>
                <m:sty m:val="p"/>
              </m:rPr>
              <m:t xml:space="preserve">KV</m:t>
            </m:r>
            <m:r>
              <m:t xml:space="preserve">,</m:t>
            </m:r>
            <m:r>
              <m:t xml:space="preserve">ℓ</m:t>
            </m:r>
          </m:sub>
        </m:sSub>
        <m:r>
          <m:t xml:space="preserve">(</m:t>
        </m:r>
        <m:sSub>
          <m:e>
            <m:r>
              <m:t xml:space="preserve">d</m:t>
            </m:r>
          </m:e>
          <m:sub>
            <m:r>
              <m:t xml:space="preserve">k</m:t>
            </m:r>
            <m:r>
              <m:t xml:space="preserve">,</m:t>
            </m:r>
            <m:r>
              <m:t xml:space="preserve">ℓ</m:t>
            </m:r>
          </m:sub>
        </m:sSub>
        <m:sSub>
          <m:e>
            <m:r>
              <m:t xml:space="preserve">q</m:t>
            </m:r>
          </m:e>
          <m:sub>
            <m:r>
              <m:t xml:space="preserve">K</m:t>
            </m:r>
            <m:r>
              <m:t xml:space="preserve">,</m:t>
            </m:r>
            <m:r>
              <m:t xml:space="preserve">ℓ</m:t>
            </m:r>
          </m:sub>
        </m:sSub>
        <m:r>
          <m:t xml:space="preserve">+</m:t>
        </m:r>
        <m:sSub>
          <m:e>
            <m:r>
              <m:t xml:space="preserve">d</m:t>
            </m:r>
          </m:e>
          <m:sub>
            <m:r>
              <m:t xml:space="preserve">v</m:t>
            </m:r>
            <m:r>
              <m:t xml:space="preserve">,</m:t>
            </m:r>
            <m:r>
              <m:t xml:space="preserve">ℓ</m:t>
            </m:r>
          </m:sub>
        </m:sSub>
        <m:sSub>
          <m:e>
            <m:r>
              <m:t xml:space="preserve">q</m:t>
            </m:r>
          </m:e>
          <m:sub>
            <m:r>
              <m:t xml:space="preserve">V</m:t>
            </m:r>
            <m:r>
              <m:t xml:space="preserve">,</m:t>
            </m:r>
            <m:r>
              <m:t xml:space="preserve">ℓ</m:t>
            </m:r>
          </m:sub>
        </m:sSub>
        <m:r>
          <m:t xml:space="preserve">)</m:t>
        </m:r>
      </m:oMath>
      <w:r>
        <w:tab/>
        <w:t>(3)</w:t>
      </w:r>
    </w:p>
    <w:p>
      <w:pPr>
        <w:pStyle w:val="Equation"/>
        <w:tabs>
          <w:tab w:pos="9331" w:val="right"/>
        </w:tabs>
      </w:pPr>
      <w:r/>
      <m:oMath>
        <m:sSub>
          <m:e>
            <m:r>
              <m:t xml:space="preserve">R</m:t>
            </m:r>
          </m:e>
          <m:sub>
            <m:r>
              <m:rPr>
                <m:sty m:val="p"/>
              </m:rPr>
              <m:t xml:space="preserve">alloc</m:t>
            </m:r>
          </m:sub>
        </m:sSub>
        <m:r>
          <m:t xml:space="preserve">=</m:t>
        </m:r>
        <m:f>
          <m:num>
            <m:r>
              <m:t xml:space="preserve">Δ</m:t>
            </m:r>
            <m:sSub>
              <m:e>
                <m:r>
                  <m:t xml:space="preserve">S</m:t>
                </m:r>
              </m:e>
              <m:sub>
                <m:r>
                  <m:rPr>
                    <m:sty m:val="p"/>
                  </m:rPr>
                  <m:t xml:space="preserve">total</m:t>
                </m:r>
              </m:sub>
            </m:sSub>
          </m:num>
          <m:den>
            <m:sSub>
              <m:e>
                <m:r>
                  <m:t xml:space="preserve">c</m:t>
                </m:r>
              </m:e>
              <m:sub>
                <m:r>
                  <m:rPr>
                    <m:sty m:val="p"/>
                  </m:rPr>
                  <m:t xml:space="preserve">KV</m:t>
                </m:r>
              </m:sub>
            </m:sSub>
          </m:den>
        </m:f>
      </m:oMath>
      <w:r>
        <w:tab/>
        <w:t>(4)</w:t>
      </w:r>
    </w:p>
    <w:p>
      <w:r>
        <w:t>The numerator is marginal live retained state, including the new expert’s decision state. For uniform square layers without metadata, it reduces to the following factor-only expression; actual optimizer precision must be retained in the more general count.</w:t>
      </w:r>
    </w:p>
    <w:p>
      <w:pPr>
        <w:pStyle w:val="Equation"/>
        <w:tabs>
          <w:tab w:pos="9331" w:val="right"/>
        </w:tabs>
      </w:pPr>
      <w:r/>
      <m:oMath>
        <m:sSub>
          <m:e>
            <m:r>
              <m:t xml:space="preserve">R</m:t>
            </m:r>
          </m:e>
          <m:sub>
            <m:r>
              <m:rPr>
                <m:sty m:val="p"/>
              </m:rPr>
              <m:t xml:space="preserve">factors</m:t>
            </m:r>
          </m:sub>
        </m:sSub>
        <m:r>
          <m:t xml:space="preserve">=</m:t>
        </m:r>
        <m:f>
          <m:num>
            <m:sSub>
              <m:e>
                <m:r>
                  <m:t xml:space="preserve">L</m:t>
                </m:r>
              </m:e>
              <m:sub>
                <m:r>
                  <m:t xml:space="preserve">m</m:t>
                </m:r>
              </m:sub>
            </m:sSub>
          </m:num>
          <m:den>
            <m:sSub>
              <m:e>
                <m:r>
                  <m:t xml:space="preserve">L</m:t>
                </m:r>
              </m:e>
              <m:sub>
                <m:r>
                  <m:t xml:space="preserve">b</m:t>
                </m:r>
              </m:sub>
            </m:sSub>
          </m:den>
        </m:f>
        <m:f>
          <m:num>
            <m:sSub>
              <m:e>
                <m:r>
                  <m:t xml:space="preserve">d</m:t>
                </m:r>
              </m:e>
              <m:sub>
                <m:r>
                  <m:t xml:space="preserve">m</m:t>
                </m:r>
              </m:sub>
            </m:sSub>
          </m:num>
          <m:den>
            <m:sSub>
              <m:e>
                <m:r>
                  <m:t xml:space="preserve">H</m:t>
                </m:r>
              </m:e>
              <m:sub>
                <m:r>
                  <m:rPr>
                    <m:sty m:val="p"/>
                  </m:rPr>
                  <m:t xml:space="preserve">KV</m:t>
                </m:r>
              </m:sub>
            </m:sSub>
            <m:sSub>
              <m:e>
                <m:r>
                  <m:t xml:space="preserve">d</m:t>
                </m:r>
              </m:e>
              <m:sub>
                <m:r>
                  <m:t xml:space="preserve">h</m:t>
                </m:r>
              </m:sub>
            </m:sSub>
          </m:den>
        </m:f>
        <m:r>
          <m:t xml:space="preserve">r</m:t>
        </m:r>
        <m:r>
          <m:t xml:space="preserve">(</m:t>
        </m:r>
        <m:r>
          <m:t xml:space="preserve">1</m:t>
        </m:r>
        <m:r>
          <m:t xml:space="preserve">+</m:t>
        </m:r>
        <m:sSub>
          <m:e>
            <m:r>
              <m:t xml:space="preserve">n</m:t>
            </m:r>
          </m:e>
          <m:sub>
            <m:r>
              <m:rPr>
                <m:sty m:val="p"/>
              </m:rPr>
              <m:t xml:space="preserve">opt</m:t>
            </m:r>
          </m:sub>
        </m:sSub>
        <m:r>
          <m:t xml:space="preserve">)</m:t>
        </m:r>
        <m:f>
          <m:num>
            <m:sSub>
              <m:e>
                <m:r>
                  <m:t xml:space="preserve">q</m:t>
                </m:r>
              </m:e>
              <m:sub>
                <m:r>
                  <m:t xml:space="preserve">f</m:t>
                </m:r>
              </m:sub>
            </m:sSub>
          </m:num>
          <m:den>
            <m:sSub>
              <m:e>
                <m:r>
                  <m:t xml:space="preserve">q</m:t>
                </m:r>
              </m:e>
              <m:sub>
                <m:r>
                  <m:rPr>
                    <m:sty m:val="p"/>
                  </m:rPr>
                  <m:t xml:space="preserve">KV</m:t>
                </m:r>
              </m:sub>
            </m:sSub>
          </m:den>
        </m:f>
      </m:oMath>
      <w:r>
        <w:tab/>
        <w:t>(5)</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6CDD4"/>
          <w:left w:val="single" w:sz="4" w:color="C6CDD4"/>
          <w:bottom w:val="single" w:sz="4" w:color="C6CDD4"/>
          <w:right w:val="single" w:sz="4" w:color="C6CDD4"/>
          <w:insideH w:val="single" w:sz="4" w:color="C6CDD4"/>
          <w:insideV w:val="single" w:sz="4" w:color="C6CDD4"/>
        </w:tblBorders>
      </w:tblPr>
      <w:tblGrid>
        <w:gridCol w:w="5360"/>
        <w:gridCol w:w="2000"/>
        <w:gridCol w:w="2000"/>
      </w:tblGrid>
      <w:tr>
        <w:trPr>
          <w:cantSplit/>
          <w:tblHeader/>
        </w:trPr>
        <w:tc>
          <w:tcPr>
            <w:tcW w:type="dxa" w:w="5360"/>
            <w:shd w:fill="F2F4F7"/>
          </w:tcPr>
          <w:p>
            <w:pPr>
              <w:pStyle w:val="TableText"/>
            </w:pPr>
            <w:r>
              <w:rPr>
                <w:b/>
              </w:rPr>
              <w:t>32 query heads; matched layer counts</w:t>
            </w:r>
          </w:p>
        </w:tc>
        <w:tc>
          <w:tcPr>
            <w:tcW w:type="dxa" w:w="2000"/>
            <w:shd w:fill="F2F4F7"/>
          </w:tcPr>
          <w:p>
            <w:pPr>
              <w:pStyle w:val="TableText"/>
            </w:pPr>
            <w:r>
              <w:rPr>
                <w:b/>
              </w:rPr>
              <w:t>bf16 KV</w:t>
            </w:r>
          </w:p>
        </w:tc>
        <w:tc>
          <w:tcPr>
            <w:tcW w:type="dxa" w:w="2000"/>
            <w:shd w:fill="F2F4F7"/>
          </w:tcPr>
          <w:p>
            <w:pPr>
              <w:pStyle w:val="TableText"/>
            </w:pPr>
            <w:r>
              <w:rPr>
                <w:b/>
              </w:rPr>
              <w:t>Ideal int4 KV</w:t>
            </w:r>
          </w:p>
        </w:tc>
      </w:tr>
      <w:tr>
        <w:trPr>
          <w:cantSplit/>
        </w:trPr>
        <w:tc>
          <w:tcPr>
            <w:tcW w:type="dxa" w:w="5360"/>
          </w:tcPr>
          <w:p>
            <w:pPr>
              <w:pStyle w:val="TableText"/>
            </w:pPr>
            <w:r>
              <w:t>MHA: 32 KV heads</w:t>
            </w:r>
          </w:p>
        </w:tc>
        <w:tc>
          <w:tcPr>
            <w:tcW w:type="dxa" w:w="2000"/>
          </w:tcPr>
          <w:p>
            <w:pPr>
              <w:pStyle w:val="TableText"/>
            </w:pPr>
            <w:r>
              <w:t>32</w:t>
            </w:r>
          </w:p>
        </w:tc>
        <w:tc>
          <w:tcPr>
            <w:tcW w:type="dxa" w:w="2000"/>
          </w:tcPr>
          <w:p>
            <w:pPr>
              <w:pStyle w:val="TableText"/>
            </w:pPr>
            <w:r>
              <w:t>128</w:t>
            </w:r>
          </w:p>
        </w:tc>
      </w:tr>
      <w:tr>
        <w:trPr>
          <w:cantSplit/>
        </w:trPr>
        <w:tc>
          <w:tcPr>
            <w:tcW w:type="dxa" w:w="5360"/>
          </w:tcPr>
          <w:p>
            <w:pPr>
              <w:pStyle w:val="TableText"/>
            </w:pPr>
            <w:r>
              <w:t>GQA: 4 KV heads</w:t>
            </w:r>
          </w:p>
        </w:tc>
        <w:tc>
          <w:tcPr>
            <w:tcW w:type="dxa" w:w="2000"/>
          </w:tcPr>
          <w:p>
            <w:pPr>
              <w:pStyle w:val="TableText"/>
            </w:pPr>
            <w:r>
              <w:t>256</w:t>
            </w:r>
          </w:p>
        </w:tc>
        <w:tc>
          <w:tcPr>
            <w:tcW w:type="dxa" w:w="2000"/>
          </w:tcPr>
          <w:p>
            <w:pPr>
              <w:pStyle w:val="TableText"/>
            </w:pPr>
            <w:r>
              <w:t>1,024</w:t>
            </w:r>
          </w:p>
        </w:tc>
      </w:tr>
      <w:tr>
        <w:trPr>
          <w:cantSplit/>
        </w:trPr>
        <w:tc>
          <w:tcPr>
            <w:tcW w:type="dxa" w:w="5360"/>
          </w:tcPr>
          <w:p>
            <w:pPr>
              <w:pStyle w:val="TableText"/>
            </w:pPr>
            <w:r>
              <w:t>MQA: 1 KV head</w:t>
            </w:r>
          </w:p>
        </w:tc>
        <w:tc>
          <w:tcPr>
            <w:tcW w:type="dxa" w:w="2000"/>
          </w:tcPr>
          <w:p>
            <w:pPr>
              <w:pStyle w:val="TableText"/>
            </w:pPr>
            <w:r>
              <w:t>1,024</w:t>
            </w:r>
          </w:p>
        </w:tc>
        <w:tc>
          <w:tcPr>
            <w:tcW w:type="dxa" w:w="2000"/>
          </w:tcPr>
          <w:p>
            <w:pPr>
              <w:pStyle w:val="TableText"/>
            </w:pPr>
            <w:r>
              <w:t>4,096</w:t>
            </w:r>
          </w:p>
        </w:tc>
      </w:tr>
    </w:tbl>
    <w:p>
      <w:pPr>
        <w:pStyle w:val="Caption"/>
      </w:pPr>
      <w:r>
        <w:t>Table 2. Tokens of KV payload per allocation, using r=16, bf16 factors and one bf16 momentum array per factor. Quantization scales, residual high-precision windows, allocator overhead and decision statistics are excluded from this illustrative arithmetic. These are byte equivalents, not equal-recall claims.</w:t>
      </w:r>
    </w:p>
    <w:p>
      <w:r>
        <w:t>If the number of live experts grows as αT, and the memory system retains a window of W tokens plus fixed additional state S₀, its storage is below a full-history cache only if</w:t>
      </w:r>
    </w:p>
    <w:p>
      <w:pPr>
        <w:pStyle w:val="Equation"/>
        <w:tabs>
          <w:tab w:pos="9331" w:val="right"/>
        </w:tabs>
      </w:pPr>
      <w:r/>
      <m:oMath>
        <m:r>
          <m:t xml:space="preserve">T</m:t>
        </m:r>
        <m:r>
          <m:t xml:space="preserve">(</m:t>
        </m:r>
        <m:r>
          <m:t xml:space="preserve">1</m:t>
        </m:r>
        <m:r>
          <m:t xml:space="preserve">−</m:t>
        </m:r>
        <m:r>
          <m:t xml:space="preserve">α</m:t>
        </m:r>
        <m:sSub>
          <m:e>
            <m:r>
              <m:t xml:space="preserve">R</m:t>
            </m:r>
          </m:e>
          <m:sub>
            <m:r>
              <m:rPr>
                <m:sty m:val="p"/>
              </m:rPr>
              <m:t xml:space="preserve">alloc</m:t>
            </m:r>
          </m:sub>
        </m:sSub>
        <m:r>
          <m:t xml:space="preserve">)</m:t>
        </m:r>
        <m:r>
          <m:t xml:space="preserve">&gt;</m:t>
        </m:r>
        <m:r>
          <m:t xml:space="preserve">W</m:t>
        </m:r>
        <m:r>
          <m:t xml:space="preserve">+</m:t>
        </m:r>
        <m:f>
          <m:num>
            <m:sSub>
              <m:e>
                <m:r>
                  <m:t xml:space="preserve">S</m:t>
                </m:r>
              </m:e>
              <m:sub>
                <m:r>
                  <m:t xml:space="preserve">0</m:t>
                </m:r>
              </m:sub>
            </m:sSub>
          </m:num>
          <m:den>
            <m:sSub>
              <m:e>
                <m:r>
                  <m:t xml:space="preserve">c</m:t>
                </m:r>
              </m:e>
              <m:sub>
                <m:r>
                  <m:rPr>
                    <m:sty m:val="p"/>
                  </m:rPr>
                  <m:t xml:space="preserve">KV</m:t>
                </m:r>
              </m:sub>
            </m:sSub>
          </m:den>
        </m:f>
      </m:oMath>
      <w:r>
        <w:tab/>
        <w:t>(6)</w:t>
      </w:r>
    </w:p>
    <w:p>
      <w:r>
        <w:t>Thus α</w:t>
      </w:r>
      <m:oMath>
        <m:sSub>
          <m:e>
            <m:r>
              <m:t xml:space="preserve">R</m:t>
            </m:r>
          </m:e>
          <m:sub>
            <m:r>
              <m:rPr>
                <m:sty m:val="p"/>
              </m:rPr>
              <m:t xml:space="preserve">alloc</m:t>
            </m:r>
          </m:sub>
        </m:sSub>
      </m:oMath>
      <w:r>
        <w:t>&lt;1 is necessary before a longer horizon can help. This is an average live-growth restriction. It does not forbid a high-value fact from receiving its own expert. Recycling, eviction and variable rank change the live-state equation; gross allocation rate must not be substituted for net growth. A comparison against another bounded-window model requires a different baseline.</w:t>
      </w:r>
    </w:p>
    <w:p>
      <w:r>
        <w:t>A separate accounting note should compare concrete serving configurations of Titans, ATLAS, TNT-trained models and gated linear attention. That specification audit is outside the scope of this manuscript; the present table reports only the explicit allocation normalization above.</w:t>
      </w:r>
    </w:p>
    <w:p>
      <w:r>
        <w:br w:type="page"/>
      </w:r>
    </w:p>
    <w:p>
      <w:pPr>
        <w:pStyle w:val="Heading1"/>
      </w:pPr>
      <w:r>
        <w:t>4. Exact interference in projected form</w:t>
      </w:r>
    </w:p>
    <w:p>
      <w:r>
        <w:t>For a fixed protected history, let K contain keys as columns, V contain target values, and Ω be a fixed nonnegative diagonal weight matrix. The weights encode the chosen past-loss objective, not a demonstrated model of future query frequency.</w:t>
      </w:r>
    </w:p>
    <w:p>
      <w:pPr>
        <w:pStyle w:val="Equation"/>
        <w:tabs>
          <w:tab w:pos="9331" w:val="right"/>
        </w:tabs>
      </w:pPr>
      <w:r/>
      <m:oMath>
        <m:r>
          <m:t xml:space="preserve">ℒ</m:t>
        </m:r>
        <m:r>
          <m:t xml:space="preserve">(</m:t>
        </m:r>
        <m:r>
          <m:t xml:space="preserve">M</m:t>
        </m:r>
        <m:r>
          <m:t xml:space="preserve">)</m:t>
        </m:r>
        <m:r>
          <m:t xml:space="preserve">=</m:t>
        </m:r>
        <m:f>
          <m:num>
            <m:r>
              <m:t xml:space="preserve">1</m:t>
            </m:r>
          </m:num>
          <m:den>
            <m:r>
              <m:t xml:space="preserve">2</m:t>
            </m:r>
          </m:den>
        </m:f>
        <m:r>
          <m:t xml:space="preserve">‖</m:t>
        </m:r>
        <m:r>
          <m:t xml:space="preserve">(</m:t>
        </m:r>
        <m:sSup>
          <m:e>
            <m:r>
              <m:t xml:space="preserve">M</m:t>
            </m:r>
          </m:e>
          <m:sup>
            <m:r>
              <m:t xml:space="preserve">T</m:t>
            </m:r>
          </m:sup>
        </m:sSup>
        <m:r>
          <m:t xml:space="preserve">K</m:t>
        </m:r>
        <m:r>
          <m:t xml:space="preserve">−</m:t>
        </m:r>
        <m:r>
          <m:t xml:space="preserve">V</m:t>
        </m:r>
        <m:r>
          <m:t xml:space="preserve">)</m:t>
        </m:r>
        <m:sSup>
          <m:e>
            <m:r>
              <m:t xml:space="preserve">Ω</m:t>
            </m:r>
          </m:e>
          <m:sup>
            <m:r>
              <m:t xml:space="preserve">1</m:t>
            </m:r>
            <m:r>
              <m:t xml:space="preserve">/</m:t>
            </m:r>
            <m:r>
              <m:t xml:space="preserve">2</m:t>
            </m:r>
          </m:sup>
        </m:sSup>
        <m:sSup>
          <m:e>
            <m:sSub>
              <m:e>
                <m:r>
                  <m:t xml:space="preserve">‖</m:t>
                </m:r>
              </m:e>
              <m:sub>
                <m:r>
                  <m:t xml:space="preserve">F</m:t>
                </m:r>
              </m:sub>
            </m:sSub>
          </m:e>
          <m:sup>
            <m:r>
              <m:t xml:space="preserve">2</m:t>
            </m:r>
          </m:sup>
        </m:sSup>
      </m:oMath>
      <w:r>
        <w:tab/>
        <w:t>(7)</w:t>
      </w:r>
    </w:p>
    <w:p>
      <w:pPr>
        <w:pStyle w:val="Equation"/>
        <w:tabs>
          <w:tab w:pos="9331" w:val="right"/>
        </w:tabs>
      </w:pPr>
      <w:r/>
      <m:oMath>
        <m:r>
          <m:t xml:space="preserve">H</m:t>
        </m:r>
        <m:r>
          <m:t xml:space="preserve">=</m:t>
        </m:r>
        <m:r>
          <m:t xml:space="preserve">K</m:t>
        </m:r>
        <m:r>
          <m:t xml:space="preserve">Ω</m:t>
        </m:r>
        <m:sSup>
          <m:e>
            <m:r>
              <m:t xml:space="preserve">K</m:t>
            </m:r>
          </m:e>
          <m:sup>
            <m:r>
              <m:t xml:space="preserve">T</m:t>
            </m:r>
          </m:sup>
        </m:sSup>
        <m:r>
          <m:t xml:space="preserve">,</m:t>
        </m:r>
        <m:r>
          <m:t xml:space="preserve"> </m:t>
        </m:r>
        <m:r>
          <m:t xml:space="preserve"> </m:t>
        </m:r>
        <m:r>
          <m:t xml:space="preserve"> </m:t>
        </m:r>
        <m:r>
          <m:t xml:space="preserve">C</m:t>
        </m:r>
        <m:r>
          <m:t xml:space="preserve">=</m:t>
        </m:r>
        <m:r>
          <m:t xml:space="preserve">K</m:t>
        </m:r>
        <m:r>
          <m:t xml:space="preserve">Ω</m:t>
        </m:r>
        <m:sSup>
          <m:e>
            <m:r>
              <m:t xml:space="preserve">V</m:t>
            </m:r>
          </m:e>
          <m:sup>
            <m:r>
              <m:t xml:space="preserve">T</m:t>
            </m:r>
          </m:sup>
        </m:sSup>
        <m:r>
          <m:t xml:space="preserve">,</m:t>
        </m:r>
        <m:r>
          <m:t xml:space="preserve"> </m:t>
        </m:r>
        <m:r>
          <m:t xml:space="preserve"> </m:t>
        </m:r>
        <m:r>
          <m:t xml:space="preserve"> </m:t>
        </m:r>
        <m:r>
          <m:t xml:space="preserve">G</m:t>
        </m:r>
        <m:r>
          <m:t xml:space="preserve">=</m:t>
        </m:r>
        <m:r>
          <m:t xml:space="preserve">H</m:t>
        </m:r>
        <m:r>
          <m:t xml:space="preserve">M</m:t>
        </m:r>
        <m:r>
          <m:t xml:space="preserve">−</m:t>
        </m:r>
        <m:r>
          <m:t xml:space="preserve">C</m:t>
        </m:r>
      </m:oMath>
      <w:r>
        <w:tab/>
        <w:t>(8)</w:t>
      </w:r>
    </w:p>
    <w:p>
      <w:r/>
      <w:r>
        <w:rPr>
          <w:b/>
        </w:rPr>
        <w:t xml:space="preserve">Proposition 1 (exact finite-write cost). </w:t>
      </w:r>
      <w:r>
        <w:t>For every conformable matrix change Δ, the change in this linear squared-error objective is</w:t>
      </w:r>
    </w:p>
    <w:p>
      <w:pPr>
        <w:pStyle w:val="Equation"/>
        <w:tabs>
          <w:tab w:pos="9331" w:val="right"/>
        </w:tabs>
      </w:pPr>
      <w:r/>
      <m:oMath>
        <m:r>
          <m:t xml:space="preserve">D</m:t>
        </m:r>
        <m:r>
          <m:t xml:space="preserve">(</m:t>
        </m:r>
        <m:r>
          <m:t xml:space="preserve">Δ</m:t>
        </m:r>
        <m:r>
          <m:t xml:space="preserve">)</m:t>
        </m:r>
        <m:r>
          <m:t xml:space="preserve">=</m:t>
        </m:r>
        <m:r>
          <m:t xml:space="preserve">ℒ</m:t>
        </m:r>
        <m:r>
          <m:t xml:space="preserve">(</m:t>
        </m:r>
        <m:r>
          <m:t xml:space="preserve">M</m:t>
        </m:r>
        <m:r>
          <m:t xml:space="preserve">+</m:t>
        </m:r>
        <m:r>
          <m:t xml:space="preserve">Δ</m:t>
        </m:r>
        <m:r>
          <m:t xml:space="preserve">)</m:t>
        </m:r>
        <m:r>
          <m:t xml:space="preserve">−</m:t>
        </m:r>
        <m:r>
          <m:t xml:space="preserve">ℒ</m:t>
        </m:r>
        <m:r>
          <m:t xml:space="preserve">(</m:t>
        </m:r>
        <m:r>
          <m:t xml:space="preserve">M</m:t>
        </m:r>
        <m:r>
          <m:t xml:space="preserve">)</m:t>
        </m:r>
        <m:r>
          <m:t xml:space="preserve">=</m:t>
        </m:r>
        <m:r>
          <m:t xml:space="preserve">⟨</m:t>
        </m:r>
        <m:r>
          <m:t xml:space="preserve">Δ</m:t>
        </m:r>
        <m:r>
          <m:t xml:space="preserve">,</m:t>
        </m:r>
        <m:r>
          <m:t xml:space="preserve">G</m:t>
        </m:r>
        <m:sSub>
          <m:e>
            <m:r>
              <m:t xml:space="preserve">⟩</m:t>
            </m:r>
          </m:e>
          <m:sub>
            <m:r>
              <m:t xml:space="preserve">F</m:t>
            </m:r>
          </m:sub>
        </m:sSub>
        <m:r>
          <m:t xml:space="preserve">+</m:t>
        </m:r>
        <m:f>
          <m:num>
            <m:r>
              <m:t xml:space="preserve">1</m:t>
            </m:r>
          </m:num>
          <m:den>
            <m:r>
              <m:t xml:space="preserve">2</m:t>
            </m:r>
          </m:den>
        </m:f>
        <m:r>
          <m:rPr>
            <m:sty m:val="p"/>
          </m:rPr>
          <m:t xml:space="preserve">tr</m:t>
        </m:r>
        <m:r>
          <m:t xml:space="preserve">(</m:t>
        </m:r>
        <m:sSup>
          <m:e>
            <m:r>
              <m:t xml:space="preserve">Δ</m:t>
            </m:r>
          </m:e>
          <m:sup>
            <m:r>
              <m:t xml:space="preserve">T</m:t>
            </m:r>
          </m:sup>
        </m:sSup>
        <m:r>
          <m:t xml:space="preserve">H</m:t>
        </m:r>
        <m:r>
          <m:t xml:space="preserve">Δ</m:t>
        </m:r>
        <m:r>
          <m:t xml:space="preserve">)</m:t>
        </m:r>
      </m:oMath>
      <w:r>
        <w:tab/>
        <w:t>(9)</w:t>
      </w:r>
    </w:p>
    <w:p>
      <w:r>
        <w:t>Proof. Expand the squared Frobenius norm after adding ΔᵀKΩ¹ᐟ². The cross term is the Frobenius product with KΩ(KᵀM−Vᵀ)=HM−C, and the squared added term is tr(ΔᵀHΔ). No infinitesimal approximation is used. □</w:t>
      </w:r>
    </w:p>
    <w:p>
      <w:r>
        <w:t>Write a candidate as Δ=cUZ, with U of size d×s and Z of size s×dₒ. The same quantity becomes</w:t>
      </w:r>
    </w:p>
    <w:p>
      <w:pPr>
        <w:pStyle w:val="Equation"/>
        <w:tabs>
          <w:tab w:pos="9331" w:val="right"/>
        </w:tabs>
      </w:pPr>
      <w:r/>
      <m:oMath>
        <m:r>
          <m:t xml:space="preserve">D</m:t>
        </m:r>
        <m:r>
          <m:t xml:space="preserve">(</m:t>
        </m:r>
        <m:r>
          <m:t xml:space="preserve">c</m:t>
        </m:r>
        <m:r>
          <m:t xml:space="preserve">U</m:t>
        </m:r>
        <m:r>
          <m:t xml:space="preserve">Z</m:t>
        </m:r>
        <m:r>
          <m:t xml:space="preserve">)</m:t>
        </m:r>
        <m:r>
          <m:t xml:space="preserve">=</m:t>
        </m:r>
        <m:r>
          <m:t xml:space="preserve">c</m:t>
        </m:r>
        <m:r>
          <m:t xml:space="preserve">⟨</m:t>
        </m:r>
        <m:r>
          <m:t xml:space="preserve">Z</m:t>
        </m:r>
        <m:r>
          <m:t xml:space="preserve">,</m:t>
        </m:r>
        <m:sSup>
          <m:e>
            <m:r>
              <m:t xml:space="preserve">U</m:t>
            </m:r>
          </m:e>
          <m:sup>
            <m:r>
              <m:t xml:space="preserve">T</m:t>
            </m:r>
          </m:sup>
        </m:sSup>
        <m:r>
          <m:t xml:space="preserve">G</m:t>
        </m:r>
        <m:sSub>
          <m:e>
            <m:r>
              <m:t xml:space="preserve">⟩</m:t>
            </m:r>
          </m:e>
          <m:sub>
            <m:r>
              <m:t xml:space="preserve">F</m:t>
            </m:r>
          </m:sub>
        </m:sSub>
        <m:r>
          <m:t xml:space="preserve">+</m:t>
        </m:r>
        <m:f>
          <m:num>
            <m:sSup>
              <m:e>
                <m:r>
                  <m:t xml:space="preserve">c</m:t>
                </m:r>
              </m:e>
              <m:sup>
                <m:r>
                  <m:t xml:space="preserve">2</m:t>
                </m:r>
              </m:sup>
            </m:sSup>
          </m:num>
          <m:den>
            <m:r>
              <m:t xml:space="preserve">2</m:t>
            </m:r>
          </m:den>
        </m:f>
        <m:r>
          <m:rPr>
            <m:sty m:val="p"/>
          </m:rPr>
          <m:t xml:space="preserve">tr</m:t>
        </m:r>
        <m:r>
          <m:t xml:space="preserve">[</m:t>
        </m:r>
        <m:r>
          <m:t xml:space="preserve">(</m:t>
        </m:r>
        <m:sSup>
          <m:e>
            <m:r>
              <m:t xml:space="preserve">U</m:t>
            </m:r>
          </m:e>
          <m:sup>
            <m:r>
              <m:t xml:space="preserve">T</m:t>
            </m:r>
          </m:sup>
        </m:sSup>
        <m:r>
          <m:t xml:space="preserve">H</m:t>
        </m:r>
        <m:r>
          <m:t xml:space="preserve">U</m:t>
        </m:r>
        <m:r>
          <m:t xml:space="preserve">)</m:t>
        </m:r>
        <m:r>
          <m:t xml:space="preserve">(</m:t>
        </m:r>
        <m:r>
          <m:t xml:space="preserve">Z</m:t>
        </m:r>
        <m:sSup>
          <m:e>
            <m:r>
              <m:t xml:space="preserve">Z</m:t>
            </m:r>
          </m:e>
          <m:sup>
            <m:r>
              <m:t xml:space="preserve">T</m:t>
            </m:r>
          </m:sup>
        </m:sSup>
        <m:r>
          <m:t xml:space="preserve">)</m:t>
        </m:r>
        <m:r>
          <m:t xml:space="preserve">]</m:t>
        </m:r>
      </m:oMath>
      <w:r>
        <w:tab/>
        <w:t>(10)</w:t>
      </w:r>
    </w:p>
    <w:p>
      <w:r>
        <w:t>Only UᵀHU and UᵀG are needed for this candidate: s² and sdₒ scalar arrays. For s=16 the former contains 256 scalars. This projection is an evaluation interface, not yet a history-maintenance algorithm. Producing new projections after U moves is the substantive state problem.</w:t>
      </w:r>
    </w:p>
    <w:p>
      <w:pPr>
        <w:pStyle w:val="Heading2"/>
      </w:pPr>
      <w:r>
        <w:t>4.1 Candidate rank is not necessarily overlay rank</w:t>
      </w:r>
    </w:p>
    <w:p>
      <w:pPr>
        <w:pStyle w:val="Equation"/>
        <w:tabs>
          <w:tab w:pos="9331" w:val="right"/>
        </w:tabs>
      </w:pPr>
      <w:r/>
      <m:oMath>
        <m:r>
          <m:t xml:space="preserve">(</m:t>
        </m:r>
        <m:r>
          <m:t xml:space="preserve">A</m:t>
        </m:r>
        <m:r>
          <m:t xml:space="preserve">+</m:t>
        </m:r>
        <m:r>
          <m:t xml:space="preserve">δ</m:t>
        </m:r>
        <m:r>
          <m:t xml:space="preserve">A</m:t>
        </m:r>
        <m:r>
          <m:t xml:space="preserve">)</m:t>
        </m:r>
        <m:r>
          <m:t xml:space="preserve">(</m:t>
        </m:r>
        <m:r>
          <m:t xml:space="preserve">B</m:t>
        </m:r>
        <m:r>
          <m:t xml:space="preserve">+</m:t>
        </m:r>
        <m:r>
          <m:t xml:space="preserve">δ</m:t>
        </m:r>
        <m:r>
          <m:t xml:space="preserve">B</m:t>
        </m:r>
        <m:r>
          <m:t xml:space="preserve">)</m:t>
        </m:r>
        <m:r>
          <m:t xml:space="preserve">−</m:t>
        </m:r>
        <m:r>
          <m:t xml:space="preserve">A</m:t>
        </m:r>
        <m:r>
          <m:t xml:space="preserve">B</m:t>
        </m:r>
        <m:r>
          <m:t xml:space="preserve">=</m:t>
        </m:r>
        <m:r>
          <m:t xml:space="preserve">A</m:t>
        </m:r>
        <m:r>
          <m:t xml:space="preserve">δ</m:t>
        </m:r>
        <m:r>
          <m:t xml:space="preserve">B</m:t>
        </m:r>
        <m:r>
          <m:t xml:space="preserve">+</m:t>
        </m:r>
        <m:r>
          <m:t xml:space="preserve">δ</m:t>
        </m:r>
        <m:r>
          <m:t xml:space="preserve">A</m:t>
        </m:r>
        <m:r>
          <m:t xml:space="preserve">(</m:t>
        </m:r>
        <m:r>
          <m:t xml:space="preserve">B</m:t>
        </m:r>
        <m:r>
          <m:t xml:space="preserve">+</m:t>
        </m:r>
        <m:r>
          <m:t xml:space="preserve">δ</m:t>
        </m:r>
        <m:r>
          <m:t xml:space="preserve">B</m:t>
        </m:r>
        <m:r>
          <m:t xml:space="preserve">)</m:t>
        </m:r>
      </m:oMath>
      <w:r>
        <w:tab/>
        <w:t>(11)</w:t>
      </w:r>
    </w:p>
    <w:p>
      <w:r>
        <w:t>When both factors change, the matrix difference can have rank up to 2r, although each endpoint overlay has rank at most r. A claim that every deployed update has rank r therefore needs a one-factor restriction or another explicit update rule. The projected identity uses the actual candidate rank s. A write may refine, rotate or replace represented information; it need not consume an additional irreversible rank slot.</w:t>
      </w:r>
    </w:p>
    <w:p>
      <w:r>
        <w:br w:type="page"/>
      </w:r>
    </w:p>
    <w:p>
      <w:pPr>
        <w:pStyle w:val="Heading1"/>
      </w:pPr>
      <w:r>
        <w:t>5. Compact exact statistics and direction drift</w:t>
      </w:r>
    </w:p>
    <w:p>
      <w:r/>
      <w:r>
        <w:rPr>
          <w:b/>
        </w:rPr>
        <w:t xml:space="preserve">Proposition 2 (fixed-subspace sufficiency). </w:t>
      </w:r>
      <w:r>
        <w:t>Suppose M=M₀+UR with U fixed, and let Y=V−M₀ᵀK. Define the following projected statistics:</w:t>
      </w:r>
    </w:p>
    <w:p>
      <w:pPr>
        <w:pStyle w:val="Equation"/>
        <w:tabs>
          <w:tab w:pos="9331" w:val="right"/>
        </w:tabs>
      </w:pPr>
      <w:r/>
      <m:oMath>
        <m:r>
          <m:t xml:space="preserve">P</m:t>
        </m:r>
        <m:r>
          <m:t xml:space="preserve">=</m:t>
        </m:r>
        <m:sSup>
          <m:e>
            <m:r>
              <m:t xml:space="preserve">U</m:t>
            </m:r>
          </m:e>
          <m:sup>
            <m:r>
              <m:t xml:space="preserve">T</m:t>
            </m:r>
          </m:sup>
        </m:sSup>
        <m:r>
          <m:t xml:space="preserve">K</m:t>
        </m:r>
        <m:r>
          <m:t xml:space="preserve">Ω</m:t>
        </m:r>
        <m:sSup>
          <m:e>
            <m:r>
              <m:t xml:space="preserve">K</m:t>
            </m:r>
          </m:e>
          <m:sup>
            <m:r>
              <m:t xml:space="preserve">T</m:t>
            </m:r>
          </m:sup>
        </m:sSup>
        <m:r>
          <m:t xml:space="preserve">U</m:t>
        </m:r>
        <m:r>
          <m:t xml:space="preserve">,</m:t>
        </m:r>
        <m:r>
          <m:t xml:space="preserve"> </m:t>
        </m:r>
        <m:r>
          <m:t xml:space="preserve"> </m:t>
        </m:r>
        <m:r>
          <m:t xml:space="preserve"> </m:t>
        </m:r>
        <m:r>
          <m:t xml:space="preserve">Q</m:t>
        </m:r>
        <m:r>
          <m:t xml:space="preserve">=</m:t>
        </m:r>
        <m:sSup>
          <m:e>
            <m:r>
              <m:t xml:space="preserve">U</m:t>
            </m:r>
          </m:e>
          <m:sup>
            <m:r>
              <m:t xml:space="preserve">T</m:t>
            </m:r>
          </m:sup>
        </m:sSup>
        <m:r>
          <m:t xml:space="preserve">K</m:t>
        </m:r>
        <m:r>
          <m:t xml:space="preserve">Ω</m:t>
        </m:r>
        <m:sSup>
          <m:e>
            <m:r>
              <m:t xml:space="preserve">Y</m:t>
            </m:r>
          </m:e>
          <m:sup>
            <m:r>
              <m:t xml:space="preserve">T</m:t>
            </m:r>
          </m:sup>
        </m:sSup>
        <m:r>
          <m:t xml:space="preserve">,</m:t>
        </m:r>
        <m:r>
          <m:t xml:space="preserve"> </m:t>
        </m:r>
        <m:r>
          <m:t xml:space="preserve"> </m:t>
        </m:r>
        <m:r>
          <m:t xml:space="preserve"> </m:t>
        </m:r>
        <m:r>
          <m:t xml:space="preserve">z</m:t>
        </m:r>
        <m:r>
          <m:t xml:space="preserve">=</m:t>
        </m:r>
        <m:r>
          <m:rPr>
            <m:sty m:val="p"/>
          </m:rPr>
          <m:t xml:space="preserve">tr</m:t>
        </m:r>
        <m:r>
          <m:t xml:space="preserve">(</m:t>
        </m:r>
        <m:r>
          <m:t xml:space="preserve">Y</m:t>
        </m:r>
        <m:r>
          <m:t xml:space="preserve">Ω</m:t>
        </m:r>
        <m:sSup>
          <m:e>
            <m:r>
              <m:t xml:space="preserve">Y</m:t>
            </m:r>
          </m:e>
          <m:sup>
            <m:r>
              <m:t xml:space="preserve">T</m:t>
            </m:r>
          </m:sup>
        </m:sSup>
        <m:r>
          <m:t xml:space="preserve">)</m:t>
        </m:r>
      </m:oMath>
      <w:r>
        <w:tab/>
        <w:t>(12)</w:t>
      </w:r>
    </w:p>
    <w:p>
      <w:pPr>
        <w:pStyle w:val="Equation"/>
        <w:tabs>
          <w:tab w:pos="9331" w:val="right"/>
        </w:tabs>
      </w:pPr>
      <w:r/>
      <m:oMath>
        <m:r>
          <m:t xml:space="preserve">ℒ</m:t>
        </m:r>
        <m:r>
          <m:t xml:space="preserve">(</m:t>
        </m:r>
        <m:r>
          <m:t xml:space="preserve">R</m:t>
        </m:r>
        <m:r>
          <m:t xml:space="preserve">)</m:t>
        </m:r>
        <m:r>
          <m:t xml:space="preserve">=</m:t>
        </m:r>
        <m:f>
          <m:num>
            <m:r>
              <m:t xml:space="preserve">1</m:t>
            </m:r>
          </m:num>
          <m:den>
            <m:r>
              <m:t xml:space="preserve">2</m:t>
            </m:r>
          </m:den>
        </m:f>
        <m:r>
          <m:rPr>
            <m:sty m:val="p"/>
          </m:rPr>
          <m:t xml:space="preserve">tr</m:t>
        </m:r>
        <m:r>
          <m:t xml:space="preserve">(</m:t>
        </m:r>
        <m:sSup>
          <m:e>
            <m:r>
              <m:t xml:space="preserve">R</m:t>
            </m:r>
          </m:e>
          <m:sup>
            <m:r>
              <m:t xml:space="preserve">T</m:t>
            </m:r>
          </m:sup>
        </m:sSup>
        <m:r>
          <m:t xml:space="preserve">P</m:t>
        </m:r>
        <m:r>
          <m:t xml:space="preserve">R</m:t>
        </m:r>
        <m:r>
          <m:t xml:space="preserve">)</m:t>
        </m:r>
        <m:r>
          <m:t xml:space="preserve">−</m:t>
        </m:r>
        <m:r>
          <m:t xml:space="preserve">⟨</m:t>
        </m:r>
        <m:r>
          <m:t xml:space="preserve">R</m:t>
        </m:r>
        <m:r>
          <m:t xml:space="preserve">,</m:t>
        </m:r>
        <m:r>
          <m:t xml:space="preserve">Q</m:t>
        </m:r>
        <m:sSub>
          <m:e>
            <m:r>
              <m:t xml:space="preserve">⟩</m:t>
            </m:r>
          </m:e>
          <m:sub>
            <m:r>
              <m:t xml:space="preserve">F</m:t>
            </m:r>
          </m:sub>
        </m:sSub>
        <m:r>
          <m:t xml:space="preserve">+</m:t>
        </m:r>
        <m:f>
          <m:num>
            <m:r>
              <m:t xml:space="preserve">z</m:t>
            </m:r>
          </m:num>
          <m:den>
            <m:r>
              <m:t xml:space="preserve">2</m:t>
            </m:r>
          </m:den>
        </m:f>
      </m:oMath>
      <w:r>
        <w:tab/>
        <w:t>(13)</w:t>
      </w:r>
    </w:p>
    <w:p>
      <w:pPr>
        <w:pStyle w:val="Equation"/>
        <w:tabs>
          <w:tab w:pos="9331" w:val="right"/>
        </w:tabs>
      </w:pPr>
      <w:r/>
      <m:oMath>
        <m:r>
          <m:t xml:space="preserve">D</m:t>
        </m:r>
        <m:r>
          <m:t xml:space="preserve">(</m:t>
        </m:r>
        <m:r>
          <m:t xml:space="preserve">δ</m:t>
        </m:r>
        <m:r>
          <m:t xml:space="preserve">R</m:t>
        </m:r>
        <m:r>
          <m:t xml:space="preserve">)</m:t>
        </m:r>
        <m:r>
          <m:t xml:space="preserve">=</m:t>
        </m:r>
        <m:r>
          <m:t xml:space="preserve">⟨</m:t>
        </m:r>
        <m:r>
          <m:t xml:space="preserve">δ</m:t>
        </m:r>
        <m:r>
          <m:t xml:space="preserve">R</m:t>
        </m:r>
        <m:r>
          <m:t xml:space="preserve">,</m:t>
        </m:r>
        <m:r>
          <m:t xml:space="preserve">P</m:t>
        </m:r>
        <m:r>
          <m:t xml:space="preserve">R</m:t>
        </m:r>
        <m:r>
          <m:t xml:space="preserve">−</m:t>
        </m:r>
        <m:r>
          <m:t xml:space="preserve">Q</m:t>
        </m:r>
        <m:sSub>
          <m:e>
            <m:r>
              <m:t xml:space="preserve">⟩</m:t>
            </m:r>
          </m:e>
          <m:sub>
            <m:r>
              <m:t xml:space="preserve">F</m:t>
            </m:r>
          </m:sub>
        </m:sSub>
        <m:r>
          <m:t xml:space="preserve">+</m:t>
        </m:r>
        <m:f>
          <m:num>
            <m:r>
              <m:t xml:space="preserve">1</m:t>
            </m:r>
          </m:num>
          <m:den>
            <m:r>
              <m:t xml:space="preserve">2</m:t>
            </m:r>
          </m:den>
        </m:f>
        <m:r>
          <m:rPr>
            <m:sty m:val="p"/>
          </m:rPr>
          <m:t xml:space="preserve">tr</m:t>
        </m:r>
        <m:r>
          <m:t xml:space="preserve">(</m:t>
        </m:r>
        <m:r>
          <m:t xml:space="preserve">δ</m:t>
        </m:r>
        <m:sSup>
          <m:e>
            <m:r>
              <m:t xml:space="preserve">R</m:t>
            </m:r>
          </m:e>
          <m:sup>
            <m:r>
              <m:t xml:space="preserve">T</m:t>
            </m:r>
          </m:sup>
        </m:sSup>
        <m:r>
          <m:t xml:space="preserve">P</m:t>
        </m:r>
        <m:r>
          <m:t xml:space="preserve">δ</m:t>
        </m:r>
        <m:r>
          <m:t xml:space="preserve">R</m:t>
        </m:r>
        <m:r>
          <m:t xml:space="preserve">)</m:t>
        </m:r>
      </m:oMath>
      <w:r>
        <w:tab/>
        <w:t>(14)</w:t>
      </w:r>
    </w:p>
    <w:p>
      <w:r>
        <w:t>Proof. Substitute UR for the writable residual map in the weighted loss and expand. Each new pair contributes u=Uᵀk and y=v−M₀ᵀk; update P by ωuuᵀ, Q by ωuyᵀ, and z by ω‖y‖². These updates require no old pair to be retained. P and Q suffice for finite-write differences; z is needed to evaluate absolute old loss. □</w:t>
      </w:r>
    </w:p>
    <w:p>
      <w:r>
        <w:t>The statistic count is s²+sdₒ+1 with full P storage, or s(s+1)/2+sdₒ+1 using symmetry. The basis and writable coefficients are model state and must also be priced. Freezing U changes the admissible learner: only R updates, so an optimizer array for U is unnecessary. This construction refutes a universal claim that affordable exact admission is impossible.</w:t>
      </w:r>
    </w:p>
    <w:p>
      <w:pPr>
        <w:pStyle w:val="Heading2"/>
      </w:pPr>
      <w:r>
        <w:t>5.1 Why arbitrary new directions need more information</w:t>
      </w:r>
    </w:p>
    <w:p>
      <w:r>
        <w:t>A compact current projection does not determine every future projection. Let U=e₁ and Hₐ=diag(1,a), for any a≥0. Every Hₐ gives UᵀHₐU=1. A proposed new direction e₂ requires the value a, which the current projection cannot reveal. The same obstruction affects the projected cross-statistic. Recovering arbitrary discarded directions requires richer retained state, a revisit to retained observations, or assumptions on the history.</w:t>
      </w:r>
    </w:p>
    <w:p>
      <w:r>
        <w:t>Changes within the same span are different. If U′=UT, the new statistics are P′=TᵀPT and Q′=TᵀQ. Thus basis coordinates may change exactly while the underlying write subspace remains fixed. A controller should distinguish a coordinate change from a new memory direction.</w:t>
      </w:r>
    </w:p>
    <w:p>
      <w:pPr>
        <w:pStyle w:val="Equation"/>
        <w:tabs>
          <w:tab w:pos="9331" w:val="right"/>
        </w:tabs>
      </w:pPr>
      <w:r/>
      <m:oMath>
        <m:r>
          <m:t xml:space="preserve">‖</m:t>
        </m:r>
        <m:r>
          <m:t xml:space="preserve">(</m:t>
        </m:r>
        <m:r>
          <m:t xml:space="preserve">U</m:t>
        </m:r>
        <m:r>
          <m:t xml:space="preserve">+</m:t>
        </m:r>
        <m:r>
          <m:t xml:space="preserve">E</m:t>
        </m:r>
        <m:sSup>
          <m:e>
            <m:r>
              <m:t xml:space="preserve">)</m:t>
            </m:r>
          </m:e>
          <m:sup>
            <m:r>
              <m:t xml:space="preserve">T</m:t>
            </m:r>
          </m:sup>
        </m:sSup>
        <m:r>
          <m:t xml:space="preserve">H</m:t>
        </m:r>
        <m:r>
          <m:t xml:space="preserve">(</m:t>
        </m:r>
        <m:r>
          <m:t xml:space="preserve">U</m:t>
        </m:r>
        <m:r>
          <m:t xml:space="preserve">+</m:t>
        </m:r>
        <m:r>
          <m:t xml:space="preserve">E</m:t>
        </m:r>
        <m:r>
          <m:t xml:space="preserve">)</m:t>
        </m:r>
        <m:r>
          <m:t xml:space="preserve">−</m:t>
        </m:r>
        <m:sSup>
          <m:e>
            <m:r>
              <m:t xml:space="preserve">U</m:t>
            </m:r>
          </m:e>
          <m:sup>
            <m:r>
              <m:t xml:space="preserve">T</m:t>
            </m:r>
          </m:sup>
        </m:sSup>
        <m:r>
          <m:t xml:space="preserve">H</m:t>
        </m:r>
        <m:r>
          <m:t xml:space="preserve">U</m:t>
        </m:r>
        <m:sSub>
          <m:e>
            <m:r>
              <m:t xml:space="preserve">‖</m:t>
            </m:r>
          </m:e>
          <m:sub>
            <m:r>
              <m:t xml:space="preserve">2</m:t>
            </m:r>
          </m:sub>
        </m:sSub>
        <m:r>
          <m:t xml:space="preserve">≤</m:t>
        </m:r>
        <m:r>
          <m:t xml:space="preserve">‖</m:t>
        </m:r>
        <m:r>
          <m:t xml:space="preserve">H</m:t>
        </m:r>
        <m:sSub>
          <m:e>
            <m:r>
              <m:t xml:space="preserve">‖</m:t>
            </m:r>
          </m:e>
          <m:sub>
            <m:r>
              <m:t xml:space="preserve">2</m:t>
            </m:r>
          </m:sub>
        </m:sSub>
        <m:r>
          <m:t xml:space="preserve">(</m:t>
        </m:r>
        <m:r>
          <m:t xml:space="preserve">2</m:t>
        </m:r>
        <m:r>
          <m:t xml:space="preserve">‖</m:t>
        </m:r>
        <m:r>
          <m:t xml:space="preserve">U</m:t>
        </m:r>
        <m:sSub>
          <m:e>
            <m:r>
              <m:t xml:space="preserve">‖</m:t>
            </m:r>
          </m:e>
          <m:sub>
            <m:r>
              <m:t xml:space="preserve">2</m:t>
            </m:r>
          </m:sub>
        </m:sSub>
        <m:r>
          <m:t xml:space="preserve">‖</m:t>
        </m:r>
        <m:r>
          <m:t xml:space="preserve">E</m:t>
        </m:r>
        <m:sSub>
          <m:e>
            <m:r>
              <m:t xml:space="preserve">‖</m:t>
            </m:r>
          </m:e>
          <m:sub>
            <m:r>
              <m:t xml:space="preserve">2</m:t>
            </m:r>
          </m:sub>
        </m:sSub>
        <m:r>
          <m:t xml:space="preserve">+</m:t>
        </m:r>
        <m:r>
          <m:t xml:space="preserve">‖</m:t>
        </m:r>
        <m:r>
          <m:t xml:space="preserve">E</m:t>
        </m:r>
        <m:sSup>
          <m:e>
            <m:sSub>
              <m:e>
                <m:r>
                  <m:t xml:space="preserve">‖</m:t>
                </m:r>
              </m:e>
              <m:sub>
                <m:r>
                  <m:t xml:space="preserve">2</m:t>
                </m:r>
              </m:sub>
            </m:sSub>
          </m:e>
          <m:sup>
            <m:r>
              <m:t xml:space="preserve">2</m:t>
            </m:r>
          </m:sup>
        </m:sSup>
        <m:r>
          <m:t xml:space="preserve">)</m:t>
        </m:r>
      </m:oMath>
      <w:r>
        <w:tab/>
        <w:t>(15)</w:t>
      </w:r>
    </w:p>
    <w:p>
      <w:r>
        <w:t>The last inequality follows by expanding the three added terms and applying submultiplicativity. It can support a refresh rule when the required norm bounds are themselves available and counted. It is not a free certificate from the cached projection alone.</w:t>
      </w:r>
    </w:p>
    <w:p>
      <w:r>
        <w:br w:type="page"/>
      </w:r>
    </w:p>
    <w:p>
      <w:pPr>
        <w:pStyle w:val="Heading1"/>
      </w:pPr>
      <w:r>
        <w:t>6. When curvature-only admission is justified</w:t>
      </w:r>
    </w:p>
    <w:p>
      <w:r/>
      <w:r>
        <w:rPr>
          <w:b/>
        </w:rPr>
        <w:t xml:space="preserve">Proposition 3 (residual-dependent bound). </w:t>
      </w:r>
      <w:r>
        <w:t xml:space="preserve">Let </w:t>
      </w:r>
      <m:oMath>
        <m:sSub>
          <m:e>
            <m:r>
              <m:t xml:space="preserve">Q</m:t>
            </m:r>
          </m:e>
          <m:sub>
            <m:r>
              <m:t xml:space="preserve">Δ</m:t>
            </m:r>
          </m:sub>
        </m:sSub>
      </m:oMath>
      <w:r>
        <w:t>=½tr(ΔᵀHΔ). For the old weighted loss ℒ,</w:t>
      </w:r>
    </w:p>
    <w:p>
      <w:pPr>
        <w:pStyle w:val="Equation"/>
        <w:tabs>
          <w:tab w:pos="9331" w:val="right"/>
        </w:tabs>
      </w:pPr>
      <w:r/>
      <m:oMath>
        <m:r>
          <m:t xml:space="preserve">|</m:t>
        </m:r>
        <m:r>
          <m:t xml:space="preserve">D</m:t>
        </m:r>
        <m:r>
          <m:t xml:space="preserve">(</m:t>
        </m:r>
        <m:r>
          <m:t xml:space="preserve">Δ</m:t>
        </m:r>
        <m:r>
          <m:t xml:space="preserve">)</m:t>
        </m:r>
        <m:r>
          <m:t xml:space="preserve">−</m:t>
        </m:r>
        <m:sSub>
          <m:e>
            <m:r>
              <m:t xml:space="preserve">Q</m:t>
            </m:r>
          </m:e>
          <m:sub>
            <m:r>
              <m:t xml:space="preserve">Δ</m:t>
            </m:r>
          </m:sub>
        </m:sSub>
        <m:r>
          <m:t xml:space="preserve">|</m:t>
        </m:r>
        <m:r>
          <m:t xml:space="preserve">≤</m:t>
        </m:r>
        <m:r>
          <m:t xml:space="preserve">2</m:t>
        </m:r>
        <m:rad>
          <m:radPr>
            <m:degHide m:val="1"/>
          </m:radPr>
          <m:deg/>
          <m:e>
            <m:r>
              <m:t xml:space="preserve">ℒ</m:t>
            </m:r>
            <m:r>
              <m:t xml:space="preserve">(</m:t>
            </m:r>
            <m:r>
              <m:t xml:space="preserve">M</m:t>
            </m:r>
            <m:r>
              <m:t xml:space="preserve">)</m:t>
            </m:r>
            <m:sSub>
              <m:e>
                <m:r>
                  <m:t xml:space="preserve">Q</m:t>
                </m:r>
              </m:e>
              <m:sub>
                <m:r>
                  <m:t xml:space="preserve">Δ</m:t>
                </m:r>
              </m:sub>
            </m:sSub>
          </m:e>
        </m:rad>
      </m:oMath>
      <w:r>
        <w:tab/>
        <w:t>(16)</w:t>
      </w:r>
    </w:p>
    <w:p>
      <w:r>
        <w:t>Proof. The omitted linear term is the inner product between the weighted old residual matrix and the weighted prediction change. Cauchy–Schwarz bounds it by √(2ℒ)√(2</w:t>
      </w:r>
      <m:oMath>
        <m:sSub>
          <m:e>
            <m:r>
              <m:t xml:space="preserve">Q</m:t>
            </m:r>
          </m:e>
          <m:sub>
            <m:r>
              <m:t xml:space="preserve">Δ</m:t>
            </m:r>
          </m:sub>
        </m:sSub>
      </m:oMath>
      <w:r>
        <w:t>). □</w:t>
      </w:r>
    </w:p>
    <w:p>
      <w:r>
        <w:t>If all protected pairs are fitted exactly, the linear term vanishes and D=</w:t>
      </w:r>
      <m:oMath>
        <m:sSub>
          <m:e>
            <m:r>
              <m:t xml:space="preserve">Q</m:t>
            </m:r>
          </m:e>
          <m:sub>
            <m:r>
              <m:t xml:space="preserve">Δ</m:t>
            </m:r>
          </m:sub>
        </m:sSub>
      </m:oMath>
      <w:r>
        <w:t>. More generally, G=0 suffices even when the old loss is nonzero; for a restricted candidate space, UᵀG=0 suffices. Exact fit is therefore a sufficient condition, not the weakest one.</w:t>
      </w:r>
    </w:p>
    <w:p>
      <w:r>
        <w:t>A small loss on the latest observation does not establish small loss on the protected history. Nor does high nearest-neighbor identifier recall establish exact vector fit. After an accepted write, old exact fit can be lost. A healthy-state controller must revalidate its residual bound or maintain the information needed to update it.</w:t>
      </w:r>
    </w:p>
    <w:p>
      <w:pPr>
        <w:pStyle w:val="Equation"/>
        <w:tabs>
          <w:tab w:pos="9331" w:val="right"/>
        </w:tabs>
      </w:pPr>
      <w:r/>
      <m:oMath>
        <m:sSub>
          <m:e>
            <m:r>
              <m:t xml:space="preserve">Q</m:t>
            </m:r>
          </m:e>
          <m:sub>
            <m:r>
              <m:rPr>
                <m:sty m:val="p"/>
              </m:rPr>
              <m:t xml:space="preserve">lo</m:t>
            </m:r>
          </m:sub>
        </m:sSub>
        <m:r>
          <m:t xml:space="preserve">−</m:t>
        </m:r>
        <m:r>
          <m:t xml:space="preserve">2</m:t>
        </m:r>
        <m:rad>
          <m:radPr>
            <m:degHide m:val="1"/>
          </m:radPr>
          <m:deg/>
          <m:e>
            <m:sSub>
              <m:e>
                <m:r>
                  <m:t xml:space="preserve">ε</m:t>
                </m:r>
              </m:e>
              <m:sub>
                <m:r>
                  <m:t xml:space="preserve">L</m:t>
                </m:r>
              </m:sub>
            </m:sSub>
            <m:sSub>
              <m:e>
                <m:r>
                  <m:t xml:space="preserve">Q</m:t>
                </m:r>
              </m:e>
              <m:sub>
                <m:r>
                  <m:rPr>
                    <m:sty m:val="p"/>
                  </m:rPr>
                  <m:t xml:space="preserve">hi</m:t>
                </m:r>
              </m:sub>
            </m:sSub>
          </m:e>
        </m:rad>
        <m:r>
          <m:t xml:space="preserve">≤</m:t>
        </m:r>
        <m:r>
          <m:t xml:space="preserve">D</m:t>
        </m:r>
        <m:r>
          <m:t xml:space="preserve">(</m:t>
        </m:r>
        <m:r>
          <m:t xml:space="preserve">Δ</m:t>
        </m:r>
        <m:r>
          <m:t xml:space="preserve">)</m:t>
        </m:r>
        <m:r>
          <m:t xml:space="preserve">≤</m:t>
        </m:r>
        <m:sSub>
          <m:e>
            <m:r>
              <m:t xml:space="preserve">Q</m:t>
            </m:r>
          </m:e>
          <m:sub>
            <m:r>
              <m:rPr>
                <m:sty m:val="p"/>
              </m:rPr>
              <m:t xml:space="preserve">hi</m:t>
            </m:r>
          </m:sub>
        </m:sSub>
        <m:r>
          <m:t xml:space="preserve">+</m:t>
        </m:r>
        <m:r>
          <m:t xml:space="preserve">2</m:t>
        </m:r>
        <m:rad>
          <m:radPr>
            <m:degHide m:val="1"/>
          </m:radPr>
          <m:deg/>
          <m:e>
            <m:sSub>
              <m:e>
                <m:r>
                  <m:t xml:space="preserve">ε</m:t>
                </m:r>
              </m:e>
              <m:sub>
                <m:r>
                  <m:t xml:space="preserve">L</m:t>
                </m:r>
              </m:sub>
            </m:sSub>
            <m:sSub>
              <m:e>
                <m:r>
                  <m:t xml:space="preserve">Q</m:t>
                </m:r>
              </m:e>
              <m:sub>
                <m:r>
                  <m:rPr>
                    <m:sty m:val="p"/>
                  </m:rPr>
                  <m:t xml:space="preserve">hi</m:t>
                </m:r>
              </m:sub>
            </m:sSub>
          </m:e>
        </m:rad>
      </m:oMath>
      <w:r>
        <w:tab/>
        <w:t>(17)</w:t>
      </w:r>
    </w:p>
    <w:p>
      <w:r>
        <w:t>This interval is valid when 0≤</w:t>
      </w:r>
      <m:oMath>
        <m:sSub>
          <m:e>
            <m:r>
              <m:t xml:space="preserve">Q</m:t>
            </m:r>
          </m:e>
          <m:sub>
            <m:r>
              <m:rPr>
                <m:sty m:val="p"/>
              </m:rPr>
              <m:t xml:space="preserve">lo</m:t>
            </m:r>
          </m:sub>
        </m:sSub>
      </m:oMath>
      <w:r>
        <w:t>≤</w:t>
      </w:r>
      <m:oMath>
        <m:sSub>
          <m:e>
            <m:r>
              <m:t xml:space="preserve">Q</m:t>
            </m:r>
          </m:e>
          <m:sub>
            <m:r>
              <m:t xml:space="preserve">Δ</m:t>
            </m:r>
          </m:sub>
        </m:sSub>
      </m:oMath>
      <w:r>
        <w:t>≤</w:t>
      </w:r>
      <m:oMath>
        <m:sSub>
          <m:e>
            <m:r>
              <m:t xml:space="preserve">Q</m:t>
            </m:r>
          </m:e>
          <m:sub>
            <m:r>
              <m:rPr>
                <m:sty m:val="p"/>
              </m:rPr>
              <m:t xml:space="preserve">hi</m:t>
            </m:r>
          </m:sub>
        </m:sSub>
      </m:oMath>
      <w:r>
        <w:t xml:space="preserve"> and ℒ(M)≤</w:t>
      </w:r>
      <m:oMath>
        <m:sSub>
          <m:e>
            <m:r>
              <m:t xml:space="preserve">ε</m:t>
            </m:r>
          </m:e>
          <m:sub>
            <m:r>
              <m:t xml:space="preserve">L</m:t>
            </m:r>
          </m:sub>
        </m:sSub>
      </m:oMath>
      <w:r>
        <w:t>. A certified bound can justify a conservative gate; a sampled audit estimate yields a statistical claim whose sampling assumptions and failure probability must be stated. The audit state is part of the budget.</w:t>
      </w:r>
    </w:p>
    <w:p>
      <w:pPr>
        <w:pStyle w:val="Heading2"/>
      </w:pPr>
      <w:r>
        <w:t>6.1 Error propagation for projected estimates</w:t>
      </w:r>
    </w:p>
    <w:p>
      <w:r>
        <w:t xml:space="preserve">Suppose a projected gradient estimate has error at most </w:t>
      </w:r>
      <m:oMath>
        <m:sSub>
          <m:e>
            <m:r>
              <m:t xml:space="preserve">ε</m:t>
            </m:r>
          </m:e>
          <m:sub>
            <m:r>
              <m:t xml:space="preserve">G</m:t>
            </m:r>
          </m:sub>
        </m:sSub>
      </m:oMath>
      <w:r>
        <w:t xml:space="preserve"> in Frobenius norm, and a covariance estimate has spectral error at most </w:t>
      </w:r>
      <m:oMath>
        <m:sSub>
          <m:e>
            <m:r>
              <m:t xml:space="preserve">ε</m:t>
            </m:r>
          </m:e>
          <m:sub>
            <m:r>
              <m:t xml:space="preserve">H</m:t>
            </m:r>
          </m:sub>
        </m:sSub>
      </m:oMath>
      <w:r>
        <w:t>. For Δ=cUZ,</w:t>
      </w:r>
    </w:p>
    <w:p>
      <w:pPr>
        <w:pStyle w:val="Equation"/>
        <w:tabs>
          <w:tab w:pos="9331" w:val="right"/>
        </w:tabs>
      </w:pPr>
      <w:r/>
      <m:oMath>
        <m:r>
          <m:t xml:space="preserve">|</m:t>
        </m:r>
        <m:r>
          <m:t xml:space="preserve">D</m:t>
        </m:r>
        <m:r>
          <m:t xml:space="preserve">−</m:t>
        </m:r>
        <m:acc>
          <m:accPr>
            <m:chr m:val="̂"/>
          </m:accPr>
          <m:e>
            <m:r>
              <m:t xml:space="preserve">D</m:t>
            </m:r>
          </m:e>
        </m:acc>
        <m:r>
          <m:t xml:space="preserve">|</m:t>
        </m:r>
        <m:r>
          <m:t xml:space="preserve">≤</m:t>
        </m:r>
        <m:r>
          <m:t xml:space="preserve">|</m:t>
        </m:r>
        <m:r>
          <m:t xml:space="preserve">c</m:t>
        </m:r>
        <m:r>
          <m:t xml:space="preserve">|</m:t>
        </m:r>
        <m:sSub>
          <m:e>
            <m:r>
              <m:t xml:space="preserve">ε</m:t>
            </m:r>
          </m:e>
          <m:sub>
            <m:r>
              <m:t xml:space="preserve">G</m:t>
            </m:r>
          </m:sub>
        </m:sSub>
        <m:r>
          <m:t xml:space="preserve">‖</m:t>
        </m:r>
        <m:r>
          <m:t xml:space="preserve">Z</m:t>
        </m:r>
        <m:sSub>
          <m:e>
            <m:r>
              <m:t xml:space="preserve">‖</m:t>
            </m:r>
          </m:e>
          <m:sub>
            <m:r>
              <m:t xml:space="preserve">F</m:t>
            </m:r>
          </m:sub>
        </m:sSub>
        <m:r>
          <m:t xml:space="preserve">+</m:t>
        </m:r>
        <m:f>
          <m:num>
            <m:sSup>
              <m:e>
                <m:r>
                  <m:t xml:space="preserve">c</m:t>
                </m:r>
              </m:e>
              <m:sup>
                <m:r>
                  <m:t xml:space="preserve">2</m:t>
                </m:r>
              </m:sup>
            </m:sSup>
          </m:num>
          <m:den>
            <m:r>
              <m:t xml:space="preserve">2</m:t>
            </m:r>
          </m:den>
        </m:f>
        <m:sSub>
          <m:e>
            <m:r>
              <m:t xml:space="preserve">ε</m:t>
            </m:r>
          </m:e>
          <m:sub>
            <m:r>
              <m:t xml:space="preserve">H</m:t>
            </m:r>
          </m:sub>
        </m:sSub>
        <m:r>
          <m:t xml:space="preserve">‖</m:t>
        </m:r>
        <m:r>
          <m:t xml:space="preserve">U</m:t>
        </m:r>
        <m:r>
          <m:t xml:space="preserve">Z</m:t>
        </m:r>
        <m:sSup>
          <m:e>
            <m:sSub>
              <m:e>
                <m:r>
                  <m:t xml:space="preserve">‖</m:t>
                </m:r>
              </m:e>
              <m:sub>
                <m:r>
                  <m:t xml:space="preserve">F</m:t>
                </m:r>
              </m:sub>
            </m:sSub>
          </m:e>
          <m:sup>
            <m:r>
              <m:t xml:space="preserve">2</m:t>
            </m:r>
          </m:sup>
        </m:sSup>
      </m:oMath>
      <w:r>
        <w:tab/>
        <w:t>(18)</w:t>
      </w:r>
    </w:p>
    <w:p>
      <w:r>
        <w:t>The linear bound uses the projected gradient error Uᵀ(G−Ĝ); the quadratic bound follows from the spectral norm of H−Ĥ. These separate tolerances matter: a good covariance sketch does not automatically approximate the nonzero residual term. A policy can accept only when its predicted benefit exceeds the estimated damage, resource prices and a declared error margin. Its guarantee remains conditional on the gain model and the validity of those bounds.</w:t>
      </w:r>
    </w:p>
    <w:p>
      <w:r>
        <w:br w:type="page"/>
      </w:r>
    </w:p>
    <w:p>
      <w:pPr>
        <w:pStyle w:val="Heading1"/>
      </w:pPr>
      <w:r>
        <w:t>7. Estimator choices and their actual prices</w:t>
      </w:r>
    </w:p>
    <w:p>
      <w:pPr>
        <w:pStyle w:val="Heading2"/>
      </w:pPr>
      <w:r>
        <w:t>7.1 EWC, Gauss–Newton and empirical Fisher</w:t>
      </w:r>
    </w:p>
    <w:p>
      <w:r>
        <w:t xml:space="preserve">For linear outputs with isotropic squared loss and column-wise vectorization of M, the parameter Hessian is </w:t>
      </w:r>
      <m:oMath>
        <m:sSub>
          <m:e>
            <m:r>
              <m:t xml:space="preserve">I</m:t>
            </m:r>
          </m:e>
          <m:sub>
            <m:sSub>
              <m:e>
                <m:r>
                  <m:t xml:space="preserve">d</m:t>
                </m:r>
              </m:e>
              <m:sub>
                <m:r>
                  <m:t xml:space="preserve">o</m:t>
                </m:r>
              </m:sub>
            </m:sSub>
          </m:sub>
        </m:sSub>
      </m:oMath>
      <w:r>
        <w:t>⊗H. A Gaussian observation model with known isotropic variance has Fisher information proportional to the same matrix. Its tied diagonal can therefore be represented using d input-covariance diagonal entries. At d=4096 these take 16 KiB in fp32, 1.5625% of the 1 MiB reference overlay.</w:t>
      </w:r>
    </w:p>
    <w:p>
      <w:r>
        <w:t>This is an EWC-inspired diagonal curvature proxy, not the entire EWC algorithm [6]. EWC also needs a parameter reference and a task/penalty convention. An empirical Fisher built from observed residual gradients contains residual-dependent output factors; it is not generally I⊗H [13]. At exact interpolation those observed gradients can vanish while H remains positive. Calling that empirical estimate “exactly diag(H)” would reverse the intended healthy-memory argument.</w:t>
      </w:r>
    </w:p>
    <w:p>
      <w:pPr>
        <w:pStyle w:val="Heading2"/>
      </w:pPr>
      <w:r>
        <w:t>7.2 Why K-FAC is not the missing middle here</w:t>
      </w:r>
    </w:p>
    <w:p>
      <w:r>
        <w:t>K-FAC approximates large layerwise Fisher blocks as Kronecker products [7]. In the present isotropic linear model the Kronecker separation I⊗H is already exact; retaining H still costs d² scalars. A separately stored output-identity factor is unnecessary. Additional approximation of H—diagonal, coordinate-block or low-rank—creates a different cost point. Nonlinear or non-isotropic models require their own factor dimensions and assumptions.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6CDD4"/>
          <w:left w:val="single" w:sz="4" w:color="C6CDD4"/>
          <w:bottom w:val="single" w:sz="4" w:color="C6CDD4"/>
          <w:right w:val="single" w:sz="4" w:color="C6CDD4"/>
          <w:insideH w:val="single" w:sz="4" w:color="C6CDD4"/>
          <w:insideV w:val="single" w:sz="4" w:color="C6CDD4"/>
        </w:tblBorders>
      </w:tblPr>
      <w:tblGrid>
        <w:gridCol w:w="4200"/>
        <w:gridCol w:w="1800"/>
        <w:gridCol w:w="3360"/>
      </w:tblGrid>
      <w:tr>
        <w:trPr>
          <w:cantSplit/>
          <w:tblHeader/>
        </w:trPr>
        <w:tc>
          <w:tcPr>
            <w:tcW w:type="dxa" w:w="4200"/>
            <w:shd w:fill="F2F4F7"/>
          </w:tcPr>
          <w:p>
            <w:pPr>
              <w:pStyle w:val="TableText"/>
            </w:pPr>
            <w:r>
              <w:rPr>
                <w:b/>
              </w:rPr>
              <w:t>Summary, square layer</w:t>
            </w:r>
          </w:p>
        </w:tc>
        <w:tc>
          <w:tcPr>
            <w:tcW w:type="dxa" w:w="1800"/>
            <w:shd w:fill="F2F4F7"/>
          </w:tcPr>
          <w:p>
            <w:pPr>
              <w:pStyle w:val="TableText"/>
            </w:pPr>
            <w:r>
              <w:rPr>
                <w:b/>
              </w:rPr>
              <w:t>Stored scalars</w:t>
            </w:r>
          </w:p>
        </w:tc>
        <w:tc>
          <w:tcPr>
            <w:tcW w:type="dxa" w:w="3360"/>
            <w:shd w:fill="F2F4F7"/>
          </w:tcPr>
          <w:p>
            <w:pPr>
              <w:pStyle w:val="TableText"/>
            </w:pPr>
            <w:r>
              <w:rPr>
                <w:b/>
              </w:rPr>
              <w:t>What is omitted</w:t>
            </w:r>
          </w:p>
        </w:tc>
      </w:tr>
      <w:tr>
        <w:trPr>
          <w:cantSplit/>
        </w:trPr>
        <w:tc>
          <w:tcPr>
            <w:tcW w:type="dxa" w:w="4200"/>
          </w:tcPr>
          <w:p>
            <w:pPr>
              <w:pStyle w:val="TableText"/>
            </w:pPr>
            <w:r>
              <w:t>Diagonal input covariance</w:t>
            </w:r>
          </w:p>
        </w:tc>
        <w:tc>
          <w:tcPr>
            <w:tcW w:type="dxa" w:w="1800"/>
          </w:tcPr>
          <w:p>
            <w:pPr>
              <w:pStyle w:val="TableText"/>
            </w:pPr>
            <w:r>
              <w:t>d</w:t>
            </w:r>
          </w:p>
        </w:tc>
        <w:tc>
          <w:tcPr>
            <w:tcW w:type="dxa" w:w="3360"/>
          </w:tcPr>
          <w:p>
            <w:pPr>
              <w:pStyle w:val="TableText"/>
            </w:pPr>
            <w:r>
              <w:t>Cross-coordinate curvature; residual term</w:t>
            </w:r>
          </w:p>
        </w:tc>
      </w:tr>
      <w:tr>
        <w:trPr>
          <w:cantSplit/>
        </w:trPr>
        <w:tc>
          <w:tcPr>
            <w:tcW w:type="dxa" w:w="4200"/>
          </w:tcPr>
          <w:p>
            <w:pPr>
              <w:pStyle w:val="TableText"/>
            </w:pPr>
            <w:r>
              <w:t>Coordinate blocks, width b</w:t>
            </w:r>
          </w:p>
        </w:tc>
        <w:tc>
          <w:tcPr>
            <w:tcW w:type="dxa" w:w="1800"/>
          </w:tcPr>
          <w:p>
            <w:pPr>
              <w:pStyle w:val="TableText"/>
            </w:pPr>
            <w:r>
              <w:t>db</w:t>
            </w:r>
          </w:p>
        </w:tc>
        <w:tc>
          <w:tcPr>
            <w:tcW w:type="dxa" w:w="3360"/>
          </w:tcPr>
          <w:p>
            <w:pPr>
              <w:pStyle w:val="TableText"/>
            </w:pPr>
            <w:r>
              <w:t>Cross-block curvature; residual term</w:t>
            </w:r>
          </w:p>
        </w:tc>
      </w:tr>
      <w:tr>
        <w:trPr>
          <w:cantSplit/>
        </w:trPr>
        <w:tc>
          <w:tcPr>
            <w:tcW w:type="dxa" w:w="4200"/>
          </w:tcPr>
          <w:p>
            <w:pPr>
              <w:pStyle w:val="TableText"/>
            </w:pPr>
            <w:r>
              <w:t>PSD key sketch, p columns</w:t>
            </w:r>
          </w:p>
        </w:tc>
        <w:tc>
          <w:tcPr>
            <w:tcW w:type="dxa" w:w="1800"/>
          </w:tcPr>
          <w:p>
            <w:pPr>
              <w:pStyle w:val="TableText"/>
            </w:pPr>
            <w:r>
              <w:t>dp</w:t>
            </w:r>
          </w:p>
        </w:tc>
        <w:tc>
          <w:tcPr>
            <w:tcW w:type="dxa" w:w="3360"/>
          </w:tcPr>
          <w:p>
            <w:pPr>
              <w:pStyle w:val="TableText"/>
            </w:pPr>
            <w:r>
              <w:t>Sketch error; residual term</w:t>
            </w:r>
          </w:p>
        </w:tc>
      </w:tr>
      <w:tr>
        <w:trPr>
          <w:cantSplit/>
        </w:trPr>
        <w:tc>
          <w:tcPr>
            <w:tcW w:type="dxa" w:w="4200"/>
          </w:tcPr>
          <w:p>
            <w:pPr>
              <w:pStyle w:val="TableText"/>
            </w:pPr>
            <w:r>
              <w:t>Joint key–target sketch</w:t>
            </w:r>
          </w:p>
        </w:tc>
        <w:tc>
          <w:tcPr>
            <w:tcW w:type="dxa" w:w="1800"/>
          </w:tcPr>
          <w:p>
            <w:pPr>
              <w:pStyle w:val="TableText"/>
            </w:pPr>
            <w:r>
              <w:t>2dp</w:t>
            </w:r>
          </w:p>
        </w:tc>
        <w:tc>
          <w:tcPr>
            <w:tcW w:type="dxa" w:w="3360"/>
          </w:tcPr>
          <w:p>
            <w:pPr>
              <w:pStyle w:val="TableText"/>
            </w:pPr>
            <w:r>
              <w:t>Joint sketch error</w:t>
            </w:r>
          </w:p>
        </w:tc>
      </w:tr>
      <w:tr>
        <w:trPr>
          <w:cantSplit/>
        </w:trPr>
        <w:tc>
          <w:tcPr>
            <w:tcW w:type="dxa" w:w="4200"/>
          </w:tcPr>
          <w:p>
            <w:pPr>
              <w:pStyle w:val="TableText"/>
            </w:pPr>
            <w:r>
              <w:t>Exact fixed subspace</w:t>
            </w:r>
          </w:p>
        </w:tc>
        <w:tc>
          <w:tcPr>
            <w:tcW w:type="dxa" w:w="1800"/>
          </w:tcPr>
          <w:p>
            <w:pPr>
              <w:pStyle w:val="TableText"/>
            </w:pPr>
            <w:r>
              <w:t>s² + sd + 1</w:t>
            </w:r>
          </w:p>
        </w:tc>
        <w:tc>
          <w:tcPr>
            <w:tcW w:type="dxa" w:w="3360"/>
          </w:tcPr>
          <w:p>
            <w:pPr>
              <w:pStyle w:val="TableText"/>
            </w:pPr>
            <w:r>
              <w:t>Directions outside the fixed subspace</w:t>
            </w:r>
          </w:p>
        </w:tc>
      </w:tr>
      <w:tr>
        <w:trPr>
          <w:cantSplit/>
        </w:trPr>
        <w:tc>
          <w:tcPr>
            <w:tcW w:type="dxa" w:w="4200"/>
          </w:tcPr>
          <w:p>
            <w:pPr>
              <w:pStyle w:val="TableText"/>
            </w:pPr>
            <w:r>
              <w:t>Full covariance H</w:t>
            </w:r>
          </w:p>
        </w:tc>
        <w:tc>
          <w:tcPr>
            <w:tcW w:type="dxa" w:w="1800"/>
          </w:tcPr>
          <w:p>
            <w:pPr>
              <w:pStyle w:val="TableText"/>
            </w:pPr>
            <w:r>
              <w:t>d²</w:t>
            </w:r>
          </w:p>
        </w:tc>
        <w:tc>
          <w:tcPr>
            <w:tcW w:type="dxa" w:w="3360"/>
          </w:tcPr>
          <w:p>
            <w:pPr>
              <w:pStyle w:val="TableText"/>
            </w:pPr>
            <w:r>
              <w:t>Residual cross-statistic</w:t>
            </w:r>
          </w:p>
        </w:tc>
      </w:tr>
      <w:tr>
        <w:trPr>
          <w:cantSplit/>
        </w:trPr>
        <w:tc>
          <w:tcPr>
            <w:tcW w:type="dxa" w:w="4200"/>
          </w:tcPr>
          <w:p>
            <w:pPr>
              <w:pStyle w:val="TableText"/>
            </w:pPr>
            <w:r>
              <w:t>Full H and C</w:t>
            </w:r>
          </w:p>
        </w:tc>
        <w:tc>
          <w:tcPr>
            <w:tcW w:type="dxa" w:w="1800"/>
          </w:tcPr>
          <w:p>
            <w:pPr>
              <w:pStyle w:val="TableText"/>
            </w:pPr>
            <w:r>
              <w:t>2d²</w:t>
            </w:r>
          </w:p>
        </w:tc>
        <w:tc>
          <w:tcPr>
            <w:tcW w:type="dxa" w:w="3360"/>
          </w:tcPr>
          <w:p>
            <w:pPr>
              <w:pStyle w:val="TableText"/>
            </w:pPr>
            <w:r>
              <w:t>No linear-loss statistic omitted</w:t>
            </w:r>
          </w:p>
        </w:tc>
      </w:tr>
    </w:tbl>
    <w:p>
      <w:pPr>
        <w:pStyle w:val="Caption"/>
      </w:pPr>
      <w:r>
        <w:t>Table 3. Full-array storage conventions, excluding shared model state and small scalar metadata. Blocks assume b divides d. The rows are different structural assumptions, not a universally ordered accuracy ladder. The first three require a justified curvature-only regime or separately priced residual information.</w:t>
      </w:r>
    </w:p>
    <w:p>
      <w:r>
        <w:br w:type="page"/>
      </w:r>
    </w:p>
    <w:p>
      <w:pPr>
        <w:pStyle w:val="Heading1"/>
      </w:pPr>
      <w:r>
        <w:t>7.3 Sketch budgets and the residual term</w:t>
      </w:r>
    </w:p>
    <w:p>
      <w:r>
        <w:t>Let Ĥ=GGᵀ, with G of size d×p. Then UᵀĤU=(GᵀU)ᵀ(GᵀU). The sketch stores dp scalars and supports changing candidate directions, but a PSD approximation alone does not determine Uᵀ(HM−C).</w:t>
      </w:r>
    </w:p>
    <w:p>
      <w:pPr>
        <w:pStyle w:val="Equation"/>
        <w:tabs>
          <w:tab w:pos="9331" w:val="right"/>
        </w:tabs>
      </w:pPr>
      <w:r/>
      <m:oMath>
        <m:r>
          <m:t xml:space="preserve">p</m:t>
        </m:r>
        <m:r>
          <m:t xml:space="preserve">≤</m:t>
        </m:r>
        <m:r>
          <m:t xml:space="preserve">4</m:t>
        </m:r>
        <m:r>
          <m:t xml:space="preserve">ρ</m:t>
        </m:r>
        <m:r>
          <m:t xml:space="preserve">r</m:t>
        </m:r>
        <m:f>
          <m:num>
            <m:sSub>
              <m:e>
                <m:r>
                  <m:t xml:space="preserve">q</m:t>
                </m:r>
              </m:e>
              <m:sub>
                <m:r>
                  <m:rPr>
                    <m:sty m:val="p"/>
                  </m:rPr>
                  <m:t xml:space="preserve">overlay</m:t>
                </m:r>
              </m:sub>
            </m:sSub>
          </m:num>
          <m:den>
            <m:sSub>
              <m:e>
                <m:r>
                  <m:t xml:space="preserve">q</m:t>
                </m:r>
              </m:e>
              <m:sub>
                <m:r>
                  <m:rPr>
                    <m:sty m:val="p"/>
                  </m:rPr>
                  <m:t xml:space="preserve">sketch</m:t>
                </m:r>
              </m:sub>
            </m:sSub>
          </m:den>
        </m:f>
      </m:oMath>
      <w:r>
        <w:tab/>
        <w:t>(19)</w:t>
      </w:r>
    </w:p>
    <w:p>
      <w:r>
        <w:t>This bound compares a key-only sketch with the square-layer reference overlay of two factors and one equal-precision momentum array per factor. At ρ=1 and equal precision, p≤4r; p=64 at r=16 uses the entire allowance. If the requirement is strict inequality, p must be at most 63. With bf16 overlay arrays and fp32 sketches, the equal-budget boundary becomes p≤2r.</w:t>
      </w:r>
    </w:p>
    <w:p>
      <w:r>
        <w:t>A joint sketch provides one established way to estimate both covariance and cross-statistics. For the fixed procedural base, use residual targets y=v−M₀ᵀk and form augmented observations x=[k;y]. A streaming sketch of their weighted second moment can be partitioned into input and output blocks.</w:t>
      </w:r>
    </w:p>
    <w:p>
      <w:pPr>
        <w:pStyle w:val="Equation"/>
        <w:tabs>
          <w:tab w:pos="9331" w:val="right"/>
        </w:tabs>
      </w:pPr>
      <w:r/>
      <m:oMath>
        <m:r>
          <m:t xml:space="preserve">J</m:t>
        </m:r>
        <m:r>
          <m:t xml:space="preserve">=</m:t>
        </m:r>
        <m:sSub>
          <m:e>
            <m:r>
              <m:t xml:space="preserve">∑</m:t>
            </m:r>
          </m:e>
          <m:sub>
            <m:r>
              <m:t xml:space="preserve">t</m:t>
            </m:r>
          </m:sub>
        </m:sSub>
        <m:r>
          <m:t xml:space="preserve"> </m:t>
        </m:r>
        <m:sSub>
          <m:e>
            <m:r>
              <m:t xml:space="preserve">ω</m:t>
            </m:r>
          </m:e>
          <m:sub>
            <m:r>
              <m:t xml:space="preserve">t</m:t>
            </m:r>
          </m:sub>
        </m:sSub>
        <m:sSub>
          <m:e>
            <m:r>
              <m:t xml:space="preserve">x</m:t>
            </m:r>
          </m:e>
          <m:sub>
            <m:r>
              <m:t xml:space="preserve">t</m:t>
            </m:r>
          </m:sub>
        </m:sSub>
        <m:sSup>
          <m:e>
            <m:sSub>
              <m:e>
                <m:r>
                  <m:t xml:space="preserve">x</m:t>
                </m:r>
              </m:e>
              <m:sub>
                <m:r>
                  <m:t xml:space="preserve">t</m:t>
                </m:r>
              </m:sub>
            </m:sSub>
          </m:e>
          <m:sup>
            <m:r>
              <m:t xml:space="preserve">T</m:t>
            </m:r>
          </m:sup>
        </m:sSup>
        <m:r>
          <m:t xml:space="preserve">,</m:t>
        </m:r>
        <m:r>
          <m:t xml:space="preserve"> </m:t>
        </m:r>
        <m:r>
          <m:t xml:space="preserve"> </m:t>
        </m:r>
        <m:r>
          <m:t xml:space="preserve"> </m:t>
        </m:r>
        <m:acc>
          <m:accPr>
            <m:chr m:val="̂"/>
          </m:accPr>
          <m:e>
            <m:r>
              <m:t xml:space="preserve">J</m:t>
            </m:r>
          </m:e>
        </m:acc>
        <m:r>
          <m:t xml:space="preserve">=</m:t>
        </m:r>
        <m:r>
          <m:t xml:space="preserve">S</m:t>
        </m:r>
        <m:sSup>
          <m:e>
            <m:r>
              <m:t xml:space="preserve">S</m:t>
            </m:r>
          </m:e>
          <m:sup>
            <m:r>
              <m:t xml:space="preserve">T</m:t>
            </m:r>
          </m:sup>
        </m:sSup>
        <m:r>
          <m:t xml:space="preserve">,</m:t>
        </m:r>
        <m:r>
          <m:t xml:space="preserve"> </m:t>
        </m:r>
        <m:r>
          <m:t xml:space="preserve"> </m:t>
        </m:r>
        <m:r>
          <m:t xml:space="preserve"> </m:t>
        </m:r>
        <m:r>
          <m:t xml:space="preserve">S</m:t>
        </m:r>
        <m:r>
          <m:t xml:space="preserve">=</m:t>
        </m:r>
        <m:r>
          <m:t xml:space="preserve">[</m:t>
        </m:r>
        <m:sSup>
          <m:e>
            <m:r>
              <m:t xml:space="preserve">G</m:t>
            </m:r>
          </m:e>
          <m:sup>
            <m:r>
              <m:t xml:space="preserve">T</m:t>
            </m:r>
          </m:sup>
        </m:sSup>
        <m:r>
          <m:t xml:space="preserve">,</m:t>
        </m:r>
        <m:sSup>
          <m:e>
            <m:r>
              <m:t xml:space="preserve">F</m:t>
            </m:r>
          </m:e>
          <m:sup>
            <m:r>
              <m:t xml:space="preserve">T</m:t>
            </m:r>
          </m:sup>
        </m:sSup>
        <m:sSup>
          <m:e>
            <m:r>
              <m:t xml:space="preserve">]</m:t>
            </m:r>
          </m:e>
          <m:sup>
            <m:r>
              <m:t xml:space="preserve">T</m:t>
            </m:r>
          </m:sup>
        </m:sSup>
      </m:oMath>
      <w:r>
        <w:tab/>
        <w:t>(20)</w:t>
      </w:r>
    </w:p>
    <w:p>
      <w:pPr>
        <w:pStyle w:val="Equation"/>
        <w:tabs>
          <w:tab w:pos="9331" w:val="right"/>
        </w:tabs>
      </w:pPr>
      <w:r/>
      <m:oMath>
        <m:acc>
          <m:accPr>
            <m:chr m:val="̂"/>
          </m:accPr>
          <m:e>
            <m:r>
              <m:t xml:space="preserve">H</m:t>
            </m:r>
          </m:e>
        </m:acc>
        <m:r>
          <m:t xml:space="preserve">=</m:t>
        </m:r>
        <m:r>
          <m:t xml:space="preserve">G</m:t>
        </m:r>
        <m:sSup>
          <m:e>
            <m:r>
              <m:t xml:space="preserve">G</m:t>
            </m:r>
          </m:e>
          <m:sup>
            <m:r>
              <m:t xml:space="preserve">T</m:t>
            </m:r>
          </m:sup>
        </m:sSup>
        <m:r>
          <m:t xml:space="preserve">,</m:t>
        </m:r>
        <m:r>
          <m:t xml:space="preserve"> </m:t>
        </m:r>
        <m:r>
          <m:t xml:space="preserve"> </m:t>
        </m:r>
        <m:r>
          <m:t xml:space="preserve"> </m:t>
        </m:r>
        <m:sSub>
          <m:e>
            <m:acc>
              <m:accPr>
                <m:chr m:val="̂"/>
              </m:accPr>
              <m:e>
                <m:r>
                  <m:t xml:space="preserve">C</m:t>
                </m:r>
              </m:e>
            </m:acc>
          </m:e>
          <m:sub>
            <m:r>
              <m:rPr>
                <m:sty m:val="p"/>
              </m:rPr>
              <m:t xml:space="preserve">res</m:t>
            </m:r>
          </m:sub>
        </m:sSub>
        <m:r>
          <m:t xml:space="preserve">=</m:t>
        </m:r>
        <m:r>
          <m:t xml:space="preserve">G</m:t>
        </m:r>
        <m:sSup>
          <m:e>
            <m:r>
              <m:t xml:space="preserve">F</m:t>
            </m:r>
          </m:e>
          <m:sup>
            <m:r>
              <m:t xml:space="preserve">T</m:t>
            </m:r>
          </m:sup>
        </m:sSup>
      </m:oMath>
      <w:r>
        <w:tab/>
        <w:t>(21)</w:t>
      </w:r>
    </w:p>
    <w:p>
      <w:r>
        <w:t>A dense S needs p(d+dₒ) scalars, hence 2dp in the square case. Against the same reference overlay, its equal-precision boundary is p≤2ρr; with bf16 overlay and fp32 sketch it is p≤ρr. These bounds exclude extra residual audits, refresh state and metadata. A key-only rank-64 allowance therefore does not price a complete drift-capable controller.</w:t>
      </w:r>
    </w:p>
    <w:p>
      <w:pPr>
        <w:pStyle w:val="Heading2"/>
      </w:pPr>
      <w:r>
        <w:t>7.4 A joint-sketch scoring bound</w:t>
      </w:r>
    </w:p>
    <w:p>
      <w:r>
        <w:t xml:space="preserve">Let X=M−M₀, </w:t>
      </w:r>
      <m:oMath>
        <m:sSub>
          <m:e>
            <m:r>
              <m:t xml:space="preserve">T</m:t>
            </m:r>
          </m:e>
          <m:sub>
            <m:r>
              <m:t xml:space="preserve">X</m:t>
            </m:r>
          </m:sub>
        </m:sSub>
      </m:oMath>
      <w:r>
        <w:t xml:space="preserve">=[X;−I], and </w:t>
      </w:r>
      <m:oMath>
        <m:sSub>
          <m:e>
            <m:r>
              <m:t xml:space="preserve">E</m:t>
            </m:r>
          </m:e>
          <m:sub>
            <m:r>
              <m:t xml:space="preserve">Δ</m:t>
            </m:r>
          </m:sub>
        </m:sSub>
      </m:oMath>
      <w:r>
        <w:t>=[Δ;0]. Then the old loss is ½tr(</w:t>
      </w:r>
      <m:oMath>
        <m:sSub>
          <m:e>
            <m:r>
              <m:t xml:space="preserve">T</m:t>
            </m:r>
          </m:e>
          <m:sub>
            <m:r>
              <m:t xml:space="preserve">X</m:t>
            </m:r>
          </m:sub>
        </m:sSub>
      </m:oMath>
      <w:r>
        <w:t>ᵀJ</w:t>
      </w:r>
      <m:oMath>
        <m:sSub>
          <m:e>
            <m:r>
              <m:t xml:space="preserve">T</m:t>
            </m:r>
          </m:e>
          <m:sub>
            <m:r>
              <m:t xml:space="preserve">X</m:t>
            </m:r>
          </m:sub>
        </m:sSub>
      </m:oMath>
      <w:r>
        <w:t>). Replacing J by Ĵ gives a finite-write estimate with error bounded by</w:t>
      </w:r>
    </w:p>
    <w:p>
      <w:pPr>
        <w:pStyle w:val="Equation"/>
        <w:tabs>
          <w:tab w:pos="9331" w:val="right"/>
        </w:tabs>
      </w:pPr>
      <w:r/>
      <m:oMath>
        <m:r>
          <m:t xml:space="preserve">|</m:t>
        </m:r>
        <m:r>
          <m:t xml:space="preserve">D</m:t>
        </m:r>
        <m:r>
          <m:t xml:space="preserve">−</m:t>
        </m:r>
        <m:acc>
          <m:accPr>
            <m:chr m:val="̂"/>
          </m:accPr>
          <m:e>
            <m:r>
              <m:t xml:space="preserve">D</m:t>
            </m:r>
          </m:e>
        </m:acc>
        <m:r>
          <m:t xml:space="preserve">|</m:t>
        </m:r>
        <m:r>
          <m:t xml:space="preserve">≤</m:t>
        </m:r>
        <m:sSub>
          <m:e>
            <m:r>
              <m:t xml:space="preserve">ε</m:t>
            </m:r>
          </m:e>
          <m:sub>
            <m:r>
              <m:t xml:space="preserve">J</m:t>
            </m:r>
          </m:sub>
        </m:sSub>
        <m:r>
          <m:t xml:space="preserve">(</m:t>
        </m:r>
        <m:r>
          <m:t xml:space="preserve">‖</m:t>
        </m:r>
        <m:r>
          <m:t xml:space="preserve">Δ</m:t>
        </m:r>
        <m:sSub>
          <m:e>
            <m:r>
              <m:t xml:space="preserve">‖</m:t>
            </m:r>
          </m:e>
          <m:sub>
            <m:r>
              <m:t xml:space="preserve">F</m:t>
            </m:r>
          </m:sub>
        </m:sSub>
        <m:rad>
          <m:radPr>
            <m:degHide m:val="1"/>
          </m:radPr>
          <m:deg/>
          <m:e>
            <m:r>
              <m:t xml:space="preserve">‖</m:t>
            </m:r>
            <m:r>
              <m:t xml:space="preserve">X</m:t>
            </m:r>
            <m:sSup>
              <m:e>
                <m:sSub>
                  <m:e>
                    <m:r>
                      <m:t xml:space="preserve">‖</m:t>
                    </m:r>
                  </m:e>
                  <m:sub>
                    <m:r>
                      <m:t xml:space="preserve">F</m:t>
                    </m:r>
                  </m:sub>
                </m:sSub>
              </m:e>
              <m:sup>
                <m:r>
                  <m:t xml:space="preserve">2</m:t>
                </m:r>
              </m:sup>
            </m:sSup>
            <m:r>
              <m:t xml:space="preserve">+</m:t>
            </m:r>
            <m:sSub>
              <m:e>
                <m:r>
                  <m:t xml:space="preserve">d</m:t>
                </m:r>
              </m:e>
              <m:sub>
                <m:r>
                  <m:t xml:space="preserve">o</m:t>
                </m:r>
              </m:sub>
            </m:sSub>
          </m:e>
        </m:rad>
        <m:r>
          <m:t xml:space="preserve">+</m:t>
        </m:r>
        <m:f>
          <m:num>
            <m:r>
              <m:t xml:space="preserve">1</m:t>
            </m:r>
          </m:num>
          <m:den>
            <m:r>
              <m:t xml:space="preserve">2</m:t>
            </m:r>
          </m:den>
        </m:f>
        <m:r>
          <m:t xml:space="preserve">‖</m:t>
        </m:r>
        <m:r>
          <m:t xml:space="preserve">Δ</m:t>
        </m:r>
        <m:sSup>
          <m:e>
            <m:sSub>
              <m:e>
                <m:r>
                  <m:t xml:space="preserve">‖</m:t>
                </m:r>
              </m:e>
              <m:sub>
                <m:r>
                  <m:t xml:space="preserve">F</m:t>
                </m:r>
              </m:sub>
            </m:sSub>
          </m:e>
          <m:sup>
            <m:r>
              <m:t xml:space="preserve">2</m:t>
            </m:r>
          </m:sup>
        </m:sSup>
        <m:r>
          <m:t xml:space="preserve">)</m:t>
        </m:r>
      </m:oMath>
      <w:r>
        <w:tab/>
        <w:t>(22)</w:t>
      </w:r>
    </w:p>
    <w:p>
      <w:r>
        <w:t xml:space="preserve">Here </w:t>
      </w:r>
      <m:oMath>
        <m:sSub>
          <m:e>
            <m:r>
              <m:t xml:space="preserve">ε</m:t>
            </m:r>
          </m:e>
          <m:sub>
            <m:r>
              <m:t xml:space="preserve">J</m:t>
            </m:r>
          </m:sub>
        </m:sSub>
      </m:oMath>
      <w:r>
        <w:t xml:space="preserve"> bounds ‖J−Ĵ‖₂. The inequality follows by expanding the two quadratic forms and applying Frobenius/spectral norm inequalities. Frequent Directions supplies a deterministic covariance-error bound in terms of the weighted data matrix’s spectral tail [10]. The resulting admission margin may be loose, and scaling key and target coordinates affects the sketch. Neither issue can be resolved by byte counting alone.</w:t>
      </w:r>
    </w:p>
    <w:p>
      <w:r>
        <w:br w:type="page"/>
      </w:r>
    </w:p>
    <w:p>
      <w:pPr>
        <w:pStyle w:val="Heading1"/>
      </w:pPr>
      <w:r>
        <w:t>8. Admission as a constrained decision</w:t>
      </w:r>
    </w:p>
    <w:p>
      <w:r>
        <w:t>Let a be a candidate skip, existing-expert write, or allocation action. Its proposed score is</w:t>
      </w:r>
    </w:p>
    <w:p>
      <w:pPr>
        <w:pStyle w:val="Equation"/>
        <w:tabs>
          <w:tab w:pos="9331" w:val="right"/>
        </w:tabs>
      </w:pPr>
      <w:r/>
      <m:oMath>
        <m:sSub>
          <m:e>
            <m:acc>
              <m:accPr>
                <m:chr m:val="̂"/>
              </m:accPr>
              <m:e>
                <m:r>
                  <m:t xml:space="preserve">J</m:t>
                </m:r>
              </m:e>
            </m:acc>
          </m:e>
          <m:sub>
            <m:r>
              <m:t xml:space="preserve">t</m:t>
            </m:r>
          </m:sub>
        </m:sSub>
        <m:r>
          <m:t xml:space="preserve">(</m:t>
        </m:r>
        <m:r>
          <m:t xml:space="preserve">a</m:t>
        </m:r>
        <m:r>
          <m:t xml:space="preserve">)</m:t>
        </m:r>
        <m:r>
          <m:t xml:space="preserve">=</m:t>
        </m:r>
        <m:sSub>
          <m:e>
            <m:acc>
              <m:accPr>
                <m:chr m:val="̂"/>
              </m:accPr>
              <m:e>
                <m:r>
                  <m:t xml:space="preserve">V</m:t>
                </m:r>
              </m:e>
            </m:acc>
          </m:e>
          <m:sub>
            <m:r>
              <m:t xml:space="preserve">t</m:t>
            </m:r>
          </m:sub>
        </m:sSub>
        <m:r>
          <m:t xml:space="preserve">(</m:t>
        </m:r>
        <m:r>
          <m:t xml:space="preserve">a</m:t>
        </m:r>
        <m:r>
          <m:t xml:space="preserve">)</m:t>
        </m:r>
        <m:r>
          <m:t xml:space="preserve">−</m:t>
        </m:r>
        <m:sSub>
          <m:e>
            <m:acc>
              <m:accPr>
                <m:chr m:val="̂"/>
              </m:accPr>
              <m:e>
                <m:r>
                  <m:t xml:space="preserve">D</m:t>
                </m:r>
              </m:e>
            </m:acc>
          </m:e>
          <m:sub>
            <m:r>
              <m:t xml:space="preserve">t</m:t>
            </m:r>
          </m:sub>
        </m:sSub>
        <m:r>
          <m:t xml:space="preserve">(</m:t>
        </m:r>
        <m:r>
          <m:t xml:space="preserve">a</m:t>
        </m:r>
        <m:r>
          <m:t xml:space="preserve">)</m:t>
        </m:r>
        <m:r>
          <m:t xml:space="preserve">−</m:t>
        </m:r>
        <m:sSub>
          <m:e>
            <m:r>
              <m:t xml:space="preserve">λ</m:t>
            </m:r>
          </m:e>
          <m:sub>
            <m:r>
              <m:t xml:space="preserve">t</m:t>
            </m:r>
          </m:sub>
        </m:sSub>
        <m:r>
          <m:t xml:space="preserve">Δ</m:t>
        </m:r>
        <m:sSub>
          <m:e>
            <m:r>
              <m:t xml:space="preserve">S</m:t>
            </m:r>
          </m:e>
          <m:sub>
            <m:r>
              <m:t xml:space="preserve">t</m:t>
            </m:r>
          </m:sub>
        </m:sSub>
        <m:r>
          <m:t xml:space="preserve">(</m:t>
        </m:r>
        <m:r>
          <m:t xml:space="preserve">a</m:t>
        </m:r>
        <m:r>
          <m:t xml:space="preserve">)</m:t>
        </m:r>
        <m:r>
          <m:t xml:space="preserve">−</m:t>
        </m:r>
        <m:sSub>
          <m:e>
            <m:r>
              <m:t xml:space="preserve">μ</m:t>
            </m:r>
          </m:e>
          <m:sub>
            <m:r>
              <m:t xml:space="preserve">t</m:t>
            </m:r>
          </m:sub>
        </m:sSub>
        <m:sSub>
          <m:e>
            <m:r>
              <m:t xml:space="preserve">C</m:t>
            </m:r>
          </m:e>
          <m:sub>
            <m:r>
              <m:t xml:space="preserve">t</m:t>
            </m:r>
          </m:sub>
        </m:sSub>
        <m:r>
          <m:t xml:space="preserve">(</m:t>
        </m:r>
        <m:r>
          <m:t xml:space="preserve">a</m:t>
        </m:r>
        <m:r>
          <m:t xml:space="preserve">)</m:t>
        </m:r>
      </m:oMath>
      <w:r>
        <w:tab/>
        <w:t>(23)</w:t>
      </w:r>
    </w:p>
    <w:p>
      <w:pPr>
        <w:pStyle w:val="Equation"/>
        <w:tabs>
          <w:tab w:pos="9331" w:val="right"/>
        </w:tabs>
      </w:pPr>
      <w:r/>
      <m:oMath>
        <m:sSub>
          <m:e>
            <m:r>
              <m:t xml:space="preserve">a</m:t>
            </m:r>
          </m:e>
          <m:sub>
            <m:r>
              <m:t xml:space="preserve">t</m:t>
            </m:r>
          </m:sub>
        </m:sSub>
        <m:r>
          <m:t xml:space="preserve">∈</m:t>
        </m:r>
        <m:sSub>
          <m:e>
            <m:r>
              <m:rPr>
                <m:sty m:val="p"/>
              </m:rPr>
              <m:t xml:space="preserve">argmax</m:t>
            </m:r>
          </m:e>
          <m:sub>
            <m:r>
              <m:t xml:space="preserve">a</m:t>
            </m:r>
            <m:r>
              <m:t xml:space="preserve">∈</m:t>
            </m:r>
            <m:sSub>
              <m:e>
                <m:r>
                  <m:t xml:space="preserve">𝒜</m:t>
                </m:r>
              </m:e>
              <m:sub>
                <m:r>
                  <m:t xml:space="preserve">t</m:t>
                </m:r>
              </m:sub>
            </m:sSub>
          </m:sub>
        </m:sSub>
        <m:sSub>
          <m:e>
            <m:acc>
              <m:accPr>
                <m:chr m:val="̂"/>
              </m:accPr>
              <m:e>
                <m:r>
                  <m:t xml:space="preserve">J</m:t>
                </m:r>
              </m:e>
            </m:acc>
          </m:e>
          <m:sub>
            <m:r>
              <m:t xml:space="preserve">t</m:t>
            </m:r>
          </m:sub>
        </m:sSub>
        <m:r>
          <m:t xml:space="preserve">(</m:t>
        </m:r>
        <m:r>
          <m:t xml:space="preserve">a</m:t>
        </m:r>
        <m:r>
          <m:t xml:space="preserve">)</m:t>
        </m:r>
        <m:r>
          <m:t xml:space="preserve">,</m:t>
        </m:r>
        <m:r>
          <m:t xml:space="preserve"> </m:t>
        </m:r>
        <m:r>
          <m:t xml:space="preserve"> </m:t>
        </m:r>
        <m:r>
          <m:t xml:space="preserve"> </m:t>
        </m:r>
        <m:sSub>
          <m:e>
            <m:r>
              <m:t xml:space="preserve">S</m:t>
            </m:r>
          </m:e>
          <m:sub>
            <m:r>
              <m:rPr>
                <m:sty m:val="p"/>
              </m:rPr>
              <m:t xml:space="preserve">total</m:t>
            </m:r>
          </m:sub>
        </m:sSub>
        <m:r>
          <m:t xml:space="preserve">(</m:t>
        </m:r>
        <m:r>
          <m:t xml:space="preserve">a</m:t>
        </m:r>
        <m:r>
          <m:t xml:space="preserve">)</m:t>
        </m:r>
        <m:r>
          <m:t xml:space="preserve">≤</m:t>
        </m:r>
        <m:sSub>
          <m:e>
            <m:r>
              <m:t xml:space="preserve">S</m:t>
            </m:r>
          </m:e>
          <m:sub>
            <m:r>
              <m:rPr>
                <m:sty m:val="p"/>
              </m:rPr>
              <m:t xml:space="preserve">max</m:t>
            </m:r>
          </m:sub>
        </m:sSub>
      </m:oMath>
      <w:r>
        <w:tab/>
        <w:t>(24)</w:t>
      </w:r>
    </w:p>
    <w:p>
      <w:r>
        <w:t xml:space="preserve">In the second equation, </w:t>
      </w:r>
      <m:oMath>
        <m:sSub>
          <m:e>
            <m:r>
              <m:t xml:space="preserve">𝒜</m:t>
            </m:r>
          </m:e>
          <m:sub>
            <m:r>
              <m:t xml:space="preserve">t</m:t>
            </m:r>
          </m:sub>
        </m:sSub>
      </m:oMath>
      <w:r>
        <w:t xml:space="preserve"> denotes the feasible action set. The gain estimate V̂ targets future queries served by the new observation; a weighted current reconstruction gain is only a surrogate. D̂ measures damage to a declared old-loss objective. ΔS is marginal retained bytes, and C is measured or modelled write computation. Skip has zero incremental score. Shadow prices do not convert inaccurate utility estimates into optimal decisions.</w:t>
      </w:r>
    </w:p>
    <w:p>
      <w:pPr>
        <w:pStyle w:val="Heading2"/>
      </w:pPr>
      <w:r>
        <w:t>8.1 A bounded candidate-evaluation procedure</w:t>
      </w:r>
    </w:p>
    <w:p>
      <w:r/>
      <w:r>
        <w:rPr>
          <w:b/>
        </w:rPr>
        <w:t xml:space="preserve">Candidate formation. </w:t>
      </w:r>
      <w:r>
        <w:t>Generate a bounded number of writes using the same inner-loop rule for every compared gate. If both factors change, construct and score the actual endpoint difference; do not substitute an unrelated rank-r proxy without measuring its error.</w:t>
      </w:r>
    </w:p>
    <w:p>
      <w:r/>
      <w:r>
        <w:rPr>
          <w:b/>
        </w:rPr>
        <w:t xml:space="preserve">Feasibility. </w:t>
      </w:r>
      <w:r>
        <w:t>Account for all live overlays, optimizer copies, decision statistics, routing metadata and retained evidence. Reject an allocation that exceeds the hard budget, unless an explicit permitted recycle or deletion action frees space.</w:t>
      </w:r>
    </w:p>
    <w:p>
      <w:r/>
      <w:r>
        <w:rPr>
          <w:b/>
        </w:rPr>
        <w:t xml:space="preserve">Scoring. </w:t>
      </w:r>
      <w:r>
        <w:t>Compute projected damage using fixed-subspace statistics, a declared sketch, or a residual-certified curvature-only estimate. Include the acquisition, update and refresh cost of the summary. Where available, subtract a valid uncertainty margin from the candidate score.</w:t>
      </w:r>
    </w:p>
    <w:p>
      <w:r/>
      <w:r>
        <w:rPr>
          <w:b/>
        </w:rPr>
        <w:t xml:space="preserve">Commit and update. </w:t>
      </w:r>
      <w:r>
        <w:t>Commit the selected action only after its causal observation is available. Update the history summary according to the declared protected-history policy, then refresh the health certificate. Distinguish observed items, admitted items and protected items; these sets need not coincide.</w:t>
      </w:r>
    </w:p>
    <w:p>
      <w:r>
        <w:t>This is a myopic rule to be evaluated, not a solution theorem for the sequential control problem. Allocation changes future routing and opportunities. A finite-budget continuing system must specify rejection at saturation or extend its actions to eviction, recycling, merging or rank resizing. The experiments below keep N fixed and therefore do not test those lifecycle choices.</w:t>
      </w:r>
    </w:p>
    <w:p>
      <w:r>
        <w:br w:type="page"/>
      </w:r>
    </w:p>
    <w:p>
      <w:pPr>
        <w:pStyle w:val="Heading1"/>
      </w:pPr>
      <w:r>
        <w:t>8.2 Retention constraints and defensible forgetting</w:t>
      </w:r>
    </w:p>
    <w:p>
      <w:r>
        <w:t xml:space="preserve">A separate certification layer can restrict which provenance may be discarded. Let P and Q be complete lattices of admissible provenance and certification states, and let </w:t>
      </w:r>
      <m:oMath>
        <m:sSub>
          <m:e>
            <m:r>
              <m:t xml:space="preserve">C</m:t>
            </m:r>
          </m:e>
          <m:sub>
            <m:r>
              <m:rPr>
                <m:sty m:val="p"/>
              </m:rPr>
              <m:t xml:space="preserve">cert</m:t>
            </m:r>
          </m:sub>
        </m:sSub>
      </m:oMath>
      <w:r>
        <w:t xml:space="preserve">:P→Q be monotone. The defensible-forgetting manuscript [14] uses the standard poset-adjunction condition: </w:t>
      </w:r>
      <m:oMath>
        <m:sSub>
          <m:e>
            <m:r>
              <m:t xml:space="preserve">C</m:t>
            </m:r>
          </m:e>
          <m:sub>
            <m:r>
              <m:rPr>
                <m:sty m:val="p"/>
              </m:rPr>
              <m:t xml:space="preserve">cert</m:t>
            </m:r>
          </m:sub>
        </m:sSub>
      </m:oMath>
      <w:r>
        <w:t xml:space="preserve"> has a left adjoint L exactly when it preserves arbitrary meets.</w:t>
      </w:r>
    </w:p>
    <w:p>
      <w:pPr>
        <w:pStyle w:val="Equation"/>
        <w:tabs>
          <w:tab w:pos="9331" w:val="right"/>
        </w:tabs>
      </w:pPr>
      <w:r/>
      <m:oMath>
        <m:r>
          <m:t xml:space="preserve">L</m:t>
        </m:r>
        <m:r>
          <m:t xml:space="preserve">⊣</m:t>
        </m:r>
        <m:sSub>
          <m:e>
            <m:r>
              <m:t xml:space="preserve">C</m:t>
            </m:r>
          </m:e>
          <m:sub>
            <m:r>
              <m:rPr>
                <m:sty m:val="p"/>
              </m:rPr>
              <m:t xml:space="preserve">cert</m:t>
            </m:r>
          </m:sub>
        </m:sSub>
        <m:r>
          <m:t xml:space="preserve">,</m:t>
        </m:r>
        <m:r>
          <m:t xml:space="preserve"> </m:t>
        </m:r>
        <m:r>
          <m:t xml:space="preserve"> </m:t>
        </m:r>
        <m:r>
          <m:t xml:space="preserve"> </m:t>
        </m:r>
        <m:sSub>
          <m:e>
            <m:r>
              <m:t xml:space="preserve">K</m:t>
            </m:r>
          </m:e>
          <m:sub>
            <m:r>
              <m:rPr>
                <m:sty m:val="p"/>
              </m:rPr>
              <m:t xml:space="preserve">core</m:t>
            </m:r>
          </m:sub>
        </m:sSub>
        <m:r>
          <m:t xml:space="preserve">=</m:t>
        </m:r>
        <m:r>
          <m:t xml:space="preserve">L</m:t>
        </m:r>
        <m:r>
          <m:t xml:space="preserve">∘</m:t>
        </m:r>
        <m:sSub>
          <m:e>
            <m:r>
              <m:t xml:space="preserve">C</m:t>
            </m:r>
          </m:e>
          <m:sub>
            <m:r>
              <m:rPr>
                <m:sty m:val="p"/>
              </m:rPr>
              <m:t xml:space="preserve">cert</m:t>
            </m:r>
          </m:sub>
        </m:sSub>
      </m:oMath>
      <w:r>
        <w:tab/>
        <w:t>(25)</w:t>
      </w:r>
    </w:p>
    <w:p>
      <w:pPr>
        <w:pStyle w:val="Equation"/>
        <w:tabs>
          <w:tab w:pos="9331" w:val="right"/>
        </w:tabs>
      </w:pPr>
      <w:r/>
      <m:oMath>
        <m:sSub>
          <m:e>
            <m:r>
              <m:t xml:space="preserve">K</m:t>
            </m:r>
          </m:e>
          <m:sub>
            <m:r>
              <m:rPr>
                <m:sty m:val="p"/>
              </m:rPr>
              <m:t xml:space="preserve">core</m:t>
            </m:r>
          </m:sub>
        </m:sSub>
        <m:r>
          <m:t xml:space="preserve">(</m:t>
        </m:r>
        <m:r>
          <m:t xml:space="preserve">ℓ</m:t>
        </m:r>
        <m:r>
          <m:t xml:space="preserve">)</m:t>
        </m:r>
        <m:r>
          <m:t xml:space="preserve">≤</m:t>
        </m:r>
        <m:r>
          <m:t xml:space="preserve">ℓ</m:t>
        </m:r>
        <m:r>
          <m:t xml:space="preserve">,</m:t>
        </m:r>
        <m:r>
          <m:t xml:space="preserve"> </m:t>
        </m:r>
        <m:r>
          <m:t xml:space="preserve"> </m:t>
        </m:r>
        <m:r>
          <m:t xml:space="preserve"> </m:t>
        </m:r>
        <m:sSub>
          <m:e>
            <m:r>
              <m:t xml:space="preserve">C</m:t>
            </m:r>
          </m:e>
          <m:sub>
            <m:r>
              <m:rPr>
                <m:sty m:val="p"/>
              </m:rPr>
              <m:t xml:space="preserve">cert</m:t>
            </m:r>
          </m:sub>
        </m:sSub>
        <m:r>
          <m:t xml:space="preserve">(</m:t>
        </m:r>
        <m:sSub>
          <m:e>
            <m:r>
              <m:t xml:space="preserve">K</m:t>
            </m:r>
          </m:e>
          <m:sub>
            <m:r>
              <m:rPr>
                <m:sty m:val="p"/>
              </m:rPr>
              <m:t xml:space="preserve">core</m:t>
            </m:r>
          </m:sub>
        </m:sSub>
        <m:r>
          <m:t xml:space="preserve">(</m:t>
        </m:r>
        <m:r>
          <m:t xml:space="preserve">ℓ</m:t>
        </m:r>
        <m:r>
          <m:t xml:space="preserve">)</m:t>
        </m:r>
        <m:r>
          <m:t xml:space="preserve">)</m:t>
        </m:r>
        <m:r>
          <m:t xml:space="preserve">=</m:t>
        </m:r>
        <m:sSub>
          <m:e>
            <m:r>
              <m:t xml:space="preserve">C</m:t>
            </m:r>
          </m:e>
          <m:sub>
            <m:r>
              <m:rPr>
                <m:sty m:val="p"/>
              </m:rPr>
              <m:t xml:space="preserve">cert</m:t>
            </m:r>
          </m:sub>
        </m:sSub>
        <m:r>
          <m:t xml:space="preserve">(</m:t>
        </m:r>
        <m:r>
          <m:t xml:space="preserve">ℓ</m:t>
        </m:r>
        <m:r>
          <m:t xml:space="preserve">)</m:t>
        </m:r>
      </m:oMath>
      <w:r>
        <w:tab/>
        <w:t>(26)</w:t>
      </w:r>
    </w:p>
    <w:p>
      <w:r>
        <w:t>When these hypotheses hold, the core operator is monotone, idempotent and deflationary. It returns a least sufficient retained provenance state for the current certification. That operation can serve as a feasibility filter before provenance deletion; a byte objective then prices permissible alternatives or the admission capacity made available.</w:t>
      </w:r>
    </w:p>
    <w:p>
      <w:r>
        <w:t>The bridge to neural parameter changes is not automatic. A checker must define which retained evidence licenses which claims, and how neural-state changes affect that relation. Matrix equality, low squared loss and high identifier recall are not interchangeable with a certificate. Where provenance witnesses are retained externally, their bytes must remain in the total ledger.</w:t>
      </w:r>
    </w:p>
    <w:p>
      <w:r>
        <w:t>Alternative incomparable proofs can break meet preservation. The canonical least core then need not exist, even though several minimal sufficient histories do. Selecting among them requires a policy or a refined certification language. Future obligations receive no protection merely because the present certificate is preserved.</w:t>
      </w:r>
    </w:p>
    <w:p>
      <w:pPr>
        <w:pStyle w:val="Heading2"/>
      </w:pPr>
      <w:r>
        <w:t>8.3 What the storage and certification results do not decide</w:t>
      </w:r>
    </w:p>
    <w:p>
      <w:r>
        <w:t>Certification identifies permissible forgetting; storage accounting quantifies its resource effect. Neither assigns probability or value to a future query. Admission still requires that missing utility model. Nor does a stationary partition necessarily solve online admission in a changing stream. The distinction prevents a feasibility theorem from being presented as an optimal memory policy.</w:t>
      </w:r>
    </w:p>
    <w:p>
      <w:r>
        <w:t>The role of the certification layer in this manuscript is formal and conditional. No experiment below measures certificate extraction, witness maintenance, semantic claim preservation, or end-to-end construction-agent behaviour. Those are separate validation tasks that cannot be inferred from the linear memory diagnostics.</w:t>
      </w:r>
    </w:p>
    <w:p>
      <w:r>
        <w:br w:type="page"/>
      </w:r>
    </w:p>
    <w:p>
      <w:pPr>
        <w:pStyle w:val="Heading1"/>
      </w:pPr>
      <w:r>
        <w:t>9. Experiments: capacity and the recall metric</w:t>
      </w:r>
    </w:p>
    <w:p>
      <w:pPr>
        <w:pStyle w:val="Heading2"/>
      </w:pPr>
      <w:r>
        <w:t>9.1 Audit of the original pilot</w:t>
      </w:r>
    </w:p>
    <w:p>
      <w:r>
        <w:t>The original pilot used 32-dimensional keys and values, eight topics, sixteen keys per topic, eight shuffled presentations and total factor-rank budget Nr=16. A write applied a delta-rule step with η=0.5 followed by best rank-r Frobenius projection via SVD. The persistent factors contained 1,024 float64 scalars across every split; no momentum or admission state was present. Dense reconstructed matrices and SVD work arrays were temporary.</w:t>
      </w:r>
    </w:p>
    <w:p>
      <w:r>
        <w:t>For independent rank-4 topic output spaces, the single rank-16 model obtained 99.41% nearest-neighbor identifier recall while its normalized squared reconstruction error was 0.10452. Direct inspection found target-value rank 32 in all twelve seeds. The mean tail-energy floor of the best unrestricted rank-16 reconstruction of the target-value matrix was 0.09830. Thus exact storage was already obstructed; the near-ceiling identifier score did not contradict the rank constraint.</w:t>
      </w:r>
    </w:p>
    <w:p>
      <w:r>
        <w:t>The explanation is the scoring rule. A distorted output can remain nearest to the correct member of a sparse finite codebook. Identifier accuracy is not exact vector recovery. Increasing codebook density can expose distortion without increasing the teacher’s rank, so it changes the observable difficulty of recall rather than creating a new rank theorem.</w:t>
      </w:r>
    </w:p>
    <w:p>
      <w:pPr>
        <w:pStyle w:val="Heading2"/>
      </w:pPr>
      <w:r>
        <w:t>9.2 Follow-up protocols</w:t>
      </w:r>
    </w:p>
    <w:p>
      <w:r>
        <w:t>An initial density sweep retained eight passes, used calibration seeds 900–902 and 32, 64, 128, 256 and 512 associations per topic. Its lowest calibration recall was 89.5%, so it failed to reach the intended 70% region. At 512 associations per topic, twelve fresh seeds produced 91.8% single-expert recall. These outcomes are retained; they are not described as a successful 70% calibration.</w:t>
      </w:r>
    </w:p>
    <w:p>
      <w:r>
        <w:t>A separate single-pass stress study used three new calibration seeds (1900–1902) and 512, 1,024, 2,048, 4,096 associations per topic. It selected 4,096 per topic by proximity to 70% mean recall before evaluating six fresh seeds (200–205). The selected calibration mean was 68.9%. Because the pass count changed, this is not a pure density-only ablation of the original pilot. It is a specified online, single-presentation operating point.</w:t>
      </w:r>
    </w:p>
    <w:p>
      <w:r>
        <w:t>The new teacher maps each four-dimensional key block isometrically into an independently sampled four-dimensional output space. Keys and teacher matrices use separate random streams; their distribution and teacher remain fixed across compared splits within a seed. Topic routing reads the nonzero input block and assigns topic modulo N. Hash routing uses a fixed seeded function of exact key bytes, identically at write and read.</w:t>
      </w:r>
    </w:p>
    <w:p>
      <w:r>
        <w:br w:type="page"/>
      </w:r>
    </w:p>
    <w:p>
      <w:pPr>
        <w:pStyle w:val="Heading1"/>
      </w:pPr>
      <w:r>
        <w:t>9.3 Results away from ceiling</w:t>
      </w:r>
    </w:p>
    <w:p>
      <w:pPr>
        <w:keepNext/>
      </w:pPr>
      <w:r/>
      <w:r>
        <w:drawing>
          <wp:inline xmlns:a="http://schemas.openxmlformats.org/drawingml/2006/main" xmlns:pic="http://schemas.openxmlformats.org/drawingml/2006/picture">
            <wp:extent cx="5943600" cy="2127183"/>
            <wp:docPr id="1" name="Picture 1" descr="Figure 1. Single-pass calibration and held-out split evaluation. Error bars are 95% Student-t confidence intervals across three calibration or six evaluation seeds. The vertical dotted line marks the selected density; the horizontal dashed line marks the 70% calibration target."/>
            <wp:cNvGraphicFramePr>
              <a:graphicFrameLocks noChangeAspect="1"/>
            </wp:cNvGraphicFramePr>
            <a:graphic>
              <a:graphicData uri="http://schemas.openxmlformats.org/drawingml/2006/picture">
                <pic:pic>
                  <pic:nvPicPr>
                    <pic:cNvPr id="0" name="capacity.png"/>
                    <pic:cNvPicPr/>
                  </pic:nvPicPr>
                  <pic:blipFill>
                    <a:blip r:embed="rId11"/>
                    <a:stretch>
                      <a:fillRect/>
                    </a:stretch>
                  </pic:blipFill>
                  <pic:spPr>
                    <a:xfrm>
                      <a:off x="0" y="0"/>
                      <a:ext cx="5943600" cy="2127183"/>
                    </a:xfrm>
                    <a:prstGeom prst="rect"/>
                  </pic:spPr>
                </pic:pic>
              </a:graphicData>
            </a:graphic>
          </wp:inline>
        </w:drawing>
      </w:r>
    </w:p>
    <w:p>
      <w:pPr>
        <w:pStyle w:val="Caption"/>
      </w:pPr>
      <w:r>
        <w:t>Figure 1. Single-pass calibration and held-out split evaluation. Error bars are 95% Student-t confidence intervals across three calibration or six evaluation seeds. The vertical dotted line marks the selected density; the horizontal dashed line marks the 70% calibration target.</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6CDD4"/>
          <w:left w:val="single" w:sz="4" w:color="C6CDD4"/>
          <w:bottom w:val="single" w:sz="4" w:color="C6CDD4"/>
          <w:right w:val="single" w:sz="4" w:color="C6CDD4"/>
          <w:insideH w:val="single" w:sz="4" w:color="C6CDD4"/>
          <w:insideV w:val="single" w:sz="4" w:color="C6CDD4"/>
        </w:tblBorders>
      </w:tblPr>
      <w:tblGrid>
        <w:gridCol w:w="2050"/>
        <w:gridCol w:w="1450"/>
        <w:gridCol w:w="3560"/>
        <w:gridCol w:w="2300"/>
      </w:tblGrid>
      <w:tr>
        <w:trPr>
          <w:cantSplit/>
          <w:tblHeader/>
        </w:trPr>
        <w:tc>
          <w:tcPr>
            <w:tcW w:type="dxa" w:w="2050"/>
            <w:shd w:fill="F2F4F7"/>
          </w:tcPr>
          <w:p>
            <w:pPr>
              <w:pStyle w:val="TableText"/>
            </w:pPr>
            <w:r>
              <w:rPr>
                <w:b/>
              </w:rPr>
              <w:t>Experts × rank</w:t>
            </w:r>
          </w:p>
        </w:tc>
        <w:tc>
          <w:tcPr>
            <w:tcW w:type="dxa" w:w="1450"/>
            <w:shd w:fill="F2F4F7"/>
          </w:tcPr>
          <w:p>
            <w:pPr>
              <w:pStyle w:val="TableText"/>
            </w:pPr>
            <w:r>
              <w:rPr>
                <w:b/>
              </w:rPr>
              <w:t>Routing</w:t>
            </w:r>
          </w:p>
        </w:tc>
        <w:tc>
          <w:tcPr>
            <w:tcW w:type="dxa" w:w="3560"/>
            <w:shd w:fill="F2F4F7"/>
          </w:tcPr>
          <w:p>
            <w:pPr>
              <w:pStyle w:val="TableText"/>
            </w:pPr>
            <w:r>
              <w:rPr>
                <w:b/>
              </w:rPr>
              <w:t>Identifier recall (%)</w:t>
            </w:r>
          </w:p>
        </w:tc>
        <w:tc>
          <w:tcPr>
            <w:tcW w:type="dxa" w:w="2300"/>
            <w:shd w:fill="F2F4F7"/>
          </w:tcPr>
          <w:p>
            <w:pPr>
              <w:pStyle w:val="TableText"/>
            </w:pPr>
            <w:r>
              <w:rPr>
                <w:b/>
              </w:rPr>
              <w:t>NMSE</w:t>
            </w:r>
          </w:p>
        </w:tc>
      </w:tr>
      <w:tr>
        <w:trPr>
          <w:cantSplit/>
        </w:trPr>
        <w:tc>
          <w:tcPr>
            <w:tcW w:type="dxa" w:w="2050"/>
          </w:tcPr>
          <w:p>
            <w:pPr>
              <w:pStyle w:val="TableText"/>
            </w:pPr>
            <w:r>
              <w:t>1 × 16</w:t>
            </w:r>
          </w:p>
        </w:tc>
        <w:tc>
          <w:tcPr>
            <w:tcW w:type="dxa" w:w="1450"/>
          </w:tcPr>
          <w:p>
            <w:pPr>
              <w:pStyle w:val="TableText"/>
            </w:pPr>
            <w:r>
              <w:t>topic</w:t>
            </w:r>
          </w:p>
        </w:tc>
        <w:tc>
          <w:tcPr>
            <w:tcW w:type="dxa" w:w="3560"/>
          </w:tcPr>
          <w:p>
            <w:pPr>
              <w:pStyle w:val="TableText"/>
            </w:pPr>
            <w:r>
              <w:t>64.65 ± 5.04</w:t>
            </w:r>
          </w:p>
        </w:tc>
        <w:tc>
          <w:tcPr>
            <w:tcW w:type="dxa" w:w="2300"/>
          </w:tcPr>
          <w:p>
            <w:pPr>
              <w:pStyle w:val="TableText"/>
            </w:pPr>
            <w:r>
              <w:t>0.1367</w:t>
            </w:r>
          </w:p>
        </w:tc>
      </w:tr>
      <w:tr>
        <w:trPr>
          <w:cantSplit/>
        </w:trPr>
        <w:tc>
          <w:tcPr>
            <w:tcW w:type="dxa" w:w="2050"/>
          </w:tcPr>
          <w:p>
            <w:pPr>
              <w:pStyle w:val="TableText"/>
            </w:pPr>
            <w:r>
              <w:t>2 × 8</w:t>
            </w:r>
          </w:p>
        </w:tc>
        <w:tc>
          <w:tcPr>
            <w:tcW w:type="dxa" w:w="1450"/>
          </w:tcPr>
          <w:p>
            <w:pPr>
              <w:pStyle w:val="TableText"/>
            </w:pPr>
            <w:r>
              <w:t>topic</w:t>
            </w:r>
          </w:p>
        </w:tc>
        <w:tc>
          <w:tcPr>
            <w:tcW w:type="dxa" w:w="3560"/>
          </w:tcPr>
          <w:p>
            <w:pPr>
              <w:pStyle w:val="TableText"/>
            </w:pPr>
            <w:r>
              <w:t>20.79 ± 5.11</w:t>
            </w:r>
          </w:p>
        </w:tc>
        <w:tc>
          <w:tcPr>
            <w:tcW w:type="dxa" w:w="2300"/>
          </w:tcPr>
          <w:p>
            <w:pPr>
              <w:pStyle w:val="TableText"/>
            </w:pPr>
            <w:r>
              <w:t>0.2696</w:t>
            </w:r>
          </w:p>
        </w:tc>
      </w:tr>
      <w:tr>
        <w:trPr>
          <w:cantSplit/>
        </w:trPr>
        <w:tc>
          <w:tcPr>
            <w:tcW w:type="dxa" w:w="2050"/>
          </w:tcPr>
          <w:p>
            <w:pPr>
              <w:pStyle w:val="TableText"/>
            </w:pPr>
            <w:r>
              <w:t>2 × 8</w:t>
            </w:r>
          </w:p>
        </w:tc>
        <w:tc>
          <w:tcPr>
            <w:tcW w:type="dxa" w:w="1450"/>
          </w:tcPr>
          <w:p>
            <w:pPr>
              <w:pStyle w:val="TableText"/>
            </w:pPr>
            <w:r>
              <w:t>hash</w:t>
            </w:r>
          </w:p>
        </w:tc>
        <w:tc>
          <w:tcPr>
            <w:tcW w:type="dxa" w:w="3560"/>
          </w:tcPr>
          <w:p>
            <w:pPr>
              <w:pStyle w:val="TableText"/>
            </w:pPr>
            <w:r>
              <w:t>7.75 ± 1.42</w:t>
            </w:r>
          </w:p>
        </w:tc>
        <w:tc>
          <w:tcPr>
            <w:tcW w:type="dxa" w:w="2300"/>
          </w:tcPr>
          <w:p>
            <w:pPr>
              <w:pStyle w:val="TableText"/>
            </w:pPr>
            <w:r>
              <w:t>0.4286</w:t>
            </w:r>
          </w:p>
        </w:tc>
      </w:tr>
      <w:tr>
        <w:trPr>
          <w:cantSplit/>
        </w:trPr>
        <w:tc>
          <w:tcPr>
            <w:tcW w:type="dxa" w:w="2050"/>
          </w:tcPr>
          <w:p>
            <w:pPr>
              <w:pStyle w:val="TableText"/>
            </w:pPr>
            <w:r>
              <w:t>4 × 4</w:t>
            </w:r>
          </w:p>
        </w:tc>
        <w:tc>
          <w:tcPr>
            <w:tcW w:type="dxa" w:w="1450"/>
          </w:tcPr>
          <w:p>
            <w:pPr>
              <w:pStyle w:val="TableText"/>
            </w:pPr>
            <w:r>
              <w:t>topic</w:t>
            </w:r>
          </w:p>
        </w:tc>
        <w:tc>
          <w:tcPr>
            <w:tcW w:type="dxa" w:w="3560"/>
          </w:tcPr>
          <w:p>
            <w:pPr>
              <w:pStyle w:val="TableText"/>
            </w:pPr>
            <w:r>
              <w:t>5.05 ± 1.18</w:t>
            </w:r>
          </w:p>
        </w:tc>
        <w:tc>
          <w:tcPr>
            <w:tcW w:type="dxa" w:w="2300"/>
          </w:tcPr>
          <w:p>
            <w:pPr>
              <w:pStyle w:val="TableText"/>
            </w:pPr>
            <w:r>
              <w:t>0.4021</w:t>
            </w:r>
          </w:p>
        </w:tc>
      </w:tr>
      <w:tr>
        <w:trPr>
          <w:cantSplit/>
        </w:trPr>
        <w:tc>
          <w:tcPr>
            <w:tcW w:type="dxa" w:w="2050"/>
          </w:tcPr>
          <w:p>
            <w:pPr>
              <w:pStyle w:val="TableText"/>
            </w:pPr>
            <w:r>
              <w:t>4 × 4</w:t>
            </w:r>
          </w:p>
        </w:tc>
        <w:tc>
          <w:tcPr>
            <w:tcW w:type="dxa" w:w="1450"/>
          </w:tcPr>
          <w:p>
            <w:pPr>
              <w:pStyle w:val="TableText"/>
            </w:pPr>
            <w:r>
              <w:t>hash</w:t>
            </w:r>
          </w:p>
        </w:tc>
        <w:tc>
          <w:tcPr>
            <w:tcW w:type="dxa" w:w="3560"/>
          </w:tcPr>
          <w:p>
            <w:pPr>
              <w:pStyle w:val="TableText"/>
            </w:pPr>
            <w:r>
              <w:t>0.44 ± 0.10</w:t>
            </w:r>
          </w:p>
        </w:tc>
        <w:tc>
          <w:tcPr>
            <w:tcW w:type="dxa" w:w="2300"/>
          </w:tcPr>
          <w:p>
            <w:pPr>
              <w:pStyle w:val="TableText"/>
            </w:pPr>
            <w:r>
              <w:t>0.6678</w:t>
            </w:r>
          </w:p>
        </w:tc>
      </w:tr>
      <w:tr>
        <w:trPr>
          <w:cantSplit/>
        </w:trPr>
        <w:tc>
          <w:tcPr>
            <w:tcW w:type="dxa" w:w="2050"/>
          </w:tcPr>
          <w:p>
            <w:pPr>
              <w:pStyle w:val="TableText"/>
            </w:pPr>
            <w:r>
              <w:t>8 × 2</w:t>
            </w:r>
          </w:p>
        </w:tc>
        <w:tc>
          <w:tcPr>
            <w:tcW w:type="dxa" w:w="1450"/>
          </w:tcPr>
          <w:p>
            <w:pPr>
              <w:pStyle w:val="TableText"/>
            </w:pPr>
            <w:r>
              <w:t>topic</w:t>
            </w:r>
          </w:p>
        </w:tc>
        <w:tc>
          <w:tcPr>
            <w:tcW w:type="dxa" w:w="3560"/>
          </w:tcPr>
          <w:p>
            <w:pPr>
              <w:pStyle w:val="TableText"/>
            </w:pPr>
            <w:r>
              <w:t>0.95 ± 0.03</w:t>
            </w:r>
          </w:p>
        </w:tc>
        <w:tc>
          <w:tcPr>
            <w:tcW w:type="dxa" w:w="2300"/>
          </w:tcPr>
          <w:p>
            <w:pPr>
              <w:pStyle w:val="TableText"/>
            </w:pPr>
            <w:r>
              <w:t>0.5277</w:t>
            </w:r>
          </w:p>
        </w:tc>
      </w:tr>
      <w:tr>
        <w:trPr>
          <w:cantSplit/>
        </w:trPr>
        <w:tc>
          <w:tcPr>
            <w:tcW w:type="dxa" w:w="2050"/>
          </w:tcPr>
          <w:p>
            <w:pPr>
              <w:pStyle w:val="TableText"/>
            </w:pPr>
            <w:r>
              <w:t>8 × 2</w:t>
            </w:r>
          </w:p>
        </w:tc>
        <w:tc>
          <w:tcPr>
            <w:tcW w:type="dxa" w:w="1450"/>
          </w:tcPr>
          <w:p>
            <w:pPr>
              <w:pStyle w:val="TableText"/>
            </w:pPr>
            <w:r>
              <w:t>hash</w:t>
            </w:r>
          </w:p>
        </w:tc>
        <w:tc>
          <w:tcPr>
            <w:tcW w:type="dxa" w:w="3560"/>
          </w:tcPr>
          <w:p>
            <w:pPr>
              <w:pStyle w:val="TableText"/>
            </w:pPr>
            <w:r>
              <w:t>0.05 ± 0.01</w:t>
            </w:r>
          </w:p>
        </w:tc>
        <w:tc>
          <w:tcPr>
            <w:tcW w:type="dxa" w:w="2300"/>
          </w:tcPr>
          <w:p>
            <w:pPr>
              <w:pStyle w:val="TableText"/>
            </w:pPr>
            <w:r>
              <w:t>0.8168</w:t>
            </w:r>
          </w:p>
        </w:tc>
      </w:tr>
    </w:tbl>
    <w:p>
      <w:pPr>
        <w:pStyle w:val="Caption"/>
      </w:pPr>
      <w:r>
        <w:t>Table 4. Mean ± 95% confidence half-width over six evaluation seeds. Every configuration retains 1,024 factor scalars (8 KiB in float64), excluding small scalar routing configuration and temporary work arrays. No tested prediction met the 10⁻⁶ absolute vector-error criterion. This is a reconstruction criterion, not a semantic correctness test.</w:t>
      </w:r>
    </w:p>
    <w:p>
      <w:r>
        <w:t>The single expert achieved 64.65% identifier recall with NMSE 0.1367. Eight rank-2 topic experts achieved 0.95% with NMSE 0.5277. The direction of the partition result therefore survives an operating point materially below ceiling. The result is conditional on this writer, key geometry, finite codebook and routing rule.</w:t>
      </w:r>
    </w:p>
    <w:p>
      <w:r>
        <w:br w:type="page"/>
      </w:r>
    </w:p>
    <w:p>
      <w:pPr>
        <w:pStyle w:val="Heading1"/>
      </w:pPr>
      <w:r>
        <w:t>9.4 Recall as a function of age</w:t>
      </w:r>
    </w:p>
    <w:p>
      <w:pPr>
        <w:keepNext/>
      </w:pPr>
      <w:r/>
      <w:r>
        <w:drawing>
          <wp:inline xmlns:a="http://schemas.openxmlformats.org/drawingml/2006/main" xmlns:pic="http://schemas.openxmlformats.org/drawingml/2006/picture">
            <wp:extent cx="5943600" cy="2127183"/>
            <wp:docPr id="2" name="Picture 2" descr="Figure 2. Recall-age refinement for the single-expert and eight-expert topic configurations. Bins contain 0–7, 8–31, 32–127, 128–511, 512–2,047, 2,048–8,191 and 8,192–32,767 intervening writes. Horizontal positions are bin midpoints on a logarithmic axis. Error bars are 95% Student-t intervals across six seeds; the smallest bins have few observations."/>
            <wp:cNvGraphicFramePr>
              <a:graphicFrameLocks noChangeAspect="1"/>
            </wp:cNvGraphicFramePr>
            <a:graphic>
              <a:graphicData uri="http://schemas.openxmlformats.org/drawingml/2006/picture">
                <pic:pic>
                  <pic:nvPicPr>
                    <pic:cNvPr id="0" name="recall_age_fine.png"/>
                    <pic:cNvPicPr/>
                  </pic:nvPicPr>
                  <pic:blipFill>
                    <a:blip r:embed="rId12"/>
                    <a:stretch>
                      <a:fillRect/>
                    </a:stretch>
                  </pic:blipFill>
                  <pic:spPr>
                    <a:xfrm>
                      <a:off x="0" y="0"/>
                      <a:ext cx="5943600" cy="2127183"/>
                    </a:xfrm>
                    <a:prstGeom prst="rect"/>
                  </pic:spPr>
                </pic:pic>
              </a:graphicData>
            </a:graphic>
          </wp:inline>
        </w:drawing>
      </w:r>
    </w:p>
    <w:p>
      <w:pPr>
        <w:pStyle w:val="Caption"/>
      </w:pPr>
      <w:r>
        <w:t>Figure 2. Recall-age refinement for the single-expert and eight-expert topic configurations. Bins contain 0–7, 8–31, 32–127, 128–511, 512–2,047, 2,048–8,191 and 8,192–32,767 intervening writes. Horizontal positions are bin midpoints on a logarithmic axis. Error bars are 95% Student-t intervals across six seeds; the smallest bins have few observations.</w:t>
      </w:r>
    </w:p>
    <w:p>
      <w:r>
        <w:t>Age is measured at the final query as the number of intervening writes since an association’s presentation. Eight broad equal-count bins were nearly flat and each pooled 4,096 observations. A declared follow-up therefore resolved shorter ages in the two endpoint configurations, repeating the same seeds and checking identical endpoint metrics. These are final-time cross-sectional age curves, not longitudinal repeated-query trajectories.</w:t>
      </w:r>
    </w:p>
    <w:p>
      <w:r>
        <w:t>For 1 expert, mean recall is 75.00% at age 0–7 and 64.66% at age 8,192–32,767. Short-age estimates have wide uncertainty; the broad-bin mean had concealed this short-scale profile.</w:t>
      </w:r>
    </w:p>
    <w:p>
      <w:r>
        <w:t>For 8 experts, mean recall is 6.25% at age 0–7 and 0.97% at age 8,192–32,767. Short-age estimates have wide uncertainty; the broad-bin mean had concealed this short-scale profile.</w:t>
      </w:r>
    </w:p>
    <w:p>
      <w:pPr>
        <w:pStyle w:val="Heading2"/>
      </w:pPr>
      <w:r>
        <w:t>9.5 What this does and does not remove</w:t>
      </w:r>
    </w:p>
    <w:p>
      <w:r>
        <w:t>With block-supported keys and the prescribed topic partition, each expert’s restricted map can be assembled into one global matrix. Its rank is at most the sum of expert ranks. The single-expert class therefore contains these topic-partitioned maps on the evaluated inputs. The experiment tests optimization and rank fragmentation in that setting; it is not a general comparison of mixture function classes.</w:t>
      </w:r>
    </w:p>
    <w:p>
      <w:r>
        <w:t>The evidence supports omitting an asserted benefit of partitioning from the present linear model. It does not warrant a universal deletion of mixture-of-seeds, because distinct generated feature maps, nonlinear transformations and learned routing were not instantiated. Such components should remain unclaimed until a controlled test shows a benefit at their full retained-state and compute cost.</w:t>
      </w:r>
    </w:p>
    <w:p>
      <w:r>
        <w:br w:type="page"/>
      </w:r>
    </w:p>
    <w:p>
      <w:pPr>
        <w:pStyle w:val="Heading1"/>
      </w:pPr>
      <w:r>
        <w:t>10. Measuring the admission crossover</w:t>
      </w:r>
    </w:p>
    <w:p>
      <w:r>
        <w:t xml:space="preserve">The central policy hypothesis remains an empirical target. Define </w:t>
      </w:r>
      <m:oMath>
        <m:sSub>
          <m:e>
            <m:r>
              <m:t xml:space="preserve">U</m:t>
            </m:r>
          </m:e>
          <m:sub>
            <m:r>
              <m:t xml:space="preserve">j</m:t>
            </m:r>
          </m:sub>
        </m:sSub>
        <m:r>
          <m:t xml:space="preserve">(</m:t>
        </m:r>
        <m:r>
          <m:t xml:space="preserve">B</m:t>
        </m:r>
        <m:r>
          <m:t xml:space="preserve">)</m:t>
        </m:r>
      </m:oMath>
      <w:r>
        <w:t xml:space="preserve"> as delayed-query performance achieved by policy family j after tuning on separate streams under total retained-byte budget B and a stated compute cap. An estimator becomes worthwhile only when its policy improves the relevant quality–cost frontier over a matched simpler gate. This is a workload-dependent crossover, not a number obtainable from the matrix dimensions alone.</w:t>
      </w:r>
    </w:p>
    <w:p>
      <w:pPr>
        <w:pStyle w:val="Heading2"/>
      </w:pPr>
      <w:r>
        <w:t>10.1 Required comparisons</w:t>
      </w:r>
    </w:p>
    <w:p>
      <w:r/>
      <w:r>
        <w:rPr>
          <w:b/>
        </w:rPr>
        <w:t xml:space="preserve">Reference gates. </w:t>
      </w:r>
      <w:r>
        <w:t>Use always-write, a tuned surprise gate, a resource-matched random or frequency gate, and a fixed-subspace exact gate where that restricted learner is meaningful. Keep candidate updates and prediction targets consistent. Compare changed hypothesis classes separately from changed admission estimators.</w:t>
      </w:r>
    </w:p>
    <w:p>
      <w:r/>
      <w:r>
        <w:rPr>
          <w:b/>
        </w:rPr>
        <w:t xml:space="preserve">Affordable estimators. </w:t>
      </w:r>
      <w:r>
        <w:t>Compare tied diagonal covariance, several coordinate-block sizes, key-only sketches with an explicit residual-validity condition, and joint key–target sketches. Sweep sketch rank and residual-audit allowance jointly. Charge any reference weights, reservoirs, anchors, metadata and refresh state.</w:t>
      </w:r>
    </w:p>
    <w:p>
      <w:r/>
      <w:r>
        <w:rPr>
          <w:b/>
        </w:rPr>
        <w:t xml:space="preserve">Exact oracle. </w:t>
      </w:r>
      <w:r>
        <w:t>Retain full historical information or full H and C as an explicitly over-budget diagnostic. It can quantify candidate-scoring error or lost utility. It is not a fair deployable baseline under an overlay-sized decision allowance.</w:t>
      </w:r>
    </w:p>
    <w:p>
      <w:pPr>
        <w:pStyle w:val="Heading2"/>
      </w:pPr>
      <w:r>
        <w:t>10.2 Streams, tuning and outcomes</w:t>
      </w:r>
    </w:p>
    <w:p>
      <w:r>
        <w:t>Use independently generated recurrent useful associations, redundant observations, one-off distractors, association corrections and changing query frequencies. Include shared structure and imperfect routing. Declare the future query generator before tuning the admission thresholds; a surprise label must not secretly reveal future usefulness. Test both near-stationary and residual-heavy histories.</w:t>
      </w:r>
    </w:p>
    <w:p>
      <w:r>
        <w:t>Report delayed identifier recall, vector loss, recall by age, false admissions, rejected useful observations, damage to protected items, live allocations, total persistent bytes, peak workspace and update latency. At fixed total bytes, increasing estimator state must reduce another allocation such as factor rank or audit capacity; adding a sketch to an unchanged bank is not that experiment.</w:t>
      </w:r>
    </w:p>
    <w:p>
      <w:r>
        <w:t>Select hyperparameters on separate calibration streams and compare paired held-out seeds. Identify the crossover through an uncertainty interval and a practically relevant improvement criterion, rather than a single favourable threshold. The present manuscript has not executed this complete gate comparison and reports no winning sketch rank or end-to-end admission advantage.</w:t>
      </w:r>
    </w:p>
    <w:p>
      <w:r>
        <w:br w:type="page"/>
      </w:r>
    </w:p>
    <w:p>
      <w:pPr>
        <w:pStyle w:val="Heading1"/>
      </w:pPr>
      <w:r>
        <w:t>11. Discussion and limitations</w:t>
      </w:r>
    </w:p>
    <w:p>
      <w:r>
        <w:t>The storage reversal is structural for generic dense per-expert statistics, but not an impossibility result for all exact policies. The fixed-subspace construction shows why the direction class matters. Conversely, a small current projection does not license unrestricted future subspace movement. The design question is how much directional freedom a controller can afford while keeping enough residual information to value its writes.</w:t>
      </w:r>
    </w:p>
    <w:p>
      <w:r>
        <w:t>The healthy-memory regime has a quantitative meaning through a residual bound or projected stationarity. It is not established by fitting the current item, by a low surprise score, or by high codebook accuracy. An adaptive controller may use cheap scoring while the bound is tight and spend more when uncertainty grows, but that extra state must have been retained or be recoverable. A controller cannot retroactively sketch observations that were discarded without sufficient information.</w:t>
      </w:r>
    </w:p>
    <w:p>
      <w:r>
        <w:t>The linear experiments use synthetic block keys, prescribed routing, SVD rank projection, small dimensions and float64 CPU arithmetic. They do not reproduce the LoRA factor optimizer or procedural nonlinear memory. The six-seed stress study and the age-bin refinement are diagnostics with uncertainty. The pass-count change prevents treating the stress run as a pure density ablation. In a multilayer learner, earlier updates can also change later keys: summing fixed-key layerwise identities does not give an exact end-to-end forgetting measure.</w:t>
      </w:r>
    </w:p>
    <w:p>
      <w:r>
        <w:t>Storage-equivalent KV tokens do not represent equivalent recall quality. Precision changes require counting optimizer and statistics precision separately. A fused procedural kernel may overlap generation with other work or may lose performance through occupancy and register pressure. No signed throughput prediction follows from this accounting or from the CPU experiments.</w:t>
      </w:r>
    </w:p>
    <w:p>
      <w:pPr>
        <w:pStyle w:val="Heading1"/>
      </w:pPr>
      <w:r>
        <w:t>12. Conclusion</w:t>
      </w:r>
    </w:p>
    <w:p>
      <w:r>
        <w:t>A procedural memory architecture can remove a dense base and then lose that saving to its own admission machinery. The appropriate response is to price the decision state and specify the directions and residual information that the policy needs. Exact projected statistics are possible under a fixed write subspace; drifting directions require richer state, additional assumptions or controlled approximation. The covariance and residual terms impose distinct requirements.</w:t>
      </w:r>
    </w:p>
    <w:p>
      <w:r>
        <w:t>The empirical audit resolves the apparent conflict between rank-32 targets and near-perfect rank-16 identifier recall: the finite-codebook metric tolerated nonzero reconstruction error. A denser single-pass study preserves the negative partition result away from ceiling, within its linear scope. The next result to establish is a measured admission crossover under a shared total budget. The manuscript supplies its formal quantities, estimator prices and evaluation protocol without presenting that unmeasured result as settled.</w:t>
      </w:r>
    </w:p>
    <w:p>
      <w:r>
        <w:br w:type="page"/>
      </w:r>
    </w:p>
    <w:p>
      <w:pPr>
        <w:pStyle w:val="Heading1"/>
      </w:pPr>
      <w:r>
        <w:t>References</w:t>
      </w:r>
    </w:p>
    <w:p>
      <w:pPr>
        <w:pStyle w:val="Reference"/>
      </w:pPr>
      <w:r>
        <w:t>[1] Ghosh, D. P. (2025). PRNGed Pre-trained Titans (PPT): Procedural Long-Term Memory for Test-Time Memorization via Mixture-of-Seeds and Low-Rank Writing. ResearchGate preprint.</w:t>
      </w:r>
      <w:r>
        <w:t xml:space="preserve"> </w:t>
      </w:r>
      <w:hyperlink r:id="rId13">
        <w:r>
          <w:rPr>
            <w:color w:val="245D88"/>
          </w:rPr>
          <w:t>https://doi.org/10.13140/RG.2.2.13828.39048</w:t>
        </w:r>
      </w:hyperlink>
    </w:p>
    <w:p>
      <w:pPr>
        <w:pStyle w:val="Reference"/>
      </w:pPr>
      <w:r>
        <w:t>[2] Behrouz, A., Zhong, P., and Mirrokni, V. (2024). Titans: Learning to Memorize at Test Time. arXiv:2501.00663, submitted 31 December 2024.</w:t>
      </w:r>
      <w:r>
        <w:t xml:space="preserve"> </w:t>
      </w:r>
      <w:hyperlink r:id="rId14">
        <w:r>
          <w:rPr>
            <w:color w:val="245D88"/>
          </w:rPr>
          <w:t>https://arxiv.org/abs/2501.00663</w:t>
        </w:r>
      </w:hyperlink>
    </w:p>
    <w:p>
      <w:pPr>
        <w:pStyle w:val="Reference"/>
      </w:pPr>
      <w:r>
        <w:t>[3] Behrouz, A., et al. (2025). ATLAS: Learning to Optimally Memorize the Context at Test Time. arXiv:2505.23735.</w:t>
      </w:r>
      <w:r>
        <w:t xml:space="preserve"> </w:t>
      </w:r>
      <w:hyperlink r:id="rId15">
        <w:r>
          <w:rPr>
            <w:color w:val="245D88"/>
          </w:rPr>
          <w:t>https://arxiv.org/abs/2505.23735</w:t>
        </w:r>
      </w:hyperlink>
    </w:p>
    <w:p>
      <w:pPr>
        <w:pStyle w:val="Reference"/>
      </w:pPr>
      <w:r>
        <w:t>[4] Li, Z., et al. (2025). TNT: Improving Chunkwise Training for Test-Time Memorization. arXiv:2511.07343.</w:t>
      </w:r>
      <w:r>
        <w:t xml:space="preserve"> </w:t>
      </w:r>
      <w:hyperlink r:id="rId16">
        <w:r>
          <w:rPr>
            <w:color w:val="245D88"/>
          </w:rPr>
          <w:t>https://arxiv.org/abs/2511.07343</w:t>
        </w:r>
      </w:hyperlink>
    </w:p>
    <w:p>
      <w:pPr>
        <w:pStyle w:val="Reference"/>
      </w:pPr>
      <w:r>
        <w:t>[5] Hu, E. J., et al. (2022). LoRA: Low-Rank Adaptation of Large Language Models. ICLR.</w:t>
      </w:r>
      <w:r>
        <w:t xml:space="preserve"> </w:t>
      </w:r>
      <w:hyperlink r:id="rId17">
        <w:r>
          <w:rPr>
            <w:color w:val="245D88"/>
          </w:rPr>
          <w:t>https://arxiv.org/abs/2106.09685</w:t>
        </w:r>
      </w:hyperlink>
    </w:p>
    <w:p>
      <w:pPr>
        <w:pStyle w:val="Reference"/>
      </w:pPr>
      <w:r>
        <w:t>[6] Kirkpatrick, J., et al. (2017). Overcoming catastrophic forgetting in neural networks. PNAS, 114(13), 3521–3526.</w:t>
      </w:r>
      <w:r>
        <w:t xml:space="preserve"> </w:t>
      </w:r>
      <w:hyperlink r:id="rId18">
        <w:r>
          <w:rPr>
            <w:color w:val="245D88"/>
          </w:rPr>
          <w:t>https://doi.org/10.1073/pnas.1611835114</w:t>
        </w:r>
      </w:hyperlink>
    </w:p>
    <w:p>
      <w:pPr>
        <w:pStyle w:val="Reference"/>
      </w:pPr>
      <w:r>
        <w:t>[7] Martens, J., and Grosse, R. (2015). Optimizing Neural Networks with Kronecker-factored Approximate Curvature. ICML, PMLR 37, 2408–2417.</w:t>
      </w:r>
      <w:r>
        <w:t xml:space="preserve"> </w:t>
      </w:r>
      <w:hyperlink r:id="rId19">
        <w:r>
          <w:rPr>
            <w:color w:val="245D88"/>
          </w:rPr>
          <w:t>https://proceedings.mlr.press/v37/martens15.html</w:t>
        </w:r>
      </w:hyperlink>
    </w:p>
    <w:p>
      <w:pPr>
        <w:pStyle w:val="Reference"/>
      </w:pPr>
      <w:r>
        <w:t>[8] Lopez-Paz, D., and Ranzato, M. (2017). Gradient Episodic Memory for Continual Learning. NeurIPS.</w:t>
      </w:r>
      <w:r>
        <w:t xml:space="preserve"> </w:t>
      </w:r>
      <w:hyperlink r:id="rId20">
        <w:r>
          <w:rPr>
            <w:color w:val="245D88"/>
          </w:rPr>
          <w:t>https://arxiv.org/abs/1706.08840</w:t>
        </w:r>
      </w:hyperlink>
    </w:p>
    <w:p>
      <w:pPr>
        <w:pStyle w:val="Reference"/>
      </w:pPr>
      <w:r>
        <w:t>[9] Aljundi, R., Lin, M., Goujaud, B., and Bengio, Y. (2019). Gradient based sample selection for online continual learning. NeurIPS.</w:t>
      </w:r>
      <w:r>
        <w:t xml:space="preserve"> </w:t>
      </w:r>
      <w:hyperlink r:id="rId21">
        <w:r>
          <w:rPr>
            <w:color w:val="245D88"/>
          </w:rPr>
          <w:t>https://arxiv.org/abs/1903.08671</w:t>
        </w:r>
      </w:hyperlink>
    </w:p>
    <w:p>
      <w:pPr>
        <w:pStyle w:val="Reference"/>
      </w:pPr>
      <w:r>
        <w:t>[10] Ghashami, M., Liberty, E., Phillips, J. M., and Woodruff, D. P. (2016). Frequent Directions: Simple and Deterministic Matrix Sketching. SIAM Journal on Computing, 45(5), 1762–1792.</w:t>
      </w:r>
      <w:r>
        <w:t xml:space="preserve"> </w:t>
      </w:r>
      <w:hyperlink r:id="rId22">
        <w:r>
          <w:rPr>
            <w:color w:val="245D88"/>
          </w:rPr>
          <w:t>https://arxiv.org/abs/1501.01711</w:t>
        </w:r>
      </w:hyperlink>
    </w:p>
    <w:p>
      <w:pPr>
        <w:pStyle w:val="Reference"/>
      </w:pPr>
      <w:r>
        <w:t>[11] Ainslie, J., et al. (2023). GQA: Training Generalized Multi-Query Transformer Models from Multi-Head Checkpoints. EMNLP.</w:t>
      </w:r>
      <w:r>
        <w:t xml:space="preserve"> </w:t>
      </w:r>
      <w:hyperlink r:id="rId23">
        <w:r>
          <w:rPr>
            <w:color w:val="245D88"/>
          </w:rPr>
          <w:t>https://arxiv.org/abs/2305.13245</w:t>
        </w:r>
      </w:hyperlink>
    </w:p>
    <w:p>
      <w:pPr>
        <w:pStyle w:val="Reference"/>
      </w:pPr>
      <w:r>
        <w:t>[12] Liu, Z., et al. (2024). KIVI: A Tuning-Free Asymmetric 2bit Quantization for KV Cache. ICML.</w:t>
      </w:r>
      <w:r>
        <w:t xml:space="preserve"> </w:t>
      </w:r>
      <w:hyperlink r:id="rId24">
        <w:r>
          <w:rPr>
            <w:color w:val="245D88"/>
          </w:rPr>
          <w:t>https://arxiv.org/abs/2402.02750</w:t>
        </w:r>
      </w:hyperlink>
    </w:p>
    <w:p>
      <w:pPr>
        <w:pStyle w:val="Reference"/>
      </w:pPr>
      <w:r>
        <w:t>[13] Kunstner, F., Balles, L., and Hennig, P. (2019). Limitations of the Empirical Fisher Approximation for Natural Gradient Descent. NeurIPS.</w:t>
      </w:r>
      <w:r>
        <w:t xml:space="preserve"> </w:t>
      </w:r>
      <w:hyperlink r:id="rId25">
        <w:r>
          <w:rPr>
            <w:color w:val="245D88"/>
          </w:rPr>
          <w:t>https://arxiv.org/abs/1905.12558</w:t>
        </w:r>
      </w:hyperlink>
    </w:p>
    <w:p>
      <w:pPr>
        <w:pStyle w:val="Reference"/>
      </w:pPr>
      <w:r>
        <w:t>[14] Ghosh, D. P. (2026). Defensible Forgetting: Minimal Provenance Under Certification Constraints. Unpublished manuscript, 28 August 2026. No public identifier assigned in this draft.</w:t>
      </w:r>
    </w:p>
    <w:p>
      <w:r>
        <w:br w:type="page"/>
      </w:r>
    </w:p>
    <w:p>
      <w:pPr>
        <w:pStyle w:val="Heading1"/>
      </w:pPr>
      <w:r>
        <w:t>Appendix A. Proof details and accounting conventions</w:t>
      </w:r>
    </w:p>
    <w:p>
      <w:pPr>
        <w:pStyle w:val="Heading2"/>
      </w:pPr>
      <w:r>
        <w:t>A.1 Joint-sketch bound</w:t>
      </w:r>
    </w:p>
    <w:p>
      <w:r>
        <w:t xml:space="preserve">Set </w:t>
      </w:r>
      <m:oMath>
        <m:sSub>
          <m:e>
            <m:r>
              <m:t xml:space="preserve">R</m:t>
            </m:r>
          </m:e>
          <m:sub>
            <m:r>
              <m:t xml:space="preserve">J</m:t>
            </m:r>
          </m:sub>
        </m:sSub>
      </m:oMath>
      <w:r>
        <w:t>=J−Ĵ. Subtracting the exact and sketched finite-write quadratic forms gives tr(</w:t>
      </w:r>
      <m:oMath>
        <m:sSub>
          <m:e>
            <m:r>
              <m:t xml:space="preserve">E</m:t>
            </m:r>
          </m:e>
          <m:sub>
            <m:r>
              <m:t xml:space="preserve">Δ</m:t>
            </m:r>
          </m:sub>
        </m:sSub>
      </m:oMath>
      <w:r>
        <w:t>ᵀ</w:t>
      </w:r>
      <m:oMath>
        <m:sSub>
          <m:e>
            <m:r>
              <m:t xml:space="preserve">R</m:t>
            </m:r>
          </m:e>
          <m:sub>
            <m:r>
              <m:t xml:space="preserve">J</m:t>
            </m:r>
          </m:sub>
        </m:sSub>
      </m:oMath>
      <w:r>
        <w:t xml:space="preserve"> </w:t>
      </w:r>
      <m:oMath>
        <m:sSub>
          <m:e>
            <m:r>
              <m:t xml:space="preserve">T</m:t>
            </m:r>
          </m:e>
          <m:sub>
            <m:r>
              <m:t xml:space="preserve">X</m:t>
            </m:r>
          </m:sub>
        </m:sSub>
      </m:oMath>
      <w:r>
        <w:t>)+½tr(</w:t>
      </w:r>
      <m:oMath>
        <m:sSub>
          <m:e>
            <m:r>
              <m:t xml:space="preserve">E</m:t>
            </m:r>
          </m:e>
          <m:sub>
            <m:r>
              <m:t xml:space="preserve">Δ</m:t>
            </m:r>
          </m:sub>
        </m:sSub>
      </m:oMath>
      <w:r>
        <w:t>ᵀ</w:t>
      </w:r>
      <m:oMath>
        <m:sSub>
          <m:e>
            <m:r>
              <m:t xml:space="preserve">R</m:t>
            </m:r>
          </m:e>
          <m:sub>
            <m:r>
              <m:t xml:space="preserve">J</m:t>
            </m:r>
          </m:sub>
        </m:sSub>
      </m:oMath>
      <w:r>
        <w:t xml:space="preserve"> </w:t>
      </w:r>
      <m:oMath>
        <m:sSub>
          <m:e>
            <m:r>
              <m:t xml:space="preserve">E</m:t>
            </m:r>
          </m:e>
          <m:sub>
            <m:r>
              <m:t xml:space="preserve">Δ</m:t>
            </m:r>
          </m:sub>
        </m:sSub>
      </m:oMath>
      <w:r>
        <w:t xml:space="preserve">). Bound the first term by </w:t>
      </w:r>
      <m:oMath>
        <m:sSub>
          <m:e>
            <m:r>
              <m:t xml:space="preserve">ε</m:t>
            </m:r>
          </m:e>
          <m:sub>
            <m:r>
              <m:t xml:space="preserve">J</m:t>
            </m:r>
          </m:sub>
        </m:sSub>
      </m:oMath>
      <w:r>
        <w:t xml:space="preserve"> times the product of the Frobenius norms of </w:t>
      </w:r>
      <m:oMath>
        <m:sSub>
          <m:e>
            <m:r>
              <m:t xml:space="preserve">E</m:t>
            </m:r>
          </m:e>
          <m:sub>
            <m:r>
              <m:t xml:space="preserve">Δ</m:t>
            </m:r>
          </m:sub>
        </m:sSub>
      </m:oMath>
      <w:r>
        <w:t xml:space="preserve"> and </w:t>
      </w:r>
      <m:oMath>
        <m:sSub>
          <m:e>
            <m:r>
              <m:t xml:space="preserve">T</m:t>
            </m:r>
          </m:e>
          <m:sub>
            <m:r>
              <m:t xml:space="preserve">X</m:t>
            </m:r>
          </m:sub>
        </m:sSub>
      </m:oMath>
      <w:r>
        <w:t xml:space="preserve">, and the second by half </w:t>
      </w:r>
      <m:oMath>
        <m:sSub>
          <m:e>
            <m:r>
              <m:t xml:space="preserve">ε</m:t>
            </m:r>
          </m:e>
          <m:sub>
            <m:r>
              <m:t xml:space="preserve">J</m:t>
            </m:r>
          </m:sub>
        </m:sSub>
      </m:oMath>
      <w:r>
        <w:t xml:space="preserve"> times the squared Frobenius norm of </w:t>
      </w:r>
      <m:oMath>
        <m:sSub>
          <m:e>
            <m:r>
              <m:t xml:space="preserve">E</m:t>
            </m:r>
          </m:e>
          <m:sub>
            <m:r>
              <m:t xml:space="preserve">Δ</m:t>
            </m:r>
          </m:sub>
        </m:sSub>
      </m:oMath>
      <w:r>
        <w:t xml:space="preserve">. The norm of </w:t>
      </w:r>
      <m:oMath>
        <m:sSub>
          <m:e>
            <m:r>
              <m:t xml:space="preserve">E</m:t>
            </m:r>
          </m:e>
          <m:sub>
            <m:r>
              <m:t xml:space="preserve">Δ</m:t>
            </m:r>
          </m:sub>
        </m:sSub>
      </m:oMath>
      <w:r>
        <w:t xml:space="preserve"> equals that of Δ; the squared norm of </w:t>
      </w:r>
      <m:oMath>
        <m:sSub>
          <m:e>
            <m:r>
              <m:t xml:space="preserve">T</m:t>
            </m:r>
          </m:e>
          <m:sub>
            <m:r>
              <m:t xml:space="preserve">X</m:t>
            </m:r>
          </m:sub>
        </m:sSub>
      </m:oMath>
      <w:r>
        <w:t xml:space="preserve"> equals the squared norm of X plus dₒ. This proves (22) without requiring a positive-semidefinite ordering between J and Ĵ.</w:t>
      </w:r>
    </w:p>
    <w:p>
      <w:r>
        <w:t xml:space="preserve">For weighted augmented data arranged as rows of </w:t>
      </w:r>
      <m:oMath>
        <m:sSub>
          <m:e>
            <m:r>
              <m:t xml:space="preserve">Z</m:t>
            </m:r>
          </m:e>
          <m:sub>
            <m:r>
              <m:rPr>
                <m:sty m:val="p"/>
              </m:rPr>
              <m:t xml:space="preserve">data</m:t>
            </m:r>
          </m:sub>
        </m:sSub>
      </m:oMath>
      <w:r>
        <w:t>, Frequent Directions with p sketch rows gives the following established bound for k&lt;p [10]:</w:t>
      </w:r>
    </w:p>
    <w:p>
      <w:pPr>
        <w:pStyle w:val="Equation"/>
        <w:tabs>
          <w:tab w:pos="9331" w:val="right"/>
        </w:tabs>
      </w:pPr>
      <w:r/>
      <m:oMath>
        <m:r>
          <m:t xml:space="preserve">‖</m:t>
        </m:r>
        <m:r>
          <m:t xml:space="preserve">J</m:t>
        </m:r>
        <m:r>
          <m:t xml:space="preserve">−</m:t>
        </m:r>
        <m:acc>
          <m:accPr>
            <m:chr m:val="̂"/>
          </m:accPr>
          <m:e>
            <m:r>
              <m:t xml:space="preserve">J</m:t>
            </m:r>
          </m:e>
        </m:acc>
        <m:sSub>
          <m:e>
            <m:r>
              <m:t xml:space="preserve">‖</m:t>
            </m:r>
          </m:e>
          <m:sub>
            <m:r>
              <m:t xml:space="preserve">2</m:t>
            </m:r>
          </m:sub>
        </m:sSub>
        <m:r>
          <m:t xml:space="preserve">≤</m:t>
        </m:r>
        <m:f>
          <m:num>
            <m:r>
              <m:t xml:space="preserve">‖</m:t>
            </m:r>
            <m:sSub>
              <m:e>
                <m:r>
                  <m:t xml:space="preserve">Z</m:t>
                </m:r>
              </m:e>
              <m:sub>
                <m:r>
                  <m:rPr>
                    <m:sty m:val="p"/>
                  </m:rPr>
                  <m:t xml:space="preserve">data</m:t>
                </m:r>
              </m:sub>
            </m:sSub>
            <m:r>
              <m:t xml:space="preserve">−</m:t>
            </m:r>
            <m:r>
              <m:t xml:space="preserve">(</m:t>
            </m:r>
            <m:sSub>
              <m:e>
                <m:r>
                  <m:t xml:space="preserve">Z</m:t>
                </m:r>
              </m:e>
              <m:sub>
                <m:r>
                  <m:rPr>
                    <m:sty m:val="p"/>
                  </m:rPr>
                  <m:t xml:space="preserve">data</m:t>
                </m:r>
              </m:sub>
            </m:sSub>
            <m:sSub>
              <m:e>
                <m:r>
                  <m:t xml:space="preserve">)</m:t>
                </m:r>
              </m:e>
              <m:sub>
                <m:r>
                  <m:t xml:space="preserve">k</m:t>
                </m:r>
              </m:sub>
            </m:sSub>
            <m:sSup>
              <m:e>
                <m:sSub>
                  <m:e>
                    <m:r>
                      <m:t xml:space="preserve">‖</m:t>
                    </m:r>
                  </m:e>
                  <m:sub>
                    <m:r>
                      <m:t xml:space="preserve">F</m:t>
                    </m:r>
                  </m:sub>
                </m:sSub>
              </m:e>
              <m:sup>
                <m:r>
                  <m:t xml:space="preserve">2</m:t>
                </m:r>
              </m:sup>
            </m:sSup>
          </m:num>
          <m:den>
            <m:r>
              <m:t xml:space="preserve">p</m:t>
            </m:r>
            <m:r>
              <m:t xml:space="preserve">−</m:t>
            </m:r>
            <m:r>
              <m:t xml:space="preserve">k</m:t>
            </m:r>
          </m:den>
        </m:f>
      </m:oMath>
      <w:r>
        <w:tab/>
        <w:t>(27)</w:t>
      </w:r>
    </w:p>
    <w:p>
      <w:r>
        <w:t>The subscript k denotes a best rank-k approximation in Frobenius norm. Our sketch is the transpose of the standard row-oriented representation. We use this established guarantee to bound finite-write scoring error and charge its state to the admission ledger.</w:t>
      </w:r>
    </w:p>
    <w:p>
      <w:pPr>
        <w:pStyle w:val="Heading2"/>
      </w:pPr>
      <w:r>
        <w:t>A.2 The rank obstruction and the identifier metric</w:t>
      </w:r>
    </w:p>
    <w:p>
      <w:r>
        <w:t>If predictions on m keys are MᵀK with rank(M)≤r, their matrix rank is at most r. Exact matching to V therefore requires rank(V)≤r. This condition is necessary, and key dependencies can impose further restrictions. It bounds exact vector matching, not nearest-neighbor identification. A nonzero perturbation of each target that stays inside its codebook Voronoi region leaves its identifier unchanged.</w:t>
      </w:r>
    </w:p>
    <w:p>
      <w:r>
        <w:t>The rank-16 tail-energy diagnostic minimizes over all rank-16 target reconstructions, not just those realizable by the trained key-to-value map. It is consequently a lower bound on the normalized squared error of that linear learner. It is not a formula for its attainable recall capacity.</w:t>
      </w:r>
    </w:p>
    <w:p>
      <w:pPr>
        <w:pStyle w:val="Heading2"/>
      </w:pPr>
      <w:r>
        <w:t>A.3 Bytes and finite-budget conventions</w:t>
      </w:r>
    </w:p>
    <w:p>
      <w:r>
        <w:t>MiB means 2²⁰ bytes. The square-layer reference overlay stores 2dr factor scalars and 2dr momentum scalars. Symmetry packing changes d² covariance storage to d(d+1)/2. Full H plus C then contains (3d²+d)/2 scalars, approximately 1.5 dense bases at equal precision. This still reverses the base saving, but “twice the base” must be labelled as full-array accounting.</w:t>
      </w:r>
    </w:p>
    <w:p>
      <w:r>
        <w:t>A same-subspace exact policy, a rank-p sketch and a full-statistic oracle implement different information contracts. Tables price the declared arrays and do not assert a universal finite-precision lower bound. Persistent anchors, refresh buffers and stored write directions belong in the ledger when the implementation needs them; regenerated or transient candidate directions must be accompanied by their compute and peak-workspace costs.</w:t>
      </w:r>
    </w:p>
    <w:p>
      <w:r>
        <w:br w:type="page"/>
      </w:r>
    </w:p>
    <w:p>
      <w:pPr>
        <w:pStyle w:val="Heading1"/>
      </w:pPr>
      <w:r>
        <w:t>Appendix B. Reproduction and experimental record</w:t>
      </w:r>
    </w:p>
    <w:p>
      <w:r>
        <w:t>The companion reproducibility archive contains the original pilot outputs, the eight-pass density study, the single-pass pressure study, all per-seed metrics, both age-bin analyses, plotting scripts and the manuscript builder. A public archival DOI has not been assigned. The record distinguishes measured values from the proposed admission experiments.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6CDD4"/>
          <w:left w:val="single" w:sz="4" w:color="C6CDD4"/>
          <w:bottom w:val="single" w:sz="4" w:color="C6CDD4"/>
          <w:right w:val="single" w:sz="4" w:color="C6CDD4"/>
          <w:insideH w:val="single" w:sz="4" w:color="C6CDD4"/>
          <w:insideV w:val="single" w:sz="4" w:color="C6CDD4"/>
        </w:tblBorders>
      </w:tblPr>
      <w:tblGrid>
        <w:gridCol w:w="3600"/>
        <w:gridCol w:w="2150"/>
        <w:gridCol w:w="2450"/>
        <w:gridCol w:w="1160"/>
      </w:tblGrid>
      <w:tr>
        <w:trPr>
          <w:cantSplit/>
          <w:tblHeader/>
        </w:trPr>
        <w:tc>
          <w:tcPr>
            <w:tcW w:type="dxa" w:w="3600"/>
            <w:shd w:fill="F2F4F7"/>
          </w:tcPr>
          <w:p>
            <w:pPr>
              <w:pStyle w:val="TableText"/>
            </w:pPr>
            <w:r>
              <w:rPr>
                <w:b/>
              </w:rPr>
              <w:t>Study</w:t>
            </w:r>
          </w:p>
        </w:tc>
        <w:tc>
          <w:tcPr>
            <w:tcW w:type="dxa" w:w="2150"/>
            <w:shd w:fill="F2F4F7"/>
          </w:tcPr>
          <w:p>
            <w:pPr>
              <w:pStyle w:val="TableText"/>
            </w:pPr>
            <w:r>
              <w:rPr>
                <w:b/>
              </w:rPr>
              <w:t>Calibration</w:t>
            </w:r>
          </w:p>
        </w:tc>
        <w:tc>
          <w:tcPr>
            <w:tcW w:type="dxa" w:w="2450"/>
            <w:shd w:fill="F2F4F7"/>
          </w:tcPr>
          <w:p>
            <w:pPr>
              <w:pStyle w:val="TableText"/>
            </w:pPr>
            <w:r>
              <w:rPr>
                <w:b/>
              </w:rPr>
              <w:t>Evaluation</w:t>
            </w:r>
          </w:p>
        </w:tc>
        <w:tc>
          <w:tcPr>
            <w:tcW w:type="dxa" w:w="1160"/>
            <w:shd w:fill="F2F4F7"/>
          </w:tcPr>
          <w:p>
            <w:pPr>
              <w:pStyle w:val="TableText"/>
            </w:pPr>
            <w:r>
              <w:rPr>
                <w:b/>
              </w:rPr>
              <w:t>Runs</w:t>
            </w:r>
          </w:p>
        </w:tc>
      </w:tr>
      <w:tr>
        <w:trPr>
          <w:cantSplit/>
        </w:trPr>
        <w:tc>
          <w:tcPr>
            <w:tcW w:type="dxa" w:w="3600"/>
          </w:tcPr>
          <w:p>
            <w:pPr>
              <w:pStyle w:val="TableText"/>
            </w:pPr>
            <w:r>
              <w:t>Original pilot</w:t>
            </w:r>
          </w:p>
        </w:tc>
        <w:tc>
          <w:tcPr>
            <w:tcW w:type="dxa" w:w="2150"/>
          </w:tcPr>
          <w:p>
            <w:pPr>
              <w:pStyle w:val="TableText"/>
            </w:pPr>
            <w:r>
              <w:t>None</w:t>
            </w:r>
          </w:p>
        </w:tc>
        <w:tc>
          <w:tcPr>
            <w:tcW w:type="dxa" w:w="2450"/>
          </w:tcPr>
          <w:p>
            <w:pPr>
              <w:pStyle w:val="TableText"/>
            </w:pPr>
            <w:r>
              <w:t>12 seeds; 3 regimes; 7 configurations</w:t>
            </w:r>
          </w:p>
        </w:tc>
        <w:tc>
          <w:tcPr>
            <w:tcW w:type="dxa" w:w="1160"/>
          </w:tcPr>
          <w:p>
            <w:pPr>
              <w:pStyle w:val="TableText"/>
            </w:pPr>
            <w:r>
              <w:t>252</w:t>
            </w:r>
          </w:p>
        </w:tc>
      </w:tr>
      <w:tr>
        <w:trPr>
          <w:cantSplit/>
        </w:trPr>
        <w:tc>
          <w:tcPr>
            <w:tcW w:type="dxa" w:w="3600"/>
          </w:tcPr>
          <w:p>
            <w:pPr>
              <w:pStyle w:val="TableText"/>
            </w:pPr>
            <w:r>
              <w:t>Eight-pass density follow-up</w:t>
            </w:r>
          </w:p>
        </w:tc>
        <w:tc>
          <w:tcPr>
            <w:tcW w:type="dxa" w:w="2150"/>
          </w:tcPr>
          <w:p>
            <w:pPr>
              <w:pStyle w:val="TableText"/>
            </w:pPr>
            <w:r>
              <w:t>3 seeds × 5 densities</w:t>
            </w:r>
          </w:p>
        </w:tc>
        <w:tc>
          <w:tcPr>
            <w:tcW w:type="dxa" w:w="2450"/>
          </w:tcPr>
          <w:p>
            <w:pPr>
              <w:pStyle w:val="TableText"/>
            </w:pPr>
            <w:r>
              <w:t>12 seeds × 7 configurations</w:t>
            </w:r>
          </w:p>
        </w:tc>
        <w:tc>
          <w:tcPr>
            <w:tcW w:type="dxa" w:w="1160"/>
          </w:tcPr>
          <w:p>
            <w:pPr>
              <w:pStyle w:val="TableText"/>
            </w:pPr>
            <w:r>
              <w:t>99</w:t>
            </w:r>
          </w:p>
        </w:tc>
      </w:tr>
      <w:tr>
        <w:trPr>
          <w:cantSplit/>
        </w:trPr>
        <w:tc>
          <w:tcPr>
            <w:tcW w:type="dxa" w:w="3600"/>
          </w:tcPr>
          <w:p>
            <w:pPr>
              <w:pStyle w:val="TableText"/>
            </w:pPr>
            <w:r>
              <w:t>Single-pass pressure study</w:t>
            </w:r>
          </w:p>
        </w:tc>
        <w:tc>
          <w:tcPr>
            <w:tcW w:type="dxa" w:w="2150"/>
          </w:tcPr>
          <w:p>
            <w:pPr>
              <w:pStyle w:val="TableText"/>
            </w:pPr>
            <w:r>
              <w:t>3 seeds × 4 densities</w:t>
            </w:r>
          </w:p>
        </w:tc>
        <w:tc>
          <w:tcPr>
            <w:tcW w:type="dxa" w:w="2450"/>
          </w:tcPr>
          <w:p>
            <w:pPr>
              <w:pStyle w:val="TableText"/>
            </w:pPr>
            <w:r>
              <w:t>6 seeds × 7 configurations</w:t>
            </w:r>
          </w:p>
        </w:tc>
        <w:tc>
          <w:tcPr>
            <w:tcW w:type="dxa" w:w="1160"/>
          </w:tcPr>
          <w:p>
            <w:pPr>
              <w:pStyle w:val="TableText"/>
            </w:pPr>
            <w:r>
              <w:t>54</w:t>
            </w:r>
          </w:p>
        </w:tc>
      </w:tr>
      <w:tr>
        <w:trPr>
          <w:cantSplit/>
        </w:trPr>
        <w:tc>
          <w:tcPr>
            <w:tcW w:type="dxa" w:w="3600"/>
          </w:tcPr>
          <w:p>
            <w:pPr>
              <w:pStyle w:val="TableText"/>
            </w:pPr>
            <w:r>
              <w:t>Age refinement</w:t>
            </w:r>
          </w:p>
        </w:tc>
        <w:tc>
          <w:tcPr>
            <w:tcW w:type="dxa" w:w="2150"/>
          </w:tcPr>
          <w:p>
            <w:pPr>
              <w:pStyle w:val="TableText"/>
            </w:pPr>
            <w:r>
              <w:t>None; unchanged protocol</w:t>
            </w:r>
          </w:p>
        </w:tc>
        <w:tc>
          <w:tcPr>
            <w:tcW w:type="dxa" w:w="2450"/>
          </w:tcPr>
          <w:p>
            <w:pPr>
              <w:pStyle w:val="TableText"/>
            </w:pPr>
            <w:r>
              <w:t>6 seeds × 2 repeated configurations</w:t>
            </w:r>
          </w:p>
        </w:tc>
        <w:tc>
          <w:tcPr>
            <w:tcW w:type="dxa" w:w="1160"/>
          </w:tcPr>
          <w:p>
            <w:pPr>
              <w:pStyle w:val="TableText"/>
            </w:pPr>
            <w:r>
              <w:t>12</w:t>
            </w:r>
          </w:p>
        </w:tc>
      </w:tr>
    </w:tbl>
    <w:p>
      <w:pPr>
        <w:pStyle w:val="Caption"/>
      </w:pPr>
      <w:r>
        <w:t>Table B1. Calibration runs are counted separately from evaluation runs. The eight-pass and single-pass studies are retained as distinct protocols. The original pilot is described in the preceding research note; it is not rerun or silently overwritten here.</w:t>
      </w:r>
    </w:p>
    <w:p>
      <w:pPr>
        <w:pStyle w:val="Code"/>
      </w:pPr>
      <w:r>
        <w:t># NumPy, SciPy, Matplotlib, python-docx and lxml are required.</w:t>
      </w:r>
    </w:p>
    <w:p>
      <w:pPr>
        <w:pStyle w:val="Code"/>
      </w:pPr>
      <w:r>
        <w:t>OPENBLAS_NUM_THREADS=1 python ppt_sequel_study/study.py</w:t>
      </w:r>
    </w:p>
    <w:p>
      <w:pPr>
        <w:pStyle w:val="Code"/>
      </w:pPr>
      <w:r>
        <w:t>OPENBLAS_NUM_THREADS=1 python ppt_sequel_study/pressure.py</w:t>
      </w:r>
    </w:p>
    <w:p>
      <w:pPr>
        <w:pStyle w:val="Code"/>
      </w:pPr>
      <w:r>
        <w:t>OPENBLAS_NUM_THREADS=1 python ppt_sequel_study/refine_age.py</w:t>
      </w:r>
    </w:p>
    <w:p>
      <w:pPr>
        <w:pStyle w:val="Code"/>
      </w:pPr>
      <w:r>
        <w:t>python ppt_sequel_study/plot_pressure.py</w:t>
      </w:r>
    </w:p>
    <w:p>
      <w:pPr>
        <w:pStyle w:val="Code"/>
      </w:pPr>
      <w:r>
        <w:t>python build_ppt_sequel.py</w:t>
      </w:r>
    </w:p>
    <w:p>
      <w:r>
        <w:t>The writer persists two 32×r factors per expert and reconstructs a dense matrix only for the temporary delta step and SVD projection. The script retains evaluator-side histories to score the model; those histories are not available to the learner for replay or admission. Thus the experiment reports factor-state equality, not a complete serving-memory benchmark.</w:t>
      </w:r>
    </w:p>
    <w:p>
      <w:r>
        <w:t>Nearest-neighbor queries in the pressure study use exact Euclidean search within each of the eight rank-4 target spaces, followed by a minimum over topics. This is evaluator acceleration, not information passed to the learner. It was checked against the direct all-codebook distance calculation on a deterministic fixture. Changing the search implementation does not change the defined scoring metric.</w:t>
      </w:r>
    </w:p>
    <w:p>
      <w:r>
        <w:t>Protocol files record dimensions, random seeds, calibration selection, dtype, runtime versions and script hashes. Student-t intervals use seeds as replicates. They quantify variability in these synthetic generators, not a population guarantee across real workloads. No confidence interval for the proposed full admission crossover is reported because that experiment has not been run.</w:t>
      </w:r>
    </w:p>
    <w:p>
      <w:pPr>
        <w:pStyle w:val="Heading1"/>
      </w:pPr>
      <w:r>
        <w:t>Research transparency</w:t>
      </w:r>
    </w:p>
    <w:p>
      <w:r>
        <w:t>This draft was prepared with AI assistance for mathematical exposition, coding and document production. Empirical claims refer to executable synthetic experiments. The proposed admission crossover and nonlinear implementation remain research questions.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Ghosh • 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BUDGETED MEMORY ADMISSION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eastAsia="Calibri"/>
      <w:b w:val="0"/>
      <w:color w:val="6D7883"/>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eastAsia="Calibri"/>
      <w:b w:val="0"/>
      <w:color w:val="6D788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eastAsia="Calibri"/>
      <w:b/>
      <w:color w:val="17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eastAsia="Calibri"/>
      <w:b w:val="0"/>
      <w:i/>
      <w:iCs/>
      <w:color w:val="51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40"/>
    </w:pPr>
    <w:rPr>
      <w:rFonts w:ascii="Calibri" w:hAnsi="Calibri" w:eastAsia="Calibri"/>
      <w:b w:val="0"/>
      <w:bCs/>
      <w:color w:val="47546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120" w:line="264" w:lineRule="auto"/>
    </w:pPr>
    <w:rPr>
      <w:rFonts w:ascii="Cambria Math" w:hAnsi="Cambria Math" w:eastAsia="Cambria Math"/>
      <w:b w:val="0"/>
      <w:color w:val="202020"/>
      <w:sz w:val="22"/>
    </w:rPr>
  </w:style>
  <w:style w:type="paragraph" w:customStyle="1" w:styleId="Reference">
    <w:name w:val="Reference"/>
    <w:pPr>
      <w:widowControl/>
      <w:spacing w:before="0" w:after="100" w:line="252" w:lineRule="auto"/>
    </w:pPr>
    <w:rPr>
      <w:rFonts w:ascii="Calibri" w:hAnsi="Calibri" w:eastAsia="Calibri"/>
      <w:b w:val="0"/>
      <w:color w:val="202020"/>
      <w:sz w:val="19"/>
    </w:rPr>
  </w:style>
  <w:style w:type="paragraph" w:customStyle="1" w:styleId="TableText">
    <w:name w:val="Table Text"/>
    <w:pPr>
      <w:widowControl/>
      <w:spacing w:before="0" w:after="40" w:line="250" w:lineRule="auto"/>
    </w:pPr>
    <w:rPr>
      <w:rFonts w:ascii="Calibri" w:hAnsi="Calibri" w:eastAsia="Calibri"/>
      <w:b w:val="0"/>
      <w:color w:val="202020"/>
      <w:sz w:val="19"/>
    </w:rPr>
  </w:style>
  <w:style w:type="paragraph" w:customStyle="1" w:styleId="Small">
    <w:name w:val="Small"/>
    <w:pPr>
      <w:widowControl/>
      <w:spacing w:before="0" w:after="100" w:line="264" w:lineRule="auto"/>
    </w:pPr>
    <w:rPr>
      <w:rFonts w:ascii="Calibri" w:hAnsi="Calibri" w:eastAsia="Calibri"/>
      <w:b w:val="0"/>
      <w:color w:val="56616C"/>
      <w:sz w:val="18"/>
    </w:rPr>
  </w:style>
  <w:style w:type="paragraph" w:customStyle="1" w:styleId="Code">
    <w:name w:val="Code"/>
    <w:pPr>
      <w:widowControl/>
      <w:spacing w:before="0" w:after="0" w:line="247" w:lineRule="auto"/>
    </w:pPr>
    <w:rPr>
      <w:rFonts w:ascii="DejaVu Sans Mono" w:hAnsi="DejaVu Sans Mono" w:eastAsia="DejaVu Sans Mono"/>
      <w:b w:val="0"/>
      <w:color w:val="2020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3140/RG.2.2.13828.39048" TargetMode="External"/><Relationship Id="rId14" Type="http://schemas.openxmlformats.org/officeDocument/2006/relationships/hyperlink" Target="https://arxiv.org/abs/2501.00663" TargetMode="External"/><Relationship Id="rId15" Type="http://schemas.openxmlformats.org/officeDocument/2006/relationships/hyperlink" Target="https://arxiv.org/abs/2505.23735" TargetMode="External"/><Relationship Id="rId16" Type="http://schemas.openxmlformats.org/officeDocument/2006/relationships/hyperlink" Target="https://arxiv.org/abs/2511.07343" TargetMode="External"/><Relationship Id="rId17" Type="http://schemas.openxmlformats.org/officeDocument/2006/relationships/hyperlink" Target="https://arxiv.org/abs/2106.09685" TargetMode="External"/><Relationship Id="rId18" Type="http://schemas.openxmlformats.org/officeDocument/2006/relationships/hyperlink" Target="https://doi.org/10.1073/pnas.1611835114" TargetMode="External"/><Relationship Id="rId19" Type="http://schemas.openxmlformats.org/officeDocument/2006/relationships/hyperlink" Target="https://proceedings.mlr.press/v37/martens15.html" TargetMode="External"/><Relationship Id="rId20" Type="http://schemas.openxmlformats.org/officeDocument/2006/relationships/hyperlink" Target="https://arxiv.org/abs/1706.08840" TargetMode="External"/><Relationship Id="rId21" Type="http://schemas.openxmlformats.org/officeDocument/2006/relationships/hyperlink" Target="https://arxiv.org/abs/1903.08671" TargetMode="External"/><Relationship Id="rId22" Type="http://schemas.openxmlformats.org/officeDocument/2006/relationships/hyperlink" Target="https://arxiv.org/abs/1501.01711" TargetMode="External"/><Relationship Id="rId23" Type="http://schemas.openxmlformats.org/officeDocument/2006/relationships/hyperlink" Target="https://arxiv.org/abs/2305.13245" TargetMode="External"/><Relationship Id="rId24" Type="http://schemas.openxmlformats.org/officeDocument/2006/relationships/hyperlink" Target="https://arxiv.org/abs/2402.02750" TargetMode="External"/><Relationship Id="rId25" Type="http://schemas.openxmlformats.org/officeDocument/2006/relationships/hyperlink" Target="https://arxiv.org/abs/1905.12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Cost of Deciding What to Remember</dc:title>
  <dc:subject>Projected interference and budgeted admission for procedural neural memory</dc:subject>
  <dc:creator>Debi Prasad Ghosh</dc:creator>
  <cp:keywords>neural memory; admission; low rank; matrix sketching; procedural memory; forgetting</cp:keywords>
  <dc:description>generated by python-docx</dc:description>
  <cp:lastModifiedBy/>
  <cp:revision>1</cp:revision>
  <dcterms:created xsi:type="dcterms:W3CDTF">2013-12-23T23:15:00Z</dcterms:created>
  <dcterms:modified xsi:type="dcterms:W3CDTF">2013-12-23T23:15:00Z</dcterms:modified>
  <cp:category/>
</cp:coreProperties>
</file>