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E912D" w14:textId="77777777" w:rsidR="004777AC" w:rsidRPr="0048543B" w:rsidRDefault="00000000" w:rsidP="0048543B">
      <w:pPr>
        <w:pStyle w:val="Title"/>
        <w:rPr>
          <w:sz w:val="72"/>
          <w:szCs w:val="56"/>
        </w:rPr>
      </w:pPr>
      <w:r w:rsidRPr="0048543B">
        <w:rPr>
          <w:sz w:val="72"/>
          <w:szCs w:val="56"/>
        </w:rPr>
        <w:t>Same Flower</w:t>
      </w:r>
    </w:p>
    <w:p w14:paraId="1A64184F" w14:textId="77777777" w:rsidR="004777AC" w:rsidRDefault="00000000" w:rsidP="0048543B">
      <w:pPr>
        <w:pStyle w:val="Subtitle"/>
      </w:pPr>
      <w:r>
        <w:t>Seeded Visitors with KV Counter Memory and Adaptive Participation</w:t>
      </w:r>
    </w:p>
    <w:p w14:paraId="0D054194" w14:textId="77777777" w:rsidR="004777AC" w:rsidRDefault="00000000" w:rsidP="0048543B">
      <w:pPr>
        <w:pStyle w:val="Author"/>
      </w:pPr>
      <w:r>
        <w:t>Debi Prasad Ghosh</w:t>
      </w:r>
    </w:p>
    <w:p w14:paraId="1DB18B0E" w14:textId="77777777" w:rsidR="004777AC" w:rsidRDefault="00000000" w:rsidP="0048543B">
      <w:pPr>
        <w:pStyle w:val="Date"/>
      </w:pPr>
      <w:r>
        <w:t>Research manuscript draft • 10 October 2026</w:t>
      </w:r>
    </w:p>
    <w:p w14:paraId="3F306C15" w14:textId="77777777" w:rsidR="004777AC" w:rsidRDefault="00000000" w:rsidP="0048543B">
      <w:pPr>
        <w:pStyle w:val="Heading1"/>
        <w:jc w:val="both"/>
      </w:pPr>
      <w:bookmarkStart w:id="0" w:name="abstract"/>
      <w:r>
        <w:t>Abstract</w:t>
      </w:r>
    </w:p>
    <w:p w14:paraId="3FAF2CDB" w14:textId="77777777" w:rsidR="004777AC" w:rsidRDefault="00000000" w:rsidP="0048543B">
      <w:pPr>
        <w:pStyle w:val="FirstParagraph"/>
        <w:jc w:val="both"/>
      </w:pPr>
      <w:r>
        <w:t>Same Flower proposes a harness in which many visitors share neural weights but encounter the same question through different procedurally generated memory codebooks. The spider retains pollen, interpreted as occurrence counts on narrow keys; the bee retains honey, interpreted as values associated with those keys. Each active visitor proposes a next-token distribution, while a controller selects participation, evidence resolution, and one committed continuation. The research frontier is the joint allocation of diversity and detail: when should the system consult another seeded visitor, and when should it reopen evidence for an existing one? We distinguish fixed paired key–value prototypes, for which counts are sufficient, from contextual value accumulation, which requires conversation-dependent state, and from an evidence archive that can grow with context. We derive storage and computation budgets, an exact counted-read identity, a mixture-pruning bound, and a permutation-invariance result showing why reversing a seeded codebook does not itself implement reverse reasoning. A million 32-bit seeds occupy 4 MB, but a million visitors with 16 counts and 64-dimensional fp32 value sums occupy 4.164 GB for one layer and head, before other system costs. These are analytical byte counts, not measured deployment results. The proposed implementation couples sparse participation to evidence-preserving refinement and checkpointed reactivation. A staged experimental protocol tests whether seeded diversity improves supported answers at matched total cost, rather than merely producing different continuations.</w:t>
      </w:r>
    </w:p>
    <w:p w14:paraId="3E58B57C" w14:textId="77777777" w:rsidR="004777AC" w:rsidRDefault="00000000" w:rsidP="0048543B">
      <w:pPr>
        <w:pStyle w:val="BodyText"/>
        <w:jc w:val="both"/>
      </w:pPr>
      <w:r>
        <w:rPr>
          <w:b/>
          <w:bCs/>
        </w:rPr>
        <w:t>Keywords</w:t>
      </w:r>
      <w:r>
        <w:t xml:space="preserve"> Attentionlet; KV Counter; procedural memory; mixture of seeds; adaptive refinement; Okazaki fragments; shared-weight agents.</w:t>
      </w:r>
    </w:p>
    <w:p w14:paraId="6C372D69" w14:textId="77777777" w:rsidR="004777AC" w:rsidRDefault="00000000" w:rsidP="0048543B">
      <w:pPr>
        <w:pStyle w:val="Heading1"/>
        <w:jc w:val="both"/>
      </w:pPr>
      <w:bookmarkStart w:id="1" w:name="research-question-and-lineage"/>
      <w:bookmarkEnd w:id="0"/>
      <w:r>
        <w:t>1 Research question and lineage</w:t>
      </w:r>
    </w:p>
    <w:p w14:paraId="1BD60D68" w14:textId="77777777" w:rsidR="004777AC" w:rsidRDefault="00000000" w:rsidP="0048543B">
      <w:pPr>
        <w:pStyle w:val="FirstParagraph"/>
        <w:jc w:val="both"/>
      </w:pPr>
      <w:r>
        <w:t>A single flower can support different visitors because their mechanisms select different aspects of the same object. In Same Flower, the flower is a common question and committed conversation. A visitor is a shared-weight autoregressive model instance whose memory addressing is determined by a seed. The metaphor separates counting from content: pollen records how often an address is occupied, while honey records what the address can contribute to a read. Neither frequency nor diversity alone establishes truth.</w:t>
      </w:r>
    </w:p>
    <w:p w14:paraId="7DCD16C9" w14:textId="77777777" w:rsidR="004777AC" w:rsidRDefault="00000000" w:rsidP="0048543B">
      <w:pPr>
        <w:pStyle w:val="BodyText"/>
        <w:jc w:val="both"/>
      </w:pPr>
      <w:r>
        <w:t>The motivating hypothesis is that a large catalog of inexpensive procedural identities can supply useful diversity without a separate parameter set for every agent. Only a small, changing subset would carry live state and execute expensive inference. The opening conversation may admit many visitors; later turns may select those whose evidence and calibrated performance fit the task. This paper makes that proposal precise while preserving a crucial distinction: a compact description of fixed parameters is different from a compact description of experience.</w:t>
      </w:r>
    </w:p>
    <w:p w14:paraId="3FF00C37" w14:textId="77777777" w:rsidR="004777AC" w:rsidRDefault="00000000" w:rsidP="0048543B">
      <w:pPr>
        <w:pStyle w:val="BodyText"/>
        <w:jc w:val="both"/>
      </w:pPr>
      <w:r>
        <w:t xml:space="preserve">KV Counter Memory for Attentionlet [1] supplies the counted-memory starting point. PRNGed Pre-trained Titans [2] motivates a procedural substrate, a trained reader, sparse seed selection, and separately stored writable changes. Adaptive Memory Refinement for Attentionlet [3] supplies the evidence contract: eligible records form a partition, refinement replaces a parent with its children, and numerical read accuracy is separate from semantic support. The CVVC and Okazaki sequence [4–8] supplies the deliberative separation of proposal, validation, </w:t>
      </w:r>
      <w:r>
        <w:lastRenderedPageBreak/>
        <w:t>fragments, and consolidation. Here these ideas become a controller over two resources: the number of live viewpoints and the resolution of the evidence each viewpoint reads.</w:t>
      </w:r>
    </w:p>
    <w:p w14:paraId="771162BC" w14:textId="77777777" w:rsidR="004777AC" w:rsidRDefault="00000000" w:rsidP="0048543B">
      <w:pPr>
        <w:pStyle w:val="BodyText"/>
        <w:jc w:val="both"/>
      </w:pPr>
      <w:r>
        <w:t>The proposed contribution is therefore a specification of a seeded visitor harness, not a claim that a million random seeds already constitute a million trained specialists. The manuscript provides exact identities and resource calculations where possible, explicit hypotheses where training is required, and a falsifiable evaluation plan. It reports no trained language-model benchmark or million-agent deployment.</w:t>
      </w:r>
    </w:p>
    <w:p w14:paraId="7105AE72" w14:textId="77777777" w:rsidR="004777AC" w:rsidRDefault="00000000" w:rsidP="0048543B">
      <w:pPr>
        <w:pStyle w:val="Heading1"/>
        <w:jc w:val="both"/>
      </w:pPr>
      <w:bookmarkStart w:id="2" w:name="a-visitor-has-parameters-and-history"/>
      <w:bookmarkEnd w:id="1"/>
      <w:r>
        <w:t>2 A visitor has parameters and history</w:t>
      </w:r>
    </w:p>
    <w:p w14:paraId="020237D7" w14:textId="77777777" w:rsidR="004777AC" w:rsidRDefault="00000000" w:rsidP="0048543B">
      <w:pPr>
        <w:pStyle w:val="FirstParagraph"/>
        <w:jc w:val="both"/>
      </w:pPr>
      <w:r>
        <w:t xml:space="preserve">Let the seed catalog contain </w:t>
      </w:r>
      <m:oMath>
        <m:r>
          <w:rPr>
            <w:rFonts w:ascii="Cambria Math" w:hAnsi="Cambria Math"/>
          </w:rPr>
          <m:t>M</m:t>
        </m:r>
      </m:oMath>
      <w:r>
        <w:t xml:space="preserve"> identifiers. Visitor </w:t>
      </w:r>
      <m:oMath>
        <m:r>
          <w:rPr>
            <w:rFonts w:ascii="Cambria Math" w:hAnsi="Cambria Math"/>
          </w:rPr>
          <m:t>s</m:t>
        </m:r>
      </m:oMath>
      <w:r>
        <w:t xml:space="preserve"> shares backbone weights </w:t>
      </w:r>
      <m:oMath>
        <m:r>
          <w:rPr>
            <w:rFonts w:ascii="Cambria Math" w:hAnsi="Cambria Math"/>
          </w:rPr>
          <m:t>θ</m:t>
        </m:r>
      </m:oMath>
      <w:r>
        <w:t xml:space="preserve"> with all other visitors. For a fixed representation epoch </w:t>
      </w:r>
      <m:oMath>
        <m:r>
          <w:rPr>
            <w:rFonts w:ascii="Cambria Math" w:hAnsi="Cambria Math"/>
          </w:rPr>
          <m:t>e</m:t>
        </m:r>
      </m:oMath>
      <w:r>
        <w:t xml:space="preserve">, a deterministic generator produces a codebook with </w:t>
      </w:r>
      <m:oMath>
        <m:r>
          <w:rPr>
            <w:rFonts w:ascii="Cambria Math" w:hAnsi="Cambria Math"/>
          </w:rPr>
          <m:t>B</m:t>
        </m:r>
      </m:oMath>
      <w:r>
        <w:t xml:space="preserve"> key representatives </w:t>
      </w:r>
      <m:oMath>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oMath>
      <w:r>
        <w:t xml:space="preserve"> and, in the paired variant, value prototypes </w:t>
      </w:r>
      <m:oMath>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A generation address includes the seed, epoch, layer, head, key-or-value role, bin, and coordinate. Domain separation prevents accidental reuse of the same random stream for unrelated tensors.</w:t>
      </w:r>
    </w:p>
    <w:p w14:paraId="2A24E04A" w14:textId="77777777" w:rsidR="004777AC" w:rsidRDefault="00000000" w:rsidP="0048543B">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b</m:t>
            </m:r>
          </m:e>
        </m:d>
        <m:r>
          <m:rPr>
            <m:sty m:val="p"/>
          </m:rPr>
          <w:rPr>
            <w:rFonts w:ascii="Cambria Math" w:hAnsi="Cambria Math"/>
          </w:rPr>
          <m:t>.</m:t>
        </m:r>
      </m:oMath>
      <w:r>
        <w:tab/>
        <w:t>(1)</w:t>
      </w:r>
    </w:p>
    <w:p w14:paraId="63BD3EAA" w14:textId="77777777" w:rsidR="004777AC" w:rsidRDefault="00000000" w:rsidP="0048543B">
      <w:pPr>
        <w:pStyle w:val="FirstParagraph"/>
        <w:jc w:val="both"/>
      </w:pPr>
      <w:r>
        <w:t>Layer and head indices are suppressed in the equations. The generator version, output distribution, scale, normalization, and precision are part of the model definition. The seed alone is not a portable specification without these conventions. Counter-based random generators provide deterministic indexed generation [9]; the random-number address counter must not be confused with the attention occurrence counter.</w:t>
      </w:r>
    </w:p>
    <w:p w14:paraId="6E19F10C" w14:textId="77777777" w:rsidR="004777AC" w:rsidRDefault="00000000" w:rsidP="0048543B">
      <w:pPr>
        <w:pStyle w:val="BodyText"/>
        <w:jc w:val="both"/>
      </w:pPr>
      <w:r>
        <w:t xml:space="preserve">A token representation </w:t>
      </w:r>
      <m:oMath>
        <m:sSub>
          <m:sSubPr>
            <m:ctrlPr>
              <w:rPr>
                <w:rFonts w:ascii="Cambria Math" w:hAnsi="Cambria Math"/>
              </w:rPr>
            </m:ctrlPr>
          </m:sSubPr>
          <m:e>
            <m:r>
              <w:rPr>
                <w:rFonts w:ascii="Cambria Math" w:hAnsi="Cambria Math"/>
              </w:rPr>
              <m:t>h</m:t>
            </m:r>
          </m:e>
          <m:sub>
            <m:r>
              <w:rPr>
                <w:rFonts w:ascii="Cambria Math" w:hAnsi="Cambria Math"/>
              </w:rPr>
              <m:t>s</m:t>
            </m:r>
            <m:r>
              <m:rPr>
                <m:sty m:val="p"/>
              </m:rPr>
              <w:rPr>
                <w:rFonts w:ascii="Cambria Math" w:hAnsi="Cambria Math"/>
              </w:rPr>
              <m:t>,</m:t>
            </m:r>
            <m:r>
              <w:rPr>
                <w:rFonts w:ascii="Cambria Math" w:hAnsi="Cambria Math"/>
              </w:rPr>
              <m:t>t</m:t>
            </m:r>
          </m:sub>
        </m:sSub>
      </m:oMath>
      <w:r>
        <w:t xml:space="preserve"> is mapped to a key </w:t>
      </w:r>
      <m:oMath>
        <m:sSub>
          <m:sSubPr>
            <m:ctrlPr>
              <w:rPr>
                <w:rFonts w:ascii="Cambria Math" w:hAnsi="Cambria Math"/>
              </w:rPr>
            </m:ctrlPr>
          </m:sSubPr>
          <m:e>
            <m:r>
              <w:rPr>
                <w:rFonts w:ascii="Cambria Math" w:hAnsi="Cambria Math"/>
              </w:rPr>
              <m:t>k</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r>
                  <m:rPr>
                    <m:sty m:val="p"/>
                  </m:rPr>
                  <w:rPr>
                    <w:rFonts w:ascii="Cambria Math" w:hAnsi="Cambria Math"/>
                  </w:rPr>
                  <m:t>,</m:t>
                </m:r>
                <m:r>
                  <w:rPr>
                    <w:rFonts w:ascii="Cambria Math" w:hAnsi="Cambria Math"/>
                  </w:rPr>
                  <m:t>t</m:t>
                </m:r>
              </m:sub>
            </m:sSub>
          </m:e>
        </m:d>
      </m:oMath>
      <w:r>
        <w:t>. A concrete hard assignment is the nearest representative in a declared metric, with deterministic tie breaking:</w:t>
      </w:r>
    </w:p>
    <w:p w14:paraId="74414BC6" w14:textId="77777777" w:rsidR="004777AC" w:rsidRDefault="00000000" w:rsidP="0048543B">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b</m:t>
            </m:r>
          </m:e>
          <m:sub>
            <m:r>
              <w:rPr>
                <w:rFonts w:ascii="Cambria Math" w:hAnsi="Cambria Math"/>
              </w:rPr>
              <m:t>s</m:t>
            </m:r>
          </m:sub>
        </m:sSub>
        <m:d>
          <m:dPr>
            <m:ctrlPr>
              <w:rPr>
                <w:rFonts w:ascii="Cambria Math" w:hAnsi="Cambria Math"/>
              </w:rPr>
            </m:ctrlPr>
          </m:dPr>
          <m:e>
            <m:r>
              <w:rPr>
                <w:rFonts w:ascii="Cambria Math" w:hAnsi="Cambria Math"/>
              </w:rPr>
              <m:t>t</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lim>
        </m:limLow>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s</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ab/>
        <w:t>(2)</w:t>
      </w:r>
    </w:p>
    <w:p w14:paraId="0804D2DC" w14:textId="77777777" w:rsidR="004777AC" w:rsidRDefault="00000000" w:rsidP="0048543B">
      <w:pPr>
        <w:pStyle w:val="FirstParagraph"/>
        <w:jc w:val="both"/>
      </w:pPr>
      <w:r>
        <w:t>“Nearest PRNG” is thus interpreted as nearest generated vector, not nearest integer seed. Position handling must be declared. If keys are rotated or otherwise changed by position, the implementation must specify whether quantization occurs before or after that transformation and which score is approximated. Arbitrary positional transformations cannot be silently absorbed into one stationary bin representative.</w:t>
      </w:r>
    </w:p>
    <w:p w14:paraId="3C19F300" w14:textId="77777777" w:rsidR="004777AC" w:rsidRDefault="00000000" w:rsidP="0048543B">
      <w:pPr>
        <w:pStyle w:val="Heading2"/>
        <w:jc w:val="both"/>
      </w:pPr>
      <w:bookmarkStart w:id="3" w:name="three-memory-variants"/>
      <w:r>
        <w:t>2.1 Three memory variants</w:t>
      </w:r>
    </w:p>
    <w:p w14:paraId="4A8C1FDD" w14:textId="77777777" w:rsidR="004777AC" w:rsidRDefault="00000000" w:rsidP="0048543B">
      <w:pPr>
        <w:pStyle w:val="FirstParagraph"/>
        <w:jc w:val="both"/>
      </w:pPr>
      <w:r>
        <w:rPr>
          <w:b/>
          <w:bCs/>
        </w:rPr>
        <w:t>Paired prototype visitor.</w:t>
      </w:r>
      <w:r>
        <w:t xml:space="preserve"> Each bin has one fixed generated key and one fixed generated value. Every occurrence assigned to bin </w:t>
      </w:r>
      <m:oMath>
        <m:r>
          <w:rPr>
            <w:rFonts w:ascii="Cambria Math" w:hAnsi="Cambria Math"/>
          </w:rPr>
          <m:t>b</m:t>
        </m:r>
      </m:oMath>
      <w:r>
        <w:t xml:space="preserve"> contributes </w:t>
      </w:r>
      <m:oMath>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xml:space="preserve">. The only essential changing statistic is its count </w:t>
      </w: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oMath>
      <w:r>
        <w:t xml:space="preserve">. A separately stored value sum is redundant because it equals </w:t>
      </w: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This variant most closely realizes a seed-plus-counter demonstration, but restricts what a bin can remember.</w:t>
      </w:r>
    </w:p>
    <w:p w14:paraId="7CAF4B75" w14:textId="77777777" w:rsidR="004777AC" w:rsidRDefault="00000000" w:rsidP="0048543B">
      <w:pPr>
        <w:pStyle w:val="BodyText"/>
        <w:jc w:val="both"/>
      </w:pPr>
      <w:r>
        <w:rPr>
          <w:b/>
          <w:bCs/>
        </w:rPr>
        <w:t>Contextual accumulator visitor.</w:t>
      </w:r>
      <w:r>
        <w:t xml:space="preserve"> Keys remain procedural anchors, but each occurrence contributes a context-dependent vector </w:t>
      </w:r>
      <m:oMath>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m:t>
            </m:r>
            <m:r>
              <w:rPr>
                <w:rFonts w:ascii="Cambria Math" w:hAnsi="Cambria Math"/>
              </w:rPr>
              <m:t>t</m:t>
            </m:r>
          </m:sub>
        </m:sSub>
      </m:oMath>
      <w:r>
        <w:t>. Even if a value projection matrix is generated from the seed, its outputs depend on the conversation. Each bin must retain both a count and a value sum. Regenerating the projection cannot regenerate the sum without the inputs or equivalent history.</w:t>
      </w:r>
    </w:p>
    <w:p w14:paraId="6BEEB01A" w14:textId="77777777" w:rsidR="004777AC" w:rsidRDefault="00000000" w:rsidP="0048543B">
      <w:pPr>
        <w:pStyle w:val="BodyText"/>
        <w:jc w:val="both"/>
      </w:pPr>
      <w:r>
        <w:rPr>
          <w:b/>
          <w:bCs/>
        </w:rPr>
        <w:t>Evidence-preserving visitor.</w:t>
      </w:r>
      <w:r>
        <w:t xml:space="preserve"> The contextual accumulator is augmented by an archive of identifiable records and Okazaki fragments. This archive permits revision filtering, selective reopening, and order-sensitive retrieval. Its size can grow with the conversation even when the active summary budget is fixed. The recommended research implementation uses this variant, while the paired visitor serves as the smallest ablation.</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348"/>
        <w:gridCol w:w="3449"/>
        <w:gridCol w:w="4329"/>
      </w:tblGrid>
      <w:tr w:rsidR="004777AC" w14:paraId="601C951F" w14:textId="77777777" w:rsidTr="004777AC">
        <w:trPr>
          <w:cnfStyle w:val="100000000000" w:firstRow="1" w:lastRow="0" w:firstColumn="0" w:lastColumn="0" w:oddVBand="0" w:evenVBand="0" w:oddHBand="0" w:evenHBand="0" w:firstRowFirstColumn="0" w:firstRowLastColumn="0" w:lastRowFirstColumn="0" w:lastRowLastColumn="0"/>
          <w:cantSplit/>
          <w:tblHeader/>
          <w:jc w:val="center"/>
        </w:trPr>
        <w:tc>
          <w:tcPr>
            <w:tcW w:w="2304" w:type="dxa"/>
            <w:shd w:val="clear" w:color="auto" w:fill="24364B"/>
            <w:tcMar>
              <w:top w:w="90" w:type="dxa"/>
              <w:left w:w="95" w:type="dxa"/>
              <w:bottom w:w="90" w:type="dxa"/>
              <w:right w:w="95" w:type="dxa"/>
            </w:tcMar>
            <w:vAlign w:val="center"/>
          </w:tcPr>
          <w:p w14:paraId="3EE6C52A" w14:textId="77777777" w:rsidR="004777AC" w:rsidRDefault="00000000" w:rsidP="0048543B">
            <w:pPr>
              <w:pStyle w:val="Compact"/>
              <w:spacing w:before="0" w:after="0" w:line="252" w:lineRule="auto"/>
              <w:jc w:val="both"/>
            </w:pPr>
            <w:r>
              <w:rPr>
                <w:rFonts w:ascii="Arial" w:hAnsi="Arial"/>
                <w:b/>
                <w:color w:val="FFFFFF"/>
                <w:sz w:val="19"/>
              </w:rPr>
              <w:t>Variant</w:t>
            </w:r>
          </w:p>
        </w:tc>
        <w:tc>
          <w:tcPr>
            <w:tcW w:w="3384" w:type="dxa"/>
            <w:shd w:val="clear" w:color="auto" w:fill="24364B"/>
            <w:tcMar>
              <w:top w:w="90" w:type="dxa"/>
              <w:left w:w="95" w:type="dxa"/>
              <w:bottom w:w="90" w:type="dxa"/>
              <w:right w:w="95" w:type="dxa"/>
            </w:tcMar>
            <w:vAlign w:val="center"/>
          </w:tcPr>
          <w:p w14:paraId="3626AF81" w14:textId="77777777" w:rsidR="004777AC" w:rsidRDefault="00000000" w:rsidP="0048543B">
            <w:pPr>
              <w:pStyle w:val="Compact"/>
              <w:spacing w:before="0" w:after="0" w:line="252" w:lineRule="auto"/>
              <w:jc w:val="both"/>
            </w:pPr>
            <w:r>
              <w:rPr>
                <w:rFonts w:ascii="Arial" w:hAnsi="Arial"/>
                <w:b/>
                <w:color w:val="FFFFFF"/>
                <w:sz w:val="19"/>
              </w:rPr>
              <w:t>Persistent visitor state</w:t>
            </w:r>
          </w:p>
        </w:tc>
        <w:tc>
          <w:tcPr>
            <w:tcW w:w="4248" w:type="dxa"/>
            <w:shd w:val="clear" w:color="auto" w:fill="24364B"/>
            <w:tcMar>
              <w:top w:w="90" w:type="dxa"/>
              <w:left w:w="95" w:type="dxa"/>
              <w:bottom w:w="90" w:type="dxa"/>
              <w:right w:w="95" w:type="dxa"/>
            </w:tcMar>
            <w:vAlign w:val="center"/>
          </w:tcPr>
          <w:p w14:paraId="0527BA23" w14:textId="77777777" w:rsidR="004777AC" w:rsidRDefault="00000000" w:rsidP="0048543B">
            <w:pPr>
              <w:pStyle w:val="Compact"/>
              <w:spacing w:before="0" w:after="0" w:line="252" w:lineRule="auto"/>
              <w:jc w:val="both"/>
            </w:pPr>
            <w:r>
              <w:rPr>
                <w:rFonts w:ascii="Arial" w:hAnsi="Arial"/>
                <w:b/>
                <w:color w:val="FFFFFF"/>
                <w:sz w:val="19"/>
              </w:rPr>
              <w:t>Information boundary</w:t>
            </w:r>
          </w:p>
        </w:tc>
      </w:tr>
      <w:tr w:rsidR="004777AC" w14:paraId="216A1319" w14:textId="77777777" w:rsidTr="004777AC">
        <w:trPr>
          <w:cantSplit/>
          <w:jc w:val="center"/>
        </w:trPr>
        <w:tc>
          <w:tcPr>
            <w:tcW w:w="2304" w:type="dxa"/>
            <w:shd w:val="clear" w:color="auto" w:fill="F1F4F7"/>
            <w:tcMar>
              <w:top w:w="90" w:type="dxa"/>
              <w:left w:w="95" w:type="dxa"/>
              <w:bottom w:w="90" w:type="dxa"/>
              <w:right w:w="95" w:type="dxa"/>
            </w:tcMar>
            <w:vAlign w:val="center"/>
          </w:tcPr>
          <w:p w14:paraId="4391C03F" w14:textId="77777777" w:rsidR="004777AC" w:rsidRDefault="00000000" w:rsidP="0048543B">
            <w:pPr>
              <w:pStyle w:val="Compact"/>
              <w:spacing w:before="0" w:after="0" w:line="252" w:lineRule="auto"/>
              <w:jc w:val="both"/>
            </w:pPr>
            <w:r>
              <w:rPr>
                <w:rFonts w:ascii="Arial" w:hAnsi="Arial"/>
                <w:sz w:val="19"/>
              </w:rPr>
              <w:lastRenderedPageBreak/>
              <w:t>Fixed paired prototypes</w:t>
            </w:r>
          </w:p>
        </w:tc>
        <w:tc>
          <w:tcPr>
            <w:tcW w:w="3384" w:type="dxa"/>
            <w:shd w:val="clear" w:color="auto" w:fill="F1F4F7"/>
            <w:tcMar>
              <w:top w:w="90" w:type="dxa"/>
              <w:left w:w="95" w:type="dxa"/>
              <w:bottom w:w="90" w:type="dxa"/>
              <w:right w:w="95" w:type="dxa"/>
            </w:tcMar>
            <w:vAlign w:val="center"/>
          </w:tcPr>
          <w:p w14:paraId="4988FFA3" w14:textId="77777777" w:rsidR="004777AC" w:rsidRDefault="00000000" w:rsidP="0048543B">
            <w:pPr>
              <w:pStyle w:val="Compact"/>
              <w:spacing w:before="0" w:after="0" w:line="252" w:lineRule="auto"/>
              <w:jc w:val="both"/>
            </w:pPr>
            <w:r>
              <w:rPr>
                <w:rFonts w:ascii="Arial" w:hAnsi="Arial"/>
                <w:sz w:val="19"/>
              </w:rPr>
              <w:t>Seed and bin counts</w:t>
            </w:r>
          </w:p>
        </w:tc>
        <w:tc>
          <w:tcPr>
            <w:tcW w:w="4248" w:type="dxa"/>
            <w:shd w:val="clear" w:color="auto" w:fill="F1F4F7"/>
            <w:tcMar>
              <w:top w:w="90" w:type="dxa"/>
              <w:left w:w="95" w:type="dxa"/>
              <w:bottom w:w="90" w:type="dxa"/>
              <w:right w:w="95" w:type="dxa"/>
            </w:tcMar>
            <w:vAlign w:val="center"/>
          </w:tcPr>
          <w:p w14:paraId="27C3E662" w14:textId="77777777" w:rsidR="004777AC" w:rsidRDefault="00000000" w:rsidP="0048543B">
            <w:pPr>
              <w:pStyle w:val="Compact"/>
              <w:spacing w:before="0" w:after="0" w:line="252" w:lineRule="auto"/>
              <w:jc w:val="both"/>
            </w:pPr>
            <w:r>
              <w:rPr>
                <w:rFonts w:ascii="Arial" w:hAnsi="Arial"/>
                <w:sz w:val="19"/>
              </w:rPr>
              <w:t>No independent contextual value history</w:t>
            </w:r>
          </w:p>
        </w:tc>
      </w:tr>
      <w:tr w:rsidR="004777AC" w14:paraId="5591FD6B" w14:textId="77777777" w:rsidTr="004777AC">
        <w:trPr>
          <w:cantSplit/>
          <w:jc w:val="center"/>
        </w:trPr>
        <w:tc>
          <w:tcPr>
            <w:tcW w:w="2304" w:type="dxa"/>
            <w:shd w:val="clear" w:color="auto" w:fill="FFFFFF"/>
            <w:tcMar>
              <w:top w:w="90" w:type="dxa"/>
              <w:left w:w="95" w:type="dxa"/>
              <w:bottom w:w="90" w:type="dxa"/>
              <w:right w:w="95" w:type="dxa"/>
            </w:tcMar>
            <w:vAlign w:val="center"/>
          </w:tcPr>
          <w:p w14:paraId="7D6B6338" w14:textId="77777777" w:rsidR="004777AC" w:rsidRDefault="00000000" w:rsidP="0048543B">
            <w:pPr>
              <w:pStyle w:val="Compact"/>
              <w:spacing w:before="0" w:after="0" w:line="252" w:lineRule="auto"/>
              <w:jc w:val="both"/>
            </w:pPr>
            <w:r>
              <w:rPr>
                <w:rFonts w:ascii="Arial" w:hAnsi="Arial"/>
                <w:sz w:val="19"/>
              </w:rPr>
              <w:t>Contextual accumulators</w:t>
            </w:r>
          </w:p>
        </w:tc>
        <w:tc>
          <w:tcPr>
            <w:tcW w:w="3384" w:type="dxa"/>
            <w:shd w:val="clear" w:color="auto" w:fill="FFFFFF"/>
            <w:tcMar>
              <w:top w:w="90" w:type="dxa"/>
              <w:left w:w="95" w:type="dxa"/>
              <w:bottom w:w="90" w:type="dxa"/>
              <w:right w:w="95" w:type="dxa"/>
            </w:tcMar>
            <w:vAlign w:val="center"/>
          </w:tcPr>
          <w:p w14:paraId="1BCA63F1" w14:textId="77777777" w:rsidR="004777AC" w:rsidRDefault="00000000" w:rsidP="0048543B">
            <w:pPr>
              <w:pStyle w:val="Compact"/>
              <w:spacing w:before="0" w:after="0" w:line="252" w:lineRule="auto"/>
              <w:jc w:val="both"/>
            </w:pPr>
            <w:r>
              <w:rPr>
                <w:rFonts w:ascii="Arial" w:hAnsi="Arial"/>
                <w:sz w:val="19"/>
              </w:rPr>
              <w:t>Seed, counts, vector sums</w:t>
            </w:r>
          </w:p>
        </w:tc>
        <w:tc>
          <w:tcPr>
            <w:tcW w:w="4248" w:type="dxa"/>
            <w:shd w:val="clear" w:color="auto" w:fill="FFFFFF"/>
            <w:tcMar>
              <w:top w:w="90" w:type="dxa"/>
              <w:left w:w="95" w:type="dxa"/>
              <w:bottom w:w="90" w:type="dxa"/>
              <w:right w:w="95" w:type="dxa"/>
            </w:tcMar>
            <w:vAlign w:val="center"/>
          </w:tcPr>
          <w:p w14:paraId="3E68CD1F" w14:textId="77777777" w:rsidR="004777AC" w:rsidRDefault="00000000" w:rsidP="0048543B">
            <w:pPr>
              <w:pStyle w:val="Compact"/>
              <w:spacing w:before="0" w:after="0" w:line="252" w:lineRule="auto"/>
              <w:jc w:val="both"/>
            </w:pPr>
            <w:r>
              <w:rPr>
                <w:rFonts w:ascii="Arial" w:hAnsi="Arial"/>
                <w:sz w:val="19"/>
              </w:rPr>
              <w:t>Aggregate values without full provenance or order</w:t>
            </w:r>
          </w:p>
        </w:tc>
      </w:tr>
      <w:tr w:rsidR="004777AC" w14:paraId="0E2E0D34" w14:textId="77777777" w:rsidTr="004777AC">
        <w:trPr>
          <w:cantSplit/>
          <w:jc w:val="center"/>
        </w:trPr>
        <w:tc>
          <w:tcPr>
            <w:tcW w:w="2304" w:type="dxa"/>
            <w:shd w:val="clear" w:color="auto" w:fill="F1F4F7"/>
            <w:tcMar>
              <w:top w:w="90" w:type="dxa"/>
              <w:left w:w="95" w:type="dxa"/>
              <w:bottom w:w="90" w:type="dxa"/>
              <w:right w:w="95" w:type="dxa"/>
            </w:tcMar>
            <w:vAlign w:val="center"/>
          </w:tcPr>
          <w:p w14:paraId="5CB3E5EF" w14:textId="77777777" w:rsidR="004777AC" w:rsidRDefault="00000000" w:rsidP="0048543B">
            <w:pPr>
              <w:pStyle w:val="Compact"/>
              <w:spacing w:before="0" w:after="0" w:line="252" w:lineRule="auto"/>
              <w:jc w:val="both"/>
            </w:pPr>
            <w:r>
              <w:rPr>
                <w:rFonts w:ascii="Arial" w:hAnsi="Arial"/>
                <w:sz w:val="19"/>
              </w:rPr>
              <w:t>Evidence preserving</w:t>
            </w:r>
          </w:p>
        </w:tc>
        <w:tc>
          <w:tcPr>
            <w:tcW w:w="3384" w:type="dxa"/>
            <w:shd w:val="clear" w:color="auto" w:fill="F1F4F7"/>
            <w:tcMar>
              <w:top w:w="90" w:type="dxa"/>
              <w:left w:w="95" w:type="dxa"/>
              <w:bottom w:w="90" w:type="dxa"/>
              <w:right w:w="95" w:type="dxa"/>
            </w:tcMar>
            <w:vAlign w:val="center"/>
          </w:tcPr>
          <w:p w14:paraId="7C88E986" w14:textId="77777777" w:rsidR="004777AC" w:rsidRDefault="00000000" w:rsidP="0048543B">
            <w:pPr>
              <w:pStyle w:val="Compact"/>
              <w:spacing w:before="0" w:after="0" w:line="252" w:lineRule="auto"/>
              <w:jc w:val="both"/>
            </w:pPr>
            <w:r>
              <w:rPr>
                <w:rFonts w:ascii="Arial" w:hAnsi="Arial"/>
                <w:sz w:val="19"/>
              </w:rPr>
              <w:t>Above plus archive references and refinement metadata</w:t>
            </w:r>
          </w:p>
        </w:tc>
        <w:tc>
          <w:tcPr>
            <w:tcW w:w="4248" w:type="dxa"/>
            <w:shd w:val="clear" w:color="auto" w:fill="F1F4F7"/>
            <w:tcMar>
              <w:top w:w="90" w:type="dxa"/>
              <w:left w:w="95" w:type="dxa"/>
              <w:bottom w:w="90" w:type="dxa"/>
              <w:right w:w="95" w:type="dxa"/>
            </w:tcMar>
            <w:vAlign w:val="center"/>
          </w:tcPr>
          <w:p w14:paraId="2B73A282" w14:textId="77777777" w:rsidR="004777AC" w:rsidRDefault="00000000" w:rsidP="0048543B">
            <w:pPr>
              <w:pStyle w:val="Compact"/>
              <w:spacing w:before="0" w:after="0" w:line="252" w:lineRule="auto"/>
              <w:jc w:val="both"/>
            </w:pPr>
            <w:r>
              <w:rPr>
                <w:rFonts w:ascii="Arial" w:hAnsi="Arial"/>
                <w:sz w:val="19"/>
              </w:rPr>
              <w:t>Detail recoverable only where archive and membership persist</w:t>
            </w:r>
          </w:p>
        </w:tc>
      </w:tr>
    </w:tbl>
    <w:p w14:paraId="17BD2B4E" w14:textId="77777777" w:rsidR="004777AC" w:rsidRDefault="00000000" w:rsidP="0048543B">
      <w:pPr>
        <w:pStyle w:val="BodyText"/>
        <w:spacing w:after="160" w:line="252" w:lineRule="auto"/>
        <w:jc w:val="both"/>
      </w:pPr>
      <w:r>
        <w:rPr>
          <w:sz w:val="19"/>
        </w:rPr>
        <w:t>Table 1. Three different storage contracts. Seed-generated parameters do not replace conversation-dependent state.</w:t>
      </w:r>
    </w:p>
    <w:p w14:paraId="4F3317A4" w14:textId="77777777" w:rsidR="004777AC" w:rsidRDefault="00000000" w:rsidP="0048543B">
      <w:pPr>
        <w:pStyle w:val="BodyText"/>
        <w:jc w:val="both"/>
      </w:pPr>
      <w:r>
        <w:t>If keys and values are assigned independently to two codebooks, 16 key counts generally no longer suffice. The system needs a joint assignment table or per-key value sums. The paired-prototype accounting applies only when one key bin determines its associated value prototype.</w:t>
      </w:r>
    </w:p>
    <w:p w14:paraId="761ED347" w14:textId="77777777" w:rsidR="004777AC" w:rsidRDefault="00000000" w:rsidP="0048543B">
      <w:pPr>
        <w:pStyle w:val="Heading2"/>
        <w:jc w:val="both"/>
      </w:pPr>
      <w:bookmarkStart w:id="4" w:name="Xb10cf168457ca73ea8d20ed4577dbf69209b822"/>
      <w:bookmarkEnd w:id="3"/>
      <w:r>
        <w:t>2.2 What can grow while the counter remains bounded</w:t>
      </w:r>
    </w:p>
    <w:p w14:paraId="179C4FCB" w14:textId="77777777" w:rsidR="004777AC" w:rsidRDefault="00000000" w:rsidP="0048543B">
      <w:pPr>
        <w:pStyle w:val="FirstParagraph"/>
        <w:jc w:val="both"/>
      </w:pPr>
      <w:r>
        <w:t xml:space="preserve">With fixed </w:t>
      </w:r>
      <m:oMath>
        <m:r>
          <w:rPr>
            <w:rFonts w:ascii="Cambria Math" w:hAnsi="Cambria Math"/>
          </w:rPr>
          <m:t>B</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v</m:t>
            </m:r>
          </m:sub>
        </m:sSub>
      </m:oMath>
      <w:r>
        <w:t xml:space="preserve">, the number of entries in the accumulator does not grow with the context length </w:t>
      </w:r>
      <m:oMath>
        <m:r>
          <w:rPr>
            <w:rFonts w:ascii="Cambria Math" w:hAnsi="Cambria Math"/>
          </w:rPr>
          <m:t>T</m:t>
        </m:r>
      </m:oMath>
      <w:r>
        <w:t>. Counts and sums increase in magnitude; their storage precision remains fixed only for a declared operating range. Exact unbounded counts require increasing bit width. A value archive grows in record count, and a larger value dimension grows in arithmetic cost. These are distinct meanings of “the value side grows.”</w:t>
      </w:r>
    </w:p>
    <w:p w14:paraId="62ADE21B" w14:textId="77777777" w:rsidR="004777AC" w:rsidRDefault="00000000" w:rsidP="0048543B">
      <w:pPr>
        <w:pStyle w:val="BodyText"/>
        <w:jc w:val="both"/>
      </w:pPr>
      <w:r>
        <w:t>For a finite maximum conversation length, choose integer width and a numerical accumulation policy before measuring memory. fp16 sums offer a smaller byte count but can overflow or lose increments; the reference implementation should accumulate in fp32, monitor error, and test long streams. Rescaling or decay changes the represented measure unless applied with an explicitly maintained scale and compatible read semantics.</w:t>
      </w:r>
    </w:p>
    <w:p w14:paraId="43C80AF6" w14:textId="77777777" w:rsidR="004777AC" w:rsidRDefault="00000000" w:rsidP="0048543B">
      <w:pPr>
        <w:pStyle w:val="Heading1"/>
        <w:jc w:val="both"/>
      </w:pPr>
      <w:bookmarkStart w:id="5" w:name="counted-attention-and-its-limits"/>
      <w:bookmarkEnd w:id="2"/>
      <w:bookmarkEnd w:id="4"/>
      <w:r>
        <w:t>3 Counted attention and its limits</w:t>
      </w:r>
    </w:p>
    <w:p w14:paraId="6C596172" w14:textId="77777777" w:rsidR="004777AC" w:rsidRDefault="00000000" w:rsidP="0048543B">
      <w:pPr>
        <w:pStyle w:val="FirstParagraph"/>
        <w:jc w:val="both"/>
      </w:pPr>
      <w:r>
        <w:t xml:space="preserve">Let </w:t>
      </w: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b</m:t>
            </m:r>
          </m:sub>
        </m:sSub>
      </m:oMath>
      <w:r>
        <w:t xml:space="preserve"> be the eligible occurrences assigned to bin </w:t>
      </w:r>
      <m:oMath>
        <m:r>
          <w:rPr>
            <w:rFonts w:ascii="Cambria Math" w:hAnsi="Cambria Math"/>
          </w:rPr>
          <m:t>b</m:t>
        </m:r>
      </m:oMath>
      <w:r>
        <w:t xml:space="preserve"> for one fixed read and epoch. Define </w:t>
      </w: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b</m:t>
                </m:r>
              </m:sub>
            </m:sSub>
          </m:e>
        </m:d>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b</m:t>
                </m:r>
              </m:sub>
            </m:sSub>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s</m:t>
                </m:r>
                <m:r>
                  <m:rPr>
                    <m:sty m:val="p"/>
                  </m:rPr>
                  <w:rPr>
                    <w:rFonts w:ascii="Cambria Math" w:hAnsi="Cambria Math"/>
                  </w:rPr>
                  <m:t>,</m:t>
                </m:r>
                <m:r>
                  <w:rPr>
                    <w:rFonts w:ascii="Cambria Math" w:hAnsi="Cambria Math"/>
                  </w:rPr>
                  <m:t>i</m:t>
                </m:r>
              </m:sub>
            </m:sSub>
          </m:e>
        </m:nary>
      </m:oMath>
      <w:r>
        <w:t xml:space="preserve">. The query </w:t>
      </w:r>
      <m:oMath>
        <m:sSub>
          <m:sSubPr>
            <m:ctrlPr>
              <w:rPr>
                <w:rFonts w:ascii="Cambria Math" w:hAnsi="Cambria Math"/>
              </w:rPr>
            </m:ctrlPr>
          </m:sSubPr>
          <m:e>
            <m:r>
              <w:rPr>
                <w:rFonts w:ascii="Cambria Math" w:hAnsi="Cambria Math"/>
              </w:rPr>
              <m:t>q</m:t>
            </m:r>
          </m:e>
          <m:sub>
            <m:r>
              <w:rPr>
                <w:rFonts w:ascii="Cambria Math" w:hAnsi="Cambria Math"/>
              </w:rPr>
              <m:t>s</m:t>
            </m:r>
          </m:sub>
        </m:sSub>
      </m:oMath>
      <w:r>
        <w:t xml:space="preserve"> includes the usual attention scale. For nonempty bins, define </w:t>
      </w:r>
      <m:oMath>
        <m:sSub>
          <m:sSubPr>
            <m:ctrlPr>
              <w:rPr>
                <w:rFonts w:ascii="Cambria Math" w:hAnsi="Cambria Math"/>
              </w:rPr>
            </m:ctrlPr>
          </m:sSubPr>
          <m:e>
            <m:r>
              <w:rPr>
                <w:rFonts w:ascii="Cambria Math" w:hAnsi="Cambria Math"/>
              </w:rPr>
              <m:t>μ</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oMath>
      <w:r>
        <w:t>. The counted read is</w:t>
      </w:r>
    </w:p>
    <w:p w14:paraId="3BFC49B3" w14:textId="77777777" w:rsidR="004777AC" w:rsidRDefault="00000000" w:rsidP="0048543B">
      <w:pPr>
        <w:pStyle w:val="BodyText"/>
        <w:keepLines/>
        <w:tabs>
          <w:tab w:val="center" w:pos="4968"/>
          <w:tab w:val="right" w:pos="9936"/>
        </w:tabs>
        <w:spacing w:before="80" w:after="160"/>
        <w:jc w:val="both"/>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s</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&gt;</m:t>
            </m:r>
            <m:r>
              <w:rPr>
                <w:rFonts w:ascii="Cambria Math" w:hAnsi="Cambria Math"/>
              </w:rPr>
              <m:t>0</m:t>
            </m:r>
          </m:sub>
          <m:sup>
            <m:r>
              <w:rPr>
                <w:rFonts w:ascii="Cambria Math" w:hAnsi="Cambria Math"/>
              </w:rPr>
              <m:t>​</m:t>
            </m:r>
          </m:sup>
          <m:e>
            <m:sSub>
              <m:sSubPr>
                <m:ctrlPr>
                  <w:rPr>
                    <w:rFonts w:ascii="Cambria Math" w:hAnsi="Cambria Math"/>
                  </w:rPr>
                </m:ctrlPr>
              </m:sSubPr>
              <m:e>
                <m:r>
                  <m:rPr>
                    <m:sty m:val="p"/>
                  </m:rPr>
                  <w:rPr>
                    <w:rFonts w:ascii="Cambria Math" w:hAnsi="Cambria Math"/>
                  </w:rPr>
                  <m:t>softmax</m:t>
                </m:r>
              </m:e>
              <m:sub>
                <m:r>
                  <w:rPr>
                    <w:rFonts w:ascii="Cambria Math" w:hAnsi="Cambria Math"/>
                  </w:rPr>
                  <m:t>b</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e>
        </m:d>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oMath>
      <w:r>
        <w:tab/>
        <w:t>(3)</w:t>
      </w:r>
    </w:p>
    <w:p w14:paraId="58A43875" w14:textId="77777777" w:rsidR="004777AC" w:rsidRDefault="00000000" w:rsidP="0048543B">
      <w:pPr>
        <w:pStyle w:val="FirstParagraph"/>
        <w:jc w:val="both"/>
      </w:pPr>
      <w:r>
        <w:rPr>
          <w:b/>
          <w:bCs/>
        </w:rPr>
        <w:t>Proposition 1 — Equal-score aggregation.</w:t>
      </w:r>
      <w:r>
        <w:t xml:space="preserve"> Equation (3) equals token-level attention over the eligible occurrences if every occurrence in a bin has the representative score, </w:t>
      </w:r>
      <m:oMath>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k</m:t>
            </m:r>
          </m:e>
          <m:sub>
            <m:r>
              <w:rPr>
                <w:rFonts w:ascii="Cambria Math" w:hAnsi="Cambria Math"/>
              </w:rPr>
              <m:t>s</m:t>
            </m:r>
            <m:r>
              <m:rPr>
                <m:sty m:val="p"/>
              </m:rPr>
              <w:rPr>
                <w:rFonts w:ascii="Cambria Math" w:hAnsi="Cambria Math"/>
              </w:rPr>
              <m:t>,</m:t>
            </m:r>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oMath>
      <w:r>
        <w:t xml:space="preserve">. Grouping numerator and denominator by bin gives numerator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e>
        </m:d>
        <m:sSub>
          <m:sSubPr>
            <m:ctrlPr>
              <w:rPr>
                <w:rFonts w:ascii="Cambria Math" w:hAnsi="Cambria Math"/>
              </w:rPr>
            </m:ctrlPr>
          </m:sSubPr>
          <m:e>
            <m:r>
              <w:rPr>
                <w:rFonts w:ascii="Cambria Math" w:hAnsi="Cambria Math"/>
              </w:rPr>
              <m:t>S</m:t>
            </m:r>
          </m:e>
          <m:sub>
            <m:r>
              <w:rPr>
                <w:rFonts w:ascii="Cambria Math" w:hAnsi="Cambria Math"/>
              </w:rPr>
              <m:t>s</m:t>
            </m:r>
            <m:r>
              <m:rPr>
                <m:sty m:val="p"/>
              </m:rPr>
              <w:rPr>
                <w:rFonts w:ascii="Cambria Math" w:hAnsi="Cambria Math"/>
              </w:rPr>
              <m:t>,</m:t>
            </m:r>
            <m:r>
              <w:rPr>
                <w:rFonts w:ascii="Cambria Math" w:hAnsi="Cambria Math"/>
              </w:rPr>
              <m:t>b</m:t>
            </m:r>
          </m:sub>
        </m:sSub>
      </m:oMath>
      <w:r>
        <w:t xml:space="preserve"> and denominator </w:t>
      </w:r>
      <m:oMath>
        <m:nary>
          <m:naryPr>
            <m:chr m:val="∑"/>
            <m:limLoc m:val="undOvr"/>
            <m:supHide m:val="1"/>
            <m:ctrlPr>
              <w:rPr>
                <w:rFonts w:ascii="Cambria Math" w:hAnsi="Cambria Math"/>
              </w:rPr>
            </m:ctrlPr>
          </m:naryPr>
          <m:sub>
            <m:r>
              <w:rPr>
                <w:rFonts w:ascii="Cambria Math" w:hAnsi="Cambria Math"/>
              </w:rPr>
              <m:t>b</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m:t>
                </m:r>
                <m:r>
                  <w:rPr>
                    <w:rFonts w:ascii="Cambria Math" w:hAnsi="Cambria Math"/>
                  </w:rPr>
                  <m:t>b</m:t>
                </m:r>
              </m:sub>
            </m:sSub>
          </m:e>
        </m:nary>
        <m:r>
          <m:rPr>
            <m:sty m:val="p"/>
          </m:rPr>
          <w:rPr>
            <w:rFonts w:ascii="Cambria Math" w:hAnsi="Cambria Math"/>
          </w:rPr>
          <m:t>exp</m:t>
        </m:r>
        <m:d>
          <m:dPr>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s</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s</m:t>
                </m:r>
                <m:r>
                  <m:rPr>
                    <m:sty m:val="p"/>
                  </m:rPr>
                  <w:rPr>
                    <w:rFonts w:ascii="Cambria Math" w:hAnsi="Cambria Math"/>
                  </w:rPr>
                  <m:t>,</m:t>
                </m:r>
                <m:r>
                  <w:rPr>
                    <w:rFonts w:ascii="Cambria Math" w:hAnsi="Cambria Math"/>
                  </w:rPr>
                  <m:t>b</m:t>
                </m:r>
              </m:sub>
            </m:sSub>
          </m:e>
        </m:d>
      </m:oMath>
      <w:r>
        <w:t>, proving the identity. Equality is with the specified token reference, not with every possible Transformer state. For quantized keys it is exact for the quantized reference and may approximate the original-key reference.</w:t>
      </w:r>
    </w:p>
    <w:p w14:paraId="2F16D7F1" w14:textId="77777777" w:rsidR="004777AC" w:rsidRDefault="00000000" w:rsidP="0048543B">
      <w:pPr>
        <w:pStyle w:val="BodyText"/>
        <w:jc w:val="both"/>
      </w:pPr>
      <w:r>
        <w:t xml:space="preserve">In the paired variant, substitute </w:t>
      </w:r>
      <m:oMath>
        <m:sSub>
          <m:sSubPr>
            <m:ctrlPr>
              <w:rPr>
                <w:rFonts w:ascii="Cambria Math" w:hAnsi="Cambria Math"/>
              </w:rPr>
            </m:ctrlPr>
          </m:sSubPr>
          <m:e>
            <m:r>
              <w:rPr>
                <w:rFonts w:ascii="Cambria Math" w:hAnsi="Cambria Math"/>
              </w:rPr>
              <m:t>μ</m:t>
            </m:r>
          </m:e>
          <m:sub>
            <m:r>
              <w:rPr>
                <w:rFonts w:ascii="Cambria Math" w:hAnsi="Cambria Math"/>
              </w:rPr>
              <m:t>s</m:t>
            </m:r>
            <m:r>
              <m:rPr>
                <m:sty m:val="p"/>
              </m:rPr>
              <w:rPr>
                <w:rFonts w:ascii="Cambria Math" w:hAnsi="Cambria Math"/>
              </w:rPr>
              <m:t>,</m:t>
            </m:r>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w:rPr>
                <w:rFonts w:ascii="Cambria Math" w:hAnsi="Cambria Math"/>
              </w:rPr>
              <m:t>b</m:t>
            </m:r>
          </m:sub>
        </m:sSub>
      </m:oMath>
      <w:r>
        <w:t xml:space="preserve">. The result lies in the convex hull of </w:t>
      </w:r>
      <m:oMath>
        <m:r>
          <w:rPr>
            <w:rFonts w:ascii="Cambria Math" w:hAnsi="Cambria Math"/>
          </w:rPr>
          <m:t>B</m:t>
        </m:r>
      </m:oMath>
      <w:r>
        <w:t xml:space="preserve"> fixed values. With 16 prototypes, its affine dimension is at most 15 for that head, even when the values have 64 coordinates. A learned output projection can use this representation but cannot recover distinctions already lost. Contextual values avoid this fixed-hull restriction while requiring stored sums.</w:t>
      </w:r>
    </w:p>
    <w:p w14:paraId="1A67008F" w14:textId="77777777" w:rsidR="004777AC" w:rsidRDefault="00000000" w:rsidP="0048543B">
      <w:pPr>
        <w:pStyle w:val="BodyText"/>
        <w:jc w:val="both"/>
      </w:pPr>
      <w:r>
        <w:t>Counts are occurrence statistics. For a fixed number of independent assignments they have a multinomial distribution. Poisson terminology requires an additional model, such as a Poisson arrival process or an appropriate approximation. The pollen metaphor does not itself justify a Poisson likelihood, a confidence interval, or an independent-source interpretation.</w:t>
      </w:r>
    </w:p>
    <w:p w14:paraId="7C8D36C7" w14:textId="77777777" w:rsidR="004777AC" w:rsidRDefault="00000000" w:rsidP="0048543B">
      <w:pPr>
        <w:pStyle w:val="BodyText"/>
        <w:jc w:val="both"/>
      </w:pPr>
      <w:r>
        <w:rPr>
          <w:b/>
          <w:bCs/>
        </w:rPr>
        <w:lastRenderedPageBreak/>
        <w:t>Proposition 2 — Order is not generally recoverable.</w:t>
      </w:r>
      <w:r>
        <w:t xml:space="preserve"> If assignment and contributions depend only on token identity, the sequences AB and BA have the same bin counts and sums. Any decoder that receives only that state must give the same answer for both, even when the task asks which token came first. Context-sensitive or position-sensitive assignments can retain some order, but a fixed finite state does not guarantee lossless history. This is why the evidence archive has a separate role.</w:t>
      </w:r>
    </w:p>
    <w:p w14:paraId="507B5F69" w14:textId="77777777" w:rsidR="004777AC" w:rsidRDefault="00000000" w:rsidP="0048543B">
      <w:pPr>
        <w:pStyle w:val="BodyText"/>
        <w:jc w:val="both"/>
      </w:pPr>
      <w:r>
        <w:t>Different visitors may alias different distinctions. Their combination could reduce task-relevant aliasing, which is a testable source of value for the colony. It does not follow that an ensemble recovers all discarded information: all visitors may lose the same distinction, and the controller may discard the visitor that retained it.</w:t>
      </w:r>
    </w:p>
    <w:p w14:paraId="2808275F" w14:textId="77777777" w:rsidR="004777AC" w:rsidRDefault="00000000" w:rsidP="0048543B">
      <w:pPr>
        <w:pStyle w:val="Heading1"/>
        <w:jc w:val="both"/>
      </w:pPr>
      <w:bookmarkStart w:id="6" w:name="X328e73949520e8b671752777e75dbd467d40dd2"/>
      <w:bookmarkEnd w:id="5"/>
      <w:r>
        <w:t>4 One flower and one committed continuation</w:t>
      </w:r>
    </w:p>
    <w:p w14:paraId="5BDB3463" w14:textId="77777777" w:rsidR="004777AC" w:rsidRDefault="00000000" w:rsidP="0048543B">
      <w:pPr>
        <w:pStyle w:val="FirstParagraph"/>
        <w:jc w:val="both"/>
      </w:pPr>
      <w:r>
        <w:t xml:space="preserve">The reference harness uses a shared committed prefix </w:t>
      </w:r>
      <m:oMath>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t</m:t>
            </m:r>
          </m:sub>
        </m:sSub>
      </m:oMath>
      <w:r>
        <w:t xml:space="preserve">. Each live visitor proposes a distribution conditioned on that prefix and its own state </w:t>
      </w:r>
      <m:oMath>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w:rPr>
                <w:rFonts w:ascii="Cambria Math" w:hAnsi="Cambria Math"/>
              </w:rPr>
              <m:t>t</m:t>
            </m:r>
          </m:sub>
        </m:sSub>
      </m:oMath>
      <w:r>
        <w:t>:</w:t>
      </w:r>
    </w:p>
    <w:p w14:paraId="0375A1BF" w14:textId="77777777" w:rsidR="004777AC" w:rsidRDefault="00000000" w:rsidP="0048543B">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t</m:t>
                </m:r>
              </m:sub>
            </m:sSub>
          </m:e>
        </m:nary>
        <m:sSub>
          <m:sSubPr>
            <m:ctrlPr>
              <w:rPr>
                <w:rFonts w:ascii="Cambria Math" w:hAnsi="Cambria Math"/>
              </w:rPr>
            </m:ctrlPr>
          </m:sSubPr>
          <m:e>
            <m:r>
              <w:rPr>
                <w:rFonts w:ascii="Cambria Math" w:hAnsi="Cambria Math"/>
              </w:rPr>
              <m:t>p</m:t>
            </m:r>
          </m:e>
          <m:sub>
            <m:r>
              <w:rPr>
                <w:rFonts w:ascii="Cambria Math" w:hAnsi="Cambria Math"/>
              </w:rPr>
              <m:t>s</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oMath>
      <w:r>
        <w:tab/>
        <w:t>(4)</w:t>
      </w:r>
    </w:p>
    <w:p w14:paraId="52CABF74" w14:textId="77777777" w:rsidR="004777AC" w:rsidRDefault="00000000" w:rsidP="0048543B">
      <w:pPr>
        <w:pStyle w:val="FirstParagraph"/>
        <w:jc w:val="both"/>
      </w:pPr>
      <w:r>
        <w:t xml:space="preserve">Weights are nonnegative and sum to one over the active set </w:t>
      </w:r>
      <m:oMath>
        <m:sSub>
          <m:sSubPr>
            <m:ctrlPr>
              <w:rPr>
                <w:rFonts w:ascii="Cambria Math" w:hAnsi="Cambria Math"/>
              </w:rPr>
            </m:ctrlPr>
          </m:sSubPr>
          <m:e>
            <m:r>
              <w:rPr>
                <w:rFonts w:ascii="Cambria Math" w:hAnsi="Cambria Math"/>
              </w:rPr>
              <m:t>A</m:t>
            </m:r>
          </m:e>
          <m:sub>
            <m:r>
              <w:rPr>
                <w:rFonts w:ascii="Cambria Math" w:hAnsi="Cambria Math"/>
              </w:rPr>
              <m:t>t</m:t>
            </m:r>
          </m:sub>
        </m:sSub>
      </m:oMath>
      <w:r>
        <w:t>. A mixture sampler or a declared arbiter selects one next token. Only that committed token updates durable conversation state. A visitor may inspect a speculative continuation, but speculative tokens do not enter occurrence counts or independent-source counts until a separate commit rule authorizes the appropriate record.</w:t>
      </w:r>
    </w:p>
    <w:p w14:paraId="471F9F47" w14:textId="77777777" w:rsidR="004777AC" w:rsidRDefault="00000000" w:rsidP="0048543B">
      <w:pPr>
        <w:pStyle w:val="BodyText"/>
        <w:jc w:val="both"/>
      </w:pPr>
      <w:r>
        <w:t>If every visitor instead commits its own token, the system becomes a branching search. Each branch has its own prefix, dynamic memory, and generation cache. Prefix sharing can reduce duplication before divergence, but the memory accounting must include the surviving branches. These two protocols must not be mixed when reporting a compact harness.</w:t>
      </w:r>
    </w:p>
    <w:p w14:paraId="232E5457" w14:textId="77777777" w:rsidR="004777AC" w:rsidRDefault="00000000" w:rsidP="0048543B">
      <w:pPr>
        <w:pStyle w:val="BodyText"/>
        <w:jc w:val="both"/>
      </w:pPr>
      <w:r>
        <w:t>Shared weights remove parameter duplication. They do not automatically remove inference duplication. Once different memory reads alter hidden states, exact layer outputs are visitor-specific. A proposed late-fork implementation may share a common trunk and insert seeded memory only near the output; this is a distinct architecture to train and compare. Sharing arbitrary hidden states across fully divergent seeded Transformers would change their computation.</w:t>
      </w:r>
    </w:p>
    <w:p w14:paraId="43665683" w14:textId="77777777" w:rsidR="004777AC" w:rsidRDefault="00000000" w:rsidP="0048543B">
      <w:pPr>
        <w:pStyle w:val="BodyText"/>
        <w:keepNext/>
        <w:jc w:val="both"/>
      </w:pPr>
      <w:r>
        <w:rPr>
          <w:noProof/>
        </w:rPr>
        <w:lastRenderedPageBreak/>
        <w:drawing>
          <wp:inline distT="0" distB="0" distL="0" distR="0" wp14:anchorId="29F46DD0" wp14:editId="21259929">
            <wp:extent cx="5334000" cy="2861036"/>
            <wp:effectExtent l="0" t="0" r="0" b="0"/>
            <wp:docPr id="27" name="Picture" descr="Architecture"/>
            <wp:cNvGraphicFramePr/>
            <a:graphic xmlns:a="http://schemas.openxmlformats.org/drawingml/2006/main">
              <a:graphicData uri="http://schemas.openxmlformats.org/drawingml/2006/picture">
                <pic:pic xmlns:pic="http://schemas.openxmlformats.org/drawingml/2006/picture">
                  <pic:nvPicPr>
                    <pic:cNvPr id="28" name="Picture" descr="architecture.png"/>
                    <pic:cNvPicPr>
                      <a:picLocks noChangeAspect="1" noChangeArrowheads="1"/>
                    </pic:cNvPicPr>
                  </pic:nvPicPr>
                  <pic:blipFill>
                    <a:blip r:embed="rId7"/>
                    <a:stretch>
                      <a:fillRect/>
                    </a:stretch>
                  </pic:blipFill>
                  <pic:spPr bwMode="auto">
                    <a:xfrm>
                      <a:off x="0" y="0"/>
                      <a:ext cx="5334000" cy="2861036"/>
                    </a:xfrm>
                    <a:prstGeom prst="rect">
                      <a:avLst/>
                    </a:prstGeom>
                    <a:noFill/>
                    <a:ln w="9525">
                      <a:noFill/>
                      <a:headEnd/>
                      <a:tailEnd/>
                    </a:ln>
                  </pic:spPr>
                </pic:pic>
              </a:graphicData>
            </a:graphic>
          </wp:inline>
        </w:drawing>
      </w:r>
    </w:p>
    <w:p w14:paraId="4811AF50" w14:textId="77777777" w:rsidR="004777AC" w:rsidRDefault="00000000" w:rsidP="0048543B">
      <w:pPr>
        <w:pStyle w:val="BodyText"/>
        <w:spacing w:after="160" w:line="252" w:lineRule="auto"/>
        <w:jc w:val="both"/>
      </w:pPr>
      <w:r>
        <w:rPr>
          <w:sz w:val="19"/>
        </w:rPr>
        <w:t>Figure 1. The reference harness maintains one committed prefix. A controller trades additional visitors against finer evidence. Raw evidence may be shared; seed-dependent representations require compatible epochs and explicit cache keys.</w:t>
      </w:r>
    </w:p>
    <w:p w14:paraId="697F7417" w14:textId="77777777" w:rsidR="004777AC" w:rsidRDefault="00000000" w:rsidP="0048543B">
      <w:pPr>
        <w:pStyle w:val="Heading2"/>
        <w:jc w:val="both"/>
      </w:pPr>
      <w:bookmarkStart w:id="7" w:name="X5f500c5a9df8b04fc18a3fc4c1f339b392735f6"/>
      <w:r>
        <w:t>4.1 Catalog size is different from participation</w:t>
      </w:r>
    </w:p>
    <w:p w14:paraId="59958300" w14:textId="77777777" w:rsidR="004777AC" w:rsidRDefault="00000000" w:rsidP="0048543B">
      <w:pPr>
        <w:pStyle w:val="FirstParagraph"/>
        <w:jc w:val="both"/>
      </w:pPr>
      <w:r>
        <w:t xml:space="preserve">Distinguish the catalog size </w:t>
      </w:r>
      <m:oMath>
        <m:r>
          <w:rPr>
            <w:rFonts w:ascii="Cambria Math" w:hAnsi="Cambria Math"/>
          </w:rPr>
          <m:t>M</m:t>
        </m:r>
      </m:oMath>
      <w:r>
        <w:t xml:space="preserve">, screened candidates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executed visitors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oMath>
      <w:r>
        <w:t>, and speculative branches. A million seed identities may be eligible at the first question without a million full next-token passes. Literal participation by all visitors is an expensive baseline, even when the prefix is short.</w:t>
      </w:r>
    </w:p>
    <w:p w14:paraId="57CF7F60" w14:textId="77777777" w:rsidR="004777AC" w:rsidRDefault="00000000" w:rsidP="0048543B">
      <w:pPr>
        <w:pStyle w:val="BodyText"/>
        <w:jc w:val="both"/>
      </w:pPr>
      <w:r>
        <w:t xml:space="preserve">The practical proposal uses a shared question encoder and a router that selects a candidate subset, followed by visitor execution and evidence checks. Any full-catalog score scan still costs work proportional to </w:t>
      </w:r>
      <m:oMath>
        <m:r>
          <w:rPr>
            <w:rFonts w:ascii="Cambria Math" w:hAnsi="Cambria Math"/>
          </w:rPr>
          <m:t>M</m:t>
        </m:r>
      </m:oMath>
      <w:r>
        <w:t xml:space="preserve"> and must be measured. Hierarchical routing, indexed seed descriptors, or sampled candidate discovery can reduce this cost, but their recall must be tested. A seed descriptor is not free if it stores learned vectors or persistent calibration data for every visitor.</w:t>
      </w:r>
    </w:p>
    <w:p w14:paraId="4E5660B0" w14:textId="77777777" w:rsidR="004777AC" w:rsidRDefault="00000000" w:rsidP="0048543B">
      <w:pPr>
        <w:pStyle w:val="BodyText"/>
        <w:jc w:val="both"/>
      </w:pPr>
      <w:r>
        <w:t>Routing three seeds is a useful operating point, not a universal constant. The controller can increase participation when visitors disagree, evidence coverage is weak, or a topic shift invalidates the current specialization. It can decrease participation when another visitor has low expected marginal benefit. The opening colony and the later active set need not be monotonically related.</w:t>
      </w:r>
    </w:p>
    <w:p w14:paraId="62C81F78" w14:textId="77777777" w:rsidR="004777AC" w:rsidRDefault="00000000" w:rsidP="0048543B">
      <w:pPr>
        <w:pStyle w:val="Heading2"/>
        <w:jc w:val="both"/>
      </w:pPr>
      <w:bookmarkStart w:id="8" w:name="confidence-needs-a-task-reference"/>
      <w:bookmarkEnd w:id="7"/>
      <w:r>
        <w:t>4.2 Confidence needs a task reference</w:t>
      </w:r>
    </w:p>
    <w:p w14:paraId="326C2F23" w14:textId="77777777" w:rsidR="004777AC" w:rsidRDefault="00000000" w:rsidP="0048543B">
      <w:pPr>
        <w:pStyle w:val="FirstParagraph"/>
        <w:jc w:val="both"/>
      </w:pPr>
      <w:r>
        <w:t>Low token entropy is not evidence that an agent is correct. High bin count is not expertise. A useful routing policy is calibrated against held-out answer quality and supported claims, with features such as task fit, missing premises, contradiction, cross-visitor disagreement, and estimated execution cost. Random seeds can change outputs without creating useful expertise.</w:t>
      </w:r>
    </w:p>
    <w:p w14:paraId="7B5924CF" w14:textId="77777777" w:rsidR="004777AC" w:rsidRDefault="00000000" w:rsidP="0048543B">
      <w:pPr>
        <w:pStyle w:val="BodyText"/>
        <w:jc w:val="both"/>
      </w:pPr>
      <w:r>
        <w:t>The controller should retain a small exploration budget or periodically audit dormant candidates. Otherwise early pruning can eliminate the specialist needed after a topic change. “Aligned” here means empirically suitable for the current task and evidence constraints; it is not a claim of general safety alignment inferred from confidence.</w:t>
      </w:r>
    </w:p>
    <w:p w14:paraId="25E603E6" w14:textId="77777777" w:rsidR="004777AC" w:rsidRDefault="00000000" w:rsidP="0048543B">
      <w:pPr>
        <w:pStyle w:val="BodyText"/>
        <w:jc w:val="both"/>
      </w:pPr>
      <w:r>
        <w:rPr>
          <w:b/>
          <w:bCs/>
        </w:rPr>
        <w:lastRenderedPageBreak/>
        <w:t>Proposition 3 — A distributional pruning bound.</w:t>
      </w:r>
      <w:r>
        <w:t xml:space="preserve"> Suppose a reference mixture over all visitors has normalized weights, and the removed set has total weight </w:t>
      </w:r>
      <m:oMath>
        <m:r>
          <w:rPr>
            <w:rFonts w:ascii="Cambria Math" w:hAnsi="Cambria Math"/>
          </w:rPr>
          <m:t>α</m:t>
        </m:r>
        <m:r>
          <m:rPr>
            <m:sty m:val="p"/>
          </m:rPr>
          <w:rPr>
            <w:rFonts w:ascii="Cambria Math" w:hAnsi="Cambria Math"/>
          </w:rPr>
          <m:t>&lt;</m:t>
        </m:r>
        <m:r>
          <w:rPr>
            <w:rFonts w:ascii="Cambria Math" w:hAnsi="Cambria Math"/>
          </w:rPr>
          <m:t>1</m:t>
        </m:r>
      </m:oMath>
      <w:r>
        <w:t xml:space="preserve">. Renormalizing retained weights produces </w:t>
      </w:r>
      <m:oMath>
        <m:sSub>
          <m:sSubPr>
            <m:ctrlPr>
              <w:rPr>
                <w:rFonts w:ascii="Cambria Math" w:hAnsi="Cambria Math"/>
              </w:rPr>
            </m:ctrlPr>
          </m:sSubPr>
          <m:e>
            <m:r>
              <w:rPr>
                <w:rFonts w:ascii="Cambria Math" w:hAnsi="Cambria Math"/>
              </w:rPr>
              <m:t>p</m:t>
            </m:r>
          </m:e>
          <m:sub>
            <m:r>
              <w:rPr>
                <w:rFonts w:ascii="Cambria Math" w:hAnsi="Cambria Math"/>
              </w:rPr>
              <m:t>A</m:t>
            </m:r>
          </m:sub>
        </m:sSub>
      </m:oMath>
      <w:r>
        <w:t>. Then</w:t>
      </w:r>
    </w:p>
    <w:p w14:paraId="04305B36" w14:textId="77777777" w:rsidR="004777AC" w:rsidRDefault="00000000" w:rsidP="0048543B">
      <w:pPr>
        <w:pStyle w:val="BodyText"/>
        <w:keepLines/>
        <w:tabs>
          <w:tab w:val="center" w:pos="4968"/>
          <w:tab w:val="right" w:pos="9936"/>
        </w:tabs>
        <w:spacing w:before="80" w:after="160"/>
        <w:jc w:val="both"/>
      </w:pPr>
      <w:r>
        <w:tab/>
      </w:r>
      <m:oMath>
        <m:r>
          <m:rPr>
            <m:sty m:val="p"/>
          </m:rPr>
          <w:rPr>
            <w:rFonts w:ascii="Cambria Math" w:hAnsi="Cambria Math"/>
          </w:rPr>
          <m:t>TV</m:t>
        </m:r>
        <m:d>
          <m:dPr>
            <m:ctrlPr>
              <w:rPr>
                <w:rFonts w:ascii="Cambria Math" w:hAnsi="Cambria Math"/>
              </w:rPr>
            </m:ctrlPr>
          </m:d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r>
          <m:rPr>
            <m:sty m:val="p"/>
          </m:rPr>
          <w:rPr>
            <w:rFonts w:ascii="Cambria Math" w:hAnsi="Cambria Math"/>
          </w:rPr>
          <m:t>≤</m:t>
        </m:r>
        <m:r>
          <w:rPr>
            <w:rFonts w:ascii="Cambria Math" w:hAnsi="Cambria Math"/>
          </w:rPr>
          <m:t>α</m:t>
        </m:r>
        <m:r>
          <m:rPr>
            <m:sty m:val="p"/>
          </m:rPr>
          <w:rPr>
            <w:rFonts w:ascii="Cambria Math" w:hAnsi="Cambria Math"/>
          </w:rPr>
          <m:t>.</m:t>
        </m:r>
      </m:oMath>
      <w:r>
        <w:tab/>
        <w:t>(5)</w:t>
      </w:r>
    </w:p>
    <w:p w14:paraId="4E27D320" w14:textId="77777777" w:rsidR="004777AC" w:rsidRDefault="00000000" w:rsidP="0048543B">
      <w:pPr>
        <w:pStyle w:val="FirstParagraph"/>
        <w:jc w:val="both"/>
      </w:pPr>
      <w:r>
        <w:t xml:space="preserve">Proof: write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and use </w:t>
      </w:r>
      <m:oMath>
        <m:r>
          <m:rPr>
            <m:sty m:val="p"/>
          </m:rPr>
          <w:rPr>
            <w:rFonts w:ascii="Cambria Math" w:hAnsi="Cambria Math"/>
          </w:rPr>
          <m:t>TV</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e>
        </m:d>
        <m:r>
          <m:rPr>
            <m:sty m:val="p"/>
          </m:rPr>
          <w:rPr>
            <w:rFonts w:ascii="Cambria Math" w:hAnsi="Cambria Math"/>
          </w:rPr>
          <m:t>≤</m:t>
        </m:r>
        <m:r>
          <w:rPr>
            <w:rFonts w:ascii="Cambria Math" w:hAnsi="Cambria Math"/>
          </w:rPr>
          <m:t>1</m:t>
        </m:r>
      </m:oMath>
      <w:r>
        <w:t xml:space="preserve">. For any loss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L</m:t>
            </m:r>
          </m:e>
        </m:d>
      </m:oMath>
      <w:r>
        <w:t xml:space="preserve">, the absolute expected-loss change is at most </w:t>
      </w:r>
      <m:oMath>
        <m:r>
          <w:rPr>
            <w:rFonts w:ascii="Cambria Math" w:hAnsi="Cambria Math"/>
          </w:rPr>
          <m:t>Lα</m:t>
        </m:r>
      </m:oMath>
      <w:r>
        <w:t>. This says nothing about factual correctness of the reference mixture. A top-three router does not certify discarded weight unless the omitted scores are known or bounded. A sparse model defined directly on three seeds is valid, but is not automatically a certified approximation to an uncomputed million-visitor mixture. The bound also does not control unbounded log loss without further assumptions.</w:t>
      </w:r>
    </w:p>
    <w:p w14:paraId="68DB486A" w14:textId="77777777" w:rsidR="004777AC" w:rsidRDefault="00000000" w:rsidP="0048543B">
      <w:pPr>
        <w:pStyle w:val="Heading1"/>
        <w:jc w:val="both"/>
      </w:pPr>
      <w:bookmarkStart w:id="9" w:name="dormancy-is-a-state-transition"/>
      <w:bookmarkEnd w:id="6"/>
      <w:bookmarkEnd w:id="8"/>
      <w:r>
        <w:t>5 Dormancy is a state transition</w:t>
      </w:r>
    </w:p>
    <w:p w14:paraId="3F7609E3" w14:textId="77777777" w:rsidR="004777AC" w:rsidRDefault="00000000" w:rsidP="0048543B">
      <w:pPr>
        <w:pStyle w:val="FirstParagraph"/>
        <w:jc w:val="both"/>
      </w:pPr>
      <w:r>
        <w:t>A seed reconstructs fixed tensors, not the conversation-dependent memory that those tensors helped create. Same Flower therefore distinguishes three lifecycle states. An active visitor has current state available for inference. A checkpointed dormant visitor retains dynamic state outside the execution working set. An evicted visitor retains its identity but has discarded dynamic state. Only the second is resumable from a stored checkpoint without reconstructing the entire preceding history.</w:t>
      </w:r>
    </w:p>
    <w:p w14:paraId="2E661B37" w14:textId="77777777" w:rsidR="004777AC" w:rsidRDefault="00000000" w:rsidP="0048543B">
      <w:pPr>
        <w:pStyle w:val="BodyText"/>
        <w:jc w:val="both"/>
      </w:pPr>
      <w:r>
        <w:t xml:space="preserve">When a visitor pauses after token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 frozen counter is a record of the prefix through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not the current prefix. On reactivation at </w:t>
      </w:r>
      <m:oMath>
        <m:sSub>
          <m:sSubPr>
            <m:ctrlPr>
              <w:rPr>
                <w:rFonts w:ascii="Cambria Math" w:hAnsi="Cambria Math"/>
              </w:rPr>
            </m:ctrlPr>
          </m:sSubPr>
          <m:e>
            <m:r>
              <w:rPr>
                <w:rFonts w:ascii="Cambria Math" w:hAnsi="Cambria Math"/>
              </w:rPr>
              <m:t>t</m:t>
            </m:r>
          </m:e>
          <m:sub>
            <m:r>
              <w:rPr>
                <w:rFonts w:ascii="Cambria Math" w:hAnsi="Cambria Math"/>
              </w:rPr>
              <m:t>1</m:t>
            </m:r>
          </m:sub>
        </m:sSub>
      </m:oMath>
      <w:r>
        <w:t>, the visitor must replay missed committed tokens under the same update rules, load a newer checkpoint, or explicitly operate with incomplete memory. In a fully visitor-dependent Transformer, replay may require recomputing intermediate hidden states and cannot generally be replaced by counting token identities.</w:t>
      </w:r>
    </w:p>
    <w:p w14:paraId="1E2EC6FA" w14:textId="77777777" w:rsidR="004777AC" w:rsidRDefault="00000000" w:rsidP="0048543B">
      <w:pPr>
        <w:pStyle w:val="BodyText"/>
        <w:jc w:val="both"/>
      </w:pPr>
      <w:r>
        <w:t>Exact replay requires the accepted prefix or sufficient archived inputs, generator and model versions, the representation epoch, and deterministic update semantics. If online writes or stochastic choices affect state, their relevant checkpoints or random-number addresses must also persist. Numerical reproducibility across hardware must be defined as bitwise equality or a stated tolerance. Eviction reduces resident state by trading it for archive dependence and later computation.</w:t>
      </w:r>
    </w:p>
    <w:p w14:paraId="03942EEE" w14:textId="77777777" w:rsidR="004777AC" w:rsidRDefault="00000000" w:rsidP="0048543B">
      <w:pPr>
        <w:pStyle w:val="BodyText"/>
        <w:jc w:val="both"/>
      </w:pPr>
      <w:r>
        <w:t>Checkpoint decisions should minimize expected future cost subject to memory limits. An agent likely to return soon may retain its counter on the host. One with low expected reuse may be evicted and reconstructed only if selected again. Reporting only GPU bytes while keeping a large population of host checkpoints is useful for accelerator planning but is not a total-memory claim.</w:t>
      </w:r>
    </w:p>
    <w:p w14:paraId="66D90639" w14:textId="77777777" w:rsidR="004777AC" w:rsidRDefault="00000000" w:rsidP="0048543B">
      <w:pPr>
        <w:pStyle w:val="Heading1"/>
        <w:jc w:val="both"/>
      </w:pPr>
      <w:bookmarkStart w:id="10" w:name="adaptive-refinement-inside-each-visitor"/>
      <w:bookmarkEnd w:id="9"/>
      <w:r>
        <w:t>6 Adaptive refinement inside each visitor</w:t>
      </w:r>
    </w:p>
    <w:p w14:paraId="2ED0A787" w14:textId="77777777" w:rsidR="004777AC" w:rsidRDefault="00000000" w:rsidP="0048543B">
      <w:pPr>
        <w:pStyle w:val="FirstParagraph"/>
        <w:jc w:val="both"/>
      </w:pPr>
      <w:r>
        <w:t>The shared archive stores identifiable evidence, while each visitor can have its own summary index. Eligibility is applied before defining a read: a question about the current signed specification may exclude superseded revisions. Source identity, occurrence count, and replay count remain separate. A million agents reading one document do not create a million independent sources.</w:t>
      </w:r>
    </w:p>
    <w:p w14:paraId="15B7B253" w14:textId="77777777" w:rsidR="004777AC" w:rsidRDefault="00000000" w:rsidP="0048543B">
      <w:pPr>
        <w:pStyle w:val="BodyText"/>
        <w:jc w:val="both"/>
      </w:pPr>
      <w:r>
        <w:t xml:space="preserve">Within an eligible set and representation epoch, a frontier is a disjoint partition. Each node retains a count, sum, representative, radius, and recoverable membership. Refinement removes the parent from the read and replaces it with disjoint children. Selective reopening subtracts the original contribution in the same epoch; a zero-count residual disappears. The familiar ten-record example remains a conservation check: count ten and sum twenty, reopen the record of value eight, leaving count nine and sum twelve. The combined mean remains two; appending the reopened record without subtraction would yield </w:t>
      </w:r>
      <m:oMath>
        <m:r>
          <w:rPr>
            <w:rFonts w:ascii="Cambria Math" w:hAnsi="Cambria Math"/>
          </w:rPr>
          <m:t>28</m:t>
        </m:r>
        <m:r>
          <m:rPr>
            <m:sty m:val="p"/>
          </m:rPr>
          <w:rPr>
            <w:rFonts w:ascii="Cambria Math" w:hAnsi="Cambria Math"/>
          </w:rPr>
          <m:t>/</m:t>
        </m:r>
        <m:r>
          <w:rPr>
            <w:rFonts w:ascii="Cambria Math" w:hAnsi="Cambria Math"/>
          </w:rPr>
          <m:t>11</m:t>
        </m:r>
      </m:oMath>
      <w:r>
        <w:t xml:space="preserve"> [3].</w:t>
      </w:r>
    </w:p>
    <w:p w14:paraId="4340CA2E" w14:textId="77777777" w:rsidR="004777AC" w:rsidRDefault="00000000" w:rsidP="0048543B">
      <w:pPr>
        <w:pStyle w:val="BodyText"/>
        <w:jc w:val="both"/>
      </w:pPr>
      <w:r>
        <w:t xml:space="preserve">For a node whose keys lie within radius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of </w:t>
      </w:r>
      <m:oMath>
        <m:sSub>
          <m:sSubPr>
            <m:ctrlPr>
              <w:rPr>
                <w:rFonts w:ascii="Cambria Math" w:hAnsi="Cambria Math"/>
              </w:rPr>
            </m:ctrlPr>
          </m:sSubPr>
          <m:e>
            <m:r>
              <w:rPr>
                <w:rFonts w:ascii="Cambria Math" w:hAnsi="Cambria Math"/>
              </w:rPr>
              <m:t>c</m:t>
            </m:r>
          </m:e>
          <m:sub>
            <m:r>
              <w:rPr>
                <w:rFonts w:ascii="Cambria Math" w:hAnsi="Cambria Math"/>
              </w:rPr>
              <m:t>b</m:t>
            </m:r>
          </m:sub>
        </m:sSub>
      </m:oMath>
      <w:r>
        <w:t>, its unnormalized attention mass has bounds</w:t>
      </w:r>
    </w:p>
    <w:p w14:paraId="2799311C" w14:textId="77777777" w:rsidR="004777AC" w:rsidRDefault="00000000" w:rsidP="0048543B">
      <w:pPr>
        <w:pStyle w:val="BodyText"/>
        <w:keepLines/>
        <w:tabs>
          <w:tab w:val="center" w:pos="4968"/>
          <w:tab w:val="right" w:pos="9936"/>
        </w:tabs>
        <w:spacing w:before="80" w:after="160"/>
        <w:jc w:val="both"/>
      </w:pPr>
      <w:r>
        <w:lastRenderedPageBreak/>
        <w:tab/>
      </w:r>
      <m:oMath>
        <m:sSub>
          <m:sSubPr>
            <m:ctrlPr>
              <w:rPr>
                <w:rFonts w:ascii="Cambria Math" w:hAnsi="Cambria Math"/>
              </w:rPr>
            </m:ctrlPr>
          </m:sSubPr>
          <m:e>
            <m:r>
              <w:rPr>
                <w:rFonts w:ascii="Cambria Math" w:hAnsi="Cambria Math"/>
              </w:rPr>
              <m:t>n</m:t>
            </m:r>
          </m:e>
          <m:sub>
            <m:r>
              <w:rPr>
                <w:rFonts w:ascii="Cambria Math" w:hAnsi="Cambria Math"/>
              </w:rPr>
              <m:t>b</m:t>
            </m:r>
          </m:sub>
        </m:sSub>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sup>
        </m:sSup>
        <m:r>
          <m:rPr>
            <m:sty m:val="p"/>
          </m:rPr>
          <w:rPr>
            <w:rFonts w:ascii="Cambria Math" w:hAnsi="Cambria Math"/>
          </w:rPr>
          <m:t>.</m:t>
        </m:r>
      </m:oMath>
      <w:r>
        <w:tab/>
        <w:t>(6)</w:t>
      </w:r>
    </w:p>
    <w:p w14:paraId="3AFDD650" w14:textId="77777777" w:rsidR="004777AC" w:rsidRDefault="00000000" w:rsidP="0048543B">
      <w:pPr>
        <w:pStyle w:val="FirstParagraph"/>
        <w:jc w:val="both"/>
      </w:pPr>
      <w:r>
        <w:t xml:space="preserve">Bounds should be computed in log space with numerical margins. For values of diameter </w:t>
      </w:r>
      <m:oMath>
        <m:r>
          <w:rPr>
            <w:rFonts w:ascii="Cambria Math" w:hAnsi="Cambria Math"/>
          </w:rPr>
          <m:t>D</m:t>
        </m:r>
      </m:oMath>
      <w:r>
        <w:t xml:space="preserve">, the prior refinement contract bounds fixed-read quantization error by </w:t>
      </w:r>
      <m:oMath>
        <m:r>
          <w:rPr>
            <w:rFonts w:ascii="Cambria Math" w:hAnsi="Cambria Math"/>
          </w:rPr>
          <m:t>D</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Δ</m:t>
                </m:r>
              </m:sub>
            </m:sSub>
            <m:r>
              <m:rPr>
                <m:sty m:val="p"/>
              </m:rPr>
              <w:rPr>
                <w:rFonts w:ascii="Cambria Math" w:hAnsi="Cambria Math"/>
              </w:rPr>
              <m:t>/</m:t>
            </m:r>
            <m:r>
              <w:rPr>
                <w:rFonts w:ascii="Cambria Math" w:hAnsi="Cambria Math"/>
              </w:rPr>
              <m:t>4</m:t>
            </m:r>
          </m:e>
        </m:d>
      </m:oMath>
      <w:r>
        <w:t xml:space="preserve">, where </w:t>
      </w:r>
      <m:oMath>
        <m:sSub>
          <m:sSubPr>
            <m:ctrlPr>
              <w:rPr>
                <w:rFonts w:ascii="Cambria Math" w:hAnsi="Cambria Math"/>
              </w:rPr>
            </m:ctrlPr>
          </m:sSubPr>
          <m:e>
            <m:r>
              <w:rPr>
                <w:rFonts w:ascii="Cambria Math" w:hAnsi="Cambria Math"/>
              </w:rPr>
              <m:t>R</m:t>
            </m:r>
          </m:e>
          <m:sub>
            <m:r>
              <w:rPr>
                <w:rFonts w:ascii="Cambria Math" w:hAnsi="Cambria Math"/>
              </w:rPr>
              <m:t>Δ</m:t>
            </m:r>
          </m:sub>
        </m:sSub>
      </m:oMath>
      <w:r>
        <w:t xml:space="preserve"> is the oscillation of logit perturbations. Omitting mass </w:t>
      </w:r>
      <m:oMath>
        <m:r>
          <w:rPr>
            <w:rFonts w:ascii="Cambria Math" w:hAnsi="Cambria Math"/>
          </w:rPr>
          <m:t>τ</m:t>
        </m:r>
      </m:oMath>
      <w:r>
        <w:t xml:space="preserve"> adds the corresponding omission term </w:t>
      </w:r>
      <m:oMath>
        <m:r>
          <w:rPr>
            <w:rFonts w:ascii="Cambria Math" w:hAnsi="Cambria Math"/>
          </w:rPr>
          <m:t>D</m:t>
        </m:r>
        <m:d>
          <m:dPr>
            <m:begChr m:val="["/>
            <m:endChr m:val="]"/>
            <m:ctrlPr>
              <w:rPr>
                <w:rFonts w:ascii="Cambria Math" w:hAnsi="Cambria Math"/>
              </w:rPr>
            </m:ctrlPr>
          </m:dPr>
          <m:e>
            <m:r>
              <w:rPr>
                <w:rFonts w:ascii="Cambria Math" w:hAnsi="Cambria Math"/>
              </w:rPr>
              <m:t>τ</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Δ</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4</m:t>
                </m:r>
              </m:e>
            </m:d>
          </m:e>
        </m:d>
      </m:oMath>
      <w:r>
        <w:t xml:space="preserve"> [3]. These guarantees concern the declared read, not the truth of a generated claim. Obtaining a valid omitted-mass bound requires a covering index, bounds for every omitted subtree, or a full scan; that cost belongs in the experiment.</w:t>
      </w:r>
    </w:p>
    <w:p w14:paraId="37139E6B" w14:textId="77777777" w:rsidR="004777AC" w:rsidRDefault="00000000" w:rsidP="0048543B">
      <w:pPr>
        <w:pStyle w:val="BodyText"/>
        <w:jc w:val="both"/>
      </w:pPr>
      <w:r>
        <w:t>The fixed 16-bin prototype and a variable-resolution frontier are different budgets. The reference design keeps 16 coarse bins and permits a bounded fine-read workspace for reopened evidence. Parents are masked from that query while their eligible children are read. If a hard cap prevents the required partition from fitting, the controller must stream additional reads, coarsen elsewhere, or report that the requested tolerance was not reached. The fine workspace, membership index, and radii are additional memory, absent from the minimal byte table below.</w:t>
      </w:r>
    </w:p>
    <w:p w14:paraId="06B1432B" w14:textId="77777777" w:rsidR="004777AC" w:rsidRDefault="00000000" w:rsidP="0048543B">
      <w:pPr>
        <w:pStyle w:val="BodyText"/>
        <w:jc w:val="both"/>
      </w:pPr>
      <w:r>
        <w:t>Five stores stay explicit: summary index, evidence archive, hot detail store, bounded active read set, and generation cache. Adaptive participation adds a sixth accounting category, the visitor catalog and its lifecycle metadata. A raw fragment may be shared across visitors, but cached representations must be keyed by seed where applicable, encoder epoch, layer and head, position convention, and prefix or fragment identity.</w:t>
      </w:r>
    </w:p>
    <w:p w14:paraId="596A895C" w14:textId="77777777" w:rsidR="004777AC" w:rsidRDefault="00000000" w:rsidP="0048543B">
      <w:pPr>
        <w:pStyle w:val="Heading2"/>
        <w:jc w:val="both"/>
      </w:pPr>
      <w:bookmarkStart w:id="11" w:name="X60ad954b330f52fad7ded63f56ed1fcfb68eb83"/>
      <w:r>
        <w:t>6.1 Diversity and detail as competing actions</w:t>
      </w:r>
    </w:p>
    <w:p w14:paraId="672465DC" w14:textId="77777777" w:rsidR="004777AC" w:rsidRDefault="00000000" w:rsidP="0048543B">
      <w:pPr>
        <w:pStyle w:val="FirstParagraph"/>
        <w:jc w:val="both"/>
      </w:pPr>
      <w:r>
        <w:t xml:space="preserve">Let </w:t>
      </w:r>
      <m:oMath>
        <m:r>
          <w:rPr>
            <w:rFonts w:ascii="Cambria Math" w:hAnsi="Cambria Math"/>
          </w:rPr>
          <m:t>a</m:t>
        </m:r>
      </m:oMath>
      <w:r>
        <w:t xml:space="preserve"> be an action such as executing another seed, refining a node, retrieving a conflicting revision, resuming a checkpoint, or stopping. A controller can estimate its reduction in task loss and its full cost:</w:t>
      </w:r>
    </w:p>
    <w:p w14:paraId="7A64A826" w14:textId="77777777" w:rsidR="004777AC" w:rsidRDefault="00000000" w:rsidP="0048543B">
      <w:pPr>
        <w:pStyle w:val="BodyText"/>
        <w:keepLines/>
        <w:tabs>
          <w:tab w:val="center" w:pos="4968"/>
          <w:tab w:val="right" w:pos="9936"/>
        </w:tabs>
        <w:spacing w:before="80" w:after="160"/>
        <w:jc w:val="both"/>
      </w:pPr>
      <w:r>
        <w:tab/>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r>
              <w:rPr>
                <w:rFonts w:ascii="Cambria Math" w:hAnsi="Cambria Math"/>
              </w:rPr>
              <m:t>a</m:t>
            </m:r>
          </m:lim>
        </m:limLow>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before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after</m:t>
                </m:r>
              </m:sub>
            </m:sSub>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λC</m:t>
        </m:r>
        <m:d>
          <m:dPr>
            <m:ctrlPr>
              <w:rPr>
                <w:rFonts w:ascii="Cambria Math" w:hAnsi="Cambria Math"/>
              </w:rPr>
            </m:ctrlPr>
          </m:dPr>
          <m:e>
            <m:r>
              <w:rPr>
                <w:rFonts w:ascii="Cambria Math" w:hAnsi="Cambria Math"/>
              </w:rPr>
              <m:t>a</m:t>
            </m:r>
          </m:e>
        </m:d>
        <m:r>
          <m:rPr>
            <m:sty m:val="p"/>
          </m:rPr>
          <w:rPr>
            <w:rFonts w:ascii="Cambria Math" w:hAnsi="Cambria Math"/>
          </w:rPr>
          <m:t>.</m:t>
        </m:r>
      </m:oMath>
      <w:r>
        <w:tab/>
        <w:t>(7)</w:t>
      </w:r>
    </w:p>
    <w:p w14:paraId="0293A3FB" w14:textId="77777777" w:rsidR="004777AC" w:rsidRDefault="00000000" w:rsidP="0048543B">
      <w:pPr>
        <w:pStyle w:val="FirstParagraph"/>
        <w:jc w:val="both"/>
      </w:pPr>
      <w:r>
        <w:t>This objective is a proposal for learning and evaluation, not an available oracle. Costs include routing, regeneration, replay, validation, transfer, and archive access. When all visitors repeat one unsupported premise, another viewpoint may help less than reopening the source. When existing summaries are accurate but interpretations differ, another trained visitor may help more than finer quantization. The controller must learn this distinction from interventions that expose the outcomes of both choices.</w:t>
      </w:r>
    </w:p>
    <w:p w14:paraId="7506967E" w14:textId="77777777" w:rsidR="004777AC" w:rsidRDefault="00000000" w:rsidP="0048543B">
      <w:pPr>
        <w:pStyle w:val="BodyText"/>
        <w:jc w:val="both"/>
      </w:pPr>
      <w:r>
        <w:t>Acceptance requires the conditions relevant to the task: numerical tolerance when promised, plus evidence support for identity, revision, and order. A validator emits a demand for evidence, not a proof of its own reliability. Consolidation can reorganize summaries and improve the routing policy. It cannot invent missing children from a mean, turn replay into an independent source, or silently overwrite a representation epoch.</w:t>
      </w:r>
    </w:p>
    <w:p w14:paraId="18C85677" w14:textId="77777777" w:rsidR="004777AC" w:rsidRDefault="00000000" w:rsidP="0048543B">
      <w:pPr>
        <w:pStyle w:val="Heading1"/>
        <w:jc w:val="both"/>
      </w:pPr>
      <w:bookmarkStart w:id="12" w:name="reverse-seeds-and-okazaki-fragments"/>
      <w:bookmarkEnd w:id="10"/>
      <w:bookmarkEnd w:id="11"/>
      <w:r>
        <w:t>7 Reverse seeds and Okazaki fragments</w:t>
      </w:r>
    </w:p>
    <w:p w14:paraId="58A9D2FE" w14:textId="77777777" w:rsidR="004777AC" w:rsidRDefault="00000000" w:rsidP="0048543B">
      <w:pPr>
        <w:pStyle w:val="FirstParagraph"/>
        <w:jc w:val="both"/>
      </w:pPr>
      <w:r>
        <w:t xml:space="preserve">For a finite sequence of generated entries </w:t>
      </w:r>
      <m:oMath>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oMath>
      <w:r>
        <w:t xml:space="preserve">, reverse traversal evaluates </w:t>
      </w:r>
      <m:oMath>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0</m:t>
            </m:r>
          </m:e>
        </m:d>
      </m:oMath>
      <w:r>
        <w:t>. A random-access generator can do this without materializing the complete sequence [9]. The length and address convention must be known. This reverses an index traversal, not a Transformer computation or the conversation that produced a counter.</w:t>
      </w:r>
    </w:p>
    <w:p w14:paraId="06104A38" w14:textId="77777777" w:rsidR="004777AC" w:rsidRDefault="00000000" w:rsidP="0048543B">
      <w:pPr>
        <w:pStyle w:val="BodyText"/>
        <w:jc w:val="both"/>
      </w:pPr>
      <w:r>
        <w:rPr>
          <w:b/>
          <w:bCs/>
        </w:rPr>
        <w:t>Proposition 4 — Paired reversal leaves attention unchanged.</w:t>
      </w:r>
      <w:r>
        <w:t xml:space="preserve"> If reversing a codebook applies the same permutation to keys, values, counts, and associated sums, equation (3) is unchanged. Both its numerator and denominator are sums over the same terms. For nearest-key assignment, use stable prototype identities for tie breaking; changing tie handling would be a separate mechanism. Reversing only values while leaving keys fixed changes the model, but does not establish backward inference.</w:t>
      </w:r>
    </w:p>
    <w:p w14:paraId="39FC080E" w14:textId="77777777" w:rsidR="004777AC" w:rsidRDefault="00000000" w:rsidP="0048543B">
      <w:pPr>
        <w:pStyle w:val="BodyText"/>
        <w:jc w:val="both"/>
      </w:pPr>
      <w:r>
        <w:lastRenderedPageBreak/>
        <w:t>Same Flower therefore assigns three distinct meanings to reversal. Procedural reversal is a memory-generation implementation detail. Fragment reversal presents actual evidence in reverse order with explicit positions and a suitable causal convention. Reverse validation starts from a proposed claim and searches for missing premises. An ordinary forward model can perform the third operation; a right-to-left decoder is an additional training hypothesis. None follows solely from reversing seed indices.</w:t>
      </w:r>
    </w:p>
    <w:p w14:paraId="14CDE664" w14:textId="77777777" w:rsidR="004777AC" w:rsidRDefault="00000000" w:rsidP="0048543B">
      <w:pPr>
        <w:pStyle w:val="BodyText"/>
        <w:jc w:val="both"/>
      </w:pPr>
      <w:r>
        <w:t>The first implementation should retain Okazaki fragment identities and their original order, then let a validator request relevant predecessors or contradictory records. A later experiment may train an order-reversed decoder on the same underlying fragments. Its benefit must be compared with ordinary premise search at matched cost. A counts-only visitor cannot reconstruct an arbitrary original fragment sequence from a seed and histogram.</w:t>
      </w:r>
    </w:p>
    <w:p w14:paraId="3A0C53FC" w14:textId="77777777" w:rsidR="004777AC" w:rsidRDefault="00000000" w:rsidP="0048543B">
      <w:pPr>
        <w:pStyle w:val="Heading1"/>
        <w:jc w:val="both"/>
      </w:pPr>
      <w:bookmarkStart w:id="13" w:name="Xb0e8a141361260aeafbaeab5b28f3ed1a81e7a6"/>
      <w:bookmarkEnd w:id="12"/>
      <w:r>
        <w:t>8 Memory and computation at a million visitors</w:t>
      </w:r>
    </w:p>
    <w:p w14:paraId="05FEB33B" w14:textId="77777777" w:rsidR="004777AC" w:rsidRDefault="00000000" w:rsidP="0048543B">
      <w:pPr>
        <w:pStyle w:val="FirstParagraph"/>
        <w:jc w:val="both"/>
      </w:pPr>
      <w:r>
        <w:t xml:space="preserve">Assume one layer, one head, </w:t>
      </w:r>
      <m:oMath>
        <m:r>
          <w:rPr>
            <w:rFonts w:ascii="Cambria Math" w:hAnsi="Cambria Math"/>
          </w:rPr>
          <m:t>B</m:t>
        </m:r>
        <m:r>
          <m:rPr>
            <m:sty m:val="p"/>
          </m:rPr>
          <w:rPr>
            <w:rFonts w:ascii="Cambria Math" w:hAnsi="Cambria Math"/>
          </w:rPr>
          <m:t>=</m:t>
        </m:r>
        <m:r>
          <w:rPr>
            <w:rFonts w:ascii="Cambria Math" w:hAnsi="Cambria Math"/>
          </w:rPr>
          <m:t>16</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16</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v</m:t>
            </m:r>
          </m:sub>
        </m:sSub>
        <m:r>
          <m:rPr>
            <m:sty m:val="p"/>
          </m:rPr>
          <w:rPr>
            <w:rFonts w:ascii="Cambria Math" w:hAnsi="Cambria Math"/>
          </w:rPr>
          <m:t>=</m:t>
        </m:r>
        <m:r>
          <w:rPr>
            <w:rFonts w:ascii="Cambria Math" w:hAnsi="Cambria Math"/>
          </w:rPr>
          <m:t>64</m:t>
        </m:r>
      </m:oMath>
      <w:r>
        <w:t xml:space="preserve">, and a four-byte seed. Let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be bytes per count and value coordinate. The contextual payload is</w:t>
      </w:r>
    </w:p>
    <w:p w14:paraId="172E9941" w14:textId="77777777" w:rsidR="004777AC" w:rsidRDefault="00000000" w:rsidP="0048543B">
      <w:pPr>
        <w:pStyle w:val="BodyText"/>
        <w:keepLines/>
        <w:tabs>
          <w:tab w:val="center" w:pos="4968"/>
          <w:tab w:val="right" w:pos="9936"/>
        </w:tabs>
        <w:spacing w:before="80" w:after="160"/>
        <w:jc w:val="both"/>
      </w:pPr>
      <w:r>
        <w:tab/>
      </w:r>
      <m:oMath>
        <m:sSub>
          <m:sSubPr>
            <m:ctrlPr>
              <w:rPr>
                <w:rFonts w:ascii="Cambria Math" w:hAnsi="Cambria Math"/>
              </w:rPr>
            </m:ctrlPr>
          </m:sSubPr>
          <m:e>
            <m:r>
              <w:rPr>
                <w:rFonts w:ascii="Cambria Math" w:hAnsi="Cambria Math"/>
              </w:rPr>
              <m:t>m</m:t>
            </m:r>
          </m:e>
          <m:sub>
            <m:r>
              <m:rPr>
                <m:sty m:val="p"/>
              </m:rPr>
              <w:rPr>
                <w:rFonts w:ascii="Cambria Math" w:hAnsi="Cambria Math"/>
              </w:rPr>
              <m:t>visitor</m:t>
            </m:r>
          </m:sub>
        </m:sSub>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sSub>
              <m:sSubPr>
                <m:ctrlPr>
                  <w:rPr>
                    <w:rFonts w:ascii="Cambria Math" w:hAnsi="Cambria Math"/>
                  </w:rPr>
                </m:ctrlPr>
              </m:sSubPr>
              <m:e>
                <m:r>
                  <w:rPr>
                    <w:rFonts w:ascii="Cambria Math" w:hAnsi="Cambria Math"/>
                  </w:rPr>
                  <m:t>p</m:t>
                </m:r>
              </m:e>
              <m:sub>
                <m:r>
                  <w:rPr>
                    <w:rFonts w:ascii="Cambria Math" w:hAnsi="Cambria Math"/>
                  </w:rPr>
                  <m:t>v</m:t>
                </m:r>
              </m:sub>
            </m:sSub>
          </m:e>
        </m:d>
        <m:r>
          <m:rPr>
            <m:sty m:val="p"/>
          </m:rPr>
          <w:rPr>
            <w:rFonts w:ascii="Cambria Math" w:hAnsi="Cambria Math"/>
          </w:rPr>
          <m:t>.</m:t>
        </m:r>
      </m:oMath>
      <w:r>
        <w:tab/>
        <w:t>(8)</w:t>
      </w:r>
    </w:p>
    <w:p w14:paraId="71BA1CA4" w14:textId="77777777" w:rsidR="004777AC" w:rsidRDefault="00000000" w:rsidP="0048543B">
      <w:pPr>
        <w:pStyle w:val="FirstParagraph"/>
        <w:jc w:val="both"/>
      </w:pPr>
      <w:r>
        <w:t>The seed is stored once per visitor; multiple layers and heads multiply their counter payloads, not necessarily the seed itself. Table 2 excludes allocator padding, descriptors, positions, checkpoints, provenance, neural activations, model weights, vocabulary logits, generation caches, and regeneration workspace. It is a lower-level layout calculation, not an end-to-end memory benchmark.</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752"/>
        <w:gridCol w:w="2304"/>
        <w:gridCol w:w="2880"/>
      </w:tblGrid>
      <w:tr w:rsidR="004777AC" w14:paraId="016A2C70" w14:textId="77777777" w:rsidTr="004777AC">
        <w:trPr>
          <w:cnfStyle w:val="100000000000" w:firstRow="1" w:lastRow="0" w:firstColumn="0" w:lastColumn="0" w:oddVBand="0" w:evenVBand="0" w:oddHBand="0" w:evenHBand="0" w:firstRowFirstColumn="0" w:firstRowLastColumn="0" w:lastRowFirstColumn="0" w:lastRowLastColumn="0"/>
          <w:cantSplit/>
          <w:tblHeader/>
          <w:jc w:val="center"/>
        </w:trPr>
        <w:tc>
          <w:tcPr>
            <w:tcW w:w="4752" w:type="dxa"/>
            <w:shd w:val="clear" w:color="auto" w:fill="24364B"/>
            <w:tcMar>
              <w:top w:w="90" w:type="dxa"/>
              <w:left w:w="95" w:type="dxa"/>
              <w:bottom w:w="90" w:type="dxa"/>
              <w:right w:w="95" w:type="dxa"/>
            </w:tcMar>
            <w:vAlign w:val="center"/>
          </w:tcPr>
          <w:p w14:paraId="0BE9AB1B" w14:textId="77777777" w:rsidR="004777AC" w:rsidRDefault="00000000" w:rsidP="0048543B">
            <w:pPr>
              <w:pStyle w:val="Compact"/>
              <w:spacing w:before="0" w:after="0" w:line="252" w:lineRule="auto"/>
              <w:jc w:val="both"/>
            </w:pPr>
            <w:r>
              <w:rPr>
                <w:rFonts w:ascii="Arial" w:hAnsi="Arial"/>
                <w:b/>
                <w:color w:val="FFFFFF"/>
                <w:sz w:val="19"/>
              </w:rPr>
              <w:t>Payload assumption</w:t>
            </w:r>
          </w:p>
        </w:tc>
        <w:tc>
          <w:tcPr>
            <w:tcW w:w="2304" w:type="dxa"/>
            <w:shd w:val="clear" w:color="auto" w:fill="24364B"/>
            <w:tcMar>
              <w:top w:w="90" w:type="dxa"/>
              <w:left w:w="95" w:type="dxa"/>
              <w:bottom w:w="90" w:type="dxa"/>
              <w:right w:w="95" w:type="dxa"/>
            </w:tcMar>
            <w:vAlign w:val="center"/>
          </w:tcPr>
          <w:p w14:paraId="1E55D119" w14:textId="77777777" w:rsidR="004777AC" w:rsidRDefault="00000000" w:rsidP="0048543B">
            <w:pPr>
              <w:pStyle w:val="Compact"/>
              <w:spacing w:before="0" w:after="0" w:line="252" w:lineRule="auto"/>
              <w:jc w:val="both"/>
            </w:pPr>
            <w:r>
              <w:rPr>
                <w:rFonts w:ascii="Arial" w:hAnsi="Arial"/>
                <w:b/>
                <w:color w:val="FFFFFF"/>
                <w:sz w:val="19"/>
              </w:rPr>
              <w:t>Bytes per visitor</w:t>
            </w:r>
          </w:p>
        </w:tc>
        <w:tc>
          <w:tcPr>
            <w:tcW w:w="2880" w:type="dxa"/>
            <w:shd w:val="clear" w:color="auto" w:fill="24364B"/>
            <w:tcMar>
              <w:top w:w="90" w:type="dxa"/>
              <w:left w:w="95" w:type="dxa"/>
              <w:bottom w:w="90" w:type="dxa"/>
              <w:right w:w="95" w:type="dxa"/>
            </w:tcMar>
            <w:vAlign w:val="center"/>
          </w:tcPr>
          <w:p w14:paraId="5D437EF4" w14:textId="77777777" w:rsidR="004777AC" w:rsidRDefault="00000000" w:rsidP="0048543B">
            <w:pPr>
              <w:pStyle w:val="Compact"/>
              <w:spacing w:before="0" w:after="0" w:line="252" w:lineRule="auto"/>
              <w:jc w:val="both"/>
            </w:pPr>
            <w:r>
              <w:rPr>
                <w:rFonts w:ascii="Arial" w:hAnsi="Arial"/>
                <w:b/>
                <w:color w:val="FFFFFF"/>
                <w:sz w:val="19"/>
              </w:rPr>
              <w:t>One million visitors</w:t>
            </w:r>
          </w:p>
        </w:tc>
      </w:tr>
      <w:tr w:rsidR="004777AC" w14:paraId="7231BE67" w14:textId="77777777" w:rsidTr="004777AC">
        <w:trPr>
          <w:cantSplit/>
          <w:jc w:val="center"/>
        </w:trPr>
        <w:tc>
          <w:tcPr>
            <w:tcW w:w="4752" w:type="dxa"/>
            <w:shd w:val="clear" w:color="auto" w:fill="F1F4F7"/>
            <w:tcMar>
              <w:top w:w="90" w:type="dxa"/>
              <w:left w:w="95" w:type="dxa"/>
              <w:bottom w:w="90" w:type="dxa"/>
              <w:right w:w="95" w:type="dxa"/>
            </w:tcMar>
            <w:vAlign w:val="center"/>
          </w:tcPr>
          <w:p w14:paraId="61377756" w14:textId="77777777" w:rsidR="004777AC" w:rsidRDefault="00000000" w:rsidP="0048543B">
            <w:pPr>
              <w:pStyle w:val="Compact"/>
              <w:spacing w:before="0" w:after="0" w:line="252" w:lineRule="auto"/>
              <w:jc w:val="both"/>
            </w:pPr>
            <w:r>
              <w:rPr>
                <w:rFonts w:ascii="Arial" w:hAnsi="Arial"/>
                <w:sz w:val="19"/>
              </w:rPr>
              <w:t>Seed only</w:t>
            </w:r>
          </w:p>
        </w:tc>
        <w:tc>
          <w:tcPr>
            <w:tcW w:w="2304" w:type="dxa"/>
            <w:shd w:val="clear" w:color="auto" w:fill="F1F4F7"/>
            <w:tcMar>
              <w:top w:w="90" w:type="dxa"/>
              <w:left w:w="95" w:type="dxa"/>
              <w:bottom w:w="90" w:type="dxa"/>
              <w:right w:w="95" w:type="dxa"/>
            </w:tcMar>
            <w:vAlign w:val="center"/>
          </w:tcPr>
          <w:p w14:paraId="27EA165B" w14:textId="77777777" w:rsidR="004777AC" w:rsidRDefault="00000000" w:rsidP="0048543B">
            <w:pPr>
              <w:pStyle w:val="Compact"/>
              <w:spacing w:before="0" w:after="0" w:line="252" w:lineRule="auto"/>
              <w:jc w:val="both"/>
            </w:pPr>
            <w:r>
              <w:rPr>
                <w:rFonts w:ascii="Arial" w:hAnsi="Arial"/>
                <w:sz w:val="19"/>
              </w:rPr>
              <w:t>4</w:t>
            </w:r>
          </w:p>
        </w:tc>
        <w:tc>
          <w:tcPr>
            <w:tcW w:w="2880" w:type="dxa"/>
            <w:shd w:val="clear" w:color="auto" w:fill="F1F4F7"/>
            <w:tcMar>
              <w:top w:w="90" w:type="dxa"/>
              <w:left w:w="95" w:type="dxa"/>
              <w:bottom w:w="90" w:type="dxa"/>
              <w:right w:w="95" w:type="dxa"/>
            </w:tcMar>
            <w:vAlign w:val="center"/>
          </w:tcPr>
          <w:p w14:paraId="5A686684" w14:textId="77777777" w:rsidR="004777AC" w:rsidRDefault="00000000" w:rsidP="0048543B">
            <w:pPr>
              <w:pStyle w:val="Compact"/>
              <w:spacing w:before="0" w:after="0" w:line="252" w:lineRule="auto"/>
              <w:jc w:val="both"/>
            </w:pPr>
            <w:r>
              <w:rPr>
                <w:rFonts w:ascii="Arial" w:hAnsi="Arial"/>
                <w:sz w:val="19"/>
              </w:rPr>
              <w:t>4 MB</w:t>
            </w:r>
          </w:p>
        </w:tc>
      </w:tr>
      <w:tr w:rsidR="004777AC" w14:paraId="3A4CD725" w14:textId="77777777" w:rsidTr="004777AC">
        <w:trPr>
          <w:cantSplit/>
          <w:jc w:val="center"/>
        </w:trPr>
        <w:tc>
          <w:tcPr>
            <w:tcW w:w="4752" w:type="dxa"/>
            <w:shd w:val="clear" w:color="auto" w:fill="FFFFFF"/>
            <w:tcMar>
              <w:top w:w="90" w:type="dxa"/>
              <w:left w:w="95" w:type="dxa"/>
              <w:bottom w:w="90" w:type="dxa"/>
              <w:right w:w="95" w:type="dxa"/>
            </w:tcMar>
            <w:vAlign w:val="center"/>
          </w:tcPr>
          <w:p w14:paraId="79625732" w14:textId="77777777" w:rsidR="004777AC" w:rsidRDefault="00000000" w:rsidP="0048543B">
            <w:pPr>
              <w:pStyle w:val="Compact"/>
              <w:spacing w:before="0" w:after="0" w:line="252" w:lineRule="auto"/>
              <w:jc w:val="both"/>
            </w:pPr>
            <w:r>
              <w:rPr>
                <w:rFonts w:ascii="Arial" w:hAnsi="Arial"/>
                <w:sz w:val="19"/>
              </w:rPr>
              <w:t>Seed and 16 uint32 counts</w:t>
            </w:r>
          </w:p>
        </w:tc>
        <w:tc>
          <w:tcPr>
            <w:tcW w:w="2304" w:type="dxa"/>
            <w:shd w:val="clear" w:color="auto" w:fill="FFFFFF"/>
            <w:tcMar>
              <w:top w:w="90" w:type="dxa"/>
              <w:left w:w="95" w:type="dxa"/>
              <w:bottom w:w="90" w:type="dxa"/>
              <w:right w:w="95" w:type="dxa"/>
            </w:tcMar>
            <w:vAlign w:val="center"/>
          </w:tcPr>
          <w:p w14:paraId="4CB81B04" w14:textId="77777777" w:rsidR="004777AC" w:rsidRDefault="00000000" w:rsidP="0048543B">
            <w:pPr>
              <w:pStyle w:val="Compact"/>
              <w:spacing w:before="0" w:after="0" w:line="252" w:lineRule="auto"/>
              <w:jc w:val="both"/>
            </w:pPr>
            <w:r>
              <w:rPr>
                <w:rFonts w:ascii="Arial" w:hAnsi="Arial"/>
                <w:sz w:val="19"/>
              </w:rPr>
              <w:t>68</w:t>
            </w:r>
          </w:p>
        </w:tc>
        <w:tc>
          <w:tcPr>
            <w:tcW w:w="2880" w:type="dxa"/>
            <w:shd w:val="clear" w:color="auto" w:fill="FFFFFF"/>
            <w:tcMar>
              <w:top w:w="90" w:type="dxa"/>
              <w:left w:w="95" w:type="dxa"/>
              <w:bottom w:w="90" w:type="dxa"/>
              <w:right w:w="95" w:type="dxa"/>
            </w:tcMar>
            <w:vAlign w:val="center"/>
          </w:tcPr>
          <w:p w14:paraId="4DF13A0D" w14:textId="77777777" w:rsidR="004777AC" w:rsidRDefault="00000000" w:rsidP="0048543B">
            <w:pPr>
              <w:pStyle w:val="Compact"/>
              <w:spacing w:before="0" w:after="0" w:line="252" w:lineRule="auto"/>
              <w:jc w:val="both"/>
            </w:pPr>
            <w:r>
              <w:rPr>
                <w:rFonts w:ascii="Arial" w:hAnsi="Arial"/>
                <w:sz w:val="19"/>
              </w:rPr>
              <w:t>68 MB</w:t>
            </w:r>
          </w:p>
        </w:tc>
      </w:tr>
      <w:tr w:rsidR="004777AC" w14:paraId="306EA8BB" w14:textId="77777777" w:rsidTr="004777AC">
        <w:trPr>
          <w:cantSplit/>
          <w:jc w:val="center"/>
        </w:trPr>
        <w:tc>
          <w:tcPr>
            <w:tcW w:w="4752" w:type="dxa"/>
            <w:shd w:val="clear" w:color="auto" w:fill="F1F4F7"/>
            <w:tcMar>
              <w:top w:w="90" w:type="dxa"/>
              <w:left w:w="95" w:type="dxa"/>
              <w:bottom w:w="90" w:type="dxa"/>
              <w:right w:w="95" w:type="dxa"/>
            </w:tcMar>
            <w:vAlign w:val="center"/>
          </w:tcPr>
          <w:p w14:paraId="30E678CA" w14:textId="77777777" w:rsidR="004777AC" w:rsidRDefault="00000000" w:rsidP="0048543B">
            <w:pPr>
              <w:pStyle w:val="Compact"/>
              <w:spacing w:before="0" w:after="0" w:line="252" w:lineRule="auto"/>
              <w:jc w:val="both"/>
            </w:pPr>
            <w:r>
              <w:rPr>
                <w:rFonts w:ascii="Arial" w:hAnsi="Arial"/>
                <w:sz w:val="19"/>
              </w:rPr>
              <w:t>Counts and 64D fp16 sums</w:t>
            </w:r>
          </w:p>
        </w:tc>
        <w:tc>
          <w:tcPr>
            <w:tcW w:w="2304" w:type="dxa"/>
            <w:shd w:val="clear" w:color="auto" w:fill="F1F4F7"/>
            <w:tcMar>
              <w:top w:w="90" w:type="dxa"/>
              <w:left w:w="95" w:type="dxa"/>
              <w:bottom w:w="90" w:type="dxa"/>
              <w:right w:w="95" w:type="dxa"/>
            </w:tcMar>
            <w:vAlign w:val="center"/>
          </w:tcPr>
          <w:p w14:paraId="14B4A8C3" w14:textId="77777777" w:rsidR="004777AC" w:rsidRDefault="00000000" w:rsidP="0048543B">
            <w:pPr>
              <w:pStyle w:val="Compact"/>
              <w:spacing w:before="0" w:after="0" w:line="252" w:lineRule="auto"/>
              <w:jc w:val="both"/>
            </w:pPr>
            <w:r>
              <w:rPr>
                <w:rFonts w:ascii="Arial" w:hAnsi="Arial"/>
                <w:sz w:val="19"/>
              </w:rPr>
              <w:t>2,116</w:t>
            </w:r>
          </w:p>
        </w:tc>
        <w:tc>
          <w:tcPr>
            <w:tcW w:w="2880" w:type="dxa"/>
            <w:shd w:val="clear" w:color="auto" w:fill="F1F4F7"/>
            <w:tcMar>
              <w:top w:w="90" w:type="dxa"/>
              <w:left w:w="95" w:type="dxa"/>
              <w:bottom w:w="90" w:type="dxa"/>
              <w:right w:w="95" w:type="dxa"/>
            </w:tcMar>
            <w:vAlign w:val="center"/>
          </w:tcPr>
          <w:p w14:paraId="71BB1056" w14:textId="77777777" w:rsidR="004777AC" w:rsidRDefault="00000000" w:rsidP="0048543B">
            <w:pPr>
              <w:pStyle w:val="Compact"/>
              <w:spacing w:before="0" w:after="0" w:line="252" w:lineRule="auto"/>
              <w:jc w:val="both"/>
            </w:pPr>
            <w:r>
              <w:rPr>
                <w:rFonts w:ascii="Arial" w:hAnsi="Arial"/>
                <w:sz w:val="19"/>
              </w:rPr>
              <w:t>2.116 GB</w:t>
            </w:r>
          </w:p>
        </w:tc>
      </w:tr>
      <w:tr w:rsidR="004777AC" w14:paraId="584F5F00" w14:textId="77777777" w:rsidTr="004777AC">
        <w:trPr>
          <w:cantSplit/>
          <w:jc w:val="center"/>
        </w:trPr>
        <w:tc>
          <w:tcPr>
            <w:tcW w:w="4752" w:type="dxa"/>
            <w:shd w:val="clear" w:color="auto" w:fill="FFFFFF"/>
            <w:tcMar>
              <w:top w:w="90" w:type="dxa"/>
              <w:left w:w="95" w:type="dxa"/>
              <w:bottom w:w="90" w:type="dxa"/>
              <w:right w:w="95" w:type="dxa"/>
            </w:tcMar>
            <w:vAlign w:val="center"/>
          </w:tcPr>
          <w:p w14:paraId="204BE095" w14:textId="77777777" w:rsidR="004777AC" w:rsidRDefault="00000000" w:rsidP="0048543B">
            <w:pPr>
              <w:pStyle w:val="Compact"/>
              <w:spacing w:before="0" w:after="0" w:line="252" w:lineRule="auto"/>
              <w:jc w:val="both"/>
            </w:pPr>
            <w:r>
              <w:rPr>
                <w:rFonts w:ascii="Arial" w:hAnsi="Arial"/>
                <w:sz w:val="19"/>
              </w:rPr>
              <w:t>Counts and 64D fp32 sums</w:t>
            </w:r>
          </w:p>
        </w:tc>
        <w:tc>
          <w:tcPr>
            <w:tcW w:w="2304" w:type="dxa"/>
            <w:shd w:val="clear" w:color="auto" w:fill="FFFFFF"/>
            <w:tcMar>
              <w:top w:w="90" w:type="dxa"/>
              <w:left w:w="95" w:type="dxa"/>
              <w:bottom w:w="90" w:type="dxa"/>
              <w:right w:w="95" w:type="dxa"/>
            </w:tcMar>
            <w:vAlign w:val="center"/>
          </w:tcPr>
          <w:p w14:paraId="19F37505" w14:textId="77777777" w:rsidR="004777AC" w:rsidRDefault="00000000" w:rsidP="0048543B">
            <w:pPr>
              <w:pStyle w:val="Compact"/>
              <w:spacing w:before="0" w:after="0" w:line="252" w:lineRule="auto"/>
              <w:jc w:val="both"/>
            </w:pPr>
            <w:r>
              <w:rPr>
                <w:rFonts w:ascii="Arial" w:hAnsi="Arial"/>
                <w:sz w:val="19"/>
              </w:rPr>
              <w:t>4,164</w:t>
            </w:r>
          </w:p>
        </w:tc>
        <w:tc>
          <w:tcPr>
            <w:tcW w:w="2880" w:type="dxa"/>
            <w:shd w:val="clear" w:color="auto" w:fill="FFFFFF"/>
            <w:tcMar>
              <w:top w:w="90" w:type="dxa"/>
              <w:left w:w="95" w:type="dxa"/>
              <w:bottom w:w="90" w:type="dxa"/>
              <w:right w:w="95" w:type="dxa"/>
            </w:tcMar>
            <w:vAlign w:val="center"/>
          </w:tcPr>
          <w:p w14:paraId="2BDCFFD5" w14:textId="77777777" w:rsidR="004777AC" w:rsidRDefault="00000000" w:rsidP="0048543B">
            <w:pPr>
              <w:pStyle w:val="Compact"/>
              <w:spacing w:before="0" w:after="0" w:line="252" w:lineRule="auto"/>
              <w:jc w:val="both"/>
            </w:pPr>
            <w:r>
              <w:rPr>
                <w:rFonts w:ascii="Arial" w:hAnsi="Arial"/>
                <w:sz w:val="19"/>
              </w:rPr>
              <w:t>4.164 GB</w:t>
            </w:r>
          </w:p>
        </w:tc>
      </w:tr>
      <w:tr w:rsidR="004777AC" w14:paraId="5FD531C5" w14:textId="77777777" w:rsidTr="004777AC">
        <w:trPr>
          <w:cantSplit/>
          <w:jc w:val="center"/>
        </w:trPr>
        <w:tc>
          <w:tcPr>
            <w:tcW w:w="4752" w:type="dxa"/>
            <w:shd w:val="clear" w:color="auto" w:fill="F1F4F7"/>
            <w:tcMar>
              <w:top w:w="90" w:type="dxa"/>
              <w:left w:w="95" w:type="dxa"/>
              <w:bottom w:w="90" w:type="dxa"/>
              <w:right w:w="95" w:type="dxa"/>
            </w:tcMar>
            <w:vAlign w:val="center"/>
          </w:tcPr>
          <w:p w14:paraId="77FC6DEB" w14:textId="77777777" w:rsidR="004777AC" w:rsidRDefault="00000000" w:rsidP="0048543B">
            <w:pPr>
              <w:pStyle w:val="Compact"/>
              <w:spacing w:before="0" w:after="0" w:line="252" w:lineRule="auto"/>
              <w:jc w:val="both"/>
            </w:pPr>
            <w:r>
              <w:rPr>
                <w:rFonts w:ascii="Arial" w:hAnsi="Arial"/>
                <w:sz w:val="19"/>
              </w:rPr>
              <w:t>Counts and 64D fp32 sums with uint64 counts</w:t>
            </w:r>
          </w:p>
        </w:tc>
        <w:tc>
          <w:tcPr>
            <w:tcW w:w="2304" w:type="dxa"/>
            <w:shd w:val="clear" w:color="auto" w:fill="F1F4F7"/>
            <w:tcMar>
              <w:top w:w="90" w:type="dxa"/>
              <w:left w:w="95" w:type="dxa"/>
              <w:bottom w:w="90" w:type="dxa"/>
              <w:right w:w="95" w:type="dxa"/>
            </w:tcMar>
            <w:vAlign w:val="center"/>
          </w:tcPr>
          <w:p w14:paraId="2A11D84B" w14:textId="77777777" w:rsidR="004777AC" w:rsidRDefault="00000000" w:rsidP="0048543B">
            <w:pPr>
              <w:pStyle w:val="Compact"/>
              <w:spacing w:before="0" w:after="0" w:line="252" w:lineRule="auto"/>
              <w:jc w:val="both"/>
            </w:pPr>
            <w:r>
              <w:rPr>
                <w:rFonts w:ascii="Arial" w:hAnsi="Arial"/>
                <w:sz w:val="19"/>
              </w:rPr>
              <w:t>4,228</w:t>
            </w:r>
          </w:p>
        </w:tc>
        <w:tc>
          <w:tcPr>
            <w:tcW w:w="2880" w:type="dxa"/>
            <w:shd w:val="clear" w:color="auto" w:fill="F1F4F7"/>
            <w:tcMar>
              <w:top w:w="90" w:type="dxa"/>
              <w:left w:w="95" w:type="dxa"/>
              <w:bottom w:w="90" w:type="dxa"/>
              <w:right w:w="95" w:type="dxa"/>
            </w:tcMar>
            <w:vAlign w:val="center"/>
          </w:tcPr>
          <w:p w14:paraId="09A37BE8" w14:textId="77777777" w:rsidR="004777AC" w:rsidRDefault="00000000" w:rsidP="0048543B">
            <w:pPr>
              <w:pStyle w:val="Compact"/>
              <w:spacing w:before="0" w:after="0" w:line="252" w:lineRule="auto"/>
              <w:jc w:val="both"/>
            </w:pPr>
            <w:r>
              <w:rPr>
                <w:rFonts w:ascii="Arial" w:hAnsi="Arial"/>
                <w:sz w:val="19"/>
              </w:rPr>
              <w:t>4.228 GB</w:t>
            </w:r>
          </w:p>
        </w:tc>
      </w:tr>
    </w:tbl>
    <w:p w14:paraId="10E33F24" w14:textId="77777777" w:rsidR="004777AC" w:rsidRDefault="00000000" w:rsidP="0048543B">
      <w:pPr>
        <w:pStyle w:val="BodyText"/>
        <w:spacing w:after="160" w:line="252" w:lineRule="auto"/>
        <w:jc w:val="both"/>
      </w:pPr>
      <w:r>
        <w:rPr>
          <w:sz w:val="19"/>
        </w:rPr>
        <w:t>Table 2. Analytical payloads in decimal units. The counts-only row assumes fixed paired values. A fully regenerated fp16 key–value codebook adds 2,560 bytes of temporary workspace per concurrently materialized visitor, unless streamed or tiled.</w:t>
      </w:r>
    </w:p>
    <w:p w14:paraId="78FA031E" w14:textId="77777777" w:rsidR="004777AC" w:rsidRDefault="00000000" w:rsidP="0048543B">
      <w:pPr>
        <w:pStyle w:val="BodyText"/>
        <w:jc w:val="both"/>
      </w:pPr>
      <w:r>
        <w:t>The demonstration statement “3.40 KB” is not sufficient to identify its layout. For example, 50 counts-only visitors at 68 bytes each would total 3,400 bytes, but this is a conditional reconstruction, not a claim about the demonstration’s actual colony size. A scalar accumulator, vector accumulator, object overhead, or a different visitor count changes the result. The reported tape sampled from a counter remains a mechanistic demonstration, not a trained language model.</w:t>
      </w:r>
    </w:p>
    <w:p w14:paraId="2A569B33" w14:textId="77777777" w:rsidR="004777AC" w:rsidRDefault="00000000" w:rsidP="0048543B">
      <w:pPr>
        <w:pStyle w:val="BodyText"/>
        <w:jc w:val="both"/>
      </w:pPr>
      <w:r>
        <w:t xml:space="preserve">An fp16 token cache with the stated dimensions costs </w:t>
      </w:r>
      <m:oMath>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r>
          <w:rPr>
            <w:rFonts w:ascii="Cambria Math" w:hAnsi="Cambria Math"/>
          </w:rPr>
          <m:t>T</m:t>
        </m:r>
        <m:r>
          <m:rPr>
            <m:sty m:val="p"/>
          </m:rPr>
          <w:rPr>
            <w:rFonts w:ascii="Cambria Math" w:hAnsi="Cambria Math"/>
          </w:rPr>
          <m:t>=</m:t>
        </m:r>
        <m:r>
          <w:rPr>
            <w:rFonts w:ascii="Cambria Math" w:hAnsi="Cambria Math"/>
          </w:rPr>
          <m:t>160T</m:t>
        </m:r>
      </m:oMath>
      <w:r>
        <w:t xml:space="preserve"> bytes per layer and head. It grows linearly, whereas the accumulator payload is flat over its declared precision range. These representations preserve different information. Their byte crossover is not a quality crossover, and a growing evidence archive can dominate the total system even when the plotted counter is flat.</w:t>
      </w:r>
    </w:p>
    <w:p w14:paraId="578CAC66" w14:textId="77777777" w:rsidR="004777AC" w:rsidRDefault="00000000" w:rsidP="0048543B">
      <w:pPr>
        <w:pStyle w:val="BodyText"/>
        <w:keepNext/>
        <w:jc w:val="both"/>
      </w:pPr>
      <w:r>
        <w:rPr>
          <w:noProof/>
        </w:rPr>
        <w:lastRenderedPageBreak/>
        <w:drawing>
          <wp:inline distT="0" distB="0" distL="0" distR="0" wp14:anchorId="3A717025" wp14:editId="2CE80266">
            <wp:extent cx="5334000" cy="2212397"/>
            <wp:effectExtent l="0" t="0" r="0" b="0"/>
            <wp:docPr id="37" name="Picture" descr="Memory curves"/>
            <wp:cNvGraphicFramePr/>
            <a:graphic xmlns:a="http://schemas.openxmlformats.org/drawingml/2006/main">
              <a:graphicData uri="http://schemas.openxmlformats.org/drawingml/2006/picture">
                <pic:pic xmlns:pic="http://schemas.openxmlformats.org/drawingml/2006/picture">
                  <pic:nvPicPr>
                    <pic:cNvPr id="38" name="Picture" descr="memory.png"/>
                    <pic:cNvPicPr>
                      <a:picLocks noChangeAspect="1" noChangeArrowheads="1"/>
                    </pic:cNvPicPr>
                  </pic:nvPicPr>
                  <pic:blipFill>
                    <a:blip r:embed="rId8"/>
                    <a:stretch>
                      <a:fillRect/>
                    </a:stretch>
                  </pic:blipFill>
                  <pic:spPr bwMode="auto">
                    <a:xfrm>
                      <a:off x="0" y="0"/>
                      <a:ext cx="5334000" cy="2212397"/>
                    </a:xfrm>
                    <a:prstGeom prst="rect">
                      <a:avLst/>
                    </a:prstGeom>
                    <a:noFill/>
                    <a:ln w="9525">
                      <a:noFill/>
                      <a:headEnd/>
                      <a:tailEnd/>
                    </a:ln>
                  </pic:spPr>
                </pic:pic>
              </a:graphicData>
            </a:graphic>
          </wp:inline>
        </w:drawing>
      </w:r>
    </w:p>
    <w:p w14:paraId="4ABE99B9" w14:textId="77777777" w:rsidR="004777AC" w:rsidRDefault="00000000" w:rsidP="0048543B">
      <w:pPr>
        <w:pStyle w:val="BodyText"/>
        <w:spacing w:after="160" w:line="252" w:lineRule="auto"/>
        <w:jc w:val="both"/>
      </w:pPr>
      <w:r>
        <w:rPr>
          <w:sz w:val="19"/>
        </w:rPr>
        <w:t>Figure 2. Analytical per-visitor payload versus context length for one layer and head. Curves exclude weights, workspace, archive, and metadata. The flat counter lines do not imply equal retention or model quality.</w:t>
      </w:r>
    </w:p>
    <w:p w14:paraId="0D1C31CA" w14:textId="77777777" w:rsidR="004777AC" w:rsidRDefault="00000000" w:rsidP="0048543B">
      <w:pPr>
        <w:pStyle w:val="BodyText"/>
        <w:jc w:val="both"/>
      </w:pPr>
      <w:r>
        <w:t xml:space="preserve">With a million catalog seeds but only three active contextual visitors, a minimal layout is </w:t>
      </w:r>
      <m:oMath>
        <m:r>
          <w:rPr>
            <w:rFonts w:ascii="Cambria Math" w:hAnsi="Cambria Math"/>
          </w:rPr>
          <m:t>4M</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480</m:t>
        </m:r>
      </m:oMath>
      <w:r>
        <w:t xml:space="preserve"> bytes before all excluded categories. This compact case assumes dormant dynamic state has been evicted, not secretly retained. A million host checkpoints would reintroduce the corresponding dynamic memory. Three active visitors also do not mean only three visitors have ever been evaluated.</w:t>
      </w:r>
    </w:p>
    <w:p w14:paraId="0DAED539" w14:textId="77777777" w:rsidR="004777AC" w:rsidRDefault="00000000" w:rsidP="0048543B">
      <w:pPr>
        <w:pStyle w:val="BodyText"/>
        <w:jc w:val="both"/>
      </w:pPr>
      <w:r>
        <w:t xml:space="preserve">The local counted read requires work proportional to </w:t>
      </w:r>
      <m:oMath>
        <m: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m:t>
                </m:r>
              </m:sub>
            </m:sSub>
          </m:e>
        </m:d>
      </m:oMath>
      <w:r>
        <w:t xml:space="preserve"> per head, independent of </w:t>
      </w:r>
      <m:oMath>
        <m:r>
          <w:rPr>
            <w:rFonts w:ascii="Cambria Math" w:hAnsi="Cambria Math"/>
          </w:rPr>
          <m:t>T</m:t>
        </m:r>
      </m:oMath>
      <w:r>
        <w:t xml:space="preserve"> for fixed dimensions. One million such reads involve approximately </w:t>
      </w:r>
      <m:oMath>
        <m:r>
          <w:rPr>
            <w:rFonts w:ascii="Cambria Math" w:hAnsi="Cambria Math"/>
          </w:rPr>
          <m:t>1.28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scalar multiply-accumulate contributions per token, before assignment, regeneration, backbone computation, and vocabulary scoring. This count is not a hardware FLOP measurement. The million-member catalog becomes computationally attractive only if candidate discovery and sparse execution keep total work manageable.</w:t>
      </w:r>
    </w:p>
    <w:p w14:paraId="0736A016" w14:textId="77777777" w:rsidR="004777AC" w:rsidRDefault="00000000" w:rsidP="0048543B">
      <w:pPr>
        <w:pStyle w:val="BodyText"/>
        <w:jc w:val="both"/>
      </w:pPr>
      <w:r>
        <w:t>Repeated regeneration trades arithmetic for memory traffic. A useful implementation fuses codebook generation with assignment or read kernels and retains only bounded tiles. Benchmarks must measure this trade on actual hardware; lower persistent bytes can coexist with worse latency or energy. Total per-token cost also includes reactivation and evidence refinement, neither of which is constant in conversation length in general.</w:t>
      </w:r>
    </w:p>
    <w:p w14:paraId="55A81E31" w14:textId="77777777" w:rsidR="004777AC" w:rsidRDefault="00000000" w:rsidP="0048543B">
      <w:pPr>
        <w:pStyle w:val="Heading2"/>
        <w:jc w:val="both"/>
      </w:pPr>
      <w:bookmarkStart w:id="14" w:name="seed-identity-and-collisions"/>
      <w:r>
        <w:t>8.1 Seed identity and collisions</w:t>
      </w:r>
    </w:p>
    <w:p w14:paraId="2D9B3277" w14:textId="77777777" w:rsidR="004777AC" w:rsidRDefault="00000000" w:rsidP="0048543B">
      <w:pPr>
        <w:pStyle w:val="FirstParagraph"/>
        <w:jc w:val="both"/>
      </w:pPr>
      <w:r>
        <w:t xml:space="preserve">For </w:t>
      </w:r>
      <m:oMath>
        <m:r>
          <w:rPr>
            <w:rFonts w:ascii="Cambria Math" w:hAnsi="Cambria Math"/>
          </w:rPr>
          <m:t>M</m:t>
        </m:r>
      </m:oMath>
      <w:r>
        <w:t xml:space="preserve"> independently uniform </w:t>
      </w:r>
      <m:oMath>
        <m:r>
          <w:rPr>
            <w:rFonts w:ascii="Cambria Math" w:hAnsi="Cambria Math"/>
          </w:rPr>
          <m:t>w</m:t>
        </m:r>
      </m:oMath>
      <w:r>
        <w:t xml:space="preserve">-bit seeds, the expected number of colliding pairs is </w:t>
      </w:r>
      <m:oMath>
        <m:r>
          <w:rPr>
            <w:rFonts w:ascii="Cambria Math" w:hAnsi="Cambria Math"/>
          </w:rPr>
          <m:t>M</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w</m:t>
            </m:r>
            <m:r>
              <m:rPr>
                <m:sty m:val="p"/>
              </m:rPr>
              <w:rPr>
                <w:rFonts w:ascii="Cambria Math" w:hAnsi="Cambria Math"/>
              </w:rPr>
              <m:t>+</m:t>
            </m:r>
            <m:r>
              <w:rPr>
                <w:rFonts w:ascii="Cambria Math" w:hAnsi="Cambria Math"/>
              </w:rPr>
              <m:t>1</m:t>
            </m:r>
          </m:sup>
        </m:sSup>
      </m:oMath>
      <w:r>
        <w:t xml:space="preserve">. At one million draws this is approximately 116.415 for 32 bits and </w:t>
      </w:r>
      <m:oMath>
        <m:r>
          <w:rPr>
            <w:rFonts w:ascii="Cambria Math" w:hAnsi="Cambria Math"/>
          </w:rPr>
          <m:t>2.71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for 64 bits. Sampling distinct 32-bit identifiers without replacement eliminates identity collisions within the catalog; a deterministic unique assignment is another option. Distinct seeds still do not guarantee independent useful behavior. Production experiments should publish the seed assignment procedure and account for the extra four bytes if 64-bit identities are used.</w:t>
      </w:r>
    </w:p>
    <w:p w14:paraId="35EBD1F4" w14:textId="77777777" w:rsidR="004777AC" w:rsidRDefault="00000000" w:rsidP="0048543B">
      <w:pPr>
        <w:pStyle w:val="Heading1"/>
        <w:jc w:val="both"/>
      </w:pPr>
      <w:bookmarkStart w:id="15" w:name="learning-useful-seeded-diversity"/>
      <w:bookmarkEnd w:id="13"/>
      <w:bookmarkEnd w:id="14"/>
      <w:r>
        <w:t>9 Learning useful seeded diversity</w:t>
      </w:r>
    </w:p>
    <w:p w14:paraId="32E2457F" w14:textId="77777777" w:rsidR="004777AC" w:rsidRDefault="00000000" w:rsidP="0048543B">
      <w:pPr>
        <w:pStyle w:val="FirstParagraph"/>
        <w:jc w:val="both"/>
      </w:pPr>
      <w:r>
        <w:t>A random codebook is a source of procedural variation, not pretrained semantic knowledge. The backbone must learn to address and interpret it. Train shared weights over a distribution of seeds, expose the generator convention during training, and measure generalization separately to seen and held-out seeds. Seed-specific learned embeddings or adapters are permissible, but their storage and training costs must be included.</w:t>
      </w:r>
    </w:p>
    <w:p w14:paraId="2D90FA65" w14:textId="77777777" w:rsidR="004777AC" w:rsidRDefault="00000000" w:rsidP="0048543B">
      <w:pPr>
        <w:pStyle w:val="BodyText"/>
        <w:jc w:val="both"/>
      </w:pPr>
      <w:r>
        <w:t>Hard nearest-neighbor assignment has no ordinary derivative through its discrete selection. A concrete implementation should choose a soft-assignment training phase, a straight-through estimator, or a vector-</w:t>
      </w:r>
      <w:r>
        <w:lastRenderedPageBreak/>
        <w:t>quantization objective, then measure the gap to hard inference. Transformer-VQ [10] provides relevant precedent for quantized attention; Same Flower’s added hypothesis is that multiple procedural address systems and selective participation improve the quality–cost trade. Sparse expert routing is also established territory [11]; a seed catalog does not by itself establish expert competence.</w:t>
      </w:r>
    </w:p>
    <w:p w14:paraId="2DE2C5B1" w14:textId="77777777" w:rsidR="004777AC" w:rsidRDefault="00000000" w:rsidP="0048543B">
      <w:pPr>
        <w:pStyle w:val="BodyText"/>
        <w:jc w:val="both"/>
      </w:pPr>
      <w:r>
        <w:t>A staged training program first teaches a single seeded memory branch to preserve task-relevant information. Next it trains shared weights across seeds while monitoring per-seed quality and correlations. Finally it trains routing and refinement policies with outcome labels from candidate actions. Optional low-rank writes are a separate extension: they are persistent learned state, not recoverable from an unchanged seed. Any durable write must also respect the evidence and commit rules.</w:t>
      </w:r>
    </w:p>
    <w:p w14:paraId="6FC6D856" w14:textId="77777777" w:rsidR="004777AC" w:rsidRDefault="00000000" w:rsidP="0048543B">
      <w:pPr>
        <w:pStyle w:val="BodyText"/>
        <w:jc w:val="both"/>
      </w:pPr>
      <w:r>
        <w:t>Diversity should be evaluated conditionally on competence. Measure error overlap, disagreement on supported claims, and the marginal gain from adding a visitor. The decisive baseline is the same shared model with ordinary independent decoding samples. If seeded projections only reproduce sampling diversity while adding memory and routing costs, the main harness claim fails. A second baseline uses learned rather than random codebooks at equal state and parameter budgets.</w:t>
      </w:r>
    </w:p>
    <w:p w14:paraId="3A664E8F" w14:textId="77777777" w:rsidR="004777AC" w:rsidRDefault="00000000" w:rsidP="0048543B">
      <w:pPr>
        <w:pStyle w:val="BodyText"/>
        <w:jc w:val="both"/>
      </w:pPr>
      <w:r>
        <w:t>Consolidation can learn which seeds and resolutions are repeatedly useful for a task family. To prevent self-confirming routing, retain counterfactual evaluation on visitors that would otherwise be pruned. A policy trained only on its own survivors cannot reliably estimate the value of excluded alternatives. Evaluate unseen topic transitions and adversarially timed revision changes, not only stationary conversations.</w:t>
      </w:r>
    </w:p>
    <w:p w14:paraId="01E08C69" w14:textId="77777777" w:rsidR="004777AC" w:rsidRDefault="00000000" w:rsidP="0048543B">
      <w:pPr>
        <w:pStyle w:val="Heading1"/>
        <w:jc w:val="both"/>
      </w:pPr>
      <w:bookmarkStart w:id="16" w:name="reference-execution-protocol"/>
      <w:bookmarkEnd w:id="15"/>
      <w:r>
        <w:t>10 Reference execution protocol</w:t>
      </w:r>
    </w:p>
    <w:p w14:paraId="1E773E10" w14:textId="77777777" w:rsidR="004777AC" w:rsidRDefault="00000000" w:rsidP="0048543B">
      <w:pPr>
        <w:pStyle w:val="FirstParagraph"/>
        <w:jc w:val="both"/>
      </w:pPr>
      <w:r>
        <w:t>The following protocol defines one common-prefix run. It is implementable without training a reverse decoder and without materializing the catalog.</w:t>
      </w:r>
    </w:p>
    <w:p w14:paraId="5F949BD8" w14:textId="77777777" w:rsidR="004777AC" w:rsidRDefault="00000000" w:rsidP="0048543B">
      <w:pPr>
        <w:pStyle w:val="Compact"/>
        <w:numPr>
          <w:ilvl w:val="0"/>
          <w:numId w:val="2"/>
        </w:numPr>
        <w:jc w:val="both"/>
      </w:pPr>
      <w:r>
        <w:t>Define the task’s eligibility rules, evidence version, model epoch, resource limits, and acceptance conditions. Initialize the seed catalog separately from live visitor state.</w:t>
      </w:r>
    </w:p>
    <w:p w14:paraId="632B8881" w14:textId="77777777" w:rsidR="004777AC" w:rsidRDefault="00000000" w:rsidP="0048543B">
      <w:pPr>
        <w:pStyle w:val="Compact"/>
        <w:numPr>
          <w:ilvl w:val="0"/>
          <w:numId w:val="2"/>
        </w:numPr>
        <w:jc w:val="both"/>
      </w:pPr>
      <w:r>
        <w:t>Screen a bounded candidate set using the shared question representation. Count all screening work and retain a declared exploration policy.</w:t>
      </w:r>
    </w:p>
    <w:p w14:paraId="1820B14E" w14:textId="77777777" w:rsidR="004777AC" w:rsidRDefault="00000000" w:rsidP="0048543B">
      <w:pPr>
        <w:pStyle w:val="Compact"/>
        <w:numPr>
          <w:ilvl w:val="0"/>
          <w:numId w:val="2"/>
        </w:numPr>
        <w:jc w:val="both"/>
      </w:pPr>
      <w:r>
        <w:t>Activate selected visitors. Regenerate static tensors in tiles; restore and replay dynamic state through the last committed token. Record any intentional history truncation.</w:t>
      </w:r>
    </w:p>
    <w:p w14:paraId="393EBB27" w14:textId="77777777" w:rsidR="004777AC" w:rsidRDefault="00000000" w:rsidP="0048543B">
      <w:pPr>
        <w:pStyle w:val="Compact"/>
        <w:numPr>
          <w:ilvl w:val="0"/>
          <w:numId w:val="2"/>
        </w:numPr>
        <w:jc w:val="both"/>
      </w:pPr>
      <w:r>
        <w:t>Read the coarse counters and request fine evidence where needed. Apply parent replacement and preserve provenance. Compute only the bounds the index actually supports.</w:t>
      </w:r>
    </w:p>
    <w:p w14:paraId="369E9B63" w14:textId="77777777" w:rsidR="004777AC" w:rsidRDefault="00000000" w:rsidP="0048543B">
      <w:pPr>
        <w:pStyle w:val="Compact"/>
        <w:numPr>
          <w:ilvl w:val="0"/>
          <w:numId w:val="2"/>
        </w:numPr>
        <w:jc w:val="both"/>
      </w:pPr>
      <w:r>
        <w:t>Obtain next-token proposals or short speculative candidates. Validate task-critical claims and estimate the value of another visitor versus finer evidence.</w:t>
      </w:r>
    </w:p>
    <w:p w14:paraId="7DBC0518" w14:textId="77777777" w:rsidR="004777AC" w:rsidRDefault="00000000" w:rsidP="0048543B">
      <w:pPr>
        <w:pStyle w:val="Compact"/>
        <w:numPr>
          <w:ilvl w:val="0"/>
          <w:numId w:val="2"/>
        </w:numPr>
        <w:jc w:val="both"/>
      </w:pPr>
      <w:r>
        <w:t>Continue acquisition while its predicted benefit justifies its cost and budgets permit. Commit one continuation under the declared mixture or arbiter rule; update surviving visitors only on committed content.</w:t>
      </w:r>
    </w:p>
    <w:p w14:paraId="311C6BA5" w14:textId="77777777" w:rsidR="004777AC" w:rsidRDefault="00000000" w:rsidP="0048543B">
      <w:pPr>
        <w:pStyle w:val="Compact"/>
        <w:numPr>
          <w:ilvl w:val="0"/>
          <w:numId w:val="2"/>
        </w:numPr>
        <w:jc w:val="both"/>
      </w:pPr>
      <w:r>
        <w:t>Checkpoint, freeze, or evict visitors using explicit lifecycle transitions. On a topic shift, permit reentry rather than assuming the previous active set remains appropriate.</w:t>
      </w:r>
    </w:p>
    <w:p w14:paraId="2A5A7195" w14:textId="77777777" w:rsidR="004777AC" w:rsidRDefault="00000000" w:rsidP="0048543B">
      <w:pPr>
        <w:pStyle w:val="FirstParagraph"/>
        <w:jc w:val="both"/>
      </w:pPr>
      <w:r>
        <w:t>Generated conclusions enter the archive only as labeled generated records under a separate commit policy. They do not become independent external sources. A replay increments processing statistics, not evidence support. If the system stops without meeting a required support condition, the output should identify the unresolved premise rather than convert a numerical read certificate into a semantic acceptance claim.</w:t>
      </w:r>
    </w:p>
    <w:p w14:paraId="6AC43665" w14:textId="77777777" w:rsidR="004777AC" w:rsidRDefault="00000000" w:rsidP="0048543B">
      <w:pPr>
        <w:pStyle w:val="Heading1"/>
        <w:jc w:val="both"/>
      </w:pPr>
      <w:bookmarkStart w:id="17" w:name="evaluation-and-falsification"/>
      <w:bookmarkEnd w:id="16"/>
      <w:r>
        <w:lastRenderedPageBreak/>
        <w:t>11 Evaluation and falsification</w:t>
      </w:r>
    </w:p>
    <w:p w14:paraId="0467B5A9" w14:textId="77777777" w:rsidR="004777AC" w:rsidRDefault="00000000" w:rsidP="0048543B">
      <w:pPr>
        <w:pStyle w:val="FirstParagraph"/>
        <w:jc w:val="both"/>
      </w:pPr>
      <w:r>
        <w:t>The first experiment should establish that the memory branch works before scaling the catalog. Start with one visitor, then small catalogs, and increase catalog size independently of the active count. Hold the backbone, training tokens, hardware, total inference budget, and evidence access policy constant wherever the comparison permits. Report unavoidable differences explicitly.</w:t>
      </w:r>
    </w:p>
    <w:tbl>
      <w:tblPr>
        <w:tblStyle w:val="Table"/>
        <w:tblW w:w="50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568"/>
        <w:gridCol w:w="3889"/>
        <w:gridCol w:w="3669"/>
      </w:tblGrid>
      <w:tr w:rsidR="004777AC" w14:paraId="1FD30B83" w14:textId="77777777" w:rsidTr="004777AC">
        <w:trPr>
          <w:cnfStyle w:val="100000000000" w:firstRow="1" w:lastRow="0" w:firstColumn="0" w:lastColumn="0" w:oddVBand="0" w:evenVBand="0" w:oddHBand="0" w:evenHBand="0" w:firstRowFirstColumn="0" w:firstRowLastColumn="0" w:lastRowFirstColumn="0" w:lastRowLastColumn="0"/>
          <w:cantSplit/>
          <w:tblHeader/>
          <w:jc w:val="center"/>
        </w:trPr>
        <w:tc>
          <w:tcPr>
            <w:tcW w:w="2520" w:type="dxa"/>
            <w:shd w:val="clear" w:color="auto" w:fill="24364B"/>
            <w:tcMar>
              <w:top w:w="90" w:type="dxa"/>
              <w:left w:w="95" w:type="dxa"/>
              <w:bottom w:w="90" w:type="dxa"/>
              <w:right w:w="95" w:type="dxa"/>
            </w:tcMar>
            <w:vAlign w:val="center"/>
          </w:tcPr>
          <w:p w14:paraId="19B0B657" w14:textId="77777777" w:rsidR="004777AC" w:rsidRDefault="00000000" w:rsidP="0048543B">
            <w:pPr>
              <w:pStyle w:val="Compact"/>
              <w:spacing w:before="0" w:after="0" w:line="252" w:lineRule="auto"/>
              <w:jc w:val="both"/>
            </w:pPr>
            <w:r>
              <w:rPr>
                <w:rFonts w:ascii="Arial" w:hAnsi="Arial"/>
                <w:b/>
                <w:color w:val="FFFFFF"/>
                <w:sz w:val="19"/>
              </w:rPr>
              <w:t>Hypothesis</w:t>
            </w:r>
          </w:p>
        </w:tc>
        <w:tc>
          <w:tcPr>
            <w:tcW w:w="3816" w:type="dxa"/>
            <w:shd w:val="clear" w:color="auto" w:fill="24364B"/>
            <w:tcMar>
              <w:top w:w="90" w:type="dxa"/>
              <w:left w:w="95" w:type="dxa"/>
              <w:bottom w:w="90" w:type="dxa"/>
              <w:right w:w="95" w:type="dxa"/>
            </w:tcMar>
            <w:vAlign w:val="center"/>
          </w:tcPr>
          <w:p w14:paraId="2B4FE5F3" w14:textId="77777777" w:rsidR="004777AC" w:rsidRDefault="00000000" w:rsidP="0048543B">
            <w:pPr>
              <w:pStyle w:val="Compact"/>
              <w:spacing w:before="0" w:after="0" w:line="252" w:lineRule="auto"/>
              <w:jc w:val="both"/>
            </w:pPr>
            <w:r>
              <w:rPr>
                <w:rFonts w:ascii="Arial" w:hAnsi="Arial"/>
                <w:b/>
                <w:color w:val="FFFFFF"/>
                <w:sz w:val="19"/>
              </w:rPr>
              <w:t>Decisive comparison</w:t>
            </w:r>
          </w:p>
        </w:tc>
        <w:tc>
          <w:tcPr>
            <w:tcW w:w="3600" w:type="dxa"/>
            <w:shd w:val="clear" w:color="auto" w:fill="24364B"/>
            <w:tcMar>
              <w:top w:w="90" w:type="dxa"/>
              <w:left w:w="95" w:type="dxa"/>
              <w:bottom w:w="90" w:type="dxa"/>
              <w:right w:w="95" w:type="dxa"/>
            </w:tcMar>
            <w:vAlign w:val="center"/>
          </w:tcPr>
          <w:p w14:paraId="3335538D" w14:textId="77777777" w:rsidR="004777AC" w:rsidRDefault="00000000" w:rsidP="0048543B">
            <w:pPr>
              <w:pStyle w:val="Compact"/>
              <w:spacing w:before="0" w:after="0" w:line="252" w:lineRule="auto"/>
              <w:jc w:val="both"/>
            </w:pPr>
            <w:r>
              <w:rPr>
                <w:rFonts w:ascii="Arial" w:hAnsi="Arial"/>
                <w:b/>
                <w:color w:val="FFFFFF"/>
                <w:sz w:val="19"/>
              </w:rPr>
              <w:t>Failure signal</w:t>
            </w:r>
          </w:p>
        </w:tc>
      </w:tr>
      <w:tr w:rsidR="004777AC" w14:paraId="0D4A53B2" w14:textId="77777777" w:rsidTr="004777AC">
        <w:trPr>
          <w:cantSplit/>
          <w:jc w:val="center"/>
        </w:trPr>
        <w:tc>
          <w:tcPr>
            <w:tcW w:w="2520" w:type="dxa"/>
            <w:shd w:val="clear" w:color="auto" w:fill="F1F4F7"/>
            <w:tcMar>
              <w:top w:w="90" w:type="dxa"/>
              <w:left w:w="95" w:type="dxa"/>
              <w:bottom w:w="90" w:type="dxa"/>
              <w:right w:w="95" w:type="dxa"/>
            </w:tcMar>
            <w:vAlign w:val="center"/>
          </w:tcPr>
          <w:p w14:paraId="7E6D5868" w14:textId="77777777" w:rsidR="004777AC" w:rsidRDefault="00000000" w:rsidP="0048543B">
            <w:pPr>
              <w:pStyle w:val="Compact"/>
              <w:spacing w:before="0" w:after="0" w:line="252" w:lineRule="auto"/>
              <w:jc w:val="both"/>
            </w:pPr>
            <w:r>
              <w:rPr>
                <w:rFonts w:ascii="Arial" w:hAnsi="Arial"/>
                <w:sz w:val="19"/>
              </w:rPr>
              <w:t>Seeded memory adds useful diversity</w:t>
            </w:r>
          </w:p>
        </w:tc>
        <w:tc>
          <w:tcPr>
            <w:tcW w:w="3816" w:type="dxa"/>
            <w:shd w:val="clear" w:color="auto" w:fill="F1F4F7"/>
            <w:tcMar>
              <w:top w:w="90" w:type="dxa"/>
              <w:left w:w="95" w:type="dxa"/>
              <w:bottom w:w="90" w:type="dxa"/>
              <w:right w:w="95" w:type="dxa"/>
            </w:tcMar>
            <w:vAlign w:val="center"/>
          </w:tcPr>
          <w:p w14:paraId="43E59A59" w14:textId="77777777" w:rsidR="004777AC" w:rsidRDefault="00000000" w:rsidP="0048543B">
            <w:pPr>
              <w:pStyle w:val="Compact"/>
              <w:spacing w:before="0" w:after="0" w:line="252" w:lineRule="auto"/>
              <w:jc w:val="both"/>
            </w:pPr>
            <w:r>
              <w:rPr>
                <w:rFonts w:ascii="Arial" w:hAnsi="Arial"/>
                <w:sz w:val="19"/>
              </w:rPr>
              <w:t>Seeded visitors versus repeated decoding samples</w:t>
            </w:r>
          </w:p>
        </w:tc>
        <w:tc>
          <w:tcPr>
            <w:tcW w:w="3600" w:type="dxa"/>
            <w:shd w:val="clear" w:color="auto" w:fill="F1F4F7"/>
            <w:tcMar>
              <w:top w:w="90" w:type="dxa"/>
              <w:left w:w="95" w:type="dxa"/>
              <w:bottom w:w="90" w:type="dxa"/>
              <w:right w:w="95" w:type="dxa"/>
            </w:tcMar>
            <w:vAlign w:val="center"/>
          </w:tcPr>
          <w:p w14:paraId="5A5F18E1" w14:textId="77777777" w:rsidR="004777AC" w:rsidRDefault="00000000" w:rsidP="0048543B">
            <w:pPr>
              <w:pStyle w:val="Compact"/>
              <w:spacing w:before="0" w:after="0" w:line="252" w:lineRule="auto"/>
              <w:jc w:val="both"/>
            </w:pPr>
            <w:r>
              <w:rPr>
                <w:rFonts w:ascii="Arial" w:hAnsi="Arial"/>
                <w:sz w:val="19"/>
              </w:rPr>
              <w:t>No supported-quality gain at matched cost</w:t>
            </w:r>
          </w:p>
        </w:tc>
      </w:tr>
      <w:tr w:rsidR="004777AC" w14:paraId="38E67F57" w14:textId="77777777" w:rsidTr="004777AC">
        <w:trPr>
          <w:cantSplit/>
          <w:jc w:val="center"/>
        </w:trPr>
        <w:tc>
          <w:tcPr>
            <w:tcW w:w="2520" w:type="dxa"/>
            <w:shd w:val="clear" w:color="auto" w:fill="FFFFFF"/>
            <w:tcMar>
              <w:top w:w="90" w:type="dxa"/>
              <w:left w:w="95" w:type="dxa"/>
              <w:bottom w:w="90" w:type="dxa"/>
              <w:right w:w="95" w:type="dxa"/>
            </w:tcMar>
            <w:vAlign w:val="center"/>
          </w:tcPr>
          <w:p w14:paraId="777992FA" w14:textId="77777777" w:rsidR="004777AC" w:rsidRDefault="00000000" w:rsidP="0048543B">
            <w:pPr>
              <w:pStyle w:val="Compact"/>
              <w:spacing w:before="0" w:after="0" w:line="252" w:lineRule="auto"/>
              <w:jc w:val="both"/>
            </w:pPr>
            <w:r>
              <w:rPr>
                <w:rFonts w:ascii="Arial" w:hAnsi="Arial"/>
                <w:sz w:val="19"/>
              </w:rPr>
              <w:t>Participation can be sparse</w:t>
            </w:r>
          </w:p>
        </w:tc>
        <w:tc>
          <w:tcPr>
            <w:tcW w:w="3816" w:type="dxa"/>
            <w:shd w:val="clear" w:color="auto" w:fill="FFFFFF"/>
            <w:tcMar>
              <w:top w:w="90" w:type="dxa"/>
              <w:left w:w="95" w:type="dxa"/>
              <w:bottom w:w="90" w:type="dxa"/>
              <w:right w:w="95" w:type="dxa"/>
            </w:tcMar>
            <w:vAlign w:val="center"/>
          </w:tcPr>
          <w:p w14:paraId="0E086D52" w14:textId="77777777" w:rsidR="004777AC" w:rsidRDefault="00000000" w:rsidP="0048543B">
            <w:pPr>
              <w:pStyle w:val="Compact"/>
              <w:spacing w:before="0" w:after="0" w:line="252" w:lineRule="auto"/>
              <w:jc w:val="both"/>
            </w:pPr>
            <w:r>
              <w:rPr>
                <w:rFonts w:ascii="Arial" w:hAnsi="Arial"/>
                <w:sz w:val="19"/>
              </w:rPr>
              <w:t>Routed subset versus affordable full-catalog reference</w:t>
            </w:r>
          </w:p>
        </w:tc>
        <w:tc>
          <w:tcPr>
            <w:tcW w:w="3600" w:type="dxa"/>
            <w:shd w:val="clear" w:color="auto" w:fill="FFFFFF"/>
            <w:tcMar>
              <w:top w:w="90" w:type="dxa"/>
              <w:left w:w="95" w:type="dxa"/>
              <w:bottom w:w="90" w:type="dxa"/>
              <w:right w:w="95" w:type="dxa"/>
            </w:tcMar>
            <w:vAlign w:val="center"/>
          </w:tcPr>
          <w:p w14:paraId="745696DD" w14:textId="77777777" w:rsidR="004777AC" w:rsidRDefault="00000000" w:rsidP="0048543B">
            <w:pPr>
              <w:pStyle w:val="Compact"/>
              <w:spacing w:before="0" w:after="0" w:line="252" w:lineRule="auto"/>
              <w:jc w:val="both"/>
            </w:pPr>
            <w:r>
              <w:rPr>
                <w:rFonts w:ascii="Arial" w:hAnsi="Arial"/>
                <w:sz w:val="19"/>
              </w:rPr>
              <w:t>Frequent loss of the useful visitor or routing cost dominates</w:t>
            </w:r>
          </w:p>
        </w:tc>
      </w:tr>
      <w:tr w:rsidR="004777AC" w14:paraId="57E7795B" w14:textId="77777777" w:rsidTr="004777AC">
        <w:trPr>
          <w:cantSplit/>
          <w:jc w:val="center"/>
        </w:trPr>
        <w:tc>
          <w:tcPr>
            <w:tcW w:w="2520" w:type="dxa"/>
            <w:shd w:val="clear" w:color="auto" w:fill="F1F4F7"/>
            <w:tcMar>
              <w:top w:w="90" w:type="dxa"/>
              <w:left w:w="95" w:type="dxa"/>
              <w:bottom w:w="90" w:type="dxa"/>
              <w:right w:w="95" w:type="dxa"/>
            </w:tcMar>
            <w:vAlign w:val="center"/>
          </w:tcPr>
          <w:p w14:paraId="7DB00B89" w14:textId="77777777" w:rsidR="004777AC" w:rsidRDefault="00000000" w:rsidP="0048543B">
            <w:pPr>
              <w:pStyle w:val="Compact"/>
              <w:spacing w:before="0" w:after="0" w:line="252" w:lineRule="auto"/>
              <w:jc w:val="both"/>
            </w:pPr>
            <w:r>
              <w:rPr>
                <w:rFonts w:ascii="Arial" w:hAnsi="Arial"/>
                <w:sz w:val="19"/>
              </w:rPr>
              <w:t>Refinement complements diversity</w:t>
            </w:r>
          </w:p>
        </w:tc>
        <w:tc>
          <w:tcPr>
            <w:tcW w:w="3816" w:type="dxa"/>
            <w:shd w:val="clear" w:color="auto" w:fill="F1F4F7"/>
            <w:tcMar>
              <w:top w:w="90" w:type="dxa"/>
              <w:left w:w="95" w:type="dxa"/>
              <w:bottom w:w="90" w:type="dxa"/>
              <w:right w:w="95" w:type="dxa"/>
            </w:tcMar>
            <w:vAlign w:val="center"/>
          </w:tcPr>
          <w:p w14:paraId="65B78C4A" w14:textId="77777777" w:rsidR="004777AC" w:rsidRDefault="00000000" w:rsidP="0048543B">
            <w:pPr>
              <w:pStyle w:val="Compact"/>
              <w:spacing w:before="0" w:after="0" w:line="252" w:lineRule="auto"/>
              <w:jc w:val="both"/>
            </w:pPr>
            <w:r>
              <w:rPr>
                <w:rFonts w:ascii="Arial" w:hAnsi="Arial"/>
                <w:sz w:val="19"/>
              </w:rPr>
              <w:t>Joint controller versus visitors-only and refinement-only</w:t>
            </w:r>
          </w:p>
        </w:tc>
        <w:tc>
          <w:tcPr>
            <w:tcW w:w="3600" w:type="dxa"/>
            <w:shd w:val="clear" w:color="auto" w:fill="F1F4F7"/>
            <w:tcMar>
              <w:top w:w="90" w:type="dxa"/>
              <w:left w:w="95" w:type="dxa"/>
              <w:bottom w:w="90" w:type="dxa"/>
              <w:right w:w="95" w:type="dxa"/>
            </w:tcMar>
            <w:vAlign w:val="center"/>
          </w:tcPr>
          <w:p w14:paraId="4D8DE719" w14:textId="77777777" w:rsidR="004777AC" w:rsidRDefault="00000000" w:rsidP="0048543B">
            <w:pPr>
              <w:pStyle w:val="Compact"/>
              <w:spacing w:before="0" w:after="0" w:line="252" w:lineRule="auto"/>
              <w:jc w:val="both"/>
            </w:pPr>
            <w:r>
              <w:rPr>
                <w:rFonts w:ascii="Arial" w:hAnsi="Arial"/>
                <w:sz w:val="19"/>
              </w:rPr>
              <w:t>Joint policy adds cost without reducing error</w:t>
            </w:r>
          </w:p>
        </w:tc>
      </w:tr>
      <w:tr w:rsidR="004777AC" w14:paraId="77545757" w14:textId="77777777" w:rsidTr="004777AC">
        <w:trPr>
          <w:cantSplit/>
          <w:jc w:val="center"/>
        </w:trPr>
        <w:tc>
          <w:tcPr>
            <w:tcW w:w="2520" w:type="dxa"/>
            <w:shd w:val="clear" w:color="auto" w:fill="FFFFFF"/>
            <w:tcMar>
              <w:top w:w="90" w:type="dxa"/>
              <w:left w:w="95" w:type="dxa"/>
              <w:bottom w:w="90" w:type="dxa"/>
              <w:right w:w="95" w:type="dxa"/>
            </w:tcMar>
            <w:vAlign w:val="center"/>
          </w:tcPr>
          <w:p w14:paraId="662778A4" w14:textId="77777777" w:rsidR="004777AC" w:rsidRDefault="00000000" w:rsidP="0048543B">
            <w:pPr>
              <w:pStyle w:val="Compact"/>
              <w:spacing w:before="0" w:after="0" w:line="252" w:lineRule="auto"/>
              <w:jc w:val="both"/>
            </w:pPr>
            <w:r>
              <w:rPr>
                <w:rFonts w:ascii="Arial" w:hAnsi="Arial"/>
                <w:sz w:val="19"/>
              </w:rPr>
              <w:t>Dormancy saves resources</w:t>
            </w:r>
          </w:p>
        </w:tc>
        <w:tc>
          <w:tcPr>
            <w:tcW w:w="3816" w:type="dxa"/>
            <w:shd w:val="clear" w:color="auto" w:fill="FFFFFF"/>
            <w:tcMar>
              <w:top w:w="90" w:type="dxa"/>
              <w:left w:w="95" w:type="dxa"/>
              <w:bottom w:w="90" w:type="dxa"/>
              <w:right w:w="95" w:type="dxa"/>
            </w:tcMar>
            <w:vAlign w:val="center"/>
          </w:tcPr>
          <w:p w14:paraId="134C0A97" w14:textId="77777777" w:rsidR="004777AC" w:rsidRDefault="00000000" w:rsidP="0048543B">
            <w:pPr>
              <w:pStyle w:val="Compact"/>
              <w:spacing w:before="0" w:after="0" w:line="252" w:lineRule="auto"/>
              <w:jc w:val="both"/>
            </w:pPr>
            <w:r>
              <w:rPr>
                <w:rFonts w:ascii="Arial" w:hAnsi="Arial"/>
                <w:sz w:val="19"/>
              </w:rPr>
              <w:t>Checkpoint and replay policies at identical prefixes</w:t>
            </w:r>
          </w:p>
        </w:tc>
        <w:tc>
          <w:tcPr>
            <w:tcW w:w="3600" w:type="dxa"/>
            <w:shd w:val="clear" w:color="auto" w:fill="FFFFFF"/>
            <w:tcMar>
              <w:top w:w="90" w:type="dxa"/>
              <w:left w:w="95" w:type="dxa"/>
              <w:bottom w:w="90" w:type="dxa"/>
              <w:right w:w="95" w:type="dxa"/>
            </w:tcMar>
            <w:vAlign w:val="center"/>
          </w:tcPr>
          <w:p w14:paraId="673F029E" w14:textId="77777777" w:rsidR="004777AC" w:rsidRDefault="00000000" w:rsidP="0048543B">
            <w:pPr>
              <w:pStyle w:val="Compact"/>
              <w:spacing w:before="0" w:after="0" w:line="252" w:lineRule="auto"/>
              <w:jc w:val="both"/>
            </w:pPr>
            <w:r>
              <w:rPr>
                <w:rFonts w:ascii="Arial" w:hAnsi="Arial"/>
                <w:sz w:val="19"/>
              </w:rPr>
              <w:t>Replay or host state erases the claimed savings</w:t>
            </w:r>
          </w:p>
        </w:tc>
      </w:tr>
      <w:tr w:rsidR="004777AC" w14:paraId="021E941E" w14:textId="77777777" w:rsidTr="004777AC">
        <w:trPr>
          <w:cantSplit/>
          <w:jc w:val="center"/>
        </w:trPr>
        <w:tc>
          <w:tcPr>
            <w:tcW w:w="2520" w:type="dxa"/>
            <w:shd w:val="clear" w:color="auto" w:fill="F1F4F7"/>
            <w:tcMar>
              <w:top w:w="90" w:type="dxa"/>
              <w:left w:w="95" w:type="dxa"/>
              <w:bottom w:w="90" w:type="dxa"/>
              <w:right w:w="95" w:type="dxa"/>
            </w:tcMar>
            <w:vAlign w:val="center"/>
          </w:tcPr>
          <w:p w14:paraId="79A78CAD" w14:textId="77777777" w:rsidR="004777AC" w:rsidRDefault="00000000" w:rsidP="0048543B">
            <w:pPr>
              <w:pStyle w:val="Compact"/>
              <w:spacing w:before="0" w:after="0" w:line="252" w:lineRule="auto"/>
              <w:jc w:val="both"/>
            </w:pPr>
            <w:r>
              <w:rPr>
                <w:rFonts w:ascii="Arial" w:hAnsi="Arial"/>
                <w:sz w:val="19"/>
              </w:rPr>
              <w:t>Reverse fragments help validation</w:t>
            </w:r>
          </w:p>
        </w:tc>
        <w:tc>
          <w:tcPr>
            <w:tcW w:w="3816" w:type="dxa"/>
            <w:shd w:val="clear" w:color="auto" w:fill="F1F4F7"/>
            <w:tcMar>
              <w:top w:w="90" w:type="dxa"/>
              <w:left w:w="95" w:type="dxa"/>
              <w:bottom w:w="90" w:type="dxa"/>
              <w:right w:w="95" w:type="dxa"/>
            </w:tcMar>
            <w:vAlign w:val="center"/>
          </w:tcPr>
          <w:p w14:paraId="2BCCD497" w14:textId="77777777" w:rsidR="004777AC" w:rsidRDefault="00000000" w:rsidP="0048543B">
            <w:pPr>
              <w:pStyle w:val="Compact"/>
              <w:spacing w:before="0" w:after="0" w:line="252" w:lineRule="auto"/>
              <w:jc w:val="both"/>
            </w:pPr>
            <w:r>
              <w:rPr>
                <w:rFonts w:ascii="Arial" w:hAnsi="Arial"/>
                <w:sz w:val="19"/>
              </w:rPr>
              <w:t>Reversed-content model versus ordinary premise search</w:t>
            </w:r>
          </w:p>
        </w:tc>
        <w:tc>
          <w:tcPr>
            <w:tcW w:w="3600" w:type="dxa"/>
            <w:shd w:val="clear" w:color="auto" w:fill="F1F4F7"/>
            <w:tcMar>
              <w:top w:w="90" w:type="dxa"/>
              <w:left w:w="95" w:type="dxa"/>
              <w:bottom w:w="90" w:type="dxa"/>
              <w:right w:w="95" w:type="dxa"/>
            </w:tcMar>
            <w:vAlign w:val="center"/>
          </w:tcPr>
          <w:p w14:paraId="6C04758D" w14:textId="77777777" w:rsidR="004777AC" w:rsidRDefault="00000000" w:rsidP="0048543B">
            <w:pPr>
              <w:pStyle w:val="Compact"/>
              <w:spacing w:before="0" w:after="0" w:line="252" w:lineRule="auto"/>
              <w:jc w:val="both"/>
            </w:pPr>
            <w:r>
              <w:rPr>
                <w:rFonts w:ascii="Arial" w:hAnsi="Arial"/>
                <w:sz w:val="19"/>
              </w:rPr>
              <w:t>Seed permutation alone supplies the apparent effect</w:t>
            </w:r>
          </w:p>
        </w:tc>
      </w:tr>
    </w:tbl>
    <w:p w14:paraId="6A24F9F8" w14:textId="77777777" w:rsidR="004777AC" w:rsidRDefault="00000000" w:rsidP="0048543B">
      <w:pPr>
        <w:pStyle w:val="BodyText"/>
        <w:spacing w:after="160" w:line="252" w:lineRule="auto"/>
        <w:jc w:val="both"/>
      </w:pPr>
      <w:r>
        <w:rPr>
          <w:sz w:val="19"/>
        </w:rPr>
        <w:t>Table 3. Research hypotheses and falsification criteria. None is reported as an achieved result in this manuscript.</w:t>
      </w:r>
    </w:p>
    <w:p w14:paraId="27968C58" w14:textId="77777777" w:rsidR="004777AC" w:rsidRDefault="00000000" w:rsidP="0048543B">
      <w:pPr>
        <w:pStyle w:val="BodyText"/>
        <w:jc w:val="both"/>
      </w:pPr>
      <w:r>
        <w:t>Use tasks that isolate count, identity, chronology, revision, and provenance. Include repeated distractors, a rare authoritative correction, two equally frequent but incompatible revisions, reordered events with identical histograms, and topic shifts requiring a previously dormant visitor. For natural-language tasks, score both answer quality and whether cited evidence supports the answer. A majority vote across visitors that share one source is not an independent corroboration metric.</w:t>
      </w:r>
    </w:p>
    <w:p w14:paraId="5592D001" w14:textId="77777777" w:rsidR="004777AC" w:rsidRDefault="00000000" w:rsidP="0048543B">
      <w:pPr>
        <w:pStyle w:val="BodyText"/>
        <w:jc w:val="both"/>
      </w:pPr>
      <w:r>
        <w:t>Report peak accelerator and host memory, archive bytes, checkpoint bytes, regenerated bytes, total tokens evaluated across all visitors, time to first token, latency distribution, and total wall-clock or energy cost where measurable. Also report active count, screened count, replay length, opened evidence fraction, calibration, routing recall, and failure to meet declared numerical tolerance. Plot supported quality against total cost rather than selecting one favorable memory number.</w:t>
      </w:r>
    </w:p>
    <w:p w14:paraId="7C428D80" w14:textId="77777777" w:rsidR="004777AC" w:rsidRDefault="00000000" w:rsidP="0048543B">
      <w:pPr>
        <w:pStyle w:val="BodyText"/>
        <w:jc w:val="both"/>
      </w:pPr>
      <w:r>
        <w:t>Ablate paired prototypes versus contextual sums, 16 bins versus larger budgets, 32-bit versus 64-bit count handling, fixed versus adaptive participation, random versus learned routing, frozen versus replay-corrected reactivation, and ordinary versus reverse-content validation. Include a cache baseline and ordinary fragment retrieval at matched supported quality. The full contextual archive variant must not be compared against a cache using only its counter payload.</w:t>
      </w:r>
    </w:p>
    <w:p w14:paraId="203B7138" w14:textId="77777777" w:rsidR="004777AC" w:rsidRDefault="00000000" w:rsidP="0048543B">
      <w:pPr>
        <w:pStyle w:val="BodyText"/>
        <w:jc w:val="both"/>
      </w:pPr>
      <w:r>
        <w:t>Small deterministic checks precede model training: counted reads equal the quantized token reference under equal scores; paired permutations preserve the read; AB and BA collide in the identity-only histogram; reopening conserves counts and sums; checkpoint plus replay matches uninterrupted updates; a frozen stale state fails that equality when missed tokens contribute. These checks validate mechanisms, not language-model usefulness.</w:t>
      </w:r>
    </w:p>
    <w:p w14:paraId="237345CA" w14:textId="77777777" w:rsidR="004777AC" w:rsidRDefault="00000000" w:rsidP="0048543B">
      <w:pPr>
        <w:pStyle w:val="BodyText"/>
        <w:jc w:val="both"/>
      </w:pPr>
      <w:r>
        <w:t>The efficiency thesis is rejected if reliable answers require executing almost the whole catalog, reopening almost the whole archive, or spending more on validation and replay than the baseline. A negative result is informative: it identifies whether procedural diversity, routing, state recovery, or evidence retention is the limiting component.</w:t>
      </w:r>
    </w:p>
    <w:p w14:paraId="1849250F" w14:textId="77777777" w:rsidR="004777AC" w:rsidRDefault="00000000" w:rsidP="0048543B">
      <w:pPr>
        <w:pStyle w:val="Heading1"/>
        <w:jc w:val="both"/>
      </w:pPr>
      <w:bookmarkStart w:id="18" w:name="discussion-and-conclusion"/>
      <w:bookmarkEnd w:id="17"/>
      <w:r>
        <w:lastRenderedPageBreak/>
        <w:t>12 Discussion and conclusion</w:t>
      </w:r>
    </w:p>
    <w:p w14:paraId="491F7FA6" w14:textId="77777777" w:rsidR="004777AC" w:rsidRDefault="00000000" w:rsidP="0048543B">
      <w:pPr>
        <w:pStyle w:val="FirstParagraph"/>
        <w:jc w:val="both"/>
      </w:pPr>
      <w:r>
        <w:t>Same Flower moves the Attentionlet line from choosing a memory resolution to choosing both a viewpoint and a resolution. Its compactness comes from sharing weights, generating fixed tensors on demand, retaining bounded aggregates, and limiting expensive participation. Each mechanism has its own accounting boundary. A seed is a description of a substrate; counts and sums are a description of part of its experience; an archive preserves distinctions the summary cannot.</w:t>
      </w:r>
    </w:p>
    <w:p w14:paraId="5870DCEB" w14:textId="77777777" w:rsidR="004777AC" w:rsidRDefault="00000000" w:rsidP="0048543B">
      <w:pPr>
        <w:pStyle w:val="BodyText"/>
        <w:jc w:val="both"/>
      </w:pPr>
      <w:r>
        <w:t>The strongest version of the proposal is an evidence-preserving sparse harness with a large catalog and a small live population. Its controller learns when another seeded visitor is useful, when an existing visitor needs finer evidence, and when an evicted visitor is worth reconstructing. Fixed paired values provide a minimal implementation and a clear lower bound on storage, while contextual values provide a richer memory at a measurable cost. Reverse seed traversal supplies an efficient indexing option; reverse reasoning remains a separately testable operation over evidence.</w:t>
      </w:r>
    </w:p>
    <w:p w14:paraId="7CD8067F" w14:textId="77777777" w:rsidR="004777AC" w:rsidRDefault="00000000" w:rsidP="0048543B">
      <w:pPr>
        <w:pStyle w:val="BodyText"/>
        <w:jc w:val="both"/>
      </w:pPr>
      <w:r>
        <w:t>The next frontier is therefore experimentally precise: can shared-weight, procedurally distinct visitors reduce supported-answer loss per unit of total computation and memory, beyond ordinary sampling and adaptive retrieval? A positive answer requires trained competence, calibrated selection, correct state recovery, and honest accounting of the growing archive. This paper defines the contracts needed to ask that question without mistaking a compact counter demonstration for a validated language model.</w:t>
      </w:r>
    </w:p>
    <w:p w14:paraId="067E4242" w14:textId="77777777" w:rsidR="004777AC" w:rsidRDefault="00000000" w:rsidP="0048543B">
      <w:pPr>
        <w:pStyle w:val="BodyText"/>
        <w:jc w:val="both"/>
      </w:pPr>
      <w:r>
        <w:rPr>
          <w:b/>
          <w:bCs/>
        </w:rPr>
        <w:t>Source and result status.</w:t>
      </w:r>
      <w:r>
        <w:t xml:space="preserve"> The author-provided descriptions and project manuscripts ground the KV Counter and refinement lineage; the public PPT manuscript and the external primary sources were consulted for their stated mechanisms. DOI links identify the supplied works and do not imply verification of every public revision. The Same Flower architecture, propositions, budgets, and experimental protocol are developed here. All plotted memory values are analytical payload calculations. No measured model-quality, latency, energy, or million-agent scaling gain is claimed.</w:t>
      </w:r>
    </w:p>
    <w:p w14:paraId="34C084DE" w14:textId="77777777" w:rsidR="004777AC" w:rsidRDefault="00000000" w:rsidP="0048543B">
      <w:pPr>
        <w:pStyle w:val="Heading1"/>
        <w:pageBreakBefore/>
        <w:jc w:val="both"/>
      </w:pPr>
      <w:bookmarkStart w:id="19" w:name="references"/>
      <w:bookmarkEnd w:id="18"/>
      <w:r>
        <w:lastRenderedPageBreak/>
        <w:t>References</w:t>
      </w:r>
    </w:p>
    <w:p w14:paraId="58B5F68A" w14:textId="77777777" w:rsidR="004777AC" w:rsidRDefault="00000000" w:rsidP="0048543B">
      <w:pPr>
        <w:pStyle w:val="FirstParagraph"/>
        <w:spacing w:after="160" w:line="252" w:lineRule="auto"/>
        <w:jc w:val="both"/>
      </w:pPr>
      <w:r>
        <w:rPr>
          <w:sz w:val="20"/>
        </w:rPr>
        <w:t>[1] Ghosh, D. P. KV Counter Memory for Attentionlet: Narrow keys and bounded attention state. Research manuscript. https://doi.org/10.13140/RG.2.2.23622.43842</w:t>
      </w:r>
    </w:p>
    <w:p w14:paraId="57BFE752" w14:textId="77777777" w:rsidR="004777AC" w:rsidRDefault="00000000" w:rsidP="0048543B">
      <w:pPr>
        <w:pStyle w:val="BodyText"/>
        <w:spacing w:after="160" w:line="252" w:lineRule="auto"/>
        <w:jc w:val="both"/>
      </w:pPr>
      <w:r>
        <w:rPr>
          <w:sz w:val="20"/>
        </w:rPr>
        <w:t>[2] Ghosh, D. P. (2025). PRNGed Pre-trained Titans (PPT): Procedural Long-Term Memory for Test-Time Memorization via Mixture-of-Seeds and Low-Rank Writing. Conceptual manuscript, 15 December. https://doi.org/10.13140/RG.2.2.13828.39048</w:t>
      </w:r>
    </w:p>
    <w:p w14:paraId="781A10CC" w14:textId="77777777" w:rsidR="004777AC" w:rsidRDefault="00000000" w:rsidP="0048543B">
      <w:pPr>
        <w:pStyle w:val="BodyText"/>
        <w:spacing w:after="160" w:line="252" w:lineRule="auto"/>
        <w:jc w:val="both"/>
      </w:pPr>
      <w:r>
        <w:rPr>
          <w:sz w:val="20"/>
        </w:rPr>
        <w:t>[3] Ghosh, D. P. Adaptive Memory Refinement for Attentionlet. Research manuscript. https://doi.org/10.13140/RG.2.2.26945.11369</w:t>
      </w:r>
    </w:p>
    <w:p w14:paraId="1B03646A" w14:textId="77777777" w:rsidR="004777AC" w:rsidRDefault="00000000" w:rsidP="0048543B">
      <w:pPr>
        <w:pStyle w:val="BodyText"/>
        <w:spacing w:after="160" w:line="252" w:lineRule="auto"/>
        <w:jc w:val="both"/>
      </w:pPr>
      <w:r>
        <w:rPr>
          <w:sz w:val="20"/>
        </w:rPr>
        <w:t>[4] Ghosh, D. P. Continual CVVC-RAG: A Biologically-Inspired Architecture for Lifelong Retrieval-Augmented Generation. https://doi.org/10.13140/RG.2.2.27009.77923</w:t>
      </w:r>
    </w:p>
    <w:p w14:paraId="6C2FE530" w14:textId="77777777" w:rsidR="004777AC" w:rsidRDefault="00000000" w:rsidP="0048543B">
      <w:pPr>
        <w:pStyle w:val="BodyText"/>
        <w:spacing w:after="160" w:line="252" w:lineRule="auto"/>
        <w:jc w:val="both"/>
      </w:pPr>
      <w:r>
        <w:rPr>
          <w:sz w:val="20"/>
        </w:rPr>
        <w:t>[5] Ghosh, D. P. CVVC-RAG: A Three-Strand, MVVM-Style Architecture for Deliberative Retrieval-Augmented Generation. https://doi.org/10.13140/RG.2.2.35568.78086</w:t>
      </w:r>
    </w:p>
    <w:p w14:paraId="04784280" w14:textId="77777777" w:rsidR="004777AC" w:rsidRDefault="00000000" w:rsidP="0048543B">
      <w:pPr>
        <w:pStyle w:val="BodyText"/>
        <w:spacing w:after="160" w:line="252" w:lineRule="auto"/>
        <w:jc w:val="both"/>
      </w:pPr>
      <w:r>
        <w:rPr>
          <w:sz w:val="20"/>
        </w:rPr>
        <w:t>[6] Ghosh, D. P. System 2 through Okazaki-RAG: Capacity-Bounded Inline Fragment Manipulation for Deliberative Reasoning. https://doi.org/10.13140/RG.2.2.21203.28963</w:t>
      </w:r>
    </w:p>
    <w:p w14:paraId="149BD6E2" w14:textId="77777777" w:rsidR="004777AC" w:rsidRDefault="00000000" w:rsidP="0048543B">
      <w:pPr>
        <w:pStyle w:val="BodyText"/>
        <w:spacing w:after="160" w:line="252" w:lineRule="auto"/>
        <w:jc w:val="both"/>
      </w:pPr>
      <w:r>
        <w:rPr>
          <w:sz w:val="20"/>
        </w:rPr>
        <w:t>[7] Ghosh, D. P. Okazaki-RAG: A Dual-Strand, Parameter-Efficient Architecture for Long-Context Modeling. https://doi.org/10.13140/RG.2.2.12473.89444</w:t>
      </w:r>
    </w:p>
    <w:p w14:paraId="398F6049" w14:textId="77777777" w:rsidR="004777AC" w:rsidRDefault="00000000" w:rsidP="0048543B">
      <w:pPr>
        <w:pStyle w:val="BodyText"/>
        <w:spacing w:after="160" w:line="252" w:lineRule="auto"/>
        <w:jc w:val="both"/>
      </w:pPr>
      <w:r>
        <w:rPr>
          <w:sz w:val="20"/>
        </w:rPr>
        <w:t>[8] Ghosh, D. P. Okazaki-RAG: Asymmetric Dual-Strand Cognition with Reverse-LLM Validation and Sleep-Inspired Consolidation (A Conceptual Framework). https://doi.org/10.13140/RG.2.2.18604.78723</w:t>
      </w:r>
    </w:p>
    <w:p w14:paraId="4C6DB599" w14:textId="77777777" w:rsidR="004777AC" w:rsidRDefault="00000000" w:rsidP="0048543B">
      <w:pPr>
        <w:pStyle w:val="BodyText"/>
        <w:spacing w:after="160" w:line="252" w:lineRule="auto"/>
        <w:jc w:val="both"/>
      </w:pPr>
      <w:r>
        <w:rPr>
          <w:sz w:val="20"/>
        </w:rPr>
        <w:t>[9] Salmon, J. K., Moraes, M. A., Dror, R. O., and Shaw, D. E. (2011). Parallel Random Numbers: As Easy as 1, 2, 3. SC11. Implementation and documentation: https://github.com/DEShawResearch/random123</w:t>
      </w:r>
    </w:p>
    <w:p w14:paraId="27DC89B2" w14:textId="77777777" w:rsidR="004777AC" w:rsidRDefault="00000000" w:rsidP="0048543B">
      <w:pPr>
        <w:pStyle w:val="BodyText"/>
        <w:spacing w:after="160" w:line="252" w:lineRule="auto"/>
        <w:jc w:val="both"/>
      </w:pPr>
      <w:r>
        <w:rPr>
          <w:sz w:val="20"/>
        </w:rPr>
        <w:t>[10] Lingle, L. (2023). Transformer-VQ: Linear-Time Transformers via Vector Quantization. https://arxiv.org/abs/2309.16354</w:t>
      </w:r>
    </w:p>
    <w:p w14:paraId="529B46B5" w14:textId="77777777" w:rsidR="004777AC" w:rsidRDefault="00000000" w:rsidP="0048543B">
      <w:pPr>
        <w:pStyle w:val="BodyText"/>
        <w:spacing w:after="160" w:line="252" w:lineRule="auto"/>
        <w:jc w:val="both"/>
      </w:pPr>
      <w:r>
        <w:rPr>
          <w:sz w:val="20"/>
        </w:rPr>
        <w:t>[11] Fedus, W., Zoph, B., and Shazeer, N. (2021). Switch Transformers: Scaling to Trillion Parameter Models with Simple and Efficient Sparsity. https://arxiv.org/abs/2101.03961</w:t>
      </w:r>
      <w:bookmarkEnd w:id="19"/>
    </w:p>
    <w:sectPr w:rsidR="004777AC">
      <w:headerReference w:type="default" r:id="rId9"/>
      <w:footerReference w:type="default" r:id="rId10"/>
      <w:pgSz w:w="12240" w:h="15840"/>
      <w:pgMar w:top="1080" w:right="1152" w:bottom="1080" w:left="1152"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7030E" w14:textId="77777777" w:rsidR="00E55148" w:rsidRDefault="00E55148">
      <w:pPr>
        <w:spacing w:after="0" w:line="240" w:lineRule="auto"/>
      </w:pPr>
      <w:r>
        <w:separator/>
      </w:r>
    </w:p>
  </w:endnote>
  <w:endnote w:type="continuationSeparator" w:id="0">
    <w:p w14:paraId="34157664" w14:textId="77777777" w:rsidR="00E55148" w:rsidRDefault="00E55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B8DF" w14:textId="77777777" w:rsidR="004777AC" w:rsidRDefault="00000000">
    <w:pPr>
      <w:jc w:val="right"/>
    </w:pPr>
    <w:r>
      <w:fldChar w:fldCharType="begin"/>
    </w:r>
    <w:r>
      <w:instrText>PAGE</w:instrText>
    </w:r>
    <w:r>
      <w:fldChar w:fldCharType="separate"/>
    </w:r>
    <w:r w:rsidR="004854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4F66F" w14:textId="77777777" w:rsidR="00E55148" w:rsidRDefault="00E55148">
      <w:r>
        <w:separator/>
      </w:r>
    </w:p>
  </w:footnote>
  <w:footnote w:type="continuationSeparator" w:id="0">
    <w:p w14:paraId="714F3B7A" w14:textId="77777777" w:rsidR="00E55148" w:rsidRDefault="00E55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E9FB2" w14:textId="77777777" w:rsidR="004777AC" w:rsidRDefault="00000000">
    <w:pPr>
      <w:spacing w:after="0"/>
    </w:pPr>
    <w:r>
      <w:rPr>
        <w:rFonts w:ascii="Arial" w:hAnsi="Arial"/>
        <w:sz w:val="16"/>
      </w:rPr>
      <w:t>Same Flower — Seeded Visitors with KV Counter Memory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0CDE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3A1A85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23995859">
    <w:abstractNumId w:val="0"/>
  </w:num>
  <w:num w:numId="2" w16cid:durableId="10840316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77AC"/>
    <w:rsid w:val="004777AC"/>
    <w:rsid w:val="0048543B"/>
    <w:rsid w:val="00B42120"/>
    <w:rsid w:val="00E55148"/>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C140C"/>
  <w15:docId w15:val="{FD1D1DCD-52F1-4521-AE8C-AE4492FBF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pPr>
    <w:rPr>
      <w:rFonts w:ascii="Times New Roman" w:hAnsi="Times New Roman"/>
      <w:color w:val="000000"/>
      <w:sz w:val="22"/>
    </w:rPr>
  </w:style>
  <w:style w:type="paragraph" w:styleId="Heading1">
    <w:name w:val="heading 1"/>
    <w:basedOn w:val="Normal"/>
    <w:next w:val="BodyText"/>
    <w:uiPriority w:val="9"/>
    <w:qFormat/>
    <w:pPr>
      <w:keepNext/>
      <w:keepLines/>
      <w:spacing w:before="280" w:after="140"/>
      <w:outlineLvl w:val="0"/>
    </w:pPr>
    <w:rPr>
      <w:rFonts w:ascii="Arial" w:hAnsi="Arial" w:cstheme="majorBidi"/>
      <w:b/>
      <w:bCs/>
      <w:sz w:val="28"/>
      <w:szCs w:val="32"/>
    </w:rPr>
  </w:style>
  <w:style w:type="paragraph" w:styleId="Heading2">
    <w:name w:val="heading 2"/>
    <w:basedOn w:val="Normal"/>
    <w:next w:val="BodyText"/>
    <w:uiPriority w:val="9"/>
    <w:unhideWhenUsed/>
    <w:qFormat/>
    <w:pPr>
      <w:keepNext/>
      <w:keepLines/>
      <w:spacing w:before="280" w:after="140"/>
      <w:outlineLvl w:val="1"/>
    </w:pPr>
    <w:rPr>
      <w:rFonts w:ascii="Arial" w:hAnsi="Arial" w:cstheme="majorBidi"/>
      <w:b/>
      <w:bCs/>
      <w:sz w:val="24"/>
      <w:szCs w:val="28"/>
    </w:rPr>
  </w:style>
  <w:style w:type="paragraph" w:styleId="Heading3">
    <w:name w:val="heading 3"/>
    <w:basedOn w:val="Normal"/>
    <w:next w:val="BodyText"/>
    <w:uiPriority w:val="9"/>
    <w:unhideWhenUsed/>
    <w:qFormat/>
    <w:pPr>
      <w:keepNext/>
      <w:keepLines/>
      <w:spacing w:before="200" w:after="0"/>
      <w:outlineLvl w:val="2"/>
    </w:pPr>
    <w:rPr>
      <w:rFonts w:cstheme="majorBidi"/>
      <w:b/>
      <w:bCs/>
      <w:sz w:val="24"/>
    </w:rPr>
  </w:style>
  <w:style w:type="paragraph" w:styleId="Heading4">
    <w:name w:val="heading 4"/>
    <w:basedOn w:val="Normal"/>
    <w:next w:val="BodyText"/>
    <w:uiPriority w:val="9"/>
    <w:unhideWhenUsed/>
    <w:qFormat/>
    <w:pPr>
      <w:keepNext/>
      <w:keepLines/>
      <w:spacing w:before="200" w:after="0"/>
      <w:outlineLvl w:val="3"/>
    </w:pPr>
    <w:rPr>
      <w:rFonts w:cstheme="majorBidi"/>
      <w:bCs/>
      <w:i/>
      <w:sz w:val="24"/>
    </w:rPr>
  </w:style>
  <w:style w:type="paragraph" w:styleId="Heading5">
    <w:name w:val="heading 5"/>
    <w:basedOn w:val="Normal"/>
    <w:next w:val="BodyText"/>
    <w:uiPriority w:val="9"/>
    <w:unhideWhenUsed/>
    <w:qFormat/>
    <w:pPr>
      <w:keepNext/>
      <w:keepLines/>
      <w:spacing w:before="200" w:after="0"/>
      <w:outlineLvl w:val="4"/>
    </w:pPr>
    <w:rPr>
      <w:rFonts w:cstheme="majorBidi"/>
      <w:iCs/>
      <w:sz w:val="24"/>
    </w:rPr>
  </w:style>
  <w:style w:type="paragraph" w:styleId="Heading6">
    <w:name w:val="heading 6"/>
    <w:basedOn w:val="Normal"/>
    <w:next w:val="BodyText"/>
    <w:uiPriority w:val="9"/>
    <w:unhideWhenUsed/>
    <w:qFormat/>
    <w:pPr>
      <w:keepNext/>
      <w:keepLines/>
      <w:spacing w:before="200" w:after="0"/>
      <w:outlineLvl w:val="5"/>
    </w:pPr>
    <w:rPr>
      <w:rFonts w:cstheme="majorBidi"/>
      <w:sz w:val="24"/>
    </w:rPr>
  </w:style>
  <w:style w:type="paragraph" w:styleId="Heading7">
    <w:name w:val="heading 7"/>
    <w:basedOn w:val="Normal"/>
    <w:next w:val="BodyText"/>
    <w:uiPriority w:val="9"/>
    <w:unhideWhenUsed/>
    <w:qFormat/>
    <w:pPr>
      <w:keepNext/>
      <w:keepLines/>
      <w:spacing w:before="200" w:after="0"/>
      <w:outlineLvl w:val="6"/>
    </w:pPr>
    <w:rPr>
      <w:rFonts w:cstheme="majorBidi"/>
      <w:sz w:val="24"/>
    </w:rPr>
  </w:style>
  <w:style w:type="paragraph" w:styleId="Heading8">
    <w:name w:val="heading 8"/>
    <w:basedOn w:val="Normal"/>
    <w:next w:val="BodyText"/>
    <w:uiPriority w:val="9"/>
    <w:unhideWhenUsed/>
    <w:qFormat/>
    <w:pPr>
      <w:keepNext/>
      <w:keepLines/>
      <w:spacing w:before="200" w:after="0"/>
      <w:outlineLvl w:val="7"/>
    </w:pPr>
    <w:rPr>
      <w:rFonts w:cstheme="majorBidi"/>
      <w:sz w:val="24"/>
    </w:rPr>
  </w:style>
  <w:style w:type="paragraph" w:styleId="Heading9">
    <w:name w:val="heading 9"/>
    <w:basedOn w:val="Normal"/>
    <w:next w:val="BodyText"/>
    <w:uiPriority w:val="9"/>
    <w:unhideWhenUsed/>
    <w:qFormat/>
    <w:pPr>
      <w:keepNext/>
      <w:keepLines/>
      <w:spacing w:before="200" w:after="0"/>
      <w:outlineLvl w:val="8"/>
    </w:pPr>
    <w:rPr>
      <w:rFonts w:cstheme="majorBid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Normal"/>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after="140" w:line="252" w:lineRule="auto"/>
      <w:jc w:val="center"/>
    </w:pPr>
    <w:rPr>
      <w:rFonts w:ascii="Arial" w:hAnsi="Arial" w:cstheme="majorBidi"/>
      <w:b/>
      <w:bCs/>
      <w:sz w:val="42"/>
      <w:szCs w:val="36"/>
    </w:rPr>
  </w:style>
  <w:style w:type="paragraph" w:styleId="Subtitle">
    <w:name w:val="Subtitle"/>
    <w:basedOn w:val="Title"/>
    <w:next w:val="BodyText"/>
    <w:qFormat/>
    <w:rPr>
      <w:sz w:val="24"/>
      <w:szCs w:val="30"/>
    </w:rPr>
  </w:style>
  <w:style w:type="paragraph" w:customStyle="1" w:styleId="Author">
    <w:name w:val="Author"/>
    <w:next w:val="BodyText"/>
    <w:qFormat/>
    <w:pPr>
      <w:keepNext/>
      <w:keepLines/>
      <w:jc w:val="center"/>
    </w:pPr>
    <w:rPr>
      <w:rFonts w:ascii="Times New Roman" w:hAnsi="Times New Roman"/>
      <w:color w:val="000000"/>
    </w:rPr>
  </w:style>
  <w:style w:type="paragraph" w:styleId="Date">
    <w:name w:val="Date"/>
    <w:next w:val="BodyText"/>
    <w:qFormat/>
    <w:pPr>
      <w:keepNext/>
      <w:keepLines/>
      <w:jc w:val="center"/>
    </w:pPr>
    <w:rPr>
      <w:rFonts w:ascii="Times New Roman" w:hAnsi="Times New Roman"/>
      <w:color w:val="000000"/>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olor w:val="000000"/>
    </w:rPr>
  </w:style>
  <w:style w:type="character" w:customStyle="1" w:styleId="VerbatimChar">
    <w:name w:val="Verbatim Char"/>
    <w:basedOn w:val="CaptionChar"/>
    <w:link w:val="SourceCode"/>
    <w:rPr>
      <w:rFonts w:ascii="Times New Roman" w:hAnsi="Times New Roman"/>
      <w:color w:val="000000"/>
      <w:sz w:val="22"/>
    </w:rPr>
  </w:style>
  <w:style w:type="character" w:customStyle="1" w:styleId="SectionNumber">
    <w:name w:val="Section Number"/>
    <w:basedOn w:val="CaptionChar"/>
    <w:rPr>
      <w:rFonts w:ascii="Times New Roman" w:hAnsi="Times New Roman"/>
      <w:color w:val="000000"/>
    </w:rPr>
  </w:style>
  <w:style w:type="character" w:styleId="FootnoteReference">
    <w:name w:val="footnote reference"/>
    <w:basedOn w:val="CaptionChar"/>
    <w:rPr>
      <w:rFonts w:ascii="Times New Roman" w:hAnsi="Times New Roman"/>
      <w:color w:val="000000"/>
      <w:vertAlign w:val="superscript"/>
    </w:rPr>
  </w:style>
  <w:style w:type="character" w:styleId="Hyperlink">
    <w:name w:val="Hyperlink"/>
    <w:basedOn w:val="CaptionChar"/>
    <w:rPr>
      <w:rFonts w:ascii="Times New Roman" w:hAnsi="Times New Roman"/>
      <w:color w:val="000000"/>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5910</Words>
  <Characters>33691</Characters>
  <Application>Microsoft Office Word</Application>
  <DocSecurity>0</DocSecurity>
  <Lines>280</Lines>
  <Paragraphs>79</Paragraphs>
  <ScaleCrop>false</ScaleCrop>
  <Company/>
  <LinksUpToDate>false</LinksUpToDate>
  <CharactersWithSpaces>39522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Same Flower — Seeded Visitors with KV Counter Memory</dc:title>
  <dc:subject>A research architecture for seeded visitors, adaptive participation, and evidence-preserving counted memory</dc:subject>
  <dc:creator>Debi Prasad Ghosh</dc:creator>
  <cp:keywords>Attentionlet; KV Counter; CVVC-RAG; Okazaki-RAG; adaptive memory refinement</cp:keywords>
  <cp:lastModifiedBy>Debiprasad Ghosh</cp:lastModifiedBy>
  <cp:revision>3</cp:revision>
  <dcterms:created xsi:type="dcterms:W3CDTF">2026-10-10T11:49:00Z</dcterms:created>
  <dcterms:modified xsi:type="dcterms:W3CDTF">2026-10-10T17:58:00Z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Research manuscript draft • 10 October 2026</vt:lpwstr>
  </property>
  <property fmtid="{D5CDD505-2E9C-101B-9397-08002B2CF9AE}" pid="3" name="subtitle">
    <vt:lpwstr>Seeded Visitors with KV Counter Memory and Adaptive Participation</vt:lpwstr>
  </property>
</Properties>
</file>