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D509" w14:textId="77777777" w:rsidR="00314867" w:rsidRPr="0096487C" w:rsidRDefault="00000000">
      <w:pPr>
        <w:pStyle w:val="Title"/>
        <w:rPr>
          <w:rFonts w:hint="eastAsia"/>
          <w:sz w:val="84"/>
          <w:szCs w:val="84"/>
        </w:rPr>
      </w:pPr>
      <w:r w:rsidRPr="0096487C">
        <w:rPr>
          <w:sz w:val="84"/>
          <w:szCs w:val="84"/>
        </w:rPr>
        <w:t>The Geometry of Fusion</w:t>
      </w:r>
    </w:p>
    <w:p w14:paraId="263F674E" w14:textId="77777777" w:rsidR="00314867" w:rsidRPr="0096487C" w:rsidRDefault="00000000">
      <w:pPr>
        <w:pStyle w:val="Subtitle"/>
        <w:rPr>
          <w:rFonts w:hint="eastAsia"/>
          <w:color w:val="00B0F0"/>
          <w:sz w:val="24"/>
          <w:szCs w:val="22"/>
        </w:rPr>
      </w:pPr>
      <w:r w:rsidRPr="0096487C">
        <w:rPr>
          <w:color w:val="00B0F0"/>
          <w:sz w:val="24"/>
          <w:szCs w:val="22"/>
        </w:rPr>
        <w:t>Mathematical foundations, neural evidence, and engineering agent harnesses</w:t>
      </w:r>
    </w:p>
    <w:p w14:paraId="696AD52E" w14:textId="77777777" w:rsidR="00314867" w:rsidRDefault="00000000">
      <w:pPr>
        <w:pStyle w:val="Author"/>
        <w:keepLines/>
        <w:rPr>
          <w:rFonts w:hint="eastAsia"/>
        </w:rPr>
      </w:pPr>
      <w:r>
        <w:t>Debi Prasad Ghosh</w:t>
      </w:r>
      <w:r>
        <w:br/>
        <w:t>Founder and Principal Engineer</w:t>
      </w:r>
      <w:r>
        <w:br/>
        <w:t>Debias Parametric Guru, Kolkata, India</w:t>
      </w:r>
    </w:p>
    <w:p w14:paraId="4281283E" w14:textId="77777777" w:rsidR="00314867" w:rsidRDefault="00000000">
      <w:pPr>
        <w:pStyle w:val="Date1"/>
        <w:rPr>
          <w:rFonts w:hint="eastAsia"/>
        </w:rPr>
      </w:pPr>
      <w:r>
        <w:t>Revised 17 October 2026</w:t>
      </w:r>
    </w:p>
    <w:p w14:paraId="6FF1A6E4" w14:textId="77777777" w:rsidR="00314867" w:rsidRDefault="00000000">
      <w:pPr>
        <w:pStyle w:val="Heading1"/>
        <w:spacing w:before="240"/>
        <w:rPr>
          <w:rFonts w:hint="eastAsia"/>
        </w:rPr>
      </w:pPr>
      <w:bookmarkStart w:id="0" w:name="abstract"/>
      <w:r>
        <w:t>Abstract</w:t>
      </w:r>
    </w:p>
    <w:p w14:paraId="249C66E6" w14:textId="77777777" w:rsidR="00314867" w:rsidRDefault="00000000">
      <w:pPr>
        <w:pStyle w:val="FirstParagraph"/>
        <w:rPr>
          <w:rFonts w:hint="eastAsia"/>
        </w:rPr>
      </w:pPr>
      <w:r>
        <w:t>Multi-objective Autoregressive Diffusion Evolution (ADE) combines an evaluated archive with diffusion-style retrieval. Its behavior depends on how objectives, component targets, comparison ranks, and sampling probabilities are combined. This paper gives a self-contained mathematical account of that geometry. Positive weighted sums select supported Pareto solutions; weighted Chebyshev losses can select any Pareto objective vector under a suitable strictly lower reference. A mixture of normalized objective targets requires query-dependent evidence gates. Archive normalization changes both effective preferences and temperature. For independent reference samples, nondominated sorting has a Hamilton–Jacobi limit with a dimension-dependent constant; identifying its zero set with a weak Pareto boundary requires a support condition. A general zero-set Laplace theorem describes the tangential mass selected by normal geometry and shows why no universal front-diversity law follows from ranks alone. Defensive proposals and recorded observation probabilities support uniform reuse over a bounded target family. A frozen integer rank admits annealing at any rate when its rank-zero region has positive reference mass. Separate results address evaluation schedules, information-based metrics, transferred prompts, and IGD+. New numerical checks examine these identities and bounds. Recent neural recordings and human behavioral modeling support limited comparisons involving separate attribute representations, uncertainty, and sequential integration. An engineering harness is formulated as an autoregressive state transition around a fixed model, with numerical search and independent verification. A construction example translates the theory into typed objectives, versioned knowledge, executable evaluators, and testable ablations.</w:t>
      </w:r>
    </w:p>
    <w:p w14:paraId="1F2458F4" w14:textId="77777777" w:rsidR="00314867" w:rsidRDefault="00000000">
      <w:pPr>
        <w:pStyle w:val="BodyText"/>
        <w:rPr>
          <w:rFonts w:hint="eastAsia"/>
        </w:rPr>
      </w:pPr>
      <w:r>
        <w:rPr>
          <w:b/>
          <w:bCs/>
        </w:rPr>
        <w:t>Keywords:</w:t>
      </w:r>
      <w:r>
        <w:t xml:space="preserve"> ADE; multi-objective optimization; Chebyshev scalarization; mixture evidence; Pareto depth; Hamilton–Jacobi equation; adaptive importance sampling; neuroscience; AI harness; construction engineering.</w:t>
      </w:r>
    </w:p>
    <w:p w14:paraId="5075427C" w14:textId="77777777" w:rsidR="00314867" w:rsidRDefault="00000000">
      <w:pPr>
        <w:pStyle w:val="Heading1"/>
        <w:rPr>
          <w:rFonts w:hint="eastAsia"/>
        </w:rPr>
      </w:pPr>
      <w:bookmarkStart w:id="1" w:name="introduction"/>
      <w:bookmarkEnd w:id="0"/>
      <w:r>
        <w:t>1 Introduction</w:t>
      </w:r>
    </w:p>
    <w:p w14:paraId="3D847194" w14:textId="77777777" w:rsidR="00314867" w:rsidRDefault="00000000">
      <w:pPr>
        <w:pStyle w:val="FirstParagraph"/>
        <w:rPr>
          <w:rFonts w:hint="eastAsia"/>
        </w:rPr>
      </w:pPr>
      <w:r>
        <w:t>An engineering search combines several kinds of information. Cost and embodied carbon describe competing preferences. A response uncertainty model describes what an analysis or measurement can establish. A proposal density describes where the optimizer actually samples. A verification gate determines whether the resulting artifact satisfies declared requirements. These objects affect one another but are mathematically distinct.</w:t>
      </w:r>
    </w:p>
    <w:p w14:paraId="1D060F23" w14:textId="77777777" w:rsidR="00314867" w:rsidRDefault="00000000">
      <w:pPr>
        <w:pStyle w:val="BodyText"/>
        <w:rPr>
          <w:rFonts w:hint="eastAsia"/>
        </w:rPr>
      </w:pPr>
      <w:r>
        <w:t xml:space="preserve">Diffusion Evolution [1] supplies a denoising interpretation of population search. The ADE research collection [2] develops autoregressive reuse of evaluated states, while the companion Objectives as Modalities [3] studies several objective-fusion rules. The present paper analyzes the resulting </w:t>
      </w:r>
      <w:r>
        <w:lastRenderedPageBreak/>
        <w:t>probability distributions and partial orders. It uses ADE consistently for Autoregressive Diffusion Evolution.</w:t>
      </w:r>
    </w:p>
    <w:p w14:paraId="0C7F796D" w14:textId="77777777" w:rsidR="00314867" w:rsidRDefault="00000000">
      <w:pPr>
        <w:pStyle w:val="BodyText"/>
        <w:rPr>
          <w:rFonts w:hint="eastAsia"/>
        </w:rPr>
      </w:pPr>
      <w:r>
        <w:t>The central distinction is between a fixed population target and an archive-dependent search rule. A weighted sum with frozen scales defines a fixed loss. A rank recomputed after each evaluation defines a changing comparison rule. Both can guide a proposal, but an estimator for the former does not automatically estimate a fixed version of the latter. Likewise, a posterior-mean identity is not by itself a proof that a finite denoising algorithm samples its intended target.</w:t>
      </w:r>
    </w:p>
    <w:p w14:paraId="1161F78F" w14:textId="77777777" w:rsidR="00314867" w:rsidRDefault="00000000">
      <w:pPr>
        <w:pStyle w:val="BodyText"/>
        <w:rPr>
          <w:rFonts w:hint="eastAsia"/>
        </w:rPr>
      </w:pPr>
      <w:r>
        <w:t>The mathematical results below specify the needed domains, measures, and limits. The neuroscience section concerns functional correspondences that can inform engineering experiments. The harness section gives an executable architecture for construction tasks. It treats prompts, tools, memory, workspace, runtime, reasoning, action, observation, evaluation, and verification as coordinated software roles rather than literal Transformer layers.</w:t>
      </w:r>
    </w:p>
    <w:p w14:paraId="7662DBD3" w14:textId="77777777" w:rsidR="00314867" w:rsidRDefault="00000000">
      <w:pPr>
        <w:pStyle w:val="Heading1"/>
        <w:rPr>
          <w:rFonts w:hint="eastAsia"/>
        </w:rPr>
      </w:pPr>
      <w:bookmarkStart w:id="2" w:name="X80a37da99e25bddd4c989e15c1c53849dfa3e0f"/>
      <w:bookmarkEnd w:id="1"/>
      <w:r>
        <w:t>2 Domain, notation, and the probability contract</w:t>
      </w:r>
    </w:p>
    <w:p w14:paraId="4998144E" w14:textId="77777777" w:rsidR="00314867" w:rsidRDefault="00000000">
      <w:pPr>
        <w:pStyle w:val="Heading2"/>
        <w:rPr>
          <w:rFonts w:hint="eastAsia"/>
        </w:rPr>
      </w:pPr>
      <w:bookmarkStart w:id="3" w:name="objectives-and-efficiency"/>
      <w:r>
        <w:t>2.1 Objectives and efficiency</w:t>
      </w:r>
    </w:p>
    <w:p w14:paraId="6A4FC87A" w14:textId="77777777" w:rsidR="00314867" w:rsidRDefault="00000000">
      <w:pPr>
        <w:pStyle w:val="FirstParagraph"/>
        <w:rPr>
          <w:rFonts w:hint="eastAsia"/>
        </w:rPr>
      </w:pPr>
      <w:r>
        <w:t xml:space="preserve">Let </w:t>
      </w:r>
      <m:oMath>
        <m:r>
          <m:rPr>
            <m:scr m:val="script"/>
            <m:sty m:val="p"/>
          </m:rPr>
          <w:rPr>
            <w:rFonts w:ascii="Cambria Math" w:hAnsi="Cambria Math"/>
          </w:rPr>
          <m:t>X</m:t>
        </m:r>
      </m:oMath>
      <w:r>
        <w:t xml:space="preserve"> be a standard Borel design space, </w:t>
      </w:r>
      <m:oMath>
        <m:r>
          <m:rPr>
            <m:scr m:val="script"/>
            <m:sty m:val="p"/>
          </m:rPr>
          <w:rPr>
            <w:rFonts w:ascii="Cambria Math" w:hAnsi="Cambria Math"/>
          </w:rPr>
          <m:t>C⊆X</m:t>
        </m:r>
      </m:oMath>
      <w:r>
        <w:t xml:space="preserve"> a measurable feasible set, and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oMath>
      <w:r>
        <w:t xml:space="preserve"> a vector of measurable minimized objectives. Comparisons are always over </w:t>
      </w:r>
      <m:oMath>
        <m:r>
          <m:rPr>
            <m:scr m:val="script"/>
            <m:sty m:val="p"/>
          </m:rPr>
          <w:rPr>
            <w:rFonts w:ascii="Cambria Math" w:hAnsi="Cambria Math"/>
          </w:rPr>
          <m:t>C</m:t>
        </m:r>
      </m:oMath>
      <w:r>
        <w:t xml:space="preserve">. For objective vectors, write </w:t>
      </w:r>
      <m:oMath>
        <m:r>
          <w:rPr>
            <w:rFonts w:ascii="Cambria Math" w:hAnsi="Cambria Math"/>
          </w:rPr>
          <m:t>u</m:t>
        </m:r>
        <m:r>
          <m:rPr>
            <m:sty m:val="p"/>
          </m:rPr>
          <w:rPr>
            <w:rFonts w:ascii="Cambria Math" w:hAnsi="Cambria Math"/>
          </w:rPr>
          <m:t>≼</m:t>
        </m:r>
        <m:r>
          <w:rPr>
            <w:rFonts w:ascii="Cambria Math" w:hAnsi="Cambria Math"/>
          </w:rPr>
          <m:t>v</m:t>
        </m:r>
      </m:oMath>
      <w:r>
        <w:t xml:space="preserve"> if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for every </w:t>
      </w:r>
      <m:oMath>
        <m:r>
          <w:rPr>
            <w:rFonts w:ascii="Cambria Math" w:hAnsi="Cambria Math"/>
          </w:rPr>
          <m:t>j</m:t>
        </m:r>
      </m:oMath>
      <w:r>
        <w:t xml:space="preserve">, </w:t>
      </w:r>
      <m:oMath>
        <m:r>
          <w:rPr>
            <w:rFonts w:ascii="Cambria Math" w:hAnsi="Cambria Math"/>
          </w:rPr>
          <m:t>u</m:t>
        </m:r>
        <m:r>
          <m:rPr>
            <m:sty m:val="p"/>
          </m:rPr>
          <w:rPr>
            <w:rFonts w:ascii="Cambria Math" w:hAnsi="Cambria Math"/>
          </w:rPr>
          <m:t>≺</m:t>
        </m:r>
        <m:r>
          <w:rPr>
            <w:rFonts w:ascii="Cambria Math" w:hAnsi="Cambria Math"/>
          </w:rPr>
          <m:t>v</m:t>
        </m:r>
      </m:oMath>
      <w:r>
        <w:t xml:space="preserve"> if additionally </w:t>
      </w:r>
      <m:oMath>
        <m:r>
          <w:rPr>
            <w:rFonts w:ascii="Cambria Math" w:hAnsi="Cambria Math"/>
          </w:rPr>
          <m:t>u</m:t>
        </m:r>
        <m:r>
          <m:rPr>
            <m:sty m:val="p"/>
          </m:rPr>
          <w:rPr>
            <w:rFonts w:ascii="Cambria Math" w:hAnsi="Cambria Math"/>
          </w:rPr>
          <m:t>≠</m:t>
        </m:r>
        <m:r>
          <w:rPr>
            <w:rFonts w:ascii="Cambria Math" w:hAnsi="Cambria Math"/>
          </w:rPr>
          <m:t>v</m:t>
        </m:r>
      </m:oMath>
      <w:r>
        <w:t xml:space="preserve">, and </w:t>
      </w:r>
      <m:oMath>
        <m:r>
          <w:rPr>
            <w:rFonts w:ascii="Cambria Math" w:hAnsi="Cambria Math"/>
          </w:rPr>
          <m:t>u</m:t>
        </m:r>
        <m:r>
          <m:rPr>
            <m:sty m:val="p"/>
          </m:rPr>
          <w:rPr>
            <w:rFonts w:ascii="Cambria Math" w:hAnsi="Cambria Math"/>
          </w:rPr>
          <m:t>&lt;</m:t>
        </m:r>
        <m:r>
          <w:rPr>
            <w:rFonts w:ascii="Cambria Math" w:hAnsi="Cambria Math"/>
          </w:rPr>
          <m:t>v</m:t>
        </m:r>
      </m:oMath>
      <w:r>
        <w:t xml:space="preserve"> if every coordinate inequality is strict. A design is Pareto efficient if no feasible design dominates it, and weakly efficient if no feasible design improves every coordinate strictly. Write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oMath>
      <w:r>
        <w:t xml:space="preserve"> for these sets.</w:t>
      </w:r>
    </w:p>
    <w:p w14:paraId="11CAEFDA" w14:textId="77777777" w:rsidR="00314867" w:rsidRDefault="00000000">
      <w:pPr>
        <w:pStyle w:val="BodyText"/>
        <w:rPr>
          <w:rFonts w:hint="eastAsia"/>
        </w:rPr>
      </w:pPr>
      <w:r>
        <w:t xml:space="preserve">Let </w:t>
      </w:r>
      <m:oMath>
        <m:r>
          <w:rPr>
            <w:rFonts w:ascii="Cambria Math" w:hAnsi="Cambria Math"/>
          </w:rPr>
          <m:t>μ</m:t>
        </m:r>
      </m:oMath>
      <w:r>
        <w:t xml:space="preserve"> be a probability measure on </w:t>
      </w:r>
      <m:oMath>
        <m:r>
          <m:rPr>
            <m:scr m:val="script"/>
            <m:sty m:val="p"/>
          </m:rPr>
          <w:rPr>
            <w:rFonts w:ascii="Cambria Math" w:hAnsi="Cambria Math"/>
          </w:rPr>
          <m:t>C</m:t>
        </m:r>
      </m:oMath>
      <w:r>
        <w:t xml:space="preserve">. It may include continuous coordinates, discrete catalogs, and atoms. Fixed offsets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and positive scales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define dimensionless objectives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Use positive preferences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with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r>
          <w:rPr>
            <w:rFonts w:ascii="Cambria Math" w:hAnsi="Cambria Math"/>
          </w:rPr>
          <m:t>1</m:t>
        </m:r>
      </m:oMath>
      <w:r>
        <w:t xml:space="preserve"> for Pareto statements. The closed simplex is allowed in the uniform estimation result, where zero weights need not preserve efficiency.</w:t>
      </w:r>
    </w:p>
    <w:p w14:paraId="31603784" w14:textId="77777777" w:rsidR="00314867" w:rsidRDefault="00000000">
      <w:pPr>
        <w:pStyle w:val="BodyText"/>
        <w:keepNext/>
        <w:rPr>
          <w:rFonts w:hint="eastAsia"/>
        </w:rPr>
      </w:pPr>
      <w:r>
        <w:t xml:space="preserve">For a measurable loss </w:t>
      </w:r>
      <m:oMath>
        <m:r>
          <w:rPr>
            <w:rFonts w:ascii="Cambria Math" w:hAnsi="Cambria Math"/>
          </w:rPr>
          <m:t>S</m:t>
        </m:r>
      </m:oMath>
      <w:r>
        <w:t xml:space="preserve"> with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&lt;∞</m:t>
        </m:r>
      </m:oMath>
      <w:r>
        <w:t>, define</w:t>
      </w:r>
    </w:p>
    <w:p w14:paraId="533E9B11"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dx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r>
                        <w:rPr>
                          <w:rFonts w:ascii="Cambria Math" w:hAnsi="Cambria Math"/>
                        </w:rPr>
                        <m:t>x</m:t>
                      </m:r>
                    </m:e>
                  </m:d>
                </m:sup>
              </m:sSup>
            </m:num>
            <m:den>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den>
          </m:f>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m:t>
          </m:r>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r>
            <m:rPr>
              <m:nor/>
            </m:rPr>
            <m:t>    (1)</m:t>
          </m:r>
        </m:oMath>
      </m:oMathPara>
    </w:p>
    <w:p w14:paraId="23CFCC65" w14:textId="77777777" w:rsidR="00314867" w:rsidRDefault="00000000">
      <w:pPr>
        <w:pStyle w:val="FirstParagraph"/>
        <w:rPr>
          <w:rFonts w:hint="eastAsia"/>
        </w:rPr>
      </w:pPr>
      <w:r>
        <w:t xml:space="preserve">Equation (1) is a loss-based or generalized-Bayes tilt [4]. A cost preference is not an observation likelihood or a probability of structural safety. Hard constraints enter through </w:t>
      </w:r>
      <m:oMath>
        <m:r>
          <m:rPr>
            <m:scr m:val="script"/>
            <m:sty m:val="p"/>
          </m:rPr>
          <w:rPr>
            <w:rFonts w:ascii="Cambria Math" w:hAnsi="Cambria Math"/>
          </w:rPr>
          <m:t>C</m:t>
        </m:r>
      </m:oMath>
      <w:r>
        <w:t xml:space="preserve"> or an explicit indicator, rather than an arbitrary finite penalty. If </w:t>
      </w:r>
      <m:oMath>
        <m:r>
          <w:rPr>
            <w:rFonts w:ascii="Cambria Math" w:hAnsi="Cambria Math"/>
          </w:rPr>
          <m:t>μ</m:t>
        </m:r>
      </m:oMath>
      <w:r>
        <w:t xml:space="preserve"> is conditioned on feasibility, that conditioning must itself be defined and have positive mass.</w:t>
      </w:r>
    </w:p>
    <w:p w14:paraId="75E103C6" w14:textId="77777777" w:rsidR="00314867" w:rsidRDefault="00000000">
      <w:pPr>
        <w:pStyle w:val="Heading2"/>
        <w:rPr>
          <w:rFonts w:hint="eastAsia"/>
        </w:rPr>
      </w:pPr>
      <w:bookmarkStart w:id="4" w:name="Xb4dee36a3ad5d4c8f47af317d4f0bb7d51c3803"/>
      <w:bookmarkEnd w:id="3"/>
      <w:r>
        <w:t>2.2 Numerical retrieval and archive correction</w:t>
      </w:r>
    </w:p>
    <w:p w14:paraId="545AAEE7" w14:textId="77777777" w:rsidR="00314867" w:rsidRDefault="00000000">
      <w:pPr>
        <w:pStyle w:val="FirstParagraph"/>
        <w:keepNext/>
        <w:rPr>
          <w:rFonts w:hint="eastAsia"/>
        </w:rPr>
      </w:pPr>
      <w:r>
        <w:t xml:space="preserve">For a continuous numerical state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let </w:t>
      </w:r>
      <m:oMath>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r>
          <m:rPr>
            <m:nor/>
          </m:rPr>
          <m:t>    </m:t>
        </m:r>
        <m:r>
          <w:rPr>
            <w:rFonts w:ascii="Cambria Math" w:hAnsi="Cambria Math"/>
          </w:rPr>
          <m:t>ξ</m:t>
        </m:r>
      </m:oMath>
      <w:r>
        <w:t xml:space="preserve">, where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xml:space="preserve"> and </w:t>
      </w:r>
      <m:oMath>
        <m:r>
          <w:rPr>
            <w:rFonts w:ascii="Cambria Math" w:hAnsi="Cambria Math"/>
          </w:rPr>
          <m:t>ξ</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oMath>
      <w:r>
        <w:t>. The retrieval kernel and the exact origin mean are</w:t>
      </w:r>
    </w:p>
    <w:p w14:paraId="35F4A404"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w:rPr>
                  <w:rFonts w:ascii="Cambria Math" w:hAnsi="Cambria Math"/>
                </w:rPr>
                <m:t>I</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π</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w:rPr>
                  <w:rFonts w:ascii="Cambria Math" w:hAnsi="Cambria Math"/>
                </w:rPr>
                <m:t>π</m:t>
              </m:r>
              <m:d>
                <m:dPr>
                  <m:ctrlPr>
                    <w:rPr>
                      <w:rFonts w:ascii="Cambria Math" w:hAnsi="Cambria Math"/>
                    </w:rPr>
                  </m:ctrlPr>
                </m:dPr>
                <m:e>
                  <m:r>
                    <w:rPr>
                      <w:rFonts w:ascii="Cambria Math" w:hAnsi="Cambria Math"/>
                    </w:rPr>
                    <m:t>dy</m:t>
                  </m:r>
                </m:e>
              </m:d>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w:rPr>
                  <w:rFonts w:ascii="Cambria Math" w:hAnsi="Cambria Math"/>
                </w:rPr>
                <m:t>π</m:t>
              </m:r>
              <m:d>
                <m:dPr>
                  <m:ctrlPr>
                    <w:rPr>
                      <w:rFonts w:ascii="Cambria Math" w:hAnsi="Cambria Math"/>
                    </w:rPr>
                  </m:ctrlPr>
                </m:dPr>
                <m:e>
                  <m:r>
                    <w:rPr>
                      <w:rFonts w:ascii="Cambria Math" w:hAnsi="Cambria Math"/>
                    </w:rPr>
                    <m:t>dy</m:t>
                  </m:r>
                </m:e>
              </m:d>
            </m:den>
          </m:f>
          <m:r>
            <m:rPr>
              <m:sty m:val="p"/>
            </m:rPr>
            <w:rPr>
              <w:rFonts w:ascii="Cambria Math" w:hAnsi="Cambria Math"/>
            </w:rPr>
            <m:t>.</m:t>
          </m:r>
          <m:r>
            <m:rPr>
              <m:nor/>
            </m:rPr>
            <m:t>    (2)</m:t>
          </m:r>
        </m:oMath>
      </m:oMathPara>
    </w:p>
    <w:p w14:paraId="05450DF7" w14:textId="77777777" w:rsidR="00314867" w:rsidRDefault="00000000">
      <w:pPr>
        <w:pStyle w:val="FirstParagraph"/>
        <w:rPr>
          <w:rFonts w:hint="eastAsia"/>
        </w:rPr>
      </w:pPr>
      <w:r>
        <w:t xml:space="preserve">Assume the numerator is integrable. At a fixed positive </w:t>
      </w:r>
      <m:oMath>
        <m:r>
          <w:rPr>
            <w:rFonts w:ascii="Cambria Math" w:hAnsi="Cambria Math"/>
          </w:rPr>
          <m:t>a</m:t>
        </m:r>
      </m:oMath>
      <w:r>
        <w:t xml:space="preserve">, the Gaussian kernel times </w:t>
      </w:r>
      <m:oMath>
        <m:r>
          <m:rPr>
            <m:sty m:val="p"/>
          </m:rPr>
          <w:rPr>
            <w:rFonts w:ascii="Cambria Math" w:hAnsi="Cambria Math"/>
          </w:rPr>
          <m:t>∥</m:t>
        </m:r>
        <m:r>
          <w:rPr>
            <w:rFonts w:ascii="Cambria Math" w:hAnsi="Cambria Math"/>
          </w:rPr>
          <m:t>y</m:t>
        </m:r>
        <m:r>
          <m:rPr>
            <m:sty m:val="p"/>
          </m:rPr>
          <w:rPr>
            <w:rFonts w:ascii="Cambria Math" w:hAnsi="Cambria Math"/>
          </w:rPr>
          <m:t>∥</m:t>
        </m:r>
      </m:oMath>
      <w:r>
        <w:t xml:space="preserve"> is bounded, so this follows for any probability target. At </w:t>
      </w:r>
      <m:oMath>
        <m:r>
          <w:rPr>
            <w:rFonts w:ascii="Cambria Math" w:hAnsi="Cambria Math"/>
          </w:rPr>
          <m:t>a</m:t>
        </m:r>
        <m:r>
          <m:rPr>
            <m:sty m:val="p"/>
          </m:rPr>
          <w:rPr>
            <w:rFonts w:ascii="Cambria Math" w:hAnsi="Cambria Math"/>
          </w:rPr>
          <m:t>=</m:t>
        </m:r>
        <m:r>
          <w:rPr>
            <w:rFonts w:ascii="Cambria Math" w:hAnsi="Cambria Math"/>
          </w:rPr>
          <m:t>0</m:t>
        </m:r>
      </m:oMath>
      <w:r>
        <w:t>, a prior mean requires its own first-moment assumption.</w:t>
      </w:r>
    </w:p>
    <w:p w14:paraId="45356E68" w14:textId="77777777" w:rsidR="00314867" w:rsidRDefault="00000000">
      <w:pPr>
        <w:pStyle w:val="BodyText"/>
        <w:rPr>
          <w:rFonts w:hint="eastAsia"/>
        </w:rPr>
      </w:pPr>
      <w:r>
        <w:lastRenderedPageBreak/>
        <w:t xml:space="preserve">The simple attention logits </w:t>
      </w:r>
      <m:oMath>
        <m:r>
          <m:rPr>
            <m:sty m:val="p"/>
          </m:rPr>
          <w:rPr>
            <w:rFonts w:ascii="Cambria Math" w:hAnsi="Cambria Math"/>
          </w:rPr>
          <m:t>-</m:t>
        </m:r>
        <m:r>
          <w:rPr>
            <w:rFonts w:ascii="Cambria Math" w:hAnsi="Cambria Math"/>
          </w:rPr>
          <m:t>βS</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represent an empirical archive tilt. They approximate the population target (1) directly only for suitable reference draws. An adaptive archive requires the proposal and observation corrections in Section 8. This distinction persists even when the decoder resembles a neural attention block.</w:t>
      </w:r>
    </w:p>
    <w:p w14:paraId="2DD97608" w14:textId="77777777" w:rsidR="00314867" w:rsidRDefault="00000000">
      <w:pPr>
        <w:pStyle w:val="Caption"/>
        <w:keepNext/>
        <w:rPr>
          <w:rFonts w:hint="eastAsia"/>
        </w:rPr>
      </w:pPr>
      <w:r>
        <w:t>Table 1. Objects combined by the fusion rules.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4176"/>
        <w:gridCol w:w="4032"/>
      </w:tblGrid>
      <w:tr w:rsidR="00314867" w14:paraId="1DAB7C52" w14:textId="77777777">
        <w:trPr>
          <w:cantSplit/>
          <w:tblHeader/>
          <w:jc w:val="center"/>
        </w:trPr>
        <w:tc>
          <w:tcPr>
            <w:tcW w:w="1728" w:type="dxa"/>
            <w:shd w:val="clear" w:color="auto" w:fill="EAEAEA"/>
            <w:tcMar>
              <w:top w:w="80" w:type="dxa"/>
              <w:left w:w="85" w:type="dxa"/>
              <w:bottom w:w="80" w:type="dxa"/>
              <w:right w:w="85" w:type="dxa"/>
            </w:tcMar>
            <w:vAlign w:val="center"/>
          </w:tcPr>
          <w:p w14:paraId="0A91DA1D" w14:textId="77777777" w:rsidR="00314867" w:rsidRDefault="00000000">
            <w:pPr>
              <w:keepNext/>
              <w:keepLines/>
              <w:spacing w:after="0" w:line="247" w:lineRule="auto"/>
              <w:jc w:val="left"/>
              <w:rPr>
                <w:rFonts w:hint="eastAsia"/>
              </w:rPr>
            </w:pPr>
            <w:r>
              <w:rPr>
                <w:b/>
                <w:sz w:val="21"/>
              </w:rPr>
              <w:t>Rule</w:t>
            </w:r>
          </w:p>
        </w:tc>
        <w:tc>
          <w:tcPr>
            <w:tcW w:w="4176" w:type="dxa"/>
            <w:shd w:val="clear" w:color="auto" w:fill="EAEAEA"/>
            <w:tcMar>
              <w:top w:w="80" w:type="dxa"/>
              <w:left w:w="85" w:type="dxa"/>
              <w:bottom w:w="80" w:type="dxa"/>
              <w:right w:w="85" w:type="dxa"/>
            </w:tcMar>
            <w:vAlign w:val="center"/>
          </w:tcPr>
          <w:p w14:paraId="18694FC6" w14:textId="77777777" w:rsidR="00314867" w:rsidRDefault="00000000">
            <w:pPr>
              <w:keepNext/>
              <w:keepLines/>
              <w:spacing w:after="0" w:line="247" w:lineRule="auto"/>
              <w:jc w:val="left"/>
              <w:rPr>
                <w:rFonts w:hint="eastAsia"/>
              </w:rPr>
            </w:pPr>
            <w:r>
              <w:rPr>
                <w:b/>
                <w:sz w:val="21"/>
              </w:rPr>
              <w:t>Loss or probability object</w:t>
            </w:r>
          </w:p>
        </w:tc>
        <w:tc>
          <w:tcPr>
            <w:tcW w:w="4032" w:type="dxa"/>
            <w:shd w:val="clear" w:color="auto" w:fill="EAEAEA"/>
            <w:tcMar>
              <w:top w:w="80" w:type="dxa"/>
              <w:left w:w="85" w:type="dxa"/>
              <w:bottom w:w="80" w:type="dxa"/>
              <w:right w:w="85" w:type="dxa"/>
            </w:tcMar>
            <w:vAlign w:val="center"/>
          </w:tcPr>
          <w:p w14:paraId="1B260C1D" w14:textId="77777777" w:rsidR="00314867" w:rsidRDefault="00000000">
            <w:pPr>
              <w:keepNext/>
              <w:keepLines/>
              <w:spacing w:after="0" w:line="247" w:lineRule="auto"/>
              <w:jc w:val="left"/>
              <w:rPr>
                <w:rFonts w:hint="eastAsia"/>
              </w:rPr>
            </w:pPr>
            <w:r>
              <w:rPr>
                <w:b/>
                <w:sz w:val="21"/>
              </w:rPr>
              <w:t>Scope of its guarantee</w:t>
            </w:r>
          </w:p>
        </w:tc>
      </w:tr>
      <w:tr w:rsidR="00314867" w14:paraId="1E416B26" w14:textId="77777777">
        <w:trPr>
          <w:cantSplit/>
          <w:jc w:val="center"/>
        </w:trPr>
        <w:tc>
          <w:tcPr>
            <w:tcW w:w="1728" w:type="dxa"/>
            <w:shd w:val="clear" w:color="auto" w:fill="FFFFFF"/>
            <w:tcMar>
              <w:top w:w="80" w:type="dxa"/>
              <w:left w:w="85" w:type="dxa"/>
              <w:bottom w:w="80" w:type="dxa"/>
              <w:right w:w="85" w:type="dxa"/>
            </w:tcMar>
            <w:vAlign w:val="center"/>
          </w:tcPr>
          <w:p w14:paraId="56CD09B7" w14:textId="77777777" w:rsidR="00314867" w:rsidRDefault="00000000">
            <w:pPr>
              <w:keepLines/>
              <w:spacing w:after="0" w:line="247" w:lineRule="auto"/>
              <w:jc w:val="left"/>
              <w:rPr>
                <w:rFonts w:hint="eastAsia"/>
              </w:rPr>
            </w:pPr>
            <w:r>
              <w:rPr>
                <w:sz w:val="21"/>
              </w:rPr>
              <w:t>Early fusion</w:t>
            </w:r>
          </w:p>
        </w:tc>
        <w:tc>
          <w:tcPr>
            <w:tcW w:w="4176" w:type="dxa"/>
            <w:shd w:val="clear" w:color="auto" w:fill="FFFFFF"/>
            <w:tcMar>
              <w:top w:w="80" w:type="dxa"/>
              <w:left w:w="85" w:type="dxa"/>
              <w:bottom w:w="80" w:type="dxa"/>
              <w:right w:w="85" w:type="dxa"/>
            </w:tcMar>
            <w:vAlign w:val="center"/>
          </w:tcPr>
          <w:p w14:paraId="12FA869A" w14:textId="77777777" w:rsidR="00314867"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oMath>
            </m:oMathPara>
          </w:p>
        </w:tc>
        <w:tc>
          <w:tcPr>
            <w:tcW w:w="4032" w:type="dxa"/>
            <w:shd w:val="clear" w:color="auto" w:fill="FFFFFF"/>
            <w:tcMar>
              <w:top w:w="80" w:type="dxa"/>
              <w:left w:w="85" w:type="dxa"/>
              <w:bottom w:w="80" w:type="dxa"/>
              <w:right w:w="85" w:type="dxa"/>
            </w:tcMar>
            <w:vAlign w:val="center"/>
          </w:tcPr>
          <w:p w14:paraId="300A829C" w14:textId="77777777" w:rsidR="00314867" w:rsidRDefault="00000000">
            <w:pPr>
              <w:keepLines/>
              <w:spacing w:after="0" w:line="247" w:lineRule="auto"/>
              <w:jc w:val="left"/>
              <w:rPr>
                <w:rFonts w:hint="eastAsia"/>
              </w:rPr>
            </w:pPr>
            <w:r>
              <w:rPr>
                <w:sz w:val="21"/>
              </w:rPr>
              <w:t>Positive-weight minimizers are supported efficient designs</w:t>
            </w:r>
          </w:p>
        </w:tc>
      </w:tr>
      <w:tr w:rsidR="00314867" w14:paraId="06FBF987" w14:textId="77777777">
        <w:trPr>
          <w:cantSplit/>
          <w:jc w:val="center"/>
        </w:trPr>
        <w:tc>
          <w:tcPr>
            <w:tcW w:w="1728" w:type="dxa"/>
            <w:shd w:val="clear" w:color="auto" w:fill="FFFFFF"/>
            <w:tcMar>
              <w:top w:w="80" w:type="dxa"/>
              <w:left w:w="85" w:type="dxa"/>
              <w:bottom w:w="80" w:type="dxa"/>
              <w:right w:w="85" w:type="dxa"/>
            </w:tcMar>
            <w:vAlign w:val="center"/>
          </w:tcPr>
          <w:p w14:paraId="4EB8476D" w14:textId="77777777" w:rsidR="00314867" w:rsidRDefault="00000000">
            <w:pPr>
              <w:keepLines/>
              <w:spacing w:after="0" w:line="247" w:lineRule="auto"/>
              <w:jc w:val="left"/>
              <w:rPr>
                <w:rFonts w:hint="eastAsia"/>
              </w:rPr>
            </w:pPr>
            <w:r>
              <w:rPr>
                <w:sz w:val="21"/>
              </w:rPr>
              <w:t>Chebyshev</w:t>
            </w:r>
          </w:p>
        </w:tc>
        <w:tc>
          <w:tcPr>
            <w:tcW w:w="4176" w:type="dxa"/>
            <w:shd w:val="clear" w:color="auto" w:fill="FFFFFF"/>
            <w:tcMar>
              <w:top w:w="80" w:type="dxa"/>
              <w:left w:w="85" w:type="dxa"/>
              <w:bottom w:w="80" w:type="dxa"/>
              <w:right w:w="85" w:type="dxa"/>
            </w:tcMar>
            <w:vAlign w:val="center"/>
          </w:tcPr>
          <w:p w14:paraId="0E990A66" w14:textId="77777777" w:rsidR="00314867"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T</m:t>
                    </m:r>
                  </m:e>
                  <m:sub>
                    <m:r>
                      <w:rPr>
                        <w:rFonts w:ascii="Cambria Math" w:hAnsi="Cambria Math"/>
                      </w:rPr>
                      <m:t>λ</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m:oMathPara>
          </w:p>
        </w:tc>
        <w:tc>
          <w:tcPr>
            <w:tcW w:w="4032" w:type="dxa"/>
            <w:shd w:val="clear" w:color="auto" w:fill="FFFFFF"/>
            <w:tcMar>
              <w:top w:w="80" w:type="dxa"/>
              <w:left w:w="85" w:type="dxa"/>
              <w:bottom w:w="80" w:type="dxa"/>
              <w:right w:w="85" w:type="dxa"/>
            </w:tcMar>
            <w:vAlign w:val="center"/>
          </w:tcPr>
          <w:p w14:paraId="2030B0D1" w14:textId="77777777" w:rsidR="00314867" w:rsidRDefault="00000000">
            <w:pPr>
              <w:keepLines/>
              <w:spacing w:after="0" w:line="247" w:lineRule="auto"/>
              <w:jc w:val="left"/>
              <w:rPr>
                <w:rFonts w:hint="eastAsia"/>
              </w:rPr>
            </w:pPr>
            <w:r>
              <w:rPr>
                <w:sz w:val="21"/>
              </w:rPr>
              <w:t>General minimizers are weakly efficient; tailored weights select a Pareto vector</w:t>
            </w:r>
          </w:p>
        </w:tc>
      </w:tr>
      <w:tr w:rsidR="00314867" w14:paraId="28B25E16" w14:textId="77777777">
        <w:trPr>
          <w:cantSplit/>
          <w:jc w:val="center"/>
        </w:trPr>
        <w:tc>
          <w:tcPr>
            <w:tcW w:w="1728" w:type="dxa"/>
            <w:shd w:val="clear" w:color="auto" w:fill="FFFFFF"/>
            <w:tcMar>
              <w:top w:w="80" w:type="dxa"/>
              <w:left w:w="85" w:type="dxa"/>
              <w:bottom w:w="80" w:type="dxa"/>
              <w:right w:w="85" w:type="dxa"/>
            </w:tcMar>
            <w:vAlign w:val="center"/>
          </w:tcPr>
          <w:p w14:paraId="0BA05AFB" w14:textId="77777777" w:rsidR="00314867" w:rsidRDefault="00000000">
            <w:pPr>
              <w:keepLines/>
              <w:spacing w:after="0" w:line="247" w:lineRule="auto"/>
              <w:jc w:val="left"/>
              <w:rPr>
                <w:rFonts w:hint="eastAsia"/>
              </w:rPr>
            </w:pPr>
            <w:r>
              <w:rPr>
                <w:sz w:val="21"/>
              </w:rPr>
              <w:t>Late fusion</w:t>
            </w:r>
          </w:p>
        </w:tc>
        <w:tc>
          <w:tcPr>
            <w:tcW w:w="4176" w:type="dxa"/>
            <w:shd w:val="clear" w:color="auto" w:fill="FFFFFF"/>
            <w:tcMar>
              <w:top w:w="80" w:type="dxa"/>
              <w:left w:w="85" w:type="dxa"/>
              <w:bottom w:w="80" w:type="dxa"/>
              <w:right w:w="85" w:type="dxa"/>
            </w:tcMar>
            <w:vAlign w:val="center"/>
          </w:tcPr>
          <w:p w14:paraId="21CF05BC" w14:textId="77777777" w:rsidR="00314867" w:rsidRDefault="00000000">
            <w:pPr>
              <w:keepLines/>
              <w:spacing w:after="0" w:line="247" w:lineRule="auto"/>
              <w:jc w:val="left"/>
              <w:rPr>
                <w:rFonts w:hint="eastAsia"/>
              </w:rPr>
            </w:pPr>
            <m:oMathPara>
              <m:oMath>
                <m:acc>
                  <m:accPr>
                    <m:chr m:val="‾"/>
                    <m:ctrlPr>
                      <w:rPr>
                        <w:rFonts w:ascii="Cambria Math" w:hAnsi="Cambria Math"/>
                      </w:rPr>
                    </m:ctrlPr>
                  </m:accPr>
                  <m:e>
                    <m:r>
                      <w:rPr>
                        <w:rFonts w:ascii="Cambria Math" w:hAnsi="Cambria Math"/>
                      </w:rPr>
                      <m:t>π</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oMath>
            </m:oMathPara>
          </w:p>
        </w:tc>
        <w:tc>
          <w:tcPr>
            <w:tcW w:w="4032" w:type="dxa"/>
            <w:shd w:val="clear" w:color="auto" w:fill="FFFFFF"/>
            <w:tcMar>
              <w:top w:w="80" w:type="dxa"/>
              <w:left w:w="85" w:type="dxa"/>
              <w:bottom w:w="80" w:type="dxa"/>
              <w:right w:w="85" w:type="dxa"/>
            </w:tcMar>
            <w:vAlign w:val="center"/>
          </w:tcPr>
          <w:p w14:paraId="1E1BB9C4" w14:textId="77777777" w:rsidR="00314867" w:rsidRDefault="00000000">
            <w:pPr>
              <w:keepLines/>
              <w:spacing w:after="0" w:line="247" w:lineRule="auto"/>
              <w:jc w:val="left"/>
              <w:rPr>
                <w:rFonts w:hint="eastAsia"/>
              </w:rPr>
            </w:pPr>
            <w:r>
              <w:rPr>
                <w:sz w:val="21"/>
              </w:rPr>
              <w:t>Exact posterior mean uses evidence gates</w:t>
            </w:r>
          </w:p>
        </w:tc>
      </w:tr>
      <w:tr w:rsidR="00314867" w14:paraId="6F536114" w14:textId="77777777">
        <w:trPr>
          <w:cantSplit/>
          <w:jc w:val="center"/>
        </w:trPr>
        <w:tc>
          <w:tcPr>
            <w:tcW w:w="1728" w:type="dxa"/>
            <w:shd w:val="clear" w:color="auto" w:fill="FFFFFF"/>
            <w:tcMar>
              <w:top w:w="80" w:type="dxa"/>
              <w:left w:w="85" w:type="dxa"/>
              <w:bottom w:w="80" w:type="dxa"/>
              <w:right w:w="85" w:type="dxa"/>
            </w:tcMar>
            <w:vAlign w:val="center"/>
          </w:tcPr>
          <w:p w14:paraId="5DD02936" w14:textId="77777777" w:rsidR="00314867" w:rsidRDefault="00000000">
            <w:pPr>
              <w:keepLines/>
              <w:spacing w:after="0" w:line="247" w:lineRule="auto"/>
              <w:jc w:val="left"/>
              <w:rPr>
                <w:rFonts w:hint="eastAsia"/>
              </w:rPr>
            </w:pPr>
            <w:r>
              <w:rPr>
                <w:sz w:val="21"/>
              </w:rPr>
              <w:t>Dominance</w:t>
            </w:r>
          </w:p>
        </w:tc>
        <w:tc>
          <w:tcPr>
            <w:tcW w:w="4176" w:type="dxa"/>
            <w:shd w:val="clear" w:color="auto" w:fill="FFFFFF"/>
            <w:tcMar>
              <w:top w:w="80" w:type="dxa"/>
              <w:left w:w="85" w:type="dxa"/>
              <w:bottom w:w="80" w:type="dxa"/>
              <w:right w:w="85" w:type="dxa"/>
            </w:tcMar>
            <w:vAlign w:val="center"/>
          </w:tcPr>
          <w:p w14:paraId="15C9F7CD" w14:textId="77777777" w:rsidR="00314867" w:rsidRDefault="00000000">
            <w:pPr>
              <w:keepLines/>
              <w:spacing w:after="0" w:line="247" w:lineRule="auto"/>
              <w:jc w:val="left"/>
              <w:rPr>
                <w:rFonts w:hint="eastAsia"/>
              </w:rPr>
            </w:pPr>
            <w:r>
              <w:rPr>
                <w:sz w:val="21"/>
              </w:rPr>
              <w:t>Integer rank or normalized archive rank</w:t>
            </w:r>
          </w:p>
        </w:tc>
        <w:tc>
          <w:tcPr>
            <w:tcW w:w="4032" w:type="dxa"/>
            <w:shd w:val="clear" w:color="auto" w:fill="FFFFFF"/>
            <w:tcMar>
              <w:top w:w="80" w:type="dxa"/>
              <w:left w:w="85" w:type="dxa"/>
              <w:bottom w:w="80" w:type="dxa"/>
              <w:right w:w="85" w:type="dxa"/>
            </w:tcMar>
            <w:vAlign w:val="center"/>
          </w:tcPr>
          <w:p w14:paraId="00343EA1" w14:textId="77777777" w:rsidR="00314867" w:rsidRDefault="00000000">
            <w:pPr>
              <w:keepLines/>
              <w:spacing w:after="0" w:line="247" w:lineRule="auto"/>
              <w:jc w:val="left"/>
              <w:rPr>
                <w:rFonts w:hint="eastAsia"/>
              </w:rPr>
            </w:pPr>
            <w:r>
              <w:rPr>
                <w:sz w:val="21"/>
              </w:rPr>
              <w:t>Fixed only after its comparison reference is frozen</w:t>
            </w:r>
          </w:p>
        </w:tc>
      </w:tr>
      <w:tr w:rsidR="00314867" w14:paraId="07BBC32D" w14:textId="77777777">
        <w:trPr>
          <w:cantSplit/>
          <w:jc w:val="center"/>
        </w:trPr>
        <w:tc>
          <w:tcPr>
            <w:tcW w:w="1728" w:type="dxa"/>
            <w:shd w:val="clear" w:color="auto" w:fill="FFFFFF"/>
            <w:tcMar>
              <w:top w:w="80" w:type="dxa"/>
              <w:left w:w="85" w:type="dxa"/>
              <w:bottom w:w="80" w:type="dxa"/>
              <w:right w:w="85" w:type="dxa"/>
            </w:tcMar>
            <w:vAlign w:val="center"/>
          </w:tcPr>
          <w:p w14:paraId="6CC03E1E" w14:textId="77777777" w:rsidR="00314867" w:rsidRDefault="00000000">
            <w:pPr>
              <w:keepLines/>
              <w:spacing w:after="0" w:line="247" w:lineRule="auto"/>
              <w:jc w:val="left"/>
              <w:rPr>
                <w:rFonts w:hint="eastAsia"/>
              </w:rPr>
            </w:pPr>
            <w:r>
              <w:rPr>
                <w:sz w:val="21"/>
              </w:rPr>
              <w:t>Cross rule</w:t>
            </w:r>
          </w:p>
        </w:tc>
        <w:tc>
          <w:tcPr>
            <w:tcW w:w="4176" w:type="dxa"/>
            <w:shd w:val="clear" w:color="auto" w:fill="FFFFFF"/>
            <w:tcMar>
              <w:top w:w="80" w:type="dxa"/>
              <w:left w:w="85" w:type="dxa"/>
              <w:bottom w:w="80" w:type="dxa"/>
              <w:right w:w="85" w:type="dxa"/>
            </w:tcMar>
            <w:vAlign w:val="center"/>
          </w:tcPr>
          <w:p w14:paraId="261BE4E2" w14:textId="77777777" w:rsidR="00314867" w:rsidRDefault="00000000">
            <w:pPr>
              <w:keepLines/>
              <w:spacing w:after="0" w:line="247" w:lineRule="auto"/>
              <w:jc w:val="left"/>
              <w:rPr>
                <w:rFonts w:hint="eastAsia"/>
              </w:rPr>
            </w:pPr>
            <w:r>
              <w:rPr>
                <w:sz w:val="21"/>
              </w:rPr>
              <w:t>Chebyshev loss plus positive rank penalty</w:t>
            </w:r>
          </w:p>
        </w:tc>
        <w:tc>
          <w:tcPr>
            <w:tcW w:w="4032" w:type="dxa"/>
            <w:shd w:val="clear" w:color="auto" w:fill="FFFFFF"/>
            <w:tcMar>
              <w:top w:w="80" w:type="dxa"/>
              <w:left w:w="85" w:type="dxa"/>
              <w:bottom w:w="80" w:type="dxa"/>
              <w:right w:w="85" w:type="dxa"/>
            </w:tcMar>
            <w:vAlign w:val="center"/>
          </w:tcPr>
          <w:p w14:paraId="17287FCE" w14:textId="77777777" w:rsidR="00314867" w:rsidRDefault="00000000">
            <w:pPr>
              <w:keepLines/>
              <w:spacing w:after="0" w:line="247" w:lineRule="auto"/>
              <w:jc w:val="left"/>
              <w:rPr>
                <w:rFonts w:hint="eastAsia"/>
              </w:rPr>
            </w:pPr>
            <w:r>
              <w:rPr>
                <w:sz w:val="21"/>
              </w:rPr>
              <w:t>On a finite archive, selects Chebyshev minima among nondominated records</w:t>
            </w:r>
          </w:p>
        </w:tc>
      </w:tr>
    </w:tbl>
    <w:p w14:paraId="493B57CF" w14:textId="77777777" w:rsidR="00314867" w:rsidRDefault="00000000">
      <w:pPr>
        <w:pStyle w:val="Heading1"/>
        <w:rPr>
          <w:rFonts w:hint="eastAsia"/>
        </w:rPr>
      </w:pPr>
      <w:bookmarkStart w:id="5" w:name="concentration-and-scalarization-geometry"/>
      <w:bookmarkEnd w:id="2"/>
      <w:bookmarkEnd w:id="4"/>
      <w:r>
        <w:t>3 Concentration and scalarization geometry</w:t>
      </w:r>
    </w:p>
    <w:p w14:paraId="04A47E77" w14:textId="77777777" w:rsidR="00314867" w:rsidRDefault="00000000">
      <w:pPr>
        <w:pStyle w:val="Heading2"/>
        <w:rPr>
          <w:rFonts w:hint="eastAsia"/>
        </w:rPr>
      </w:pPr>
      <w:bookmarkStart w:id="6" w:name="accessible-minima"/>
      <w:r>
        <w:t>3.1 Accessible minima</w:t>
      </w:r>
    </w:p>
    <w:p w14:paraId="35943BAD" w14:textId="77777777" w:rsidR="00314867" w:rsidRDefault="00000000">
      <w:pPr>
        <w:pStyle w:val="FirstParagraph"/>
        <w:keepNext/>
        <w:keepLines/>
        <w:rPr>
          <w:rFonts w:hint="eastAsia"/>
        </w:rPr>
      </w:pPr>
      <w:r>
        <w:rPr>
          <w:b/>
          <w:bCs/>
        </w:rPr>
        <w:t>Lemma 1 (essential-loss concentration).</w:t>
      </w:r>
      <w:r>
        <w:t xml:space="preserve"> Let </w:t>
      </w:r>
      <m:oMath>
        <m:r>
          <w:rPr>
            <w:rFonts w:ascii="Cambria Math" w:hAnsi="Cambria Math"/>
          </w:rPr>
          <m:t>S</m:t>
        </m:r>
      </m:oMath>
      <w:r>
        <w:t xml:space="preserve"> be bounded below, let </w:t>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ess inf</m:t>
            </m:r>
          </m:e>
          <m:sub>
            <m:r>
              <w:rPr>
                <w:rFonts w:ascii="Cambria Math" w:hAnsi="Cambria Math"/>
              </w:rPr>
              <m:t>μ</m:t>
            </m:r>
          </m:sub>
        </m:sSub>
        <m:r>
          <w:rPr>
            <w:rFonts w:ascii="Cambria Math" w:hAnsi="Cambria Math"/>
          </w:rPr>
          <m:t>S</m:t>
        </m:r>
      </m:oMath>
      <w:r>
        <w:t xml:space="preserve"> be finite, and suppose </w:t>
      </w:r>
      <m:oMath>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&lt;∞</m:t>
        </m:r>
      </m:oMath>
      <w:r>
        <w:t xml:space="preserve">. For </w:t>
      </w:r>
      <m:oMath>
        <m:r>
          <w:rPr>
            <w:rFonts w:ascii="Cambria Math" w:hAnsi="Cambria Math"/>
          </w:rPr>
          <m:t>δ</m:t>
        </m:r>
        <m:r>
          <m:rPr>
            <m:sty m:val="p"/>
          </m:rPr>
          <w:rPr>
            <w:rFonts w:ascii="Cambria Math" w:hAnsi="Cambria Math"/>
          </w:rPr>
          <m:t>&gt;</m:t>
        </m:r>
        <m:r>
          <w:rPr>
            <w:rFonts w:ascii="Cambria Math" w:hAnsi="Cambria Math"/>
          </w:rPr>
          <m:t>0</m:t>
        </m:r>
      </m:oMath>
      <w:r>
        <w:t xml:space="preserve">, put </w:t>
      </w:r>
      <m:oMath>
        <m:sSub>
          <m:sSubPr>
            <m:ctrlPr>
              <w:rPr>
                <w:rFonts w:ascii="Cambria Math" w:hAnsi="Cambria Math"/>
              </w:rPr>
            </m:ctrlPr>
          </m:sSubPr>
          <m:e>
            <m:r>
              <w:rPr>
                <w:rFonts w:ascii="Cambria Math" w:hAnsi="Cambria Math"/>
              </w:rPr>
              <m:t>L</m:t>
            </m:r>
          </m:e>
          <m:sub>
            <m:r>
              <w:rPr>
                <w:rFonts w:ascii="Cambria Math" w:hAnsi="Cambria Math"/>
              </w:rPr>
              <m:t>δ</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δ</m:t>
        </m:r>
        <m:r>
          <m:rPr>
            <m:sty m:val="p"/>
          </m:rPr>
          <w:rPr>
            <w:rFonts w:ascii="Cambria Math" w:hAnsi="Cambria Math"/>
          </w:rPr>
          <m:t>}</m:t>
        </m:r>
      </m:oMath>
      <w:r>
        <w:t>. Then</w:t>
      </w:r>
    </w:p>
    <w:p w14:paraId="12C22847"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δ</m:t>
                  </m:r>
                </m:sub>
                <m:sup>
                  <m:r>
                    <w:rPr>
                      <w:rFonts w:ascii="Cambria Math" w:hAnsi="Cambria Math"/>
                    </w:rPr>
                    <m:t>c</m:t>
                  </m:r>
                </m:sup>
              </m:sSubSup>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r>
                    <m:rPr>
                      <m:sty m:val="p"/>
                    </m:rPr>
                    <w:rPr>
                      <w:rFonts w:ascii="Cambria Math" w:hAnsi="Cambria Math"/>
                    </w:rPr>
                    <m:t>/</m:t>
                  </m:r>
                  <m:r>
                    <w:rPr>
                      <w:rFonts w:ascii="Cambria Math" w:hAnsi="Cambria Math"/>
                    </w:rPr>
                    <m:t>2</m:t>
                  </m:r>
                </m:sup>
              </m:sSup>
            </m:num>
            <m:den>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δ</m:t>
                      </m:r>
                      <m:r>
                        <m:rPr>
                          <m:sty m:val="p"/>
                        </m:rPr>
                        <w:rPr>
                          <w:rFonts w:ascii="Cambria Math" w:hAnsi="Cambria Math"/>
                        </w:rPr>
                        <m:t>/</m:t>
                      </m:r>
                      <m:r>
                        <w:rPr>
                          <w:rFonts w:ascii="Cambria Math" w:hAnsi="Cambria Math"/>
                        </w:rPr>
                        <m:t>2</m:t>
                      </m:r>
                    </m:sub>
                  </m:sSub>
                </m:e>
              </m:d>
            </m:den>
          </m:f>
          <m:r>
            <m:rPr>
              <m:sty m:val="p"/>
            </m:rPr>
            <w:rPr>
              <w:rFonts w:ascii="Cambria Math" w:hAnsi="Cambria Math"/>
            </w:rPr>
            <m:t>.</m:t>
          </m:r>
          <m:r>
            <m:rPr>
              <m:nor/>
            </m:rPr>
            <m:t>    (3)</m:t>
          </m:r>
        </m:oMath>
      </m:oMathPara>
    </w:p>
    <w:p w14:paraId="3D8FE9C2" w14:textId="77777777" w:rsidR="00314867" w:rsidRDefault="00000000">
      <w:pPr>
        <w:pStyle w:val="FirstParagraph"/>
        <w:rPr>
          <w:rFonts w:hint="eastAsia"/>
        </w:rPr>
      </w:pPr>
      <w:r>
        <w:rPr>
          <w:i/>
          <w:iCs/>
        </w:rPr>
        <w:t>Proof.</w:t>
      </w:r>
      <w:r>
        <w:t xml:space="preserve"> The numerator outside </w:t>
      </w:r>
      <m:oMath>
        <m:sSub>
          <m:sSubPr>
            <m:ctrlPr>
              <w:rPr>
                <w:rFonts w:ascii="Cambria Math" w:hAnsi="Cambria Math"/>
              </w:rPr>
            </m:ctrlPr>
          </m:sSubPr>
          <m:e>
            <m:r>
              <w:rPr>
                <w:rFonts w:ascii="Cambria Math" w:hAnsi="Cambria Math"/>
              </w:rPr>
              <m:t>L</m:t>
            </m:r>
          </m:e>
          <m:sub>
            <m:r>
              <w:rPr>
                <w:rFonts w:ascii="Cambria Math" w:hAnsi="Cambria Math"/>
              </w:rPr>
              <m:t>δ</m:t>
            </m:r>
          </m:sub>
        </m:sSub>
      </m:oMath>
      <w:r>
        <w:t xml:space="preserve"> is at most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δ</m:t>
                </m:r>
              </m:e>
            </m:d>
          </m:sup>
        </m:sSup>
      </m:oMath>
      <w:r>
        <w:t xml:space="preserve">; the denominator is at least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δ</m:t>
                </m:r>
                <m:r>
                  <m:rPr>
                    <m:sty m:val="p"/>
                  </m:rPr>
                  <w:rPr>
                    <w:rFonts w:ascii="Cambria Math" w:hAnsi="Cambria Math"/>
                  </w:rPr>
                  <m:t>/</m:t>
                </m:r>
                <m:r>
                  <w:rPr>
                    <w:rFonts w:ascii="Cambria Math" w:hAnsi="Cambria Math"/>
                  </w:rPr>
                  <m:t>2</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e>
            </m:d>
          </m:sup>
        </m:sSup>
      </m:oMath>
      <w:r>
        <w:t>. Essential infima make the latter mass positive. Divide the two bounds.</w:t>
      </w:r>
    </w:p>
    <w:p w14:paraId="550799A2" w14:textId="77777777" w:rsidR="00314867" w:rsidRDefault="00000000">
      <w:pPr>
        <w:pStyle w:val="BodyText"/>
        <w:rPr>
          <w:rFonts w:hint="eastAsia"/>
        </w:rPr>
      </w:pPr>
      <w:r>
        <w:t xml:space="preserve">For a continuous loss on a compact feasible domain, a full-support reference ensures that global minima are accessible and that the target concentrates in every neighborhood of the minimizing set. Without accessibility, a zero-reference-mass optimum need not attract any probability. This is a statement about targets as </w:t>
      </w:r>
      <m:oMath>
        <m:r>
          <w:rPr>
            <w:rFonts w:ascii="Cambria Math" w:hAnsi="Cambria Math"/>
          </w:rPr>
          <m:t>β</m:t>
        </m:r>
        <m:r>
          <m:rPr>
            <m:sty m:val="p"/>
          </m:rPr>
          <w:rPr>
            <w:rFonts w:ascii="Cambria Math" w:hAnsi="Cambria Math"/>
          </w:rPr>
          <m:t>→∞</m:t>
        </m:r>
      </m:oMath>
      <w:r>
        <w:t>, not the convergence rate of a finite ADE decoder.</w:t>
      </w:r>
    </w:p>
    <w:p w14:paraId="1F9DB3BF" w14:textId="77777777" w:rsidR="00314867" w:rsidRDefault="00000000">
      <w:pPr>
        <w:pStyle w:val="Heading2"/>
        <w:rPr>
          <w:rFonts w:hint="eastAsia"/>
        </w:rPr>
      </w:pPr>
      <w:bookmarkStart w:id="7" w:name="early-fusion"/>
      <w:bookmarkEnd w:id="6"/>
      <w:r>
        <w:t>3.2 Early fusion</w:t>
      </w:r>
    </w:p>
    <w:p w14:paraId="00055C57" w14:textId="77777777" w:rsidR="00314867" w:rsidRDefault="00000000">
      <w:pPr>
        <w:pStyle w:val="FirstParagraph"/>
        <w:keepNext/>
        <w:keepLines/>
        <w:rPr>
          <w:rFonts w:hint="eastAsia"/>
        </w:rPr>
      </w:pPr>
      <w:r>
        <w:rPr>
          <w:b/>
          <w:bCs/>
        </w:rPr>
        <w:t>Proposition 1 (product geometry).</w:t>
      </w:r>
      <w:r>
        <w:t xml:space="preserve"> The early target satisfies</w:t>
      </w:r>
    </w:p>
    <w:p w14:paraId="68B420B0"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sub>
          </m:sSub>
          <m:d>
            <m:dPr>
              <m:ctrlPr>
                <w:rPr>
                  <w:rFonts w:ascii="Cambria Math" w:hAnsi="Cambria Math"/>
                </w:rPr>
              </m:ctrlPr>
            </m:dPr>
            <m:e>
              <m:r>
                <w:rPr>
                  <w:rFonts w:ascii="Cambria Math" w:hAnsi="Cambria Math"/>
                </w:rPr>
                <m:t>dx</m:t>
              </m:r>
            </m:e>
          </m:d>
          <m:r>
            <m:rPr>
              <m:nor/>
            </m:rPr>
            <m:t>    </m:t>
          </m:r>
          <m:r>
            <m:rPr>
              <m:sty m:val="p"/>
            </m:rPr>
            <w:rPr>
              <w:rFonts w:ascii="Cambria Math" w:hAnsi="Cambria Math"/>
            </w:rPr>
            <m:t>∝</m:t>
          </m:r>
          <m:r>
            <m:rPr>
              <m:nor/>
            </m:rPr>
            <m:t>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sup>
              </m:sSup>
            </m:e>
          </m:nary>
          <m:r>
            <m:rPr>
              <m:nor/>
            </m:rPr>
            <m:t>    </m:t>
          </m:r>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(4)</m:t>
          </m:r>
        </m:oMath>
      </m:oMathPara>
    </w:p>
    <w:p w14:paraId="6156EAC9" w14:textId="77777777" w:rsidR="00314867" w:rsidRDefault="00000000">
      <w:pPr>
        <w:pStyle w:val="FirstParagraph"/>
        <w:rPr>
          <w:rFonts w:hint="eastAsia"/>
        </w:rPr>
      </w:pPr>
      <w:r>
        <w:t>Every attained minimum with positive weights is Pareto efficient. Here supported means selected by a strictly positive linear scalarization of the original objectives; positive fixed scales merely change those weights. Some conventions also call zero-weight solutions supported, so the convention matters.</w:t>
      </w:r>
    </w:p>
    <w:p w14:paraId="5E7A0978" w14:textId="77777777" w:rsidR="00314867" w:rsidRDefault="00000000">
      <w:pPr>
        <w:pStyle w:val="BodyText"/>
        <w:rPr>
          <w:rFonts w:hint="eastAsia"/>
        </w:rPr>
      </w:pPr>
      <w:r>
        <w:rPr>
          <w:i/>
          <w:iCs/>
        </w:rPr>
        <w:lastRenderedPageBreak/>
        <w:t>Proof.</w:t>
      </w:r>
      <w:r>
        <w:t xml:space="preserve"> The exponential of a sum is the product in (4). If another feasible design dominates a minimum, every weighted objective weakly decreases and one strictly decreases, contradicting minimality. The reference measure appears once; (4) makes no claim of conditional independence of physical measurements.</w:t>
      </w:r>
    </w:p>
    <w:p w14:paraId="0ACA2261" w14:textId="77777777" w:rsidR="00314867" w:rsidRDefault="00000000">
      <w:pPr>
        <w:pStyle w:val="BodyText"/>
        <w:rPr>
          <w:rFonts w:hint="eastAsia"/>
        </w:rPr>
      </w:pPr>
      <w:r>
        <w:t xml:space="preserve">On a strictly concave decreasing two-objective front </w:t>
      </w:r>
      <m:oMath>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e>
        </m:d>
      </m:oMath>
      <w:r>
        <w:t xml:space="preserve">, the scalarized front loss is strictly concave and therefore reaches its minimum at an endpoint. On </w:t>
      </w:r>
      <m:oMath>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oMath>
      <w:r>
        <w:t xml:space="preserve">, </w:t>
      </w:r>
      <m:oMath>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t xml:space="preserve">, unit scales give losses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at the two endpoints. A uniform draw of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selects each endpoint with probability one half, except for a zero-probability tie. With scales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the probability of selecting </w:t>
      </w:r>
      <m:oMath>
        <m:r>
          <w:rPr>
            <w:rFonts w:ascii="Cambria Math" w:hAnsi="Cambria Math"/>
          </w:rPr>
          <m:t>u</m:t>
        </m:r>
        <m:r>
          <m:rPr>
            <m:sty m:val="p"/>
          </m:rPr>
          <w:rPr>
            <w:rFonts w:ascii="Cambria Math" w:hAnsi="Cambria Math"/>
          </w:rPr>
          <m:t>=</m:t>
        </m:r>
        <m:r>
          <w:rPr>
            <w:rFonts w:ascii="Cambria Math" w:hAnsi="Cambria Math"/>
          </w:rPr>
          <m:t>1</m:t>
        </m:r>
      </m:oMath>
      <w:r>
        <w:t xml:space="preserve"> becomes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oMath>
      <w:r>
        <w:t>. Finite-temperature targets retain interior mass, and finite search trajectories may visit unsupported efficient points.</w:t>
      </w:r>
    </w:p>
    <w:p w14:paraId="0795984B" w14:textId="77777777" w:rsidR="00314867" w:rsidRDefault="00000000">
      <w:pPr>
        <w:pStyle w:val="Heading2"/>
        <w:rPr>
          <w:rFonts w:hint="eastAsia"/>
        </w:rPr>
      </w:pPr>
      <w:bookmarkStart w:id="8" w:name="chebyshev-reachability"/>
      <w:bookmarkEnd w:id="7"/>
      <w:r>
        <w:t>3.3 Chebyshev reachability</w:t>
      </w:r>
    </w:p>
    <w:p w14:paraId="11001971" w14:textId="77777777" w:rsidR="00314867" w:rsidRDefault="00000000">
      <w:pPr>
        <w:pStyle w:val="FirstParagraph"/>
        <w:keepNext/>
        <w:keepLines/>
        <w:rPr>
          <w:rFonts w:hint="eastAsia"/>
        </w:rPr>
      </w:pPr>
      <w:r>
        <w:rPr>
          <w:b/>
          <w:bCs/>
        </w:rPr>
        <w:t>Theorem 1 (reference-dependent reachability).</w:t>
      </w:r>
      <w:r>
        <w:t xml:space="preserve"> Suppose the scalar minimum exists. Every minimizer of </w:t>
      </w:r>
      <m:oMath>
        <m:sSub>
          <m:sSubPr>
            <m:ctrlPr>
              <w:rPr>
                <w:rFonts w:ascii="Cambria Math" w:hAnsi="Cambria Math"/>
              </w:rPr>
            </m:ctrlPr>
          </m:sSubPr>
          <m:e>
            <m:r>
              <w:rPr>
                <w:rFonts w:ascii="Cambria Math" w:hAnsi="Cambria Math"/>
              </w:rPr>
              <m:t>T</m:t>
            </m:r>
          </m:e>
          <m:sub>
            <m:r>
              <w:rPr>
                <w:rFonts w:ascii="Cambria Math" w:hAnsi="Cambria Math"/>
              </w:rPr>
              <m:t>λ</m:t>
            </m:r>
            <m:r>
              <m:rPr>
                <m:sty m:val="p"/>
              </m:rPr>
              <w:rPr>
                <w:rFonts w:ascii="Cambria Math" w:hAnsi="Cambria Math"/>
              </w:rPr>
              <m:t>,</m:t>
            </m:r>
            <m:r>
              <w:rPr>
                <w:rFonts w:ascii="Cambria Math" w:hAnsi="Cambria Math"/>
              </w:rPr>
              <m:t>z</m:t>
            </m:r>
          </m:sub>
        </m:sSub>
      </m:oMath>
      <w:r>
        <w:t xml:space="preserve"> with positive weights is weakly efficient. If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oMath>
      <w:r>
        <w:t xml:space="preserve"> is Pareto efficient and </w:t>
      </w:r>
      <m:oMath>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m:rPr>
            <m:sty m:val="p"/>
          </m:rPr>
          <w:rPr>
            <w:rFonts w:ascii="Cambria Math" w:hAnsi="Cambria Math"/>
          </w:rPr>
          <m:t>&gt;</m:t>
        </m:r>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for every </w:t>
      </w:r>
      <m:oMath>
        <m:r>
          <w:rPr>
            <w:rFonts w:ascii="Cambria Math" w:hAnsi="Cambria Math"/>
          </w:rPr>
          <m:t>j</m:t>
        </m:r>
      </m:oMath>
      <w:r>
        <w:t>, choose</w:t>
      </w:r>
    </w:p>
    <w:p w14:paraId="4BDCAD43"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e>
                <m:sup>
                  <m:r>
                    <m:rPr>
                      <m:sty m:val="p"/>
                    </m:rPr>
                    <w:rPr>
                      <w:rFonts w:ascii="Cambria Math" w:hAnsi="Cambria Math"/>
                    </w:rPr>
                    <m:t>-</m:t>
                  </m:r>
                  <m:r>
                    <w:rPr>
                      <w:rFonts w:ascii="Cambria Math" w:hAnsi="Cambria Math"/>
                    </w:rPr>
                    <m:t>1</m:t>
                  </m:r>
                </m:sup>
              </m:sSup>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e>
                    <m:sup>
                      <m:r>
                        <m:rPr>
                          <m:sty m:val="p"/>
                        </m:rPr>
                        <w:rPr>
                          <w:rFonts w:ascii="Cambria Math" w:hAnsi="Cambria Math"/>
                        </w:rPr>
                        <m:t>-</m:t>
                      </m:r>
                      <m:r>
                        <w:rPr>
                          <w:rFonts w:ascii="Cambria Math" w:hAnsi="Cambria Math"/>
                        </w:rPr>
                        <m:t>1</m:t>
                      </m:r>
                    </m:sup>
                  </m:sSup>
                </m:e>
              </m:nary>
            </m:den>
          </m:f>
          <m:r>
            <m:rPr>
              <m:sty m:val="p"/>
            </m:rPr>
            <w:rPr>
              <w:rFonts w:ascii="Cambria Math" w:hAnsi="Cambria Math"/>
            </w:rPr>
            <m:t>.</m:t>
          </m:r>
          <m:r>
            <m:rPr>
              <m:nor/>
            </m:rPr>
            <m:t>    (5)</m:t>
          </m:r>
        </m:oMath>
      </m:oMathPara>
    </w:p>
    <w:p w14:paraId="6BEFB96E" w14:textId="77777777" w:rsidR="00314867" w:rsidRDefault="00000000">
      <w:pPr>
        <w:pStyle w:val="FirstParagraph"/>
        <w:rPr>
          <w:rFonts w:hint="eastAsia"/>
        </w:rPr>
      </w:pPr>
      <w:r>
        <w:t xml:space="preserve">Every minimizer then has objective vector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w:t>
      </w:r>
    </w:p>
    <w:p w14:paraId="66A9A5D9" w14:textId="77777777" w:rsidR="00314867" w:rsidRDefault="00000000">
      <w:pPr>
        <w:pStyle w:val="BodyText"/>
        <w:rPr>
          <w:rFonts w:hint="eastAsia"/>
        </w:rPr>
      </w:pPr>
      <w:r>
        <w:rPr>
          <w:i/>
          <w:iCs/>
        </w:rPr>
        <w:t>Proof.</w:t>
      </w:r>
      <w:r>
        <w:t xml:space="preserve"> Strict improvement of every objective strictly reduces each weighted shortfall and hence its maximum. For (5), all weighted shortfalls at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equal one constant </w:t>
      </w:r>
      <m:oMath>
        <m:r>
          <w:rPr>
            <w:rFonts w:ascii="Cambria Math" w:hAnsi="Cambria Math"/>
          </w:rPr>
          <m:t>c</m:t>
        </m:r>
        <m:r>
          <m:rPr>
            <m:sty m:val="p"/>
          </m:rPr>
          <w:rPr>
            <w:rFonts w:ascii="Cambria Math" w:hAnsi="Cambria Math"/>
          </w:rPr>
          <m:t>&gt;</m:t>
        </m:r>
        <m:r>
          <w:rPr>
            <w:rFonts w:ascii="Cambria Math" w:hAnsi="Cambria Math"/>
          </w:rPr>
          <m:t>0</m:t>
        </m:r>
      </m:oMath>
      <w:r>
        <w:t xml:space="preserve">. Any vector with Chebyshev loss at most </w:t>
      </w:r>
      <m:oMath>
        <m:r>
          <w:rPr>
            <w:rFonts w:ascii="Cambria Math" w:hAnsi="Cambria Math"/>
          </w:rPr>
          <m:t>c</m:t>
        </m:r>
      </m:oMath>
      <w:r>
        <w:t xml:space="preserve"> lies coordinatewise below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Efficiency forces equality. A smaller loss would contradict efficiency.</w:t>
      </w:r>
    </w:p>
    <w:p w14:paraId="154C5D76" w14:textId="77777777" w:rsidR="00314867" w:rsidRDefault="00000000">
      <w:pPr>
        <w:pStyle w:val="BodyText"/>
        <w:rPr>
          <w:rFonts w:hint="eastAsia"/>
        </w:rPr>
      </w:pPr>
      <w:r>
        <w:t xml:space="preserve">A reference strictly below every attainable objective vector is utopian and permits this construction for every Pareto vector. Several designs may still realize the same vector. Other preferences can retain dominated ties: for </w:t>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and equal weights,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and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e>
        </m:d>
      </m:oMath>
      <w:r>
        <w:t xml:space="preserve"> tie despite domination. Adding </w:t>
      </w:r>
      <m:oMath>
        <m:r>
          <w:rPr>
            <w:rFonts w:ascii="Cambria Math" w:hAnsi="Cambria Math"/>
          </w:rPr>
          <m:t>ρ</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with </w:t>
      </w:r>
      <m:oMath>
        <m:r>
          <w:rPr>
            <w:rFonts w:ascii="Cambria Math" w:hAnsi="Cambria Math"/>
          </w:rPr>
          <m:t>ρ</m:t>
        </m:r>
        <m:r>
          <m:rPr>
            <m:sty m:val="p"/>
          </m:rPr>
          <w:rPr>
            <w:rFonts w:ascii="Cambria Math" w:hAnsi="Cambria Math"/>
          </w:rPr>
          <m:t>&gt;</m:t>
        </m:r>
        <m:r>
          <w:rPr>
            <w:rFonts w:ascii="Cambria Math" w:hAnsi="Cambria Math"/>
          </w:rPr>
          <m:t>0</m:t>
        </m:r>
      </m:oMath>
      <w:r>
        <w:t xml:space="preserve"> makes the loss strictly Pareto monotone; it can also move the selected trade-off.</w:t>
      </w:r>
    </w:p>
    <w:p w14:paraId="2DAA335D" w14:textId="77777777" w:rsidR="00314867" w:rsidRDefault="00000000">
      <w:pPr>
        <w:pStyle w:val="BodyText"/>
        <w:keepLines/>
        <w:rPr>
          <w:rFonts w:hint="eastAsia"/>
        </w:rPr>
      </w:pPr>
      <w:r>
        <w:rPr>
          <w:b/>
          <w:bCs/>
        </w:rPr>
        <w:t>Proposition 2 (attainable-reference confinement).</w:t>
      </w:r>
      <w:r>
        <w:t xml:space="preserve"> If some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has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r>
          <w:rPr>
            <w:rFonts w:ascii="Cambria Math" w:hAnsi="Cambria Math"/>
          </w:rPr>
          <m:t>z</m:t>
        </m:r>
      </m:oMath>
      <w:r>
        <w:t xml:space="preserve">, every attained Chebyshev minimizer satisfies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z</m:t>
        </m:r>
      </m:oMath>
      <w:r>
        <w:t>.</w:t>
      </w:r>
    </w:p>
    <w:p w14:paraId="758132CD" w14:textId="77777777" w:rsidR="00314867" w:rsidRDefault="00000000">
      <w:pPr>
        <w:pStyle w:val="BodyText"/>
        <w:rPr>
          <w:rFonts w:hint="eastAsia"/>
        </w:rPr>
      </w:pPr>
      <w:r>
        <w:rPr>
          <w:i/>
          <w:iCs/>
        </w:rPr>
        <w:t>Proof.</w:t>
      </w:r>
      <w:r>
        <w:t xml:space="preserve"> The minimum loss is at most zero. Every positively weighted coordinate shortfall at a minimum is therefore nonpositive. In a finite archive, if its componentwise minimum is attained jointly, this confines all preferences to that objective vector. Duplicate designs attaining it remain tied.</w:t>
      </w:r>
    </w:p>
    <w:p w14:paraId="7886CF44" w14:textId="77777777" w:rsidR="00314867" w:rsidRDefault="00000000">
      <w:pPr>
        <w:pStyle w:val="Heading2"/>
        <w:rPr>
          <w:rFonts w:hint="eastAsia"/>
        </w:rPr>
      </w:pPr>
      <w:bookmarkStart w:id="9" w:name="cross-fusion-on-a-finite-archive"/>
      <w:bookmarkEnd w:id="8"/>
      <w:r>
        <w:t>3.4 Cross fusion on a finite archive</w:t>
      </w:r>
    </w:p>
    <w:p w14:paraId="66CA5A03" w14:textId="77777777" w:rsidR="00314867" w:rsidRDefault="00000000">
      <w:pPr>
        <w:pStyle w:val="FirstParagraph"/>
        <w:rPr>
          <w:rFonts w:hint="eastAsia"/>
        </w:rPr>
      </w:pPr>
      <w:r>
        <w:t xml:space="preserve">Let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be the zero-based nondominated-sorting rank, so rank zero is the nondominated set, and let </w:t>
      </w:r>
      <m:oMath>
        <m:r>
          <w:rPr>
            <w:rFonts w:ascii="Cambria Math" w:hAnsi="Cambria Math"/>
          </w:rPr>
          <m:t>R</m:t>
        </m:r>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e>
        </m:d>
      </m:oMath>
      <w:r>
        <w:t xml:space="preserve">. Define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λ</m:t>
            </m:r>
            <m:r>
              <m:rPr>
                <m:sty m:val="p"/>
              </m:rPr>
              <w:rPr>
                <w:rFonts w:ascii="Cambria Math" w:hAnsi="Cambria Math"/>
              </w:rPr>
              <m:t>,</m:t>
            </m:r>
            <m:r>
              <w:rPr>
                <w:rFonts w:ascii="Cambria Math" w:hAnsi="Cambria Math"/>
              </w:rPr>
              <m:t>z</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e>
        </m:d>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R</m:t>
        </m:r>
      </m:oMath>
      <w:r>
        <w:t xml:space="preserve"> for </w:t>
      </w:r>
      <m:oMath>
        <m:r>
          <w:rPr>
            <w:rFonts w:ascii="Cambria Math" w:hAnsi="Cambria Math"/>
          </w:rPr>
          <m:t>η</m:t>
        </m:r>
        <m:r>
          <m:rPr>
            <m:sty m:val="p"/>
          </m:rPr>
          <w:rPr>
            <w:rFonts w:ascii="Cambria Math" w:hAnsi="Cambria Math"/>
          </w:rPr>
          <m:t>&gt;</m:t>
        </m:r>
        <m:r>
          <w:rPr>
            <w:rFonts w:ascii="Cambria Math" w:hAnsi="Cambria Math"/>
          </w:rPr>
          <m:t>0</m:t>
        </m:r>
      </m:oMath>
      <w:r>
        <w:t>.</w:t>
      </w:r>
    </w:p>
    <w:p w14:paraId="7BEC1E18" w14:textId="77777777" w:rsidR="00314867" w:rsidRDefault="00000000">
      <w:pPr>
        <w:pStyle w:val="BodyText"/>
        <w:keepLines/>
        <w:rPr>
          <w:rFonts w:hint="eastAsia"/>
        </w:rPr>
      </w:pPr>
      <w:r>
        <w:rPr>
          <w:b/>
          <w:bCs/>
        </w:rPr>
        <w:t>Proposition 3 (finite-archive tie resolution).</w:t>
      </w:r>
      <w:r>
        <w:t xml:space="preserve"> The minimizers of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are exactly the Chebyshev minima among rank-zero records, and all have the global minimum Chebyshev value over the archive.</w:t>
      </w:r>
    </w:p>
    <w:p w14:paraId="2C4B8C56" w14:textId="77777777" w:rsidR="00314867" w:rsidRDefault="00000000">
      <w:pPr>
        <w:pStyle w:val="BodyText"/>
        <w:rPr>
          <w:rFonts w:hint="eastAsia"/>
        </w:rPr>
      </w:pPr>
      <w:r>
        <w:rPr>
          <w:i/>
          <w:iCs/>
        </w:rPr>
        <w:t>Proof.</w:t>
      </w:r>
      <w:r>
        <w:t xml:space="preserve"> Every dominated record is dominated by a rank-zero record with weakly smaller Chebyshev loss and strictly smaller rank penalty. It cannot minimize </w:t>
      </w:r>
      <m:oMath>
        <m:r>
          <w:rPr>
            <w:rFonts w:ascii="Cambria Math" w:hAnsi="Cambria Math"/>
          </w:rPr>
          <m:t>C</m:t>
        </m:r>
      </m:oMath>
      <w:r>
        <w:t xml:space="preserve">. On rank zero, </w:t>
      </w:r>
      <m:oMath>
        <m:r>
          <w:rPr>
            <w:rFonts w:ascii="Cambria Math" w:hAnsi="Cambria Math"/>
          </w:rPr>
          <m:t>C</m:t>
        </m:r>
        <m:r>
          <m:rPr>
            <m:sty m:val="p"/>
          </m:rPr>
          <w:rPr>
            <w:rFonts w:ascii="Cambria Math" w:hAnsi="Cambria Math"/>
          </w:rPr>
          <m:t>=</m:t>
        </m:r>
        <m:r>
          <w:rPr>
            <w:rFonts w:ascii="Cambria Math" w:hAnsi="Cambria Math"/>
          </w:rPr>
          <m:t>T</m:t>
        </m:r>
      </m:oMath>
      <w:r>
        <w:t>. Every global Chebyshev minimum has a nondominated ancestor with the same minimum value. The selected set follows.</w:t>
      </w:r>
    </w:p>
    <w:p w14:paraId="69537E68" w14:textId="77777777" w:rsidR="00314867" w:rsidRDefault="00000000">
      <w:pPr>
        <w:pStyle w:val="BodyText"/>
        <w:rPr>
          <w:rFonts w:hint="eastAsia"/>
        </w:rPr>
      </w:pPr>
      <w:r>
        <w:lastRenderedPageBreak/>
        <w:t>This is an archive-relative Pareto-compliant selection rule. It is not identical as a function to a conventional linear augmentation, and it does not certify global Pareto efficiency outside the archive.</w:t>
      </w:r>
    </w:p>
    <w:p w14:paraId="43253A57" w14:textId="77777777" w:rsidR="00314867" w:rsidRDefault="00000000">
      <w:pPr>
        <w:pStyle w:val="Heading1"/>
        <w:rPr>
          <w:rFonts w:hint="eastAsia"/>
        </w:rPr>
      </w:pPr>
      <w:bookmarkStart w:id="10" w:name="late-fusion-and-evidence-routing"/>
      <w:bookmarkEnd w:id="5"/>
      <w:bookmarkEnd w:id="9"/>
      <w:r>
        <w:t>4 Late fusion and evidence routing</w:t>
      </w:r>
    </w:p>
    <w:p w14:paraId="063BFE4A" w14:textId="77777777" w:rsidR="00314867" w:rsidRDefault="00000000">
      <w:pPr>
        <w:pStyle w:val="FirstParagraph"/>
        <w:rPr>
          <w:rFonts w:hint="eastAsia"/>
        </w:rPr>
      </w:pPr>
      <w:r>
        <w:t xml:space="preserve">Let </w:t>
      </w:r>
      <m:oMath>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be normalized component targets and let </w:t>
      </w:r>
      <m:oMath>
        <m:r>
          <w:rPr>
            <w:rFonts w:ascii="Cambria Math" w:hAnsi="Cambria Math"/>
          </w:rPr>
          <m:t>λ</m:t>
        </m:r>
      </m:oMath>
      <w:r>
        <w:t xml:space="preserve"> be a mixture preference. Put </w:t>
      </w:r>
      <m:oMath>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dy</m:t>
            </m:r>
          </m:e>
        </m:d>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π</m:t>
                </m:r>
              </m:e>
              <m:sub>
                <m:r>
                  <w:rPr>
                    <w:rFonts w:ascii="Cambria Math" w:hAnsi="Cambria Math"/>
                  </w:rPr>
                  <m:t>j</m:t>
                </m:r>
              </m:sub>
            </m:sSub>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oMath>
      <w:r>
        <w:t>.</w:t>
      </w:r>
    </w:p>
    <w:p w14:paraId="469718D3" w14:textId="77777777" w:rsidR="00314867" w:rsidRDefault="00000000">
      <w:pPr>
        <w:pStyle w:val="BodyText"/>
        <w:keepNext/>
        <w:keepLines/>
        <w:rPr>
          <w:rFonts w:hint="eastAsia"/>
        </w:rPr>
      </w:pPr>
      <w:r>
        <w:rPr>
          <w:b/>
          <w:bCs/>
        </w:rPr>
        <w:t>Theorem 2 (mixture origin mean).</w:t>
      </w:r>
      <w:r>
        <w:t xml:space="preserve"> For </w:t>
      </w:r>
      <m:oMath>
        <m:acc>
          <m:accPr>
            <m:chr m:val="‾"/>
            <m:ctrlPr>
              <w:rPr>
                <w:rFonts w:ascii="Cambria Math" w:hAnsi="Cambria Math"/>
              </w:rPr>
            </m:ctrlPr>
          </m:accPr>
          <m:e>
            <m:r>
              <w:rPr>
                <w:rFonts w:ascii="Cambria Math" w:hAnsi="Cambria Math"/>
              </w:rPr>
              <m:t>π</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oMath>
      <w:r>
        <w:t>,</w:t>
      </w:r>
    </w:p>
    <w:p w14:paraId="2DA03C7B"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m</m:t>
              </m:r>
            </m:e>
            <m:sub>
              <m:acc>
                <m:accPr>
                  <m:chr m:val="‾"/>
                  <m:ctrlPr>
                    <w:rPr>
                      <w:rFonts w:ascii="Cambria Math" w:hAnsi="Cambria Math"/>
                    </w:rPr>
                  </m:ctrlPr>
                </m:accPr>
                <m:e>
                  <m:r>
                    <w:rPr>
                      <w:rFonts w:ascii="Cambria Math" w:hAnsi="Cambria Math"/>
                    </w:rPr>
                    <m:t>π</m:t>
                  </m:r>
                </m:e>
              </m:acc>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sSub>
            <m:sSubPr>
              <m:ctrlPr>
                <w:rPr>
                  <w:rFonts w:ascii="Cambria Math" w:hAnsi="Cambria Math"/>
                </w:rPr>
              </m:ctrlPr>
            </m:sSubPr>
            <m:e>
              <m:r>
                <w:rPr>
                  <w:rFonts w:ascii="Cambria Math" w:hAnsi="Cambria Math"/>
                </w:rPr>
                <m:t>m</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γ</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sSub>
                <m:sSubPr>
                  <m:ctrlPr>
                    <w:rPr>
                      <w:rFonts w:ascii="Cambria Math" w:hAnsi="Cambria Math"/>
                    </w:rPr>
                  </m:ctrlPr>
                </m:sSubPr>
                <m:e>
                  <m:r>
                    <w:rPr>
                      <w:rFonts w:ascii="Cambria Math" w:hAnsi="Cambria Math"/>
                    </w:rPr>
                    <m:t>L</m:t>
                  </m:r>
                </m:e>
                <m:sub>
                  <m:r>
                    <w:rPr>
                      <w:rFonts w:ascii="Cambria Math" w:hAnsi="Cambria Math"/>
                    </w:rPr>
                    <m:t>k</m:t>
                  </m:r>
                </m:sub>
              </m:sSub>
            </m:den>
          </m:f>
          <m:r>
            <m:rPr>
              <m:sty m:val="p"/>
            </m:rPr>
            <w:rPr>
              <w:rFonts w:ascii="Cambria Math" w:hAnsi="Cambria Math"/>
            </w:rPr>
            <m:t>.</m:t>
          </m:r>
          <m:r>
            <m:rPr>
              <m:nor/>
            </m:rPr>
            <m:t>    (6)</m:t>
          </m:r>
        </m:oMath>
      </m:oMathPara>
    </w:p>
    <w:p w14:paraId="773D0EC0" w14:textId="77777777" w:rsidR="00314867" w:rsidRDefault="00000000">
      <w:pPr>
        <w:pStyle w:val="FirstParagraph"/>
        <w:rPr>
          <w:rFonts w:hint="eastAsia"/>
        </w:rPr>
      </w:pPr>
      <w:r>
        <w:rPr>
          <w:i/>
          <w:iCs/>
        </w:rPr>
        <w:t>Proof.</w:t>
      </w:r>
      <w:r>
        <w:t xml:space="preserve"> The joint law is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dy</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Integrating gives the mixture evidence; dividing gives the posterior component probabilities. Taking conditional means yields (6).</w:t>
      </w:r>
    </w:p>
    <w:p w14:paraId="7C6BD44E" w14:textId="77777777" w:rsidR="00314867" w:rsidRDefault="00000000">
      <w:pPr>
        <w:pStyle w:val="BodyText"/>
        <w:keepNext/>
        <w:rPr>
          <w:rFonts w:hint="eastAsia"/>
        </w:rPr>
      </w:pPr>
      <w:r>
        <w:t xml:space="preserve">The router logits are </w:t>
      </w:r>
      <m:oMath>
        <m:r>
          <m:rPr>
            <m:sty m:val="p"/>
          </m:rPr>
          <w:rPr>
            <w:rFonts w:ascii="Cambria Math" w:hAnsi="Cambria Math"/>
          </w:rPr>
          <m:t>log</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 If archive weights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estimate the unnormalized component target, its evidence estimate must be normalized:</w:t>
      </w:r>
    </w:p>
    <w:p w14:paraId="4FBCBE94"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den>
          </m:f>
          <m:r>
            <m:rPr>
              <m:sty m:val="p"/>
            </m:rPr>
            <w:rPr>
              <w:rFonts w:ascii="Cambria Math" w:hAnsi="Cambria Math"/>
            </w:rPr>
            <m:t>.</m:t>
          </m:r>
          <m:r>
            <m:rPr>
              <m:nor/>
            </m:rPr>
            <m:t>    (7)</m:t>
          </m:r>
        </m:oMath>
      </m:oMathPara>
    </w:p>
    <w:p w14:paraId="16E8128E" w14:textId="77777777" w:rsidR="00314867" w:rsidRDefault="00000000">
      <w:pPr>
        <w:pStyle w:val="FirstParagraph"/>
        <w:rPr>
          <w:rFonts w:hint="eastAsia"/>
        </w:rPr>
      </w:pPr>
      <w:r>
        <w:t>Omitting the denominator changes the intended mixture preference by a component-normalization factor. A common additive shift to all log weights within one head must leave (7) unchanged.</w:t>
      </w:r>
    </w:p>
    <w:p w14:paraId="601C7C71" w14:textId="77777777" w:rsidR="00314867" w:rsidRDefault="00000000">
      <w:pPr>
        <w:pStyle w:val="BodyText"/>
        <w:rPr>
          <w:rFonts w:hint="eastAsia"/>
        </w:rPr>
      </w:pPr>
      <w:r>
        <w:t xml:space="preserve">For fixed component targets and fixed </w:t>
      </w:r>
      <m:oMath>
        <m:r>
          <w:rPr>
            <w:rFonts w:ascii="Cambria Math" w:hAnsi="Cambria Math"/>
          </w:rPr>
          <m:t>q</m:t>
        </m:r>
      </m:oMath>
      <w:r>
        <w:t xml:space="preserve">, </w:t>
      </w:r>
      <m:oMath>
        <m:r>
          <w:rPr>
            <w:rFonts w:ascii="Cambria Math" w:hAnsi="Cambria Math"/>
          </w:rPr>
          <m:t>a</m:t>
        </m:r>
        <m:r>
          <m:rPr>
            <m:sty m:val="p"/>
          </m:rPr>
          <w:rPr>
            <w:rFonts w:ascii="Cambria Math" w:hAnsi="Cambria Math"/>
          </w:rPr>
          <m:t>↓</m:t>
        </m:r>
        <m:r>
          <w:rPr>
            <w:rFonts w:ascii="Cambria Math" w:hAnsi="Cambria Math"/>
          </w:rPr>
          <m:t>0</m:t>
        </m:r>
      </m:oMath>
      <w:r>
        <w:t xml:space="preserve"> gives </w:t>
      </w:r>
      <m:oMath>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I</m:t>
            </m:r>
          </m:e>
        </m:d>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Dominated convergence applies because the kernels are uniformly bounded for sufficiently small </w:t>
      </w:r>
      <m:oMath>
        <m:r>
          <w:rPr>
            <w:rFonts w:ascii="Cambria Math" w:hAnsi="Cambria Math"/>
          </w:rPr>
          <m:t>a</m:t>
        </m:r>
      </m:oMath>
      <w:r>
        <w:t xml:space="preserve">; a Gaussian-tail assumption on the components is unnecessary. If temperature and </w:t>
      </w:r>
      <m:oMath>
        <m:r>
          <w:rPr>
            <w:rFonts w:ascii="Cambria Math" w:hAnsi="Cambria Math"/>
          </w:rPr>
          <m:t>a</m:t>
        </m:r>
      </m:oMath>
      <w:r>
        <w:t xml:space="preserve"> change together, additional tightness or uniform control is needed.</w:t>
      </w:r>
    </w:p>
    <w:p w14:paraId="3FDEF75B" w14:textId="77777777" w:rsidR="00314867" w:rsidRDefault="00000000">
      <w:pPr>
        <w:pStyle w:val="BodyText"/>
        <w:rPr>
          <w:rFonts w:hint="eastAsia"/>
        </w:rPr>
      </w:pPr>
      <w:r>
        <w:t xml:space="preserve">If each component concentrates at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first taking that concentration limit gives </w:t>
      </w:r>
      <m:oMath>
        <m:sSub>
          <m:sSubPr>
            <m:ctrlPr>
              <w:rPr>
                <w:rFonts w:ascii="Cambria Math" w:hAnsi="Cambria Math"/>
              </w:rPr>
            </m:ctrlPr>
          </m:sSubPr>
          <m:e>
            <m:r>
              <w:rPr>
                <w:rFonts w:ascii="Cambria Math" w:hAnsi="Cambria Math"/>
              </w:rPr>
              <m:t>γ</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oMath>
      <w:r>
        <w:t xml:space="preserve"> and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Subsequently, </w:t>
      </w:r>
      <m:oMath>
        <m:r>
          <w:rPr>
            <w:rFonts w:ascii="Cambria Math" w:hAnsi="Cambria Math"/>
          </w:rPr>
          <m:t>a</m:t>
        </m:r>
        <m:r>
          <m:rPr>
            <m:sty m:val="p"/>
          </m:rPr>
          <w:rPr>
            <w:rFonts w:ascii="Cambria Math" w:hAnsi="Cambria Math"/>
          </w:rPr>
          <m:t>↑</m:t>
        </m:r>
        <m:r>
          <w:rPr>
            <w:rFonts w:ascii="Cambria Math" w:hAnsi="Cambria Math"/>
          </w:rPr>
          <m:t>1</m:t>
        </m:r>
      </m:oMath>
      <w:r>
        <w:t xml:space="preserve"> selects a nearest center away from ties. This is an iterated limit, not a claim about every joint limit. An exact stochastic time reversal, initialized from the correct forward marginal and run exactly, reproduces its target by construction. Equation (6), an arbitrary initialization, and a finite ADE discretization do not establish that sampling claim.</w:t>
      </w:r>
    </w:p>
    <w:p w14:paraId="67C44502" w14:textId="77777777" w:rsidR="00314867" w:rsidRDefault="00000000">
      <w:pPr>
        <w:pStyle w:val="BodyText"/>
        <w:rPr>
          <w:rFonts w:hint="eastAsia"/>
        </w:rPr>
      </w:pPr>
      <w:r>
        <w:t xml:space="preserve">A fixed-gate average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may be feasible, infeasible, efficient, or dominated. For one preference, its efficiency does not require the entire convex hull of the centers to be efficient. On the discrete feasible set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objectives </w:t>
      </w:r>
      <m:oMath>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sup>
            <m:r>
              <w:rPr>
                <w:rFonts w:ascii="Cambria Math" w:hAnsi="Cambria Math"/>
              </w:rPr>
              <m:t>2</m:t>
            </m:r>
          </m:sup>
        </m:sSup>
      </m:oMath>
      <w:r>
        <w:t>, all three designs are efficient and the equal-gate average of the two single-objective minimizers is efficient, although the intervening real interval is not feasible. Every fused numerical output needs its own feasibility and objective evaluation.</w:t>
      </w:r>
    </w:p>
    <w:p w14:paraId="6F984D98" w14:textId="77777777" w:rsidR="00314867" w:rsidRDefault="00000000">
      <w:pPr>
        <w:pStyle w:val="Heading1"/>
        <w:rPr>
          <w:rFonts w:hint="eastAsia"/>
        </w:rPr>
      </w:pPr>
      <w:bookmarkStart w:id="11" w:name="X5a17318716806dc4e2c30f0ebf87c574c9124fa"/>
      <w:bookmarkEnd w:id="10"/>
      <w:r>
        <w:t>5 Normalization changes the search geometry</w:t>
      </w:r>
    </w:p>
    <w:p w14:paraId="40E5A153" w14:textId="77777777" w:rsidR="00314867" w:rsidRDefault="00000000">
      <w:pPr>
        <w:pStyle w:val="Heading2"/>
        <w:rPr>
          <w:rFonts w:hint="eastAsia"/>
        </w:rPr>
      </w:pPr>
      <w:bookmarkStart w:id="12" w:name="effective-preferences"/>
      <w:r>
        <w:t>5.1 Effective preferences</w:t>
      </w:r>
    </w:p>
    <w:p w14:paraId="446AD694" w14:textId="77777777" w:rsidR="00314867" w:rsidRDefault="00000000">
      <w:pPr>
        <w:pStyle w:val="FirstParagraph"/>
        <w:keepNext/>
        <w:rPr>
          <w:rFonts w:hint="eastAsia"/>
        </w:rPr>
      </w:pPr>
      <w:r>
        <w:t xml:space="preserve">Suppose archive normalization uses minima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xml:space="preserve"> and positive ranges </w:t>
      </w:r>
      <m:oMath>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Let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oMath>
      <w:r>
        <w:t>. Define</w:t>
      </w:r>
    </w:p>
    <w:p w14:paraId="51B6B50B"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λ</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num>
                <m:den>
                  <m:sSub>
                    <m:sSubPr>
                      <m:ctrlPr>
                        <w:rPr>
                          <w:rFonts w:ascii="Cambria Math" w:hAnsi="Cambria Math"/>
                        </w:rPr>
                      </m:ctrlPr>
                    </m:sSubPr>
                    <m:e>
                      <m:r>
                        <w:rPr>
                          <w:rFonts w:ascii="Cambria Math" w:hAnsi="Cambria Math"/>
                        </w:rPr>
                        <m:t>Δ</m:t>
                      </m:r>
                    </m:e>
                    <m:sub>
                      <m:r>
                        <w:rPr>
                          <w:rFonts w:ascii="Cambria Math" w:hAnsi="Cambria Math"/>
                        </w:rPr>
                        <m:t>j</m:t>
                      </m:r>
                    </m:sub>
                  </m:sSub>
                </m:den>
              </m:f>
            </m:e>
          </m:nary>
          <m:r>
            <m:rPr>
              <m:sty m:val="p"/>
            </m:rPr>
            <w:rPr>
              <w:rFonts w:ascii="Cambria Math" w:hAnsi="Cambria Math"/>
            </w:rPr>
            <m:t>,</m:t>
          </m:r>
          <m:r>
            <m:rPr>
              <m:nor/>
            </m:rPr>
            <m:t>    </m:t>
          </m:r>
          <m:r>
            <w:rPr>
              <w:rFonts w:ascii="Cambria Math" w:hAnsi="Cambria Math"/>
            </w:rPr>
            <m:t>λ</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num>
            <m:den>
              <m:sSub>
                <m:sSubPr>
                  <m:ctrlPr>
                    <w:rPr>
                      <w:rFonts w:ascii="Cambria Math" w:hAnsi="Cambria Math"/>
                    </w:rPr>
                  </m:ctrlPr>
                </m:sSubPr>
                <m:e>
                  <m:r>
                    <w:rPr>
                      <w:rFonts w:ascii="Cambria Math" w:hAnsi="Cambria Math"/>
                    </w:rPr>
                    <m:t>A</m:t>
                  </m:r>
                </m:e>
                <m:sub>
                  <m:r>
                    <w:rPr>
                      <w:rFonts w:ascii="Cambria Math" w:hAnsi="Cambria Math"/>
                    </w:rPr>
                    <m:t>λ</m:t>
                  </m:r>
                </m:sub>
              </m:sSub>
            </m:den>
          </m:f>
          <m:r>
            <m:rPr>
              <m:sty m:val="p"/>
            </m:rPr>
            <w:rPr>
              <w:rFonts w:ascii="Cambria Math" w:hAnsi="Cambria Math"/>
            </w:rPr>
            <m:t>,</m:t>
          </m:r>
          <m:r>
            <m:rPr>
              <m:nor/>
            </m:rPr>
            <m:t>    </m:t>
          </m:r>
          <m:r>
            <w:rPr>
              <w:rFonts w:ascii="Cambria Math" w:hAnsi="Cambria Math"/>
            </w:rPr>
            <m:t>β</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λ</m:t>
              </m:r>
            </m:sub>
          </m:sSub>
          <m:r>
            <m:rPr>
              <m:sty m:val="p"/>
            </m:rPr>
            <w:rPr>
              <w:rFonts w:ascii="Cambria Math" w:hAnsi="Cambria Math"/>
            </w:rPr>
            <m:t>.</m:t>
          </m:r>
          <m:r>
            <m:rPr>
              <m:nor/>
            </m:rPr>
            <m:t>    (8)</m:t>
          </m:r>
        </m:oMath>
      </m:oMathPara>
    </w:p>
    <w:p w14:paraId="694C598F" w14:textId="77777777" w:rsidR="00314867" w:rsidRDefault="00000000">
      <w:pPr>
        <w:pStyle w:val="FirstParagraph"/>
        <w:rPr>
          <w:rFonts w:hint="eastAsia"/>
        </w:rPr>
      </w:pPr>
      <w:r>
        <w:lastRenderedPageBreak/>
        <w:t xml:space="preserve">Then the early exponent is </w:t>
      </w:r>
      <m:oMath>
        <m:r>
          <m:rPr>
            <m:sty m:val="p"/>
          </m:rPr>
          <w:rPr>
            <w:rFonts w:ascii="Cambria Math" w:hAnsi="Cambria Math"/>
          </w:rPr>
          <m:t>-</m:t>
        </m:r>
        <m:r>
          <w:rPr>
            <w:rFonts w:ascii="Cambria Math" w:hAnsi="Cambria Math"/>
          </w:rPr>
          <m:t>β</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λ</m:t>
            </m:r>
          </m:e>
        </m:nary>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e>
        </m:d>
      </m:oMath>
      <w:r>
        <w:t xml:space="preserve">, and the Chebyshev exponent is </w:t>
      </w:r>
      <m:oMath>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r>
          <w:rPr>
            <w:rFonts w:ascii="Cambria Math" w:hAnsi="Cambria Math"/>
          </w:rPr>
          <m:t>λ</m:t>
        </m:r>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e>
        </m:d>
      </m:oMath>
      <w:r>
        <w:t>. Thus range normalization reparametrizes preference, temperature, and, for Chebyshev, the reference. A changing archive changes all three. Zero ranges require a declared fixed scale or explicit treatment of a constant objective; division by an arbitrary tiny number changes the preference.</w:t>
      </w:r>
    </w:p>
    <w:p w14:paraId="3114B8BD" w14:textId="77777777" w:rsidR="00314867" w:rsidRDefault="00000000">
      <w:pPr>
        <w:pStyle w:val="BodyText"/>
        <w:rPr>
          <w:rFonts w:hint="eastAsia"/>
        </w:rPr>
      </w:pPr>
      <w:r>
        <w:t xml:space="preserve">For a late head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j</m:t>
                </m:r>
              </m:sub>
            </m:sSub>
          </m:sup>
        </m:sSup>
      </m:oMath>
      <w:r>
        <w:t xml:space="preserve">, the raw-objective inverse temperature is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On the nondominated records its log tilt varies by </w:t>
      </w:r>
      <m:oMath>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where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max</m:t>
                </m:r>
              </m:e>
              <m:sub>
                <m:r>
                  <w:rPr>
                    <w:rFonts w:ascii="Cambria Math" w:hAnsi="Cambria Math"/>
                  </w:rPr>
                  <m:t>N</m:t>
                </m:r>
              </m:sub>
            </m:sSub>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N</m:t>
                </m:r>
              </m:sub>
            </m:sSub>
            <m:sSub>
              <m:sSubPr>
                <m:ctrlPr>
                  <w:rPr>
                    <w:rFonts w:ascii="Cambria Math" w:hAnsi="Cambria Math"/>
                  </w:rPr>
                </m:ctrlPr>
              </m:sSubPr>
              <m:e>
                <m:r>
                  <w:rPr>
                    <w:rFonts w:ascii="Cambria Math" w:hAnsi="Cambria Math"/>
                  </w:rPr>
                  <m:t>F</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oMath>
      <w:r>
        <w:t>. Rank order alone is invariant under strictly increasing coordinate transformations; geometric kernels and cone transforms generally are not.</w:t>
      </w:r>
    </w:p>
    <w:p w14:paraId="02FFF2D2" w14:textId="77777777" w:rsidR="00314867" w:rsidRDefault="00000000">
      <w:pPr>
        <w:pStyle w:val="Heading2"/>
        <w:rPr>
          <w:rFonts w:hint="eastAsia"/>
        </w:rPr>
      </w:pPr>
      <w:bookmarkStart w:id="13" w:name="a-conditional-range-bound"/>
      <w:bookmarkEnd w:id="12"/>
      <w:r>
        <w:t>5.2 A conditional range bound</w:t>
      </w:r>
    </w:p>
    <w:p w14:paraId="301312B2" w14:textId="77777777" w:rsidR="00314867" w:rsidRDefault="00000000">
      <w:pPr>
        <w:pStyle w:val="FirstParagraph"/>
        <w:keepLines/>
        <w:rPr>
          <w:rFonts w:hint="eastAsia"/>
        </w:rPr>
      </w:pPr>
      <w:r>
        <w:rPr>
          <w:b/>
          <w:bCs/>
        </w:rPr>
        <w:t>Proposition 4.</w:t>
      </w:r>
      <w:r>
        <w:t xml:space="preserve"> On a fixed two-objective finite archive, let </w:t>
      </w:r>
      <m:oMath>
        <m:r>
          <w:rPr>
            <w:rFonts w:ascii="Cambria Math" w:hAnsi="Cambria Math"/>
          </w:rPr>
          <m:t>N</m:t>
        </m:r>
      </m:oMath>
      <w:r>
        <w:t xml:space="preserve"> be its nondominated records and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the normalized range of objective two on </w:t>
      </w:r>
      <m:oMath>
        <m:r>
          <w:rPr>
            <w:rFonts w:ascii="Cambria Math" w:hAnsi="Cambria Math"/>
          </w:rPr>
          <m:t>N</m:t>
        </m:r>
      </m:oMath>
      <w:r>
        <w:t xml:space="preserve">. Every weighted-sum minimum and every Chebyshev minimum with zero normalized reference satisfies </w:t>
      </w:r>
      <m:oMath>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2</m:t>
            </m:r>
          </m:sub>
        </m:sSub>
      </m:oMath>
      <w:r>
        <w:t>. Weighted-sum minima are nondominated; at least one Chebyshev minimum is nondominated.</w:t>
      </w:r>
    </w:p>
    <w:p w14:paraId="66C0F72D" w14:textId="77777777" w:rsidR="00314867" w:rsidRDefault="00000000">
      <w:pPr>
        <w:pStyle w:val="BodyText"/>
        <w:rPr>
          <w:rFonts w:hint="eastAsia"/>
        </w:rPr>
      </w:pPr>
      <w:r>
        <w:rPr>
          <w:i/>
          <w:iCs/>
        </w:rPr>
        <w:t>Proof.</w:t>
      </w:r>
      <w:r>
        <w:t xml:space="preserve"> Among the records minimizing objective one, choose one also minimizing objective two. It is nondominated, has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0</m:t>
        </m:r>
      </m:oMath>
      <w:r>
        <w:t xml:space="preserve">, and has </w:t>
      </w:r>
      <m:oMath>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because the global minimum of objective two has a nondominated representative. Its scalar loss is at most </w:t>
      </w:r>
      <m:oMath>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Every archive loss under either rule is at least </w:t>
      </w:r>
      <m:oMath>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1</m:t>
            </m:r>
          </m:sub>
        </m:sSub>
      </m:oMath>
      <w:r>
        <w:t xml:space="preserve"> since normalized objectives are nonnegative.</w:t>
      </w:r>
    </w:p>
    <w:p w14:paraId="13D77941" w14:textId="77777777" w:rsidR="00314867" w:rsidRDefault="00000000">
      <w:pPr>
        <w:pStyle w:val="BodyText"/>
        <w:keepNext/>
        <w:rPr>
          <w:rFonts w:hint="eastAsia"/>
        </w:rPr>
      </w:pPr>
      <w:r>
        <w:t xml:space="preserve">For a fresh uniform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drawn independently after fixing the archive, any selected minimum with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&gt;</m:t>
        </m:r>
        <m:r>
          <w:rPr>
            <w:rFonts w:ascii="Cambria Math" w:hAnsi="Cambria Math"/>
          </w:rPr>
          <m:t>θ</m:t>
        </m:r>
      </m:oMath>
      <w:r>
        <w:t xml:space="preserve"> requires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θ</m:t>
            </m:r>
          </m:e>
        </m:d>
      </m:oMath>
      <w:r>
        <w:t>. Therefore</w:t>
      </w:r>
    </w:p>
    <w:p w14:paraId="4C536869" w14:textId="77777777" w:rsidR="00314867"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&gt;</m:t>
              </m:r>
              <m:r>
                <w:rPr>
                  <w:rFonts w:ascii="Cambria Math" w:hAnsi="Cambria Math"/>
                </w:rPr>
                <m:t>θ</m:t>
              </m:r>
              <m:r>
                <m:rPr>
                  <m:sty m:val="p"/>
                </m:rPr>
                <w:rPr>
                  <w:rFonts w:ascii="Cambria Math" w:hAnsi="Cambria Math"/>
                </w:rPr>
                <m:t>∣</m:t>
              </m:r>
              <m:r>
                <m:rPr>
                  <m:nor/>
                </m:rPr>
                <m:t>fixed archive</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θ</m:t>
              </m:r>
            </m:den>
          </m:f>
          <m:r>
            <m:rPr>
              <m:sty m:val="p"/>
            </m:rPr>
            <w:rPr>
              <w:rFonts w:ascii="Cambria Math" w:hAnsi="Cambria Math"/>
            </w:rPr>
            <m:t>.</m:t>
          </m:r>
          <m:r>
            <m:rPr>
              <m:nor/>
            </m:rPr>
            <m:t>    (9)</m:t>
          </m:r>
        </m:oMath>
      </m:oMathPara>
    </w:p>
    <w:p w14:paraId="36D96E05" w14:textId="77777777" w:rsidR="00314867" w:rsidRDefault="00000000">
      <w:pPr>
        <w:pStyle w:val="FirstParagraph"/>
        <w:rPr>
          <w:rFonts w:hint="eastAsia"/>
        </w:rPr>
      </w:pPr>
      <w:r>
        <w:t>For a random archive fixed before the fresh preference draw, take the expectation of the right-hand side. Reusing preferences that helped generate the archive does not justify the same conditional-uniform calculation. The bound can be very loose: effective preference distortion in (8) should be measured directly.</w:t>
      </w:r>
    </w:p>
    <w:p w14:paraId="4E5E828B" w14:textId="77777777" w:rsidR="00314867" w:rsidRDefault="00000000">
      <w:pPr>
        <w:pStyle w:val="BodyText"/>
        <w:keepNext/>
        <w:jc w:val="center"/>
        <w:rPr>
          <w:rFonts w:hint="eastAsia"/>
        </w:rPr>
      </w:pPr>
      <w:r>
        <w:rPr>
          <w:noProof/>
        </w:rPr>
        <w:drawing>
          <wp:inline distT="0" distB="0" distL="0" distR="0" wp14:anchorId="4D87D497" wp14:editId="6EF3965F">
            <wp:extent cx="6299200" cy="2379697"/>
            <wp:effectExtent l="0" t="0" r="0" b="0"/>
            <wp:docPr id="33" name="Picture" descr="Scalarization reachability and independent-sample depth scaling"/>
            <wp:cNvGraphicFramePr/>
            <a:graphic xmlns:a="http://schemas.openxmlformats.org/drawingml/2006/main">
              <a:graphicData uri="http://schemas.openxmlformats.org/drawingml/2006/picture">
                <pic:pic xmlns:pic="http://schemas.openxmlformats.org/drawingml/2006/picture">
                  <pic:nvPicPr>
                    <pic:cNvPr id="34" name="Picture" descr="figures/geometry.png"/>
                    <pic:cNvPicPr>
                      <a:picLocks noChangeAspect="1" noChangeArrowheads="1"/>
                    </pic:cNvPicPr>
                  </pic:nvPicPr>
                  <pic:blipFill>
                    <a:blip r:embed="rId7"/>
                    <a:stretch>
                      <a:fillRect/>
                    </a:stretch>
                  </pic:blipFill>
                  <pic:spPr bwMode="auto">
                    <a:xfrm>
                      <a:off x="0" y="0"/>
                      <a:ext cx="6299200" cy="2379697"/>
                    </a:xfrm>
                    <a:prstGeom prst="rect">
                      <a:avLst/>
                    </a:prstGeom>
                    <a:noFill/>
                    <a:ln w="9525">
                      <a:noFill/>
                      <a:headEnd/>
                      <a:tailEnd/>
                    </a:ln>
                  </pic:spPr>
                </pic:pic>
              </a:graphicData>
            </a:graphic>
          </wp:inline>
        </w:drawing>
      </w:r>
    </w:p>
    <w:p w14:paraId="1AC2E856" w14:textId="77777777" w:rsidR="00314867" w:rsidRDefault="00000000">
      <w:pPr>
        <w:pStyle w:val="Caption"/>
        <w:keepLines/>
        <w:rPr>
          <w:rFonts w:hint="eastAsia"/>
        </w:rPr>
      </w:pPr>
      <w:r>
        <w:t>Figure 1. A: the concave front has endpoint weighted-sum minima, while tailored Chebyshev weights select three prescribed interior vectors. B: median strict-chain depth relative to its continuum limit, from five independent uniform reference samples at each sample size. These are mathematical checks, not ADE benchmark runs.</w:t>
      </w:r>
    </w:p>
    <w:p w14:paraId="4257FCEA" w14:textId="77777777" w:rsidR="00314867" w:rsidRDefault="00000000">
      <w:pPr>
        <w:pStyle w:val="Heading1"/>
        <w:rPr>
          <w:rFonts w:hint="eastAsia"/>
        </w:rPr>
      </w:pPr>
      <w:bookmarkStart w:id="14" w:name="pareto-depth-support-and-cone-order"/>
      <w:bookmarkEnd w:id="11"/>
      <w:bookmarkEnd w:id="13"/>
      <w:r>
        <w:lastRenderedPageBreak/>
        <w:t>6 Pareto depth, support, and cone order</w:t>
      </w:r>
    </w:p>
    <w:p w14:paraId="448E7666" w14:textId="77777777" w:rsidR="00314867" w:rsidRDefault="00000000">
      <w:pPr>
        <w:pStyle w:val="Heading2"/>
        <w:rPr>
          <w:rFonts w:hint="eastAsia"/>
        </w:rPr>
      </w:pPr>
      <w:bookmarkStart w:id="15" w:name="finite-ranks-and-their-continuum-limit"/>
      <w:r>
        <w:t>6.1 Finite ranks and their continuum limit</w:t>
      </w:r>
    </w:p>
    <w:p w14:paraId="2860F548" w14:textId="77777777" w:rsidR="00314867" w:rsidRDefault="00000000">
      <w:pPr>
        <w:pStyle w:val="FirstParagraph"/>
        <w:rPr>
          <w:rFonts w:hint="eastAsia"/>
        </w:rPr>
      </w:pPr>
      <w:r>
        <w:t xml:space="preserve">Nondominated ranks depend on the entire comparison archive. They cannot in general be represented by separate objective functions added together. For the archive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r>
          <m:rPr>
            <m:sty m:val="p"/>
          </m:rPr>
          <w:rPr>
            <w:rFonts w:ascii="Cambria Math" w:hAnsi="Cambria Math"/>
          </w:rPr>
          <m:t>,</m:t>
        </m:r>
        <m:d>
          <m:dPr>
            <m:ctrlPr>
              <w:rPr>
                <w:rFonts w:ascii="Cambria Math" w:hAnsi="Cambria Math"/>
              </w:rPr>
            </m:ctrlPr>
          </m:dPr>
          <m:e>
            <m:r>
              <w:rPr>
                <w:rFonts w:ascii="Cambria Math" w:hAnsi="Cambria Math"/>
              </w:rPr>
              <m:t>0.7</m:t>
            </m:r>
            <m:r>
              <m:rPr>
                <m:sty m:val="p"/>
              </m:rPr>
              <w:rPr>
                <w:rFonts w:ascii="Cambria Math" w:hAnsi="Cambria Math"/>
              </w:rPr>
              <m:t>,</m:t>
            </m:r>
            <m:r>
              <w:rPr>
                <w:rFonts w:ascii="Cambria Math" w:hAnsi="Cambria Math"/>
              </w:rPr>
              <m:t>0.7</m:t>
            </m:r>
          </m:e>
        </m:d>
      </m:oMath>
      <w:r>
        <w:t xml:space="preserve">, the ranks are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Any additive representation </w:t>
      </w:r>
      <m:oMath>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2</m:t>
                </m:r>
              </m:sub>
            </m:sSub>
          </m:e>
        </m:d>
      </m:oMath>
      <w:r>
        <w:t xml:space="preserve"> would require the ranks at the four corners to satisfy </w:t>
      </w:r>
      <m:oMath>
        <m:sSub>
          <m:sSubPr>
            <m:ctrlPr>
              <w:rPr>
                <w:rFonts w:ascii="Cambria Math" w:hAnsi="Cambria Math"/>
              </w:rPr>
            </m:ctrlPr>
          </m:sSubPr>
          <m:e>
            <m:r>
              <w:rPr>
                <w:rFonts w:ascii="Cambria Math" w:hAnsi="Cambria Math"/>
              </w:rPr>
              <m:t>r</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10</m:t>
            </m:r>
          </m:sub>
        </m:sSub>
      </m:oMath>
      <w:r>
        <w:t xml:space="preserve">, contradicted by </w:t>
      </w:r>
      <m:oMath>
        <m:r>
          <w:rPr>
            <w:rFonts w:ascii="Cambria Math" w:hAnsi="Cambria Math"/>
          </w:rPr>
          <m:t>3</m:t>
        </m:r>
        <m:r>
          <m:rPr>
            <m:sty m:val="p"/>
          </m:rPr>
          <w:rPr>
            <w:rFonts w:ascii="Cambria Math" w:hAnsi="Cambria Math"/>
          </w:rPr>
          <m:t>≠</m:t>
        </m:r>
        <m:r>
          <w:rPr>
            <w:rFonts w:ascii="Cambria Math" w:hAnsi="Cambria Math"/>
          </w:rPr>
          <m:t>2</m:t>
        </m:r>
      </m:oMath>
      <w:r>
        <w:t>.</w:t>
      </w:r>
    </w:p>
    <w:p w14:paraId="2AAE96E9" w14:textId="77777777" w:rsidR="00314867" w:rsidRDefault="00000000">
      <w:pPr>
        <w:pStyle w:val="BodyText"/>
        <w:rPr>
          <w:rFonts w:hint="eastAsia"/>
        </w:rPr>
      </w:pPr>
      <w:r>
        <w:t xml:space="preserve">For a separate independent reference sample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with density </w:t>
      </w:r>
      <m:oMath>
        <m:r>
          <w:rPr>
            <w:rFonts w:ascii="Cambria Math" w:hAnsi="Cambria Math"/>
          </w:rPr>
          <m:t>g</m:t>
        </m:r>
      </m:oMath>
      <w:r>
        <w:t xml:space="preserve">, let </w:t>
      </w:r>
      <m:oMath>
        <m:sSub>
          <m:sSubPr>
            <m:ctrlPr>
              <w:rPr>
                <w:rFonts w:ascii="Cambria Math" w:hAnsi="Cambria Math"/>
              </w:rPr>
            </m:ctrlPr>
          </m:sSubPr>
          <m:e>
            <m:r>
              <w:rPr>
                <w:rFonts w:ascii="Cambria Math" w:hAnsi="Cambria Math"/>
              </w:rPr>
              <m:t>u</m:t>
            </m:r>
          </m:e>
          <m:sub>
            <m:r>
              <w:rPr>
                <w:rFonts w:ascii="Cambria Math" w:hAnsi="Cambria Math"/>
              </w:rPr>
              <m:t>n</m:t>
            </m:r>
          </m:sub>
        </m:sSub>
        <m:d>
          <m:dPr>
            <m:ctrlPr>
              <w:rPr>
                <w:rFonts w:ascii="Cambria Math" w:hAnsi="Cambria Math"/>
              </w:rPr>
            </m:ctrlPr>
          </m:dPr>
          <m:e>
            <m:r>
              <w:rPr>
                <w:rFonts w:ascii="Cambria Math" w:hAnsi="Cambria Math"/>
              </w:rPr>
              <m:t>v</m:t>
            </m:r>
          </m:e>
        </m:d>
      </m:oMath>
      <w:r>
        <w:t xml:space="preserve"> be the maximum number of reference points in a coordinatewise increasing chain below </w:t>
      </w:r>
      <m:oMath>
        <m:r>
          <w:rPr>
            <w:rFonts w:ascii="Cambria Math" w:hAnsi="Cambria Math"/>
          </w:rPr>
          <m:t>v</m:t>
        </m:r>
      </m:oMath>
      <w:r>
        <w:t>. Coordinate ties have probability zero for a density. Deterministic tied archives require a chosen strict-coordinate or weak-coordinate convention; the implementation in Appendix A uses strict-coordinate chains.</w:t>
      </w:r>
    </w:p>
    <w:p w14:paraId="06E034A0" w14:textId="77777777" w:rsidR="00314867" w:rsidRDefault="00000000">
      <w:pPr>
        <w:pStyle w:val="BodyText"/>
        <w:keepNext/>
        <w:keepLines/>
        <w:rPr>
          <w:rFonts w:hint="eastAsia"/>
        </w:rPr>
      </w:pPr>
      <w:r>
        <w:rPr>
          <w:b/>
          <w:bCs/>
        </w:rPr>
        <w:t>Theorem 3 (independent-reference depth limit [5]).</w:t>
      </w:r>
      <w:r>
        <w:t xml:space="preserve"> Suppose </w:t>
      </w:r>
      <m:oMath>
        <m:r>
          <w:rPr>
            <w:rFonts w:ascii="Cambria Math" w:hAnsi="Cambria Math"/>
          </w:rPr>
          <m:t>g</m:t>
        </m:r>
      </m:oMath>
      <w:r>
        <w:t xml:space="preserve"> is uniformly continuous on an open bounded Lipschitz domain </w:t>
      </w:r>
      <m:oMath>
        <m:r>
          <w:rPr>
            <w:rFonts w:ascii="Cambria Math" w:hAnsi="Cambria Math"/>
          </w:rPr>
          <m:t>Ω</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sub>
          <m:sup>
            <m:r>
              <w:rPr>
                <w:rFonts w:ascii="Cambria Math" w:hAnsi="Cambria Math"/>
              </w:rPr>
              <m:t>m</m:t>
            </m:r>
          </m:sup>
        </m:sSubSup>
      </m:oMath>
      <w:r>
        <w:t xml:space="preserve">, zero outside it, and integrates to one. Then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sup>
        </m:sSup>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V</m:t>
        </m:r>
      </m:oMath>
      <w:r>
        <w:t xml:space="preserve"> almost surely uniformly. Here </w:t>
      </w:r>
      <m:oMath>
        <m:r>
          <w:rPr>
            <w:rFonts w:ascii="Cambria Math" w:hAnsi="Cambria Math"/>
          </w:rPr>
          <m:t>V</m:t>
        </m:r>
      </m:oMath>
      <w:r>
        <w:t xml:space="preserve"> is the monotone variational solution of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m:rPr>
                    <m:sty m:val="p"/>
                  </m:rPr>
                  <w:rPr>
                    <w:rFonts w:ascii="Cambria Math" w:hAnsi="Cambria Math"/>
                  </w:rPr>
                  <m:t>∂</m:t>
                </m:r>
              </m:e>
              <m:sub>
                <m:r>
                  <w:rPr>
                    <w:rFonts w:ascii="Cambria Math" w:hAnsi="Cambria Math"/>
                  </w:rPr>
                  <m:t>j</m:t>
                </m:r>
              </m:sub>
            </m:sSub>
          </m:e>
        </m:nary>
        <m:r>
          <w:rPr>
            <w:rFonts w:ascii="Cambria Math" w:hAnsi="Cambria Math"/>
          </w:rPr>
          <m:t>V</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m:t>
            </m:r>
          </m:sup>
        </m:sSup>
      </m:oMath>
      <w:r>
        <w:t xml:space="preserve">, with the orthant boundary condition and bounded-support saturation. Equivalently, </w:t>
      </w:r>
      <m:oMath>
        <m:r>
          <w:rPr>
            <w:rFonts w:ascii="Cambria Math" w:hAnsi="Cambria Math"/>
          </w:rPr>
          <m:t>U</m:t>
        </m:r>
        <m:r>
          <m:rPr>
            <m:sty m:val="p"/>
          </m:rPr>
          <w:rPr>
            <w:rFonts w:ascii="Cambria Math" w:hAnsi="Cambria Math"/>
          </w:rPr>
          <m:t>=</m:t>
        </m:r>
        <m:r>
          <w:rPr>
            <w:rFonts w:ascii="Cambria Math" w:hAnsi="Cambria Math"/>
          </w:rPr>
          <m:t>mV</m:t>
        </m:r>
      </m:oMath>
      <w:r>
        <w:t xml:space="preserve"> solves</w:t>
      </w:r>
    </w:p>
    <w:p w14:paraId="624F98A4" w14:textId="77777777" w:rsidR="00314867" w:rsidRDefault="00000000">
      <w:pPr>
        <w:pStyle w:val="BodyText"/>
        <w:keepLines/>
        <w:spacing w:before="60" w:after="120"/>
        <w:jc w:val="center"/>
        <w:rPr>
          <w:rFonts w:hint="eastAsia"/>
        </w:rPr>
      </w:pPr>
      <m:oMathPara>
        <m:oMathParaPr>
          <m:jc m:val="center"/>
        </m:oMathParaP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m:rPr>
                      <m:sty m:val="p"/>
                    </m:rPr>
                    <w:rPr>
                      <w:rFonts w:ascii="Cambria Math" w:hAnsi="Cambria Math"/>
                    </w:rPr>
                    <m:t>∂</m:t>
                  </m:r>
                </m:e>
                <m:sub>
                  <m:r>
                    <w:rPr>
                      <w:rFonts w:ascii="Cambria Math" w:hAnsi="Cambria Math"/>
                    </w:rPr>
                    <m:t>j</m:t>
                  </m:r>
                </m:sub>
              </m:sSub>
            </m:e>
          </m:nary>
          <m:r>
            <w:rPr>
              <w:rFonts w:ascii="Cambria Math" w:hAnsi="Cambria Math"/>
            </w:rPr>
            <m:t>U</m:t>
          </m:r>
          <m:r>
            <m:rPr>
              <m:sty m:val="p"/>
            </m:rPr>
            <w:rPr>
              <w:rFonts w:ascii="Cambria Math" w:hAnsi="Cambria Math"/>
            </w:rPr>
            <m:t>=</m:t>
          </m:r>
          <m:r>
            <w:rPr>
              <w:rFonts w:ascii="Cambria Math" w:hAnsi="Cambria Math"/>
            </w:rPr>
            <m:t>g</m:t>
          </m:r>
          <m:r>
            <m:rPr>
              <m:sty m:val="p"/>
            </m:rPr>
            <w:rPr>
              <w:rFonts w:ascii="Cambria Math" w:hAnsi="Cambria Math"/>
            </w:rPr>
            <m:t>,</m:t>
          </m:r>
          <m:r>
            <m:rPr>
              <m:nor/>
            </m:rPr>
            <m:t>    </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sup>
          </m:sSup>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m</m:t>
                  </m:r>
                </m:sub>
              </m:sSub>
            </m:num>
            <m:den>
              <m:r>
                <w:rPr>
                  <w:rFonts w:ascii="Cambria Math" w:hAnsi="Cambria Math"/>
                </w:rPr>
                <m:t>m</m:t>
              </m:r>
            </m:den>
          </m:f>
          <m:r>
            <w:rPr>
              <w:rFonts w:ascii="Cambria Math" w:hAnsi="Cambria Math"/>
            </w:rPr>
            <m:t>U</m:t>
          </m:r>
          <m:r>
            <m:rPr>
              <m:sty m:val="p"/>
            </m:rPr>
            <w:rPr>
              <w:rFonts w:ascii="Cambria Math" w:hAnsi="Cambria Math"/>
            </w:rPr>
            <m:t>,</m:t>
          </m:r>
          <m:r>
            <m:rPr>
              <m:nor/>
            </m:rPr>
            <m:t>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2</m:t>
          </m:r>
          <m:r>
            <m:rPr>
              <m:sty m:val="p"/>
            </m:rPr>
            <w:rPr>
              <w:rFonts w:ascii="Cambria Math" w:hAnsi="Cambria Math"/>
            </w:rPr>
            <m:t>.</m:t>
          </m:r>
          <m:r>
            <m:rPr>
              <m:nor/>
            </m:rPr>
            <m:t>    (10)</m:t>
          </m:r>
        </m:oMath>
      </m:oMathPara>
    </w:p>
    <w:p w14:paraId="229FC676" w14:textId="77777777" w:rsidR="00314867" w:rsidRDefault="00000000">
      <w:pPr>
        <w:pStyle w:val="FirstParagraph"/>
        <w:rPr>
          <w:rFonts w:hint="eastAsia"/>
        </w:rPr>
      </w:pPr>
      <w:r>
        <w:t xml:space="preserve">The factor </w:t>
      </w: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m</m:t>
        </m:r>
      </m:oMath>
      <w:r>
        <w:t xml:space="preserve"> must not be replaced by one in general dimensions. Under uniform sampling on the unit square, </w:t>
      </w:r>
      <m:oMath>
        <m:r>
          <w:rPr>
            <w:rFonts w:ascii="Cambria Math" w:hAnsi="Cambria Math"/>
          </w:rPr>
          <m:t>U</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e>
        </m:rad>
      </m:oMath>
      <w:r>
        <w:t xml:space="preserve"> for </w:t>
      </w:r>
      <m:oMath>
        <m:r>
          <w:rPr>
            <w:rFonts w:ascii="Cambria Math" w:hAnsi="Cambria Math"/>
          </w:rPr>
          <m:t>v</m:t>
        </m:r>
      </m:oMath>
      <w:r>
        <w:t xml:space="preserve"> in the square, so </w:t>
      </w:r>
      <m:oMath>
        <m:sSub>
          <m:sSubPr>
            <m:ctrlPr>
              <w:rPr>
                <w:rFonts w:ascii="Cambria Math" w:hAnsi="Cambria Math"/>
              </w:rPr>
            </m:ctrlPr>
          </m:sSubPr>
          <m:e>
            <m:r>
              <w:rPr>
                <w:rFonts w:ascii="Cambria Math" w:hAnsi="Cambria Math"/>
              </w:rPr>
              <m:t>u</m:t>
            </m:r>
          </m:e>
          <m:sub>
            <m:r>
              <w:rPr>
                <w:rFonts w:ascii="Cambria Math" w:hAnsi="Cambria Math"/>
              </w:rPr>
              <m:t>n</m:t>
            </m:r>
          </m:sub>
        </m:sSub>
        <m:d>
          <m:dPr>
            <m:ctrlPr>
              <w:rPr>
                <w:rFonts w:ascii="Cambria Math" w:hAnsi="Cambria Math"/>
              </w:rPr>
            </m:ctrlPr>
          </m:dPr>
          <m:e>
            <m:r>
              <w:rPr>
                <w:rFonts w:ascii="Cambria Math" w:hAnsi="Cambria Math"/>
              </w:rPr>
              <m:t>v</m:t>
            </m:r>
          </m:e>
        </m:d>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e>
        </m:rad>
      </m:oMath>
      <w:r>
        <w:t>. The derivatives of this expression multiply to one. Normalizing by the maximum depth cancels the multiplicative constant when the limiting maximum is positive. The independent-reference theorem does not apply directly to a history-dependent ADE archive.</w:t>
      </w:r>
    </w:p>
    <w:p w14:paraId="668D7282" w14:textId="77777777" w:rsidR="00314867" w:rsidRDefault="00000000">
      <w:pPr>
        <w:pStyle w:val="Heading2"/>
        <w:rPr>
          <w:rFonts w:hint="eastAsia"/>
        </w:rPr>
      </w:pPr>
      <w:bookmarkStart w:id="16" w:name="X63583dc1010ae6a076b50730e6d31669f35de46"/>
      <w:bookmarkEnd w:id="15"/>
      <w:r>
        <w:t>6.2 What the depth zero set actually identifies</w:t>
      </w:r>
    </w:p>
    <w:p w14:paraId="5B6ED6AB" w14:textId="77777777" w:rsidR="00314867" w:rsidRDefault="00000000">
      <w:pPr>
        <w:pStyle w:val="FirstParagraph"/>
        <w:keepLines/>
        <w:rPr>
          <w:rFonts w:hint="eastAsia"/>
        </w:rPr>
      </w:pPr>
      <w:r>
        <w:rPr>
          <w:b/>
          <w:bCs/>
        </w:rPr>
        <w:t>Proposition 5 (support-sensitive zero set).</w:t>
      </w:r>
      <w:r>
        <w:t xml:space="preserve"> Under Theorem 3, additionally assume </w:t>
      </w:r>
      <m:oMath>
        <m:r>
          <w:rPr>
            <w:rFonts w:ascii="Cambria Math" w:hAnsi="Cambria Math"/>
          </w:rPr>
          <m:t>g</m:t>
        </m:r>
        <m:r>
          <m:rPr>
            <m:sty m:val="p"/>
          </m:rPr>
          <w:rPr>
            <w:rFonts w:ascii="Cambria Math" w:hAnsi="Cambria Math"/>
          </w:rPr>
          <m:t>&gt;</m:t>
        </m:r>
        <m:r>
          <w:rPr>
            <w:rFonts w:ascii="Cambria Math" w:hAnsi="Cambria Math"/>
          </w:rPr>
          <m:t>0</m:t>
        </m:r>
      </m:oMath>
      <w:r>
        <w:t xml:space="preserve"> throughout </w:t>
      </w:r>
      <m:oMath>
        <m:r>
          <w:rPr>
            <w:rFonts w:ascii="Cambria Math" w:hAnsi="Cambria Math"/>
          </w:rPr>
          <m:t>Ω</m:t>
        </m:r>
      </m:oMath>
      <w:r>
        <w:t xml:space="preserve">. Then </w:t>
      </w:r>
      <m:oMath>
        <m:r>
          <w:rPr>
            <w:rFonts w:ascii="Cambria Math" w:hAnsi="Cambria Math"/>
          </w:rPr>
          <m:t>U</m:t>
        </m:r>
        <m:d>
          <m:dPr>
            <m:ctrlPr>
              <w:rPr>
                <w:rFonts w:ascii="Cambria Math" w:hAnsi="Cambria Math"/>
              </w:rPr>
            </m:ctrlPr>
          </m:dPr>
          <m:e>
            <m:r>
              <w:rPr>
                <w:rFonts w:ascii="Cambria Math" w:hAnsi="Cambria Math"/>
              </w:rPr>
              <m:t>v</m:t>
            </m:r>
          </m:e>
        </m:d>
        <m:r>
          <m:rPr>
            <m:sty m:val="p"/>
          </m:rPr>
          <w:rPr>
            <w:rFonts w:ascii="Cambria Math" w:hAnsi="Cambria Math"/>
          </w:rPr>
          <m:t>&gt;</m:t>
        </m:r>
        <m:r>
          <w:rPr>
            <w:rFonts w:ascii="Cambria Math" w:hAnsi="Cambria Math"/>
          </w:rPr>
          <m:t>0</m:t>
        </m:r>
      </m:oMath>
      <w:r>
        <w:t xml:space="preserve"> exactly when some </w:t>
      </w:r>
      <m:oMath>
        <m:r>
          <w:rPr>
            <w:rFonts w:ascii="Cambria Math" w:hAnsi="Cambria Math"/>
          </w:rPr>
          <m:t>w</m:t>
        </m:r>
        <m:r>
          <m:rPr>
            <m:sty m:val="p"/>
          </m:rPr>
          <w:rPr>
            <w:rFonts w:ascii="Cambria Math" w:hAnsi="Cambria Math"/>
          </w:rPr>
          <m:t>∈</m:t>
        </m:r>
        <m:r>
          <w:rPr>
            <w:rFonts w:ascii="Cambria Math" w:hAnsi="Cambria Math"/>
          </w:rPr>
          <m:t>Ω</m:t>
        </m:r>
      </m:oMath>
      <w:r>
        <w:t xml:space="preserve"> satisfies </w:t>
      </w:r>
      <m:oMath>
        <m:r>
          <w:rPr>
            <w:rFonts w:ascii="Cambria Math" w:hAnsi="Cambria Math"/>
          </w:rPr>
          <m:t>w</m:t>
        </m:r>
        <m:r>
          <m:rPr>
            <m:sty m:val="p"/>
          </m:rPr>
          <w:rPr>
            <w:rFonts w:ascii="Cambria Math" w:hAnsi="Cambria Math"/>
          </w:rPr>
          <m:t>&lt;</m:t>
        </m:r>
        <m:r>
          <w:rPr>
            <w:rFonts w:ascii="Cambria Math" w:hAnsi="Cambria Math"/>
          </w:rPr>
          <m:t>v</m:t>
        </m:r>
      </m:oMath>
      <w:r>
        <w:t>.</w:t>
      </w:r>
    </w:p>
    <w:p w14:paraId="462E381C" w14:textId="77777777" w:rsidR="00314867" w:rsidRDefault="00000000">
      <w:pPr>
        <w:pStyle w:val="BodyText"/>
        <w:rPr>
          <w:rFonts w:hint="eastAsia"/>
        </w:rPr>
      </w:pPr>
      <w:r>
        <w:rPr>
          <w:i/>
          <w:iCs/>
        </w:rPr>
        <w:t>Proof.</w:t>
      </w:r>
      <w:r>
        <w:t xml:space="preserve"> If such a </w:t>
      </w:r>
      <m:oMath>
        <m:r>
          <w:rPr>
            <w:rFonts w:ascii="Cambria Math" w:hAnsi="Cambria Math"/>
          </w:rPr>
          <m:t>w</m:t>
        </m:r>
      </m:oMath>
      <w:r>
        <w:t xml:space="preserve"> exists, continuity and positivity give a small box around </w:t>
      </w:r>
      <m:oMath>
        <m:r>
          <w:rPr>
            <w:rFonts w:ascii="Cambria Math" w:hAnsi="Cambria Math"/>
          </w:rPr>
          <m:t>w</m:t>
        </m:r>
      </m:oMath>
      <w:r>
        <w:t xml:space="preserve">, still strictly below </w:t>
      </w:r>
      <m:oMath>
        <m:r>
          <w:rPr>
            <w:rFonts w:ascii="Cambria Math" w:hAnsi="Cambria Math"/>
          </w:rPr>
          <m:t>v</m:t>
        </m:r>
      </m:oMath>
      <w:r>
        <w:t xml:space="preserve">, on which </w:t>
      </w:r>
      <m:oMath>
        <m:r>
          <w:rPr>
            <w:rFonts w:ascii="Cambria Math" w:hAnsi="Cambria Math"/>
          </w:rPr>
          <m:t>g</m:t>
        </m:r>
      </m:oMath>
      <w:r>
        <w:t xml:space="preserve"> is bounded below. Uniform box samples contribute a positive limiting depth. Conversely, if no such </w:t>
      </w:r>
      <m:oMath>
        <m:r>
          <w:rPr>
            <w:rFonts w:ascii="Cambria Math" w:hAnsi="Cambria Math"/>
          </w:rPr>
          <m:t>w</m:t>
        </m:r>
      </m:oMath>
      <w:r>
        <w:t xml:space="preserve"> exists, points of </w:t>
      </w:r>
      <m:oMath>
        <m:r>
          <w:rPr>
            <w:rFonts w:ascii="Cambria Math" w:hAnsi="Cambria Math"/>
          </w:rPr>
          <m:t>Ω</m:t>
        </m:r>
      </m:oMath>
      <w:r>
        <w:t xml:space="preserve"> below </w:t>
      </w:r>
      <m:oMath>
        <m:r>
          <w:rPr>
            <w:rFonts w:ascii="Cambria Math" w:hAnsi="Cambria Math"/>
          </w:rPr>
          <m:t>v</m:t>
        </m:r>
      </m:oMath>
      <w:r>
        <w:t xml:space="preserve"> lie on the finite union of coordinate faces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These faces have zero probability. No reference chain below that fixed </w:t>
      </w:r>
      <m:oMath>
        <m:r>
          <w:rPr>
            <w:rFonts w:ascii="Cambria Math" w:hAnsi="Cambria Math"/>
          </w:rPr>
          <m:t>v</m:t>
        </m:r>
      </m:oMath>
      <w:r>
        <w:t xml:space="preserve"> can have positive limiting depth. The same conclusion follows from the continuous variational representation.</w:t>
      </w:r>
    </w:p>
    <w:p w14:paraId="762B69C7" w14:textId="77777777" w:rsidR="00314867" w:rsidRDefault="00000000">
      <w:pPr>
        <w:pStyle w:val="BodyText"/>
        <w:rPr>
          <w:rFonts w:hint="eastAsia"/>
        </w:rPr>
      </w:pPr>
      <w:r>
        <w:t xml:space="preserve">To identify this zero set with </w:t>
      </w:r>
      <m:oMath>
        <m:sSub>
          <m:sSubPr>
            <m:ctrlPr>
              <w:rPr>
                <w:rFonts w:ascii="Cambria Math" w:hAnsi="Cambria Math"/>
              </w:rPr>
            </m:ctrlPr>
          </m:sSubPr>
          <m:e>
            <m:r>
              <w:rPr>
                <w:rFonts w:ascii="Cambria Math" w:hAnsi="Cambria Math"/>
              </w:rPr>
              <m:t>P</m:t>
            </m:r>
          </m:e>
          <m:sub>
            <m:r>
              <w:rPr>
                <w:rFonts w:ascii="Cambria Math" w:hAnsi="Cambria Math"/>
              </w:rPr>
              <m:t>w</m:t>
            </m:r>
          </m:sub>
        </m:sSub>
      </m:oMath>
      <w:r>
        <w:t xml:space="preserve">, require </w:t>
      </w:r>
      <m:oMath>
        <m:r>
          <w:rPr>
            <w:rFonts w:ascii="Cambria Math" w:hAnsi="Cambria Math"/>
          </w:rPr>
          <m:t>F</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bar>
          <m:barPr>
            <m:pos m:val="top"/>
            <m:ctrlPr>
              <w:rPr>
                <w:rFonts w:ascii="Cambria Math" w:hAnsi="Cambria Math"/>
              </w:rPr>
            </m:ctrlPr>
          </m:barPr>
          <m:e>
            <m:r>
              <w:rPr>
                <w:rFonts w:ascii="Cambria Math" w:hAnsi="Cambria Math"/>
              </w:rPr>
              <m:t>Ω</m:t>
            </m:r>
          </m:e>
        </m:bar>
      </m:oMath>
      <w:r>
        <w:t xml:space="preserve"> and strictly positive sampling density on </w:t>
      </w:r>
      <m:oMath>
        <m:r>
          <w:rPr>
            <w:rFonts w:ascii="Cambria Math" w:hAnsi="Cambria Math"/>
          </w:rPr>
          <m:t>Ω</m:t>
        </m:r>
      </m:oMath>
      <w:r>
        <w:t xml:space="preserve">. If an attainable vector </w:t>
      </w:r>
      <m:oMath>
        <m:r>
          <w:rPr>
            <w:rFonts w:ascii="Cambria Math" w:hAnsi="Cambria Math"/>
          </w:rPr>
          <m:t>w</m:t>
        </m:r>
      </m:oMath>
      <w:r>
        <w:t xml:space="preserve"> strictly dominates </w:t>
      </w:r>
      <m:oMath>
        <m:r>
          <w:rPr>
            <w:rFonts w:ascii="Cambria Math" w:hAnsi="Cambria Math"/>
          </w:rPr>
          <m:t>v</m:t>
        </m:r>
      </m:oMath>
      <w:r>
        <w:t xml:space="preserve">, a nearby point in </w:t>
      </w:r>
      <m:oMath>
        <m:r>
          <w:rPr>
            <w:rFonts w:ascii="Cambria Math" w:hAnsi="Cambria Math"/>
          </w:rPr>
          <m:t>Ω</m:t>
        </m:r>
      </m:oMath>
      <w:r>
        <w:t xml:space="preserve"> still strictly dominates it. Conversely, a point in </w:t>
      </w:r>
      <m:oMath>
        <m:r>
          <w:rPr>
            <w:rFonts w:ascii="Cambria Math" w:hAnsi="Cambria Math"/>
          </w:rPr>
          <m:t>Ω</m:t>
        </m:r>
        <m:r>
          <m:rPr>
            <m:sty m:val="p"/>
          </m:rPr>
          <w:rPr>
            <w:rFonts w:ascii="Cambria Math" w:hAnsi="Cambria Math"/>
          </w:rPr>
          <m:t>⊆</m:t>
        </m:r>
        <m:bar>
          <m:barPr>
            <m:pos m:val="top"/>
            <m:ctrlPr>
              <w:rPr>
                <w:rFonts w:ascii="Cambria Math" w:hAnsi="Cambria Math"/>
              </w:rPr>
            </m:ctrlPr>
          </m:barPr>
          <m:e>
            <m:r>
              <w:rPr>
                <w:rFonts w:ascii="Cambria Math" w:hAnsi="Cambria Math"/>
              </w:rPr>
              <m:t>F</m:t>
            </m:r>
            <m:d>
              <m:dPr>
                <m:ctrlPr>
                  <w:rPr>
                    <w:rFonts w:ascii="Cambria Math" w:hAnsi="Cambria Math"/>
                  </w:rPr>
                </m:ctrlPr>
              </m:dPr>
              <m:e>
                <m:r>
                  <m:rPr>
                    <m:scr m:val="script"/>
                    <m:sty m:val="p"/>
                  </m:rPr>
                  <w:rPr>
                    <w:rFonts w:ascii="Cambria Math" w:hAnsi="Cambria Math"/>
                  </w:rPr>
                  <m:t>C</m:t>
                </m:r>
              </m:e>
            </m:d>
          </m:e>
        </m:bar>
      </m:oMath>
      <w:r>
        <w:t xml:space="preserve"> strictly below </w:t>
      </w:r>
      <m:oMath>
        <m:r>
          <w:rPr>
            <w:rFonts w:ascii="Cambria Math" w:hAnsi="Cambria Math"/>
          </w:rPr>
          <m:t>v</m:t>
        </m:r>
      </m:oMath>
      <w:r>
        <w:t xml:space="preserve"> has a nearby attainable strict dominator. Thus also require </w:t>
      </w:r>
      <m:oMath>
        <m:r>
          <w:rPr>
            <w:rFonts w:ascii="Cambria Math" w:hAnsi="Cambria Math"/>
          </w:rPr>
          <m:t>Ω</m:t>
        </m:r>
        <m:r>
          <m:rPr>
            <m:sty m:val="p"/>
          </m:rPr>
          <w:rPr>
            <w:rFonts w:ascii="Cambria Math" w:hAnsi="Cambria Math"/>
          </w:rPr>
          <m:t>⊆</m:t>
        </m:r>
        <m:bar>
          <m:barPr>
            <m:pos m:val="top"/>
            <m:ctrlPr>
              <w:rPr>
                <w:rFonts w:ascii="Cambria Math" w:hAnsi="Cambria Math"/>
              </w:rPr>
            </m:ctrlPr>
          </m:barPr>
          <m:e>
            <m:r>
              <w:rPr>
                <w:rFonts w:ascii="Cambria Math" w:hAnsi="Cambria Math"/>
              </w:rPr>
              <m:t>F</m:t>
            </m:r>
            <m:d>
              <m:dPr>
                <m:ctrlPr>
                  <w:rPr>
                    <w:rFonts w:ascii="Cambria Math" w:hAnsi="Cambria Math"/>
                  </w:rPr>
                </m:ctrlPr>
              </m:dPr>
              <m:e>
                <m:r>
                  <m:rPr>
                    <m:scr m:val="script"/>
                    <m:sty m:val="p"/>
                  </m:rPr>
                  <w:rPr>
                    <w:rFonts w:ascii="Cambria Math" w:hAnsi="Cambria Math"/>
                  </w:rPr>
                  <m:t>C</m:t>
                </m:r>
              </m:e>
            </m:d>
          </m:e>
        </m:bar>
      </m:oMath>
      <w:r>
        <w:t xml:space="preserve">. Under these explicit support relationships, </w:t>
      </w:r>
      <m:oMath>
        <m:r>
          <w:rPr>
            <w:rFonts w:ascii="Cambria Math" w:hAnsi="Cambria Math"/>
          </w:rPr>
          <m:t>U</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0</m:t>
        </m:r>
      </m:oMath>
      <w:r>
        <w:t xml:space="preserve"> identifies weak efficiency.</w:t>
      </w:r>
    </w:p>
    <w:p w14:paraId="7A85EECD" w14:textId="77777777" w:rsidR="00314867" w:rsidRDefault="00000000">
      <w:pPr>
        <w:pStyle w:val="BodyText"/>
        <w:rPr>
          <w:rFonts w:hint="eastAsia"/>
        </w:rPr>
      </w:pPr>
      <w:r>
        <w:t xml:space="preserve">The support condition is substantive. Let the attainable image contain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and the square </w:t>
      </w:r>
      <m:oMath>
        <m:sSup>
          <m:sSupPr>
            <m:ctrlPr>
              <w:rPr>
                <w:rFonts w:ascii="Cambria Math" w:hAnsi="Cambria Math"/>
              </w:rPr>
            </m:ctrlPr>
          </m:sSup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e>
          <m:sup>
            <m:r>
              <w:rPr>
                <w:rFonts w:ascii="Cambria Math" w:hAnsi="Cambria Math"/>
              </w:rPr>
              <m:t>2</m:t>
            </m:r>
          </m:sup>
        </m:sSup>
      </m:oMath>
      <w:r>
        <w:t xml:space="preserve">, while the reference only samples the square. The point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has zero depth but is strictly dominated by the unsampled attainable point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Full global optimization cannot be inferred from the reference distribution alone. Singular objective images, common with discrete catalogs or fewer independent design variables than objectives, also fall outside a full-dimensional density assumption.</w:t>
      </w:r>
    </w:p>
    <w:p w14:paraId="7F2723E2" w14:textId="77777777" w:rsidR="00314867" w:rsidRDefault="00000000">
      <w:pPr>
        <w:pStyle w:val="BodyText"/>
        <w:rPr>
          <w:rFonts w:hint="eastAsia"/>
        </w:rPr>
      </w:pPr>
      <w:r>
        <w:lastRenderedPageBreak/>
        <w:t xml:space="preserve">Even with adequate support, weak efficiency can include dominated designs. In a ZDT-type minimization, every point with the smallest possible first objective is weakly efficient, although many such points are dominated by another point with the same first objective. Exact boundary designs may have zero probability under a continuous latent parameterization. Neither an </w:t>
      </w:r>
      <m:oMath>
        <m:r>
          <w:rPr>
            <w:rFonts w:ascii="Cambria Math" w:hAnsi="Cambria Math"/>
          </w:rPr>
          <m:t>O</m:t>
        </m:r>
        <m:d>
          <m:dPr>
            <m:ctrlPr>
              <w:rPr>
                <w:rFonts w:ascii="Cambria Math" w:hAnsi="Cambria Math"/>
              </w:rPr>
            </m:ctrlPr>
          </m:dPr>
          <m:e>
            <m:r>
              <w:rPr>
                <w:rFonts w:ascii="Cambria Math" w:hAnsi="Cambria Math"/>
              </w:rPr>
              <m:t>1</m:t>
            </m:r>
          </m:e>
        </m:d>
      </m:oMath>
      <w:r>
        <w:t xml:space="preserve"> finite-rank penalty on that boundary nor complete front coverage follows universally.</w:t>
      </w:r>
    </w:p>
    <w:p w14:paraId="1B988738" w14:textId="77777777" w:rsidR="00314867" w:rsidRDefault="00000000">
      <w:pPr>
        <w:pStyle w:val="Heading2"/>
        <w:rPr>
          <w:rFonts w:hint="eastAsia"/>
        </w:rPr>
      </w:pPr>
      <w:bookmarkStart w:id="17" w:name="X8e79838634f4fbb4dfe5d4ebba10b038cbb38e7"/>
      <w:bookmarkEnd w:id="16"/>
      <w:r>
        <w:t>6.3 Cone ranks and the trade-offs they remove</w:t>
      </w:r>
    </w:p>
    <w:p w14:paraId="45883B65" w14:textId="77777777" w:rsidR="00314867" w:rsidRDefault="00000000">
      <w:pPr>
        <w:pStyle w:val="FirstParagraph"/>
        <w:rPr>
          <w:rFonts w:hint="eastAsia"/>
        </w:rPr>
      </w:pPr>
      <w:r>
        <w:t xml:space="preserve">For dimensionless objectives define </w:t>
      </w:r>
      <m:oMath>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ϵ</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ϵ</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k</m:t>
                </m:r>
              </m:sub>
            </m:sSub>
          </m:e>
        </m:nary>
      </m:oMath>
      <w:r>
        <w:t xml:space="preserve">, with </w:t>
      </w:r>
      <m:oMath>
        <m:r>
          <w:rPr>
            <w:rFonts w:ascii="Cambria Math" w:hAnsi="Cambria Math"/>
          </w:rPr>
          <m:t>ϵ</m:t>
        </m:r>
        <m:r>
          <m:rPr>
            <m:sty m:val="p"/>
          </m:rPr>
          <w:rPr>
            <w:rFonts w:ascii="Cambria Math" w:hAnsi="Cambria Math"/>
          </w:rPr>
          <m:t>&gt;</m:t>
        </m:r>
        <m:r>
          <w:rPr>
            <w:rFonts w:ascii="Cambria Math" w:hAnsi="Cambria Math"/>
          </w:rPr>
          <m:t>0</m:t>
        </m:r>
      </m:oMath>
      <w:r>
        <w:t>.</w:t>
      </w:r>
    </w:p>
    <w:p w14:paraId="165B798B" w14:textId="77777777" w:rsidR="00314867" w:rsidRDefault="00000000">
      <w:pPr>
        <w:pStyle w:val="BodyText"/>
        <w:keepLines/>
        <w:rPr>
          <w:rFonts w:hint="eastAsia"/>
        </w:rPr>
      </w:pPr>
      <w:r>
        <w:rPr>
          <w:b/>
          <w:bCs/>
        </w:rPr>
        <w:t>Proposition 6.</w:t>
      </w:r>
      <w:r>
        <w:t xml:space="preserve"> If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then </w:t>
      </w:r>
      <m:oMath>
        <m:sSup>
          <m:sSupPr>
            <m:ctrlPr>
              <w:rPr>
                <w:rFonts w:ascii="Cambria Math" w:hAnsi="Cambria Math"/>
              </w:rPr>
            </m:ctrlPr>
          </m:sSupPr>
          <m:e>
            <m:r>
              <w:rPr>
                <w:rFonts w:ascii="Cambria Math" w:hAnsi="Cambria Math"/>
              </w:rPr>
              <m:t>F</m:t>
            </m:r>
          </m:e>
          <m:sup>
            <m:r>
              <w:rPr>
                <w:rFonts w:ascii="Cambria Math" w:hAnsi="Cambria Math"/>
              </w:rPr>
              <m:t>ϵ</m:t>
            </m:r>
          </m:sup>
        </m:sSup>
        <m:d>
          <m:dPr>
            <m:ctrlPr>
              <w:rPr>
                <w:rFonts w:ascii="Cambria Math" w:hAnsi="Cambria Math"/>
              </w:rPr>
            </m:ctrlPr>
          </m:dPr>
          <m:e>
            <m:r>
              <w:rPr>
                <w:rFonts w:ascii="Cambria Math" w:hAnsi="Cambria Math"/>
              </w:rPr>
              <m:t>x</m:t>
            </m:r>
            <m:r>
              <m:rPr>
                <m:sty m:val="p"/>
              </m:rPr>
              <w:rPr>
                <w:rFonts w:ascii="Cambria Math" w:hAnsi="Cambria Math"/>
              </w:rPr>
              <m:t>'</m:t>
            </m:r>
          </m:e>
        </m:d>
        <m:r>
          <m:rPr>
            <m:sty m:val="p"/>
          </m:rPr>
          <w:rPr>
            <w:rFonts w:ascii="Cambria Math" w:hAnsi="Cambria Math"/>
          </w:rPr>
          <m:t>&lt;</m:t>
        </m:r>
        <m:sSup>
          <m:sSupPr>
            <m:ctrlPr>
              <w:rPr>
                <w:rFonts w:ascii="Cambria Math" w:hAnsi="Cambria Math"/>
              </w:rPr>
            </m:ctrlPr>
          </m:sSupPr>
          <m:e>
            <m:r>
              <w:rPr>
                <w:rFonts w:ascii="Cambria Math" w:hAnsi="Cambria Math"/>
              </w:rPr>
              <m:t>F</m:t>
            </m:r>
          </m:e>
          <m:sup>
            <m:r>
              <w:rPr>
                <w:rFonts w:ascii="Cambria Math" w:hAnsi="Cambria Math"/>
              </w:rPr>
              <m:t>ϵ</m:t>
            </m:r>
          </m:sup>
        </m:sSup>
        <m:d>
          <m:dPr>
            <m:ctrlPr>
              <w:rPr>
                <w:rFonts w:ascii="Cambria Math" w:hAnsi="Cambria Math"/>
              </w:rPr>
            </m:ctrlPr>
          </m:dPr>
          <m:e>
            <m:r>
              <w:rPr>
                <w:rFonts w:ascii="Cambria Math" w:hAnsi="Cambria Math"/>
              </w:rPr>
              <m:t>x</m:t>
            </m:r>
          </m:e>
        </m:d>
      </m:oMath>
      <w:r>
        <w:t xml:space="preserve">. Consequently </w:t>
      </w:r>
      <m:oMath>
        <m:sSub>
          <m:sSubPr>
            <m:ctrlPr>
              <w:rPr>
                <w:rFonts w:ascii="Cambria Math" w:hAnsi="Cambria Math"/>
              </w:rPr>
            </m:ctrlPr>
          </m:sSubPr>
          <m:e>
            <m:r>
              <w:rPr>
                <w:rFonts w:ascii="Cambria Math" w:hAnsi="Cambria Math"/>
              </w:rPr>
              <m:t>P</m:t>
            </m:r>
          </m:e>
          <m:sub>
            <m:r>
              <w:rPr>
                <w:rFonts w:ascii="Cambria Math" w:hAnsi="Cambria Math"/>
              </w:rPr>
              <m:t>w</m:t>
            </m:r>
          </m:sub>
        </m:sSub>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ϵ</m:t>
                </m:r>
              </m:sup>
            </m:sSup>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F</m:t>
            </m:r>
          </m:e>
        </m:d>
      </m:oMath>
      <w:r>
        <w:t xml:space="preserve">. For two objectives, a properly efficient design whose every improvement-to-sacrifice ratio is bounded by </w:t>
      </w:r>
      <m:oMath>
        <m:r>
          <w:rPr>
            <w:rFonts w:ascii="Cambria Math" w:hAnsi="Cambria Math"/>
          </w:rPr>
          <m:t>K</m:t>
        </m:r>
        <m:r>
          <m:rPr>
            <m:sty m:val="p"/>
          </m:rPr>
          <w:rPr>
            <w:rFonts w:ascii="Cambria Math" w:hAnsi="Cambria Math"/>
          </w:rPr>
          <m:t>&gt;</m:t>
        </m:r>
        <m:r>
          <w:rPr>
            <w:rFonts w:ascii="Cambria Math" w:hAnsi="Cambria Math"/>
          </w:rPr>
          <m:t>1</m:t>
        </m:r>
      </m:oMath>
      <w:r>
        <w:t xml:space="preserve"> remains weakly efficient after transformation whenever </w:t>
      </w:r>
      <m:oMath>
        <m:r>
          <w:rPr>
            <w:rFonts w:ascii="Cambria Math" w:hAnsi="Cambria Math"/>
          </w:rPr>
          <m:t>ϵ</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w:t>
      </w:r>
    </w:p>
    <w:p w14:paraId="4E5299E5" w14:textId="77777777" w:rsidR="00314867" w:rsidRDefault="00000000">
      <w:pPr>
        <w:pStyle w:val="BodyText"/>
        <w:rPr>
          <w:rFonts w:hint="eastAsia"/>
        </w:rPr>
      </w:pPr>
      <w:r>
        <w:rPr>
          <w:i/>
          <w:iCs/>
        </w:rPr>
        <w:t>Proof.</w:t>
      </w:r>
      <w:r>
        <w:t xml:space="preserve"> The sum of the original objective differences is strictly negative under dominance, so adding its positive multiple makes every coordinate difference negative. For the second assertion, a transformed strict dominator would have mixed original differences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&lt;</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up to relabeling. The transformed second coordinate gives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&lt;</m:t>
        </m:r>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oMath>
      <w:r>
        <w:t xml:space="preserve">, hence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&gt;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K</m:t>
        </m:r>
      </m:oMath>
      <w:r>
        <w:t xml:space="preserve">, a contradiction. If </w:t>
      </w:r>
      <m:oMath>
        <m:r>
          <w:rPr>
            <w:rFonts w:ascii="Cambria Math" w:hAnsi="Cambria Math"/>
          </w:rPr>
          <m:t>K</m:t>
        </m:r>
        <m:r>
          <m:rPr>
            <m:sty m:val="p"/>
          </m:rPr>
          <w:rPr>
            <w:rFonts w:ascii="Cambria Math" w:hAnsi="Cambria Math"/>
          </w:rPr>
          <m:t>≤</m:t>
        </m:r>
        <m:r>
          <w:rPr>
            <w:rFonts w:ascii="Cambria Math" w:hAnsi="Cambria Math"/>
          </w:rPr>
          <m:t>1</m:t>
        </m:r>
      </m:oMath>
      <w:r>
        <w:t xml:space="preserve">, this argument excludes a transformed strict dominator for every positive </w:t>
      </w:r>
      <m:oMath>
        <m:r>
          <w:rPr>
            <w:rFonts w:ascii="Cambria Math" w:hAnsi="Cambria Math"/>
          </w:rPr>
          <m:t>ϵ</m:t>
        </m:r>
      </m:oMath>
      <w:r>
        <w:t>.</w:t>
      </w:r>
    </w:p>
    <w:p w14:paraId="51E6BC35" w14:textId="77777777" w:rsidR="00314867" w:rsidRDefault="00000000">
      <w:pPr>
        <w:pStyle w:val="BodyText"/>
        <w:rPr>
          <w:rFonts w:hint="eastAsia"/>
        </w:rPr>
      </w:pPr>
      <w:r>
        <w:t xml:space="preserve">The transform can discard valid Pareto trade-offs. The two nondominated vectors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d>
          <m:dPr>
            <m:ctrlPr>
              <w:rPr>
                <w:rFonts w:ascii="Cambria Math" w:hAnsi="Cambria Math"/>
              </w:rPr>
            </m:ctrlPr>
          </m:dPr>
          <m:e>
            <m:r>
              <w:rPr>
                <w:rFonts w:ascii="Cambria Math" w:hAnsi="Cambria Math"/>
              </w:rPr>
              <m:t>0.01</m:t>
            </m:r>
            <m:r>
              <m:rPr>
                <m:sty m:val="p"/>
              </m:rPr>
              <w:rPr>
                <w:rFonts w:ascii="Cambria Math" w:hAnsi="Cambria Math"/>
              </w:rPr>
              <m:t>,</m:t>
            </m:r>
            <m:r>
              <w:rPr>
                <w:rFonts w:ascii="Cambria Math" w:hAnsi="Cambria Math"/>
              </w:rPr>
              <m:t>0</m:t>
            </m:r>
          </m:e>
        </m:d>
      </m:oMath>
      <w:r>
        <w:t xml:space="preserve"> become </w:t>
      </w:r>
      <m:oMath>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1.1</m:t>
            </m:r>
          </m:e>
        </m:d>
      </m:oMath>
      <w:r>
        <w:t xml:space="preserve"> and </w:t>
      </w:r>
      <m:oMath>
        <m:d>
          <m:dPr>
            <m:ctrlPr>
              <w:rPr>
                <w:rFonts w:ascii="Cambria Math" w:hAnsi="Cambria Math"/>
              </w:rPr>
            </m:ctrlPr>
          </m:dPr>
          <m:e>
            <m:r>
              <w:rPr>
                <w:rFonts w:ascii="Cambria Math" w:hAnsi="Cambria Math"/>
              </w:rPr>
              <m:t>0.011</m:t>
            </m:r>
            <m:r>
              <m:rPr>
                <m:sty m:val="p"/>
              </m:rPr>
              <w:rPr>
                <w:rFonts w:ascii="Cambria Math" w:hAnsi="Cambria Math"/>
              </w:rPr>
              <m:t>,</m:t>
            </m:r>
            <m:r>
              <w:rPr>
                <w:rFonts w:ascii="Cambria Math" w:hAnsi="Cambria Math"/>
              </w:rPr>
              <m:t>0.001</m:t>
            </m:r>
          </m:e>
        </m:d>
      </m:oMath>
      <w:r>
        <w:t xml:space="preserve"> at </w:t>
      </w:r>
      <m:oMath>
        <m:r>
          <w:rPr>
            <w:rFonts w:ascii="Cambria Math" w:hAnsi="Cambria Math"/>
          </w:rPr>
          <m:t>ϵ</m:t>
        </m:r>
        <m:r>
          <m:rPr>
            <m:sty m:val="p"/>
          </m:rPr>
          <w:rPr>
            <w:rFonts w:ascii="Cambria Math" w:hAnsi="Cambria Math"/>
          </w:rPr>
          <m:t>=</m:t>
        </m:r>
        <m:r>
          <w:rPr>
            <w:rFonts w:ascii="Cambria Math" w:hAnsi="Cambria Math"/>
          </w:rPr>
          <m:t>0.1</m:t>
        </m:r>
      </m:oMath>
      <w:r>
        <w:t xml:space="preserve">; the second strictly dominates the first. Objective scales and </w:t>
      </w:r>
      <m:oMath>
        <m:r>
          <w:rPr>
            <w:rFonts w:ascii="Cambria Math" w:hAnsi="Cambria Math"/>
          </w:rPr>
          <m:t>ϵ</m:t>
        </m:r>
      </m:oMath>
      <w:r>
        <w:t xml:space="preserve"> therefore encode a preference. Removing weakly efficient points is not a free improvement in diversity or engineering acceptability.</w:t>
      </w:r>
    </w:p>
    <w:p w14:paraId="1BCF2B2D" w14:textId="77777777" w:rsidR="00314867" w:rsidRDefault="00000000">
      <w:pPr>
        <w:pStyle w:val="Heading1"/>
        <w:rPr>
          <w:rFonts w:hint="eastAsia"/>
        </w:rPr>
      </w:pPr>
      <w:bookmarkStart w:id="18" w:name="probability-mass-along-an-optimum-set"/>
      <w:bookmarkEnd w:id="14"/>
      <w:bookmarkEnd w:id="17"/>
      <w:r>
        <w:t>7 Probability mass along an optimum set</w:t>
      </w:r>
    </w:p>
    <w:p w14:paraId="75B822BA" w14:textId="77777777" w:rsidR="00314867" w:rsidRDefault="00000000">
      <w:pPr>
        <w:pStyle w:val="Heading2"/>
        <w:rPr>
          <w:rFonts w:hint="eastAsia"/>
        </w:rPr>
      </w:pPr>
      <w:bookmarkStart w:id="19" w:name="a-zero-set-laplace-theorem"/>
      <w:r>
        <w:t>7.1 A zero-set Laplace theorem</w:t>
      </w:r>
    </w:p>
    <w:p w14:paraId="3419416B" w14:textId="77777777" w:rsidR="00314867" w:rsidRDefault="00000000">
      <w:pPr>
        <w:pStyle w:val="FirstParagraph"/>
        <w:rPr>
          <w:rFonts w:hint="eastAsia"/>
        </w:rPr>
      </w:pPr>
      <w:r>
        <w:t xml:space="preserve">Concentration near a set does not determine how probability is distributed along it. Let </w:t>
      </w:r>
      <m:oMath>
        <m:r>
          <w:rPr>
            <w:rFonts w:ascii="Cambria Math" w:hAnsi="Cambria Math"/>
          </w:rPr>
          <m:t>S</m:t>
        </m:r>
        <m:r>
          <m:rPr>
            <m:sty m:val="p"/>
          </m:rPr>
          <w:rPr>
            <w:rFonts w:ascii="Cambria Math" w:hAnsi="Cambria Math"/>
          </w:rPr>
          <m:t>≥</m:t>
        </m:r>
        <m:r>
          <w:rPr>
            <w:rFonts w:ascii="Cambria Math" w:hAnsi="Cambria Math"/>
          </w:rPr>
          <m:t>0</m:t>
        </m:r>
      </m:oMath>
      <w:r>
        <w:t xml:space="preserve"> vanish on a compact embedded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manifold </w:t>
      </w:r>
      <m:oMath>
        <m:r>
          <m:rPr>
            <m:scr m:val="script"/>
            <m:sty m:val="p"/>
          </m:rPr>
          <w:rPr>
            <w:rFonts w:ascii="Cambria Math" w:hAnsi="Cambria Math"/>
          </w:rPr>
          <m:t>S</m:t>
        </m:r>
      </m:oMath>
      <w:r>
        <w:t xml:space="preserve"> of codimension </w:t>
      </w:r>
      <m:oMath>
        <m:r>
          <w:rPr>
            <w:rFonts w:ascii="Cambria Math" w:hAnsi="Cambria Math"/>
          </w:rPr>
          <m:t>k</m:t>
        </m:r>
      </m:oMath>
      <w:r>
        <w:t xml:space="preserve">. In a tubular neighborhood use tangential coordinate </w:t>
      </w:r>
      <m:oMath>
        <m:r>
          <w:rPr>
            <w:rFonts w:ascii="Cambria Math" w:hAnsi="Cambria Math"/>
          </w:rPr>
          <m:t>s</m:t>
        </m:r>
      </m:oMath>
      <w:r>
        <w:t xml:space="preserve"> and normal coordinate </w:t>
      </w:r>
      <m:oMath>
        <m:r>
          <w:rPr>
            <w:rFonts w:ascii="Cambria Math" w:hAnsi="Cambria Math"/>
          </w:rPr>
          <m:t>v</m:t>
        </m:r>
      </m:oMath>
      <w:r>
        <w:t xml:space="preserve"> in a fixed full-dimensional closed cone </w:t>
      </w:r>
      <m:oMath>
        <m:r>
          <m:rPr>
            <m:scr m:val="script"/>
            <m:sty m:val="p"/>
          </m:rPr>
          <w:rPr>
            <w:rFonts w:ascii="Cambria Math" w:hAnsi="Cambria Math"/>
          </w:rPr>
          <m:t>V⊆</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Local charts can be combined by a partition of unity. Boundary charts are allowed when their tangential boundary has zero surface measure and the same uniform estimates hold. Write the reference volume as </w:t>
      </w:r>
      <m:oMath>
        <m:r>
          <w:rPr>
            <w:rFonts w:ascii="Cambria Math" w:hAnsi="Cambria Math"/>
          </w:rPr>
          <m:t>ρ</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e>
        </m:d>
        <m:r>
          <w:rPr>
            <w:rFonts w:ascii="Cambria Math" w:hAnsi="Cambria Math"/>
          </w:rPr>
          <m:t>J</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r>
          <m:rPr>
            <m:nor/>
          </m:rPr>
          <m:t>    </m:t>
        </m:r>
        <m:r>
          <w:rPr>
            <w:rFonts w:ascii="Cambria Math" w:hAnsi="Cambria Math"/>
          </w:rPr>
          <m:t>dσ</m:t>
        </m:r>
        <m:d>
          <m:dPr>
            <m:ctrlPr>
              <w:rPr>
                <w:rFonts w:ascii="Cambria Math" w:hAnsi="Cambria Math"/>
              </w:rPr>
            </m:ctrlPr>
          </m:dPr>
          <m:e>
            <m:r>
              <w:rPr>
                <w:rFonts w:ascii="Cambria Math" w:hAnsi="Cambria Math"/>
              </w:rPr>
              <m:t>s</m:t>
            </m:r>
          </m:e>
        </m:d>
        <m:r>
          <m:rPr>
            <m:nor/>
          </m:rPr>
          <m:t>    </m:t>
        </m:r>
        <m:r>
          <w:rPr>
            <w:rFonts w:ascii="Cambria Math" w:hAnsi="Cambria Math"/>
          </w:rPr>
          <m:t>dv</m:t>
        </m:r>
      </m:oMath>
      <w:r>
        <w:t>.</w:t>
      </w:r>
    </w:p>
    <w:p w14:paraId="47EF657C" w14:textId="77777777" w:rsidR="00314867" w:rsidRDefault="00000000">
      <w:pPr>
        <w:pStyle w:val="BodyText"/>
        <w:keepNext/>
        <w:keepLines/>
        <w:rPr>
          <w:rFonts w:hint="eastAsia"/>
        </w:rPr>
      </w:pPr>
      <w:r>
        <w:rPr>
          <w:b/>
          <w:bCs/>
        </w:rPr>
        <w:t>Theorem 4 (homogeneous normal profile).</w:t>
      </w:r>
      <w:r>
        <w:t xml:space="preserve"> Assume </w:t>
      </w:r>
      <m:oMath>
        <m:r>
          <w:rPr>
            <w:rFonts w:ascii="Cambria Math" w:hAnsi="Cambria Math"/>
          </w:rPr>
          <m:t>ρ</m:t>
        </m:r>
      </m:oMath>
      <w:r>
        <w:t xml:space="preserve"> and </w:t>
      </w:r>
      <m:oMath>
        <m:r>
          <w:rPr>
            <w:rFonts w:ascii="Cambria Math" w:hAnsi="Cambria Math"/>
          </w:rPr>
          <m:t>J</m:t>
        </m:r>
      </m:oMath>
      <w:r>
        <w:t xml:space="preserve"> are continuous near </w:t>
      </w:r>
      <m:oMath>
        <m:r>
          <m:rPr>
            <m:scr m:val="script"/>
            <m:sty m:val="p"/>
          </m:rPr>
          <w:rPr>
            <w:rFonts w:ascii="Cambria Math" w:hAnsi="Cambria Math"/>
          </w:rPr>
          <m:t>S</m:t>
        </m:r>
      </m:oMath>
      <w:r>
        <w:t xml:space="preserve">, their product is positive on it, and for a fixed </w:t>
      </w:r>
      <m:oMath>
        <m:r>
          <w:rPr>
            <w:rFonts w:ascii="Cambria Math" w:hAnsi="Cambria Math"/>
          </w:rPr>
          <m:t>p</m:t>
        </m:r>
        <m:r>
          <m:rPr>
            <m:sty m:val="p"/>
          </m:rPr>
          <w:rPr>
            <w:rFonts w:ascii="Cambria Math" w:hAnsi="Cambria Math"/>
          </w:rPr>
          <m:t>&gt;</m:t>
        </m:r>
        <m:r>
          <w:rPr>
            <w:rFonts w:ascii="Cambria Math" w:hAnsi="Cambria Math"/>
          </w:rPr>
          <m:t>0</m:t>
        </m:r>
      </m:oMath>
      <w:r>
        <w:t>,</w:t>
      </w:r>
    </w:p>
    <w:p w14:paraId="4615280E" w14:textId="77777777" w:rsidR="00314867" w:rsidRDefault="00000000">
      <w:pPr>
        <w:pStyle w:val="BodyText"/>
        <w:keepLines/>
        <w:spacing w:before="60" w:after="120"/>
        <w:jc w:val="center"/>
        <w:rPr>
          <w:rFonts w:hint="eastAsia"/>
        </w:rP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p</m:t>
                  </m:r>
                </m:sup>
              </m:sSup>
            </m:e>
          </m:d>
          <m:r>
            <m:rPr>
              <m:sty m:val="p"/>
            </m:rPr>
            <w:rPr>
              <w:rFonts w:ascii="Cambria Math" w:hAnsi="Cambria Math"/>
            </w:rPr>
            <m:t>,</m:t>
          </m:r>
          <m:r>
            <m:rPr>
              <m:nor/>
            </m: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tv</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p</m:t>
              </m:r>
            </m:sup>
          </m:sSup>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v</m:t>
              </m:r>
            </m:e>
          </m:d>
          <m:r>
            <m:rPr>
              <m:sty m:val="p"/>
            </m:rPr>
            <w:rPr>
              <w:rFonts w:ascii="Cambria Math" w:hAnsi="Cambria Math"/>
            </w:rPr>
            <m:t>,</m:t>
          </m:r>
          <m:r>
            <m:rPr>
              <m:nor/>
            </m: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p</m:t>
              </m:r>
            </m:sup>
          </m:sSup>
          <m:r>
            <m:rPr>
              <m:sty m:val="p"/>
            </m:rPr>
            <w:rPr>
              <w:rFonts w:ascii="Cambria Math" w:hAnsi="Cambria Math"/>
            </w:rPr>
            <m:t>.</m:t>
          </m:r>
          <m:r>
            <m:rPr>
              <m:nor/>
            </m:rPr>
            <m:t>    (11)</m:t>
          </m:r>
        </m:oMath>
      </m:oMathPara>
    </w:p>
    <w:p w14:paraId="34AE6B0B" w14:textId="77777777" w:rsidR="00314867" w:rsidRDefault="00000000">
      <w:pPr>
        <w:pStyle w:val="FirstParagraph"/>
        <w:keepNext/>
        <w:rPr>
          <w:rFonts w:hint="eastAsia"/>
        </w:rPr>
      </w:pPr>
      <w:r>
        <w:t xml:space="preserve">The remainder is uniform in </w:t>
      </w:r>
      <m:oMath>
        <m:r>
          <w:rPr>
            <w:rFonts w:ascii="Cambria Math" w:hAnsi="Cambria Math"/>
          </w:rPr>
          <m:t>s</m:t>
        </m:r>
      </m:oMath>
      <w:r>
        <w:t xml:space="preserv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oMath>
      <w:r>
        <w:t xml:space="preserve"> is jointly continuous, and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p</m:t>
            </m:r>
          </m:sup>
        </m:sSup>
      </m:oMath>
      <w:r>
        <w:t xml:space="preserve"> uniformly in a sufficiently small tube. Outside the tube, assume </w:t>
      </w:r>
      <m:oMath>
        <m:r>
          <w:rPr>
            <w:rFonts w:ascii="Cambria Math" w:hAnsi="Cambria Math"/>
          </w:rPr>
          <m:t>S</m:t>
        </m:r>
        <m:r>
          <m:rPr>
            <m:sty m:val="p"/>
          </m:rPr>
          <w:rPr>
            <w:rFonts w:ascii="Cambria Math" w:hAnsi="Cambria Math"/>
          </w:rPr>
          <m:t>≥</m:t>
        </m:r>
        <m:r>
          <w:rPr>
            <w:rFonts w:ascii="Cambria Math" w:hAnsi="Cambria Math"/>
          </w:rPr>
          <m:t>γ</m:t>
        </m:r>
        <m:r>
          <m:rPr>
            <m:sty m:val="p"/>
          </m:rPr>
          <w:rPr>
            <w:rFonts w:ascii="Cambria Math" w:hAnsi="Cambria Math"/>
          </w:rPr>
          <m:t>&gt;</m:t>
        </m:r>
        <m:r>
          <w:rPr>
            <w:rFonts w:ascii="Cambria Math" w:hAnsi="Cambria Math"/>
          </w:rPr>
          <m:t>0</m:t>
        </m:r>
      </m:oMath>
      <w:r>
        <w:t xml:space="preserve">. Then the weak limit of </w:t>
      </w: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oMath>
      <w:r>
        <w:t xml:space="preserve"> on </w:t>
      </w:r>
      <m:oMath>
        <m:r>
          <m:rPr>
            <m:scr m:val="script"/>
            <m:sty m:val="p"/>
          </m:rPr>
          <w:rPr>
            <w:rFonts w:ascii="Cambria Math" w:hAnsi="Cambria Math"/>
          </w:rPr>
          <m:t>S</m:t>
        </m:r>
      </m:oMath>
      <w:r>
        <w:t xml:space="preserve"> has density proportional to </w:t>
      </w:r>
      <m:oMath>
        <m:r>
          <w:rPr>
            <w:rFonts w:ascii="Cambria Math" w:hAnsi="Cambria Math"/>
          </w:rPr>
          <m:t>ρ</m:t>
        </m:r>
        <m:d>
          <m:dPr>
            <m:ctrlPr>
              <w:rPr>
                <w:rFonts w:ascii="Cambria Math" w:hAnsi="Cambria Math"/>
              </w:rPr>
            </m:ctrlPr>
          </m:dPr>
          <m:e>
            <m:r>
              <w:rPr>
                <w:rFonts w:ascii="Cambria Math" w:hAnsi="Cambria Math"/>
              </w:rPr>
              <m:t>s</m:t>
            </m:r>
          </m:e>
        </m:d>
        <m:r>
          <w:rPr>
            <w:rFonts w:ascii="Cambria Math" w:hAnsi="Cambria Math"/>
          </w:rPr>
          <m:t>J</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sSub>
          <m:sSubPr>
            <m:ctrlPr>
              <w:rPr>
                <w:rFonts w:ascii="Cambria Math" w:hAnsi="Cambria Math"/>
              </w:rPr>
            </m:ctrlPr>
          </m:sSubPr>
          <m:e>
            <m:r>
              <w:rPr>
                <w:rFonts w:ascii="Cambria Math" w:hAnsi="Cambria Math"/>
              </w:rPr>
              <m:t>C</m:t>
            </m:r>
          </m:e>
          <m:sub>
            <m:r>
              <w:rPr>
                <w:rFonts w:ascii="Cambria Math" w:hAnsi="Cambria Math"/>
              </w:rPr>
              <m:t>s</m:t>
            </m:r>
          </m:sub>
        </m:sSub>
      </m:oMath>
      <w:r>
        <w:t>, where</w:t>
      </w:r>
    </w:p>
    <w:p w14:paraId="224D4330"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V</m:t>
              </m:r>
            </m:sub>
            <m:sup>
              <m: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u</m:t>
                      </m:r>
                    </m:e>
                  </m:d>
                </m:sup>
              </m:sSup>
            </m:e>
          </m:nary>
          <m:r>
            <w:rPr>
              <w:rFonts w:ascii="Cambria Math" w:hAnsi="Cambria Math"/>
            </w:rPr>
            <m:t>du</m:t>
          </m:r>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e>
          </m:d>
          <m:sSub>
            <m:sSubPr>
              <m:ctrlPr>
                <w:rPr>
                  <w:rFonts w:ascii="Cambria Math" w:hAnsi="Cambria Math"/>
                </w:rPr>
              </m:ctrlPr>
            </m:sSubPr>
            <m:e>
              <m:r>
                <m:rPr>
                  <m:sty m:val="p"/>
                </m:rPr>
                <w:rPr>
                  <w:rFonts w:ascii="Cambria Math" w:hAnsi="Cambria Math"/>
                </w:rPr>
                <m:t>vol</m:t>
              </m:r>
            </m:e>
            <m:sub>
              <m:r>
                <w:rPr>
                  <w:rFonts w:ascii="Cambria Math" w:hAnsi="Cambria Math"/>
                </w:rPr>
                <m:t>k</m:t>
              </m:r>
            </m:sub>
          </m:sSub>
          <m:r>
            <m:rPr>
              <m:sty m:val="p"/>
            </m:rPr>
            <w:rPr>
              <w:rFonts w:ascii="Cambria Math" w:hAnsi="Cambria Math"/>
            </w:rPr>
            <m:t>{</m:t>
          </m:r>
          <m:r>
            <w:rPr>
              <w:rFonts w:ascii="Cambria Math" w:hAnsi="Cambria Math"/>
            </w:rPr>
            <m:t>u</m:t>
          </m:r>
          <m:r>
            <m:rPr>
              <m:scr m:val="script"/>
              <m:sty m:val="p"/>
            </m:rPr>
            <w:rPr>
              <w:rFonts w:ascii="Cambria Math" w:hAnsi="Cambria Math"/>
            </w:rPr>
            <m:t>∈V:</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1</m:t>
          </m:r>
          <m:r>
            <m:rPr>
              <m:sty m:val="p"/>
            </m:rPr>
            <w:rPr>
              <w:rFonts w:ascii="Cambria Math" w:hAnsi="Cambria Math"/>
            </w:rPr>
            <m:t>},</m:t>
          </m:r>
          <m:r>
            <m:rPr>
              <m:nor/>
            </m:rPr>
            <m:t>    (12)</m:t>
          </m:r>
        </m:oMath>
      </m:oMathPara>
    </w:p>
    <w:p w14:paraId="09175924" w14:textId="77777777" w:rsidR="00314867" w:rsidRDefault="00000000">
      <w:pPr>
        <w:pStyle w:val="FirstParagraph"/>
        <w:rPr>
          <w:rFonts w:hint="eastAsia"/>
        </w:rPr>
      </w:pPr>
      <w:r>
        <w:t xml:space="preserve">and </w:t>
      </w:r>
      <m:oMath>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sup>
        </m:sSup>
        <m:nary>
          <m:naryPr>
            <m:limLoc m:val="subSup"/>
            <m:supHide m:val="1"/>
            <m:ctrlPr>
              <w:rPr>
                <w:rFonts w:ascii="Cambria Math" w:hAnsi="Cambria Math"/>
              </w:rPr>
            </m:ctrlPr>
          </m:naryPr>
          <m:sub>
            <m:r>
              <m:rPr>
                <m:scr m:val="script"/>
                <m:sty m:val="p"/>
              </m:rPr>
              <w:rPr>
                <w:rFonts w:ascii="Cambria Math" w:hAnsi="Cambria Math"/>
              </w:rPr>
              <m:t>S</m:t>
            </m:r>
          </m:sub>
          <m:sup>
            <m:r>
              <w:rPr>
                <w:rFonts w:ascii="Cambria Math" w:hAnsi="Cambria Math"/>
              </w:rPr>
              <m:t>​</m:t>
            </m:r>
          </m:sup>
          <m:e>
            <m:r>
              <w:rPr>
                <w:rFonts w:ascii="Cambria Math" w:hAnsi="Cambria Math"/>
              </w:rPr>
              <m:t>ρ</m:t>
            </m:r>
          </m:e>
        </m:nary>
        <m:d>
          <m:dPr>
            <m:ctrlPr>
              <w:rPr>
                <w:rFonts w:ascii="Cambria Math" w:hAnsi="Cambria Math"/>
              </w:rPr>
            </m:ctrlPr>
          </m:dPr>
          <m:e>
            <m:r>
              <w:rPr>
                <w:rFonts w:ascii="Cambria Math" w:hAnsi="Cambria Math"/>
              </w:rPr>
              <m:t>s</m:t>
            </m:r>
          </m:e>
        </m:d>
        <m:r>
          <w:rPr>
            <w:rFonts w:ascii="Cambria Math" w:hAnsi="Cambria Math"/>
          </w:rPr>
          <m:t>J</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sSub>
          <m:sSubPr>
            <m:ctrlPr>
              <w:rPr>
                <w:rFonts w:ascii="Cambria Math" w:hAnsi="Cambria Math"/>
              </w:rPr>
            </m:ctrlPr>
          </m:sSubPr>
          <m:e>
            <m:r>
              <w:rPr>
                <w:rFonts w:ascii="Cambria Math" w:hAnsi="Cambria Math"/>
              </w:rPr>
              <m:t>C</m:t>
            </m:r>
          </m:e>
          <m:sub>
            <m:r>
              <w:rPr>
                <w:rFonts w:ascii="Cambria Math" w:hAnsi="Cambria Math"/>
              </w:rPr>
              <m:t>s</m:t>
            </m:r>
          </m:sub>
        </m:sSub>
        <m:r>
          <m:rPr>
            <m:nor/>
          </m:rPr>
          <m:t>    </m:t>
        </m:r>
        <m:r>
          <w:rPr>
            <w:rFonts w:ascii="Cambria Math" w:hAnsi="Cambria Math"/>
          </w:rPr>
          <m:t>dσ</m:t>
        </m:r>
        <m:d>
          <m:dPr>
            <m:ctrlPr>
              <w:rPr>
                <w:rFonts w:ascii="Cambria Math" w:hAnsi="Cambria Math"/>
              </w:rPr>
            </m:ctrlPr>
          </m:dPr>
          <m:e>
            <m:r>
              <w:rPr>
                <w:rFonts w:ascii="Cambria Math" w:hAnsi="Cambria Math"/>
              </w:rPr>
              <m:t>s</m:t>
            </m:r>
          </m:e>
        </m:d>
      </m:oMath>
      <w:r>
        <w:t>.</w:t>
      </w:r>
    </w:p>
    <w:p w14:paraId="5FC35F3E" w14:textId="77777777" w:rsidR="00314867" w:rsidRDefault="00000000">
      <w:pPr>
        <w:pStyle w:val="BodyText"/>
        <w:rPr>
          <w:rFonts w:hint="eastAsia"/>
        </w:rPr>
      </w:pPr>
      <w:r>
        <w:rPr>
          <w:i/>
          <w:iCs/>
        </w:rPr>
        <w:t>Proof.</w:t>
      </w:r>
      <w:r>
        <w:t xml:space="preserve"> The mass outside the tube is at most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βγ</m:t>
            </m:r>
          </m:sup>
        </m:sSup>
      </m:oMath>
      <w:r>
        <w:t xml:space="preserve">. Inside, substitute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sup>
        </m:sSup>
        <m:r>
          <w:rPr>
            <w:rFonts w:ascii="Cambria Math" w:hAnsi="Cambria Math"/>
          </w:rPr>
          <m:t>u</m:t>
        </m:r>
      </m:oMath>
      <w:r>
        <w:t xml:space="preserve">, producing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sup>
        </m:sSup>
      </m:oMath>
      <w:r>
        <w:t xml:space="preserve">. Uniform coercivity supplies the integrable dominating function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p</m:t>
                </m:r>
              </m:sup>
            </m:sSup>
          </m:sup>
        </m:sSup>
      </m:oMath>
      <w:r>
        <w:t xml:space="preserve">. Continuity and dominated convergence give the stated limits for the normalizer and any bounded continuous </w:t>
      </w:r>
      <w:r>
        <w:lastRenderedPageBreak/>
        <w:t xml:space="preserve">test function. Homogeneity makes the volume of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r>
          <m:rPr>
            <m:sty m:val="p"/>
          </m:rPr>
          <w:rPr>
            <w:rFonts w:ascii="Cambria Math" w:hAnsi="Cambria Math"/>
          </w:rPr>
          <m:t>≤</m:t>
        </m:r>
        <m:r>
          <w:rPr>
            <w:rFonts w:ascii="Cambria Math" w:hAnsi="Cambria Math"/>
          </w:rPr>
          <m:t>r</m:t>
        </m:r>
        <m:r>
          <m:rPr>
            <m:sty m:val="p"/>
          </m:rPr>
          <w:rPr>
            <w:rFonts w:ascii="Cambria Math" w:hAnsi="Cambria Math"/>
          </w:rPr>
          <m:t>}</m:t>
        </m:r>
      </m:oMath>
      <w:r>
        <w:t xml:space="preserve"> equal to </w:t>
      </w:r>
      <m:oMath>
        <m:sSup>
          <m:sSupPr>
            <m:ctrlPr>
              <w:rPr>
                <w:rFonts w:ascii="Cambria Math" w:hAnsi="Cambria Math"/>
              </w:rPr>
            </m:ctrlPr>
          </m:sSupPr>
          <m:e>
            <m: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p</m:t>
            </m:r>
          </m:sup>
        </m:sSup>
      </m:oMath>
      <w:r>
        <w:t xml:space="preserve"> times its unit-sublevel volume. Integrating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m:t>
            </m:r>
          </m:sup>
        </m:sSup>
      </m:oMath>
      <w:r>
        <w:t xml:space="preserve"> against this volume distribution gives (12).</w:t>
      </w:r>
    </w:p>
    <w:p w14:paraId="6529AAF5" w14:textId="77777777" w:rsidR="00314867" w:rsidRDefault="00000000">
      <w:pPr>
        <w:pStyle w:val="BodyText"/>
        <w:rPr>
          <w:rFonts w:hint="eastAsia"/>
        </w:rPr>
      </w:pPr>
      <w:r>
        <w:t xml:space="preserve">For a linear normal profile, </w:t>
      </w:r>
      <m:oMath>
        <m:r>
          <w:rPr>
            <w:rFonts w:ascii="Cambria Math" w:hAnsi="Cambria Math"/>
          </w:rPr>
          <m:t>p</m:t>
        </m:r>
        <m:r>
          <m:rPr>
            <m:sty m:val="p"/>
          </m:rPr>
          <w:rPr>
            <w:rFonts w:ascii="Cambria Math" w:hAnsi="Cambria Math"/>
          </w:rPr>
          <m:t>=</m:t>
        </m:r>
        <m:r>
          <w:rPr>
            <w:rFonts w:ascii="Cambria Math" w:hAnsi="Cambria Math"/>
          </w:rPr>
          <m:t>1</m:t>
        </m:r>
      </m:oMath>
      <w:r>
        <w:t xml:space="preserve"> and </w:t>
      </w:r>
      <m:oMath>
        <m:r>
          <w:rPr>
            <w:rFonts w:ascii="Cambria Math" w:hAnsi="Cambria Math"/>
          </w:rPr>
          <m:t>Γ</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k</m:t>
        </m:r>
        <m:r>
          <m:rPr>
            <m:sty m:val="p"/>
          </m:rPr>
          <w:rPr>
            <w:rFonts w:ascii="Cambria Math" w:hAnsi="Cambria Math"/>
          </w:rPr>
          <m:t>!</m:t>
        </m:r>
      </m:oMath>
      <w:r>
        <w:t xml:space="preserve">. For a full normal space and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T</m:t>
            </m:r>
          </m:sup>
        </m:sSup>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u</m:t>
        </m:r>
        <m:r>
          <m:rPr>
            <m:sty m:val="p"/>
          </m:rPr>
          <w:rPr>
            <w:rFonts w:ascii="Cambria Math" w:hAnsi="Cambria Math"/>
          </w:rPr>
          <m:t>/</m:t>
        </m:r>
        <m:r>
          <w:rPr>
            <w:rFonts w:ascii="Cambria Math" w:hAnsi="Cambria Math"/>
          </w:rPr>
          <m:t>2</m:t>
        </m:r>
      </m:oMath>
      <w:r>
        <w:t xml:space="preserve"> with </w:t>
      </w:r>
      <m:oMath>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positive definite, </w:t>
      </w:r>
      <m:oMath>
        <m:r>
          <w:rPr>
            <w:rFonts w:ascii="Cambria Math" w:hAnsi="Cambria Math"/>
          </w:rPr>
          <m:t>p</m:t>
        </m:r>
        <m:r>
          <m:rPr>
            <m:sty m:val="p"/>
          </m:rPr>
          <w:rPr>
            <w:rFonts w:ascii="Cambria Math" w:hAnsi="Cambria Math"/>
          </w:rPr>
          <m:t>=</m:t>
        </m:r>
        <m:r>
          <w:rPr>
            <w:rFonts w:ascii="Cambria Math" w:hAnsi="Cambria Math"/>
          </w:rPr>
          <m:t>2</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k</m:t>
            </m:r>
            <m:r>
              <m:rPr>
                <m:sty m:val="p"/>
              </m:rPr>
              <w:rPr>
                <w:rFonts w:ascii="Cambria Math" w:hAnsi="Cambria Math"/>
              </w:rPr>
              <m:t>/</m:t>
            </m:r>
            <m: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s</m:t>
                </m:r>
              </m:sub>
            </m:sSub>
          </m:e>
        </m:rad>
      </m:oMath>
      <w:r>
        <w:t>. Narrow normal basins carry less tangential probability than broad ones under the same reference density.</w:t>
      </w:r>
    </w:p>
    <w:p w14:paraId="0A906641" w14:textId="77777777" w:rsidR="00314867" w:rsidRDefault="00000000">
      <w:pPr>
        <w:pStyle w:val="BodyText"/>
        <w:rPr>
          <w:rFonts w:hint="eastAsia"/>
        </w:rPr>
      </w:pPr>
      <w:r>
        <w:t xml:space="preserve">The hypotheses must be checked for the actual loss. A depth can grow like a square root near a boundary, rather than linearly or quadratically. Different strata can have different codimensions or exponents; the smallest </w:t>
      </w:r>
      <m:oMath>
        <m:r>
          <w:rPr>
            <w:rFonts w:ascii="Cambria Math" w:hAnsi="Cambria Math"/>
          </w:rPr>
          <m:t>k</m:t>
        </m:r>
        <m:r>
          <m:rPr>
            <m:sty m:val="p"/>
          </m:rPr>
          <w:rPr>
            <w:rFonts w:ascii="Cambria Math" w:hAnsi="Cambria Math"/>
          </w:rPr>
          <m:t>/</m:t>
        </m:r>
        <m:r>
          <w:rPr>
            <w:rFonts w:ascii="Cambria Math" w:hAnsi="Cambria Math"/>
          </w:rPr>
          <m:t>p</m:t>
        </m:r>
      </m:oMath>
      <w:r>
        <w:t xml:space="preserve"> can dominate their relative contributions. No universal density proportional to </w:t>
      </w:r>
      <m:oMath>
        <m:r>
          <w:rPr>
            <w:rFonts w:ascii="Cambria Math" w:hAnsi="Cambria Math"/>
          </w:rPr>
          <m:t>ρ</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sup>
        </m:sSup>
      </m:oMath>
      <w:r>
        <w:t xml:space="preserve"> follows from (10). Adaptive reference densities add another unproved limit. Any automatic front-balancing claim needs a separate theorem.</w:t>
      </w:r>
    </w:p>
    <w:p w14:paraId="60AF78A5" w14:textId="77777777" w:rsidR="00314867" w:rsidRDefault="00000000">
      <w:pPr>
        <w:pStyle w:val="Heading2"/>
        <w:rPr>
          <w:rFonts w:hint="eastAsia"/>
        </w:rPr>
      </w:pPr>
      <w:bookmarkStart w:id="20" w:name="coordinate-dependence-of-modes"/>
      <w:bookmarkEnd w:id="19"/>
      <w:r>
        <w:t>7.2 Coordinate dependence of modes</w:t>
      </w:r>
    </w:p>
    <w:p w14:paraId="46B43226" w14:textId="77777777" w:rsidR="00314867" w:rsidRDefault="00000000">
      <w:pPr>
        <w:pStyle w:val="FirstParagraph"/>
        <w:keepNext/>
        <w:rPr>
          <w:rFonts w:hint="eastAsia"/>
        </w:rPr>
      </w:pPr>
      <w:r>
        <w:t xml:space="preserve">Let a latent coordinate have standard Gaussian reference and loss </w:t>
      </w:r>
      <m:oMath>
        <m:r>
          <w:rPr>
            <w:rFonts w:ascii="Cambria Math" w:hAnsi="Cambria Math"/>
          </w:rPr>
          <m:t>S</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e</m:t>
            </m:r>
          </m:e>
          <m:sup>
            <m:r>
              <w:rPr>
                <w:rFonts w:ascii="Cambria Math" w:hAnsi="Cambria Math"/>
              </w:rPr>
              <m:t>2z</m:t>
            </m:r>
          </m:sup>
        </m:sSup>
      </m:oMath>
      <w:r>
        <w:t xml:space="preserve">, </w:t>
      </w:r>
      <m:oMath>
        <m:r>
          <w:rPr>
            <w:rFonts w:ascii="Cambria Math" w:hAnsi="Cambria Math"/>
          </w:rPr>
          <m:t>c</m:t>
        </m:r>
        <m:r>
          <m:rPr>
            <m:sty m:val="p"/>
          </m:rPr>
          <w:rPr>
            <w:rFonts w:ascii="Cambria Math" w:hAnsi="Cambria Math"/>
          </w:rPr>
          <m:t>&gt;</m:t>
        </m:r>
        <m:r>
          <w:rPr>
            <w:rFonts w:ascii="Cambria Math" w:hAnsi="Cambria Math"/>
          </w:rPr>
          <m:t>0</m:t>
        </m:r>
      </m:oMath>
      <w:r>
        <w:t xml:space="preserve">. The latent target mode minimizes </w:t>
      </w:r>
      <m:oMath>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βc</m:t>
        </m:r>
        <m:sSup>
          <m:sSupPr>
            <m:ctrlPr>
              <w:rPr>
                <w:rFonts w:ascii="Cambria Math" w:hAnsi="Cambria Math"/>
              </w:rPr>
            </m:ctrlPr>
          </m:sSupPr>
          <m:e>
            <m:r>
              <w:rPr>
                <w:rFonts w:ascii="Cambria Math" w:hAnsi="Cambria Math"/>
              </w:rPr>
              <m:t>e</m:t>
            </m:r>
          </m:e>
          <m:sup>
            <m:r>
              <w:rPr>
                <w:rFonts w:ascii="Cambria Math" w:hAnsi="Cambria Math"/>
              </w:rPr>
              <m:t>2z</m:t>
            </m:r>
          </m:sup>
        </m:sSup>
      </m:oMath>
      <w:r>
        <w:t xml:space="preserve"> and therefore satisfies</w:t>
      </w:r>
    </w:p>
    <w:p w14:paraId="09F4BE57"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W</m:t>
          </m:r>
          <m:d>
            <m:dPr>
              <m:ctrlPr>
                <w:rPr>
                  <w:rFonts w:ascii="Cambria Math" w:hAnsi="Cambria Math"/>
                </w:rPr>
              </m:ctrlPr>
            </m:dPr>
            <m:e>
              <m:r>
                <w:rPr>
                  <w:rFonts w:ascii="Cambria Math" w:hAnsi="Cambria Math"/>
                </w:rPr>
                <m:t>4βc</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r>
            <w:rPr>
              <w:rFonts w:ascii="Cambria Math" w:hAnsi="Cambria Math"/>
            </w:rPr>
            <m:t>β</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loglog</m:t>
          </m:r>
          <m:r>
            <w:rPr>
              <w:rFonts w:ascii="Cambria Math" w:hAnsi="Cambria Math"/>
            </w:rPr>
            <m:t>β</m:t>
          </m:r>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r>
            <m:rPr>
              <m:sty m:val="p"/>
            </m:rPr>
            <w:rPr>
              <w:rFonts w:ascii="Cambria Math" w:hAnsi="Cambria Math"/>
            </w:rPr>
            <m:t>,</m:t>
          </m:r>
          <m:r>
            <m:rPr>
              <m:nor/>
            </m:rPr>
            <m:t>    (13)</m:t>
          </m:r>
        </m:oMath>
      </m:oMathPara>
    </w:p>
    <w:p w14:paraId="0D36BD9D" w14:textId="77777777" w:rsidR="00314867" w:rsidRDefault="00000000">
      <w:pPr>
        <w:pStyle w:val="FirstParagraph"/>
        <w:rPr>
          <w:rFonts w:hint="eastAsia"/>
        </w:rPr>
      </w:pPr>
      <w:r>
        <w:t xml:space="preserve">where </w:t>
      </w:r>
      <m:oMath>
        <m:r>
          <w:rPr>
            <w:rFonts w:ascii="Cambria Math" w:hAnsi="Cambria Math"/>
          </w:rPr>
          <m:t>W</m:t>
        </m:r>
      </m:oMath>
      <w:r>
        <w:t xml:space="preserve"> is the Lambert function. Differentiation gives </w:t>
      </w:r>
      <m:oMath>
        <m:r>
          <w:rPr>
            <w:rFonts w:ascii="Cambria Math" w:hAnsi="Cambria Math"/>
          </w:rPr>
          <m:t>z</m:t>
        </m:r>
        <m:r>
          <m:rPr>
            <m:sty m:val="p"/>
          </m:rPr>
          <w:rPr>
            <w:rFonts w:ascii="Cambria Math" w:hAnsi="Cambria Math"/>
          </w:rPr>
          <m:t>+</m:t>
        </m:r>
        <m:r>
          <w:rPr>
            <w:rFonts w:ascii="Cambria Math" w:hAnsi="Cambria Math"/>
          </w:rPr>
          <m:t>2βc</m:t>
        </m:r>
        <m:sSup>
          <m:sSupPr>
            <m:ctrlPr>
              <w:rPr>
                <w:rFonts w:ascii="Cambria Math" w:hAnsi="Cambria Math"/>
              </w:rPr>
            </m:ctrlPr>
          </m:sSupPr>
          <m:e>
            <m:r>
              <w:rPr>
                <w:rFonts w:ascii="Cambria Math" w:hAnsi="Cambria Math"/>
              </w:rPr>
              <m:t>e</m:t>
            </m:r>
          </m:e>
          <m:sup>
            <m:r>
              <w:rPr>
                <w:rFonts w:ascii="Cambria Math" w:hAnsi="Cambria Math"/>
              </w:rPr>
              <m:t>2z</m:t>
            </m:r>
          </m:sup>
        </m:sSup>
        <m:r>
          <m:rPr>
            <m:sty m:val="p"/>
          </m:rPr>
          <w:rPr>
            <w:rFonts w:ascii="Cambria Math" w:hAnsi="Cambria Math"/>
          </w:rPr>
          <m:t>=</m:t>
        </m:r>
        <m:r>
          <w:rPr>
            <w:rFonts w:ascii="Cambria Math" w:hAnsi="Cambria Math"/>
          </w:rPr>
          <m:t>0</m:t>
        </m:r>
      </m:oMath>
      <w:r>
        <w:t xml:space="preserve"> and then </w:t>
      </w:r>
      <m:oMath>
        <m:d>
          <m:dPr>
            <m:ctrlPr>
              <w:rPr>
                <w:rFonts w:ascii="Cambria Math" w:hAnsi="Cambria Math"/>
              </w:rPr>
            </m:ctrlPr>
          </m:dPr>
          <m:e>
            <m:r>
              <m:rPr>
                <m:sty m:val="p"/>
              </m:rPr>
              <w:rPr>
                <w:rFonts w:ascii="Cambria Math" w:hAnsi="Cambria Math"/>
              </w:rPr>
              <m:t>-</m:t>
            </m:r>
            <m:r>
              <w:rPr>
                <w:rFonts w:ascii="Cambria Math" w:hAnsi="Cambria Math"/>
              </w:rPr>
              <m:t>2z</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2z</m:t>
            </m:r>
          </m:sup>
        </m:sSup>
        <m:r>
          <m:rPr>
            <m:sty m:val="p"/>
          </m:rPr>
          <w:rPr>
            <w:rFonts w:ascii="Cambria Math" w:hAnsi="Cambria Math"/>
          </w:rPr>
          <m:t>=</m:t>
        </m:r>
        <m:r>
          <w:rPr>
            <w:rFonts w:ascii="Cambria Math" w:hAnsi="Cambria Math"/>
          </w:rPr>
          <m:t>4βc</m:t>
        </m:r>
      </m:oMath>
      <w:r>
        <w:t xml:space="preserve">. This example shows the logarithmic correction omitted by a bare </w:t>
      </w:r>
      <m:oMath>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r>
          <w:rPr>
            <w:rFonts w:ascii="Cambria Math" w:hAnsi="Cambria Math"/>
          </w:rPr>
          <m:t>β</m:t>
        </m:r>
      </m:oMath>
      <w:r>
        <w:t xml:space="preserve"> approximation. Other latent losses have other coefficients. Under a sigmoid transform, a finite latent state does not attain an exact box boundary, and a density mode changes with the Jacobian. Concentration statements should specify whether they concern latent variables or the pushforward physical design law.</w:t>
      </w:r>
    </w:p>
    <w:p w14:paraId="0814F7BF" w14:textId="77777777" w:rsidR="00314867" w:rsidRDefault="00000000">
      <w:pPr>
        <w:pStyle w:val="BodyText"/>
        <w:keepNext/>
        <w:jc w:val="center"/>
        <w:rPr>
          <w:rFonts w:hint="eastAsia"/>
        </w:rPr>
      </w:pPr>
      <w:r>
        <w:rPr>
          <w:noProof/>
        </w:rPr>
        <w:drawing>
          <wp:inline distT="0" distB="0" distL="0" distR="0" wp14:anchorId="11DC9B79" wp14:editId="5745263B">
            <wp:extent cx="6299200" cy="2239715"/>
            <wp:effectExtent l="0" t="0" r="0" b="0"/>
            <wp:docPr id="43" name="Picture" descr="Zero-set probability and reuse of adaptive samples"/>
            <wp:cNvGraphicFramePr/>
            <a:graphic xmlns:a="http://schemas.openxmlformats.org/drawingml/2006/main">
              <a:graphicData uri="http://schemas.openxmlformats.org/drawingml/2006/picture">
                <pic:pic xmlns:pic="http://schemas.openxmlformats.org/drawingml/2006/picture">
                  <pic:nvPicPr>
                    <pic:cNvPr id="44" name="Picture" descr="figures/reuse.png"/>
                    <pic:cNvPicPr>
                      <a:picLocks noChangeAspect="1" noChangeArrowheads="1"/>
                    </pic:cNvPicPr>
                  </pic:nvPicPr>
                  <pic:blipFill>
                    <a:blip r:embed="rId8"/>
                    <a:stretch>
                      <a:fillRect/>
                    </a:stretch>
                  </pic:blipFill>
                  <pic:spPr bwMode="auto">
                    <a:xfrm>
                      <a:off x="0" y="0"/>
                      <a:ext cx="6299200" cy="2239715"/>
                    </a:xfrm>
                    <a:prstGeom prst="rect">
                      <a:avLst/>
                    </a:prstGeom>
                    <a:noFill/>
                    <a:ln w="9525">
                      <a:noFill/>
                      <a:headEnd/>
                      <a:tailEnd/>
                    </a:ln>
                  </pic:spPr>
                </pic:pic>
              </a:graphicData>
            </a:graphic>
          </wp:inline>
        </w:drawing>
      </w:r>
    </w:p>
    <w:p w14:paraId="27710758" w14:textId="77777777" w:rsidR="00314867" w:rsidRDefault="00000000">
      <w:pPr>
        <w:pStyle w:val="Caption"/>
        <w:keepLines/>
        <w:rPr>
          <w:rFonts w:hint="eastAsia"/>
        </w:rPr>
      </w:pPr>
      <w:r>
        <w:t xml:space="preserve">Figure 2. A: for </w:t>
      </w:r>
      <m:oMath>
        <m:r>
          <w:rPr>
            <w:rFonts w:ascii="Cambria Math" w:hAnsi="Cambria Math"/>
          </w:rPr>
          <m:t>S</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r>
          <m:rPr>
            <m:sty m:val="p"/>
          </m:rPr>
          <w:rPr>
            <w:rFonts w:ascii="Cambria Math" w:hAnsi="Cambria Math"/>
          </w:rPr>
          <m:t>|</m:t>
        </m:r>
        <m:r>
          <w:rPr>
            <w:rFonts w:ascii="Cambria Math" w:hAnsi="Cambria Math"/>
          </w:rPr>
          <m:t>v</m:t>
        </m:r>
        <m:r>
          <m:rPr>
            <m:sty m:val="p"/>
          </m:rPr>
          <w:rPr>
            <w:rFonts w:ascii="Cambria Math" w:hAnsi="Cambria Math"/>
          </w:rPr>
          <m:t>|</m:t>
        </m:r>
      </m:oMath>
      <w:r>
        <w:t xml:space="preserve"> on </w:t>
      </w:r>
      <m:oMath>
        <m:sSup>
          <m:sSupPr>
            <m:ctrlPr>
              <w:rPr>
                <w:rFonts w:ascii="Cambria Math" w:hAnsi="Cambria Math"/>
              </w:rPr>
            </m:ctrlPr>
          </m:sSup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e>
          <m:sup>
            <m:r>
              <w:rPr>
                <w:rFonts w:ascii="Cambria Math" w:hAnsi="Cambria Math"/>
              </w:rPr>
              <m:t>2</m:t>
            </m:r>
          </m:sup>
        </m:sSup>
      </m:oMath>
      <w:r>
        <w:t xml:space="preserve"> with a Gaussian reference restricted to the square, the limiting tangential density is proportional to </w:t>
      </w:r>
      <m:oMath>
        <m:r>
          <w:rPr>
            <w:rFonts w:ascii="Cambria Math" w:hAnsi="Cambria Math"/>
          </w:rPr>
          <m:t>ϕ</m:t>
        </m:r>
        <m:d>
          <m:dPr>
            <m:ctrlPr>
              <w:rPr>
                <w:rFonts w:ascii="Cambria Math" w:hAnsi="Cambria Math"/>
              </w:rPr>
            </m:ctrlPr>
          </m:dPr>
          <m:e>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oMath>
      <w:r>
        <w:t>. B: one defensive adaptive simulation estimates 57 fixed Chebyshev targets against independent quadrature; errors are measured over the declared parameter grid, not over all targets or all runs.</w:t>
      </w:r>
    </w:p>
    <w:p w14:paraId="36339436" w14:textId="77777777" w:rsidR="00314867" w:rsidRDefault="00000000">
      <w:pPr>
        <w:pStyle w:val="Heading1"/>
        <w:rPr>
          <w:rFonts w:hint="eastAsia"/>
        </w:rPr>
      </w:pPr>
      <w:bookmarkStart w:id="21" w:name="X706b15023b85b27c6c6b49db6fdd56c3c4c3d26"/>
      <w:bookmarkEnd w:id="18"/>
      <w:bookmarkEnd w:id="20"/>
      <w:r>
        <w:t>8 One adaptive log for a bounded family of targets</w:t>
      </w:r>
    </w:p>
    <w:p w14:paraId="73C99BE7" w14:textId="77777777" w:rsidR="00314867" w:rsidRDefault="00000000">
      <w:pPr>
        <w:pStyle w:val="Heading2"/>
        <w:rPr>
          <w:rFonts w:hint="eastAsia"/>
        </w:rPr>
      </w:pPr>
      <w:bookmarkStart w:id="22" w:name="Xa8a438347d773db4051b44f1f06bb3374b00b4a"/>
      <w:r>
        <w:t>8.1 Attempted proposals and missing evaluations</w:t>
      </w:r>
    </w:p>
    <w:p w14:paraId="186EE747" w14:textId="77777777" w:rsidR="00314867" w:rsidRDefault="00000000">
      <w:pPr>
        <w:pStyle w:val="FirstParagraph"/>
        <w:keepNext/>
        <w:rPr>
          <w:rFonts w:hint="eastAsia"/>
        </w:rPr>
      </w:pPr>
      <w:r>
        <w:t xml:space="preserve">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contain all information before attempt </w:t>
      </w:r>
      <m:oMath>
        <m:r>
          <w:rPr>
            <w:rFonts w:ascii="Cambria Math" w:hAnsi="Cambria Math"/>
          </w:rPr>
          <m:t>i</m:t>
        </m:r>
      </m:oMath>
      <w:r>
        <w:t xml:space="preserve">. Relative to a fixed dominating measure </w:t>
      </w:r>
      <m:oMath>
        <m:r>
          <w:rPr>
            <w:rFonts w:ascii="Cambria Math" w:hAnsi="Cambria Math"/>
          </w:rPr>
          <m:t>ν</m:t>
        </m:r>
      </m:oMath>
      <w:r>
        <w:t xml:space="preserve">, let the reference density be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and draw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from a predictable density</w:t>
      </w:r>
    </w:p>
    <w:p w14:paraId="71AB5A18"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m:rPr>
              <m:nor/>
            </m:rPr>
            <m:t>    (14)</m:t>
          </m:r>
        </m:oMath>
      </m:oMathPara>
    </w:p>
    <w:p w14:paraId="55AC399D" w14:textId="77777777" w:rsidR="00314867" w:rsidRDefault="00000000">
      <w:pPr>
        <w:pStyle w:val="FirstParagraph"/>
        <w:keepNext/>
        <w:rPr>
          <w:rFonts w:hint="eastAsia"/>
        </w:rPr>
      </w:pPr>
      <w:r>
        <w:lastRenderedPageBreak/>
        <w:t xml:space="preserve">Let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indicate whether the response is evaluated, with conditional probability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The selection probability is predictable given the sampled state and past, and the response is a fixed function of that state. For fixed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w:rPr>
            <w:rFonts w:ascii="Cambria Math" w:hAnsi="Cambria Math"/>
          </w:rPr>
          <m:t>ϑ</m:t>
        </m:r>
        <m:r>
          <m:rPr>
            <m:sty m:val="p"/>
          </m:rPr>
          <w:rPr>
            <w:rFonts w:ascii="Cambria Math" w:hAnsi="Cambria Math"/>
          </w:rPr>
          <m:t>=</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β</m:t>
            </m:r>
          </m:e>
        </m:d>
      </m:oMath>
      <w:r>
        <w:t xml:space="preserve"> in the closed simplex times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λ</m:t>
            </m:r>
          </m:sub>
        </m:sSub>
      </m:oMath>
      <w:r>
        <w:t xml:space="preserve"> either weighted sum or unshifted Chebyshev on </w:t>
      </w:r>
      <m:oMath>
        <m:r>
          <w:rPr>
            <w:rFonts w:ascii="Cambria Math" w:hAnsi="Cambria Math"/>
          </w:rPr>
          <m:t>G</m:t>
        </m:r>
      </m:oMath>
      <w:r>
        <w:t>, set</w:t>
      </w:r>
    </w:p>
    <w:p w14:paraId="4B2B0F48"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ϑ</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λ</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num>
            <m:den>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n</m:t>
              </m:r>
              <m:r>
                <m:rPr>
                  <m:sty m:val="p"/>
                </m:rPr>
                <w:rPr>
                  <w:rFonts w:ascii="Cambria Math" w:hAnsi="Cambria Math"/>
                </w:rPr>
                <m:t>,</m:t>
              </m:r>
              <m:r>
                <w:rPr>
                  <w:rFonts w:ascii="Cambria Math" w:hAnsi="Cambria Math"/>
                </w:rPr>
                <m:t>ϑ</m:t>
              </m:r>
            </m:sub>
          </m:sSub>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ϑ</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ϑ</m:t>
                  </m:r>
                </m:e>
              </m:d>
            </m:den>
          </m:f>
          <m:r>
            <m:rPr>
              <m:sty m:val="p"/>
            </m:rPr>
            <w:rPr>
              <w:rFonts w:ascii="Cambria Math" w:hAnsi="Cambria Math"/>
            </w:rPr>
            <m:t>.</m:t>
          </m:r>
          <m:r>
            <m:rPr>
              <m:nor/>
            </m:rPr>
            <m:t>    (15)</m:t>
          </m:r>
        </m:oMath>
      </m:oMathPara>
    </w:p>
    <w:p w14:paraId="4DF60F6D" w14:textId="77777777" w:rsidR="00314867" w:rsidRDefault="00000000">
      <w:pPr>
        <w:pStyle w:val="FirstParagraph"/>
        <w:rPr>
          <w:rFonts w:hint="eastAsia"/>
        </w:rPr>
      </w:pPr>
      <w:r>
        <w:t>Unevaluated attempts contribute zero without needing their objective value. Store attempt counts, actual proposal densities, observation probabilities, evaluator versions, and the frozen objective definition. If only selected records are treated as samples from their conditional law, a different density accounting is required. Zero-probability exclusion cannot be repaired by importance weighting.</w:t>
      </w:r>
    </w:p>
    <w:p w14:paraId="73BAB35E" w14:textId="77777777" w:rsidR="00314867" w:rsidRDefault="00000000">
      <w:pPr>
        <w:pStyle w:val="Heading2"/>
        <w:rPr>
          <w:rFonts w:hint="eastAsia"/>
        </w:rPr>
      </w:pPr>
      <w:bookmarkStart w:id="23" w:name="uniform-consistency"/>
      <w:bookmarkEnd w:id="22"/>
      <w:r>
        <w:t>8.2 Uniform consistency</w:t>
      </w:r>
    </w:p>
    <w:p w14:paraId="5C801721" w14:textId="77777777" w:rsidR="00314867" w:rsidRDefault="00000000">
      <w:pPr>
        <w:pStyle w:val="FirstParagraph"/>
        <w:keepNext/>
        <w:keepLines/>
        <w:rPr>
          <w:rFonts w:hint="eastAsia"/>
        </w:rPr>
      </w:pPr>
      <w:r>
        <w:rPr>
          <w:b/>
          <w:bCs/>
        </w:rPr>
        <w:t>Theorem 5 (uniform target reuse).</w:t>
      </w:r>
      <w:r>
        <w:t xml:space="preserve"> Under (14)–(15), for fixed measurable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almost surely</w:t>
      </w:r>
    </w:p>
    <w:p w14:paraId="3904421A" w14:textId="77777777" w:rsidR="00314867" w:rsidRDefault="00000000">
      <w:pPr>
        <w:pStyle w:val="BodyText"/>
        <w:keepLines/>
        <w:spacing w:before="60" w:after="120"/>
        <w:jc w:val="center"/>
        <w:rPr>
          <w:rFonts w:hint="eastAsia"/>
        </w:rPr>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ϑ</m:t>
              </m:r>
            </m:lim>
          </m:limLow>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n</m:t>
              </m:r>
              <m:r>
                <m:rPr>
                  <m:sty m:val="p"/>
                </m:rPr>
                <w:rPr>
                  <w:rFonts w:ascii="Cambria Math" w:hAnsi="Cambria Math"/>
                </w:rPr>
                <m:t>,</m:t>
              </m:r>
              <m:r>
                <w:rPr>
                  <w:rFonts w:ascii="Cambria Math" w:hAnsi="Cambria Math"/>
                </w:rPr>
                <m:t>ϑ</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ϑ</m:t>
                  </m:r>
                </m:sub>
              </m:sSub>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sub>
              </m:sSub>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r>
                        <w:rPr>
                          <w:rFonts w:ascii="Cambria Math" w:hAnsi="Cambria Math"/>
                        </w:rPr>
                        <m:t>n</m:t>
                      </m:r>
                    </m:num>
                    <m:den>
                      <m:r>
                        <w:rPr>
                          <w:rFonts w:ascii="Cambria Math" w:hAnsi="Cambria Math"/>
                        </w:rPr>
                        <m:t>n</m:t>
                      </m:r>
                    </m:den>
                  </m:f>
                </m:e>
              </m:rad>
            </m:e>
          </m:d>
          <m:r>
            <m:rPr>
              <m:sty m:val="p"/>
            </m:rPr>
            <w:rPr>
              <w:rFonts w:ascii="Cambria Math" w:hAnsi="Cambria Math"/>
            </w:rPr>
            <m:t>.</m:t>
          </m:r>
          <m:r>
            <m:rPr>
              <m:nor/>
            </m:rPr>
            <m:t>    (16)</m:t>
          </m:r>
        </m:oMath>
      </m:oMathPara>
    </w:p>
    <w:p w14:paraId="7368B59C" w14:textId="77777777" w:rsidR="00314867" w:rsidRDefault="00000000">
      <w:pPr>
        <w:pStyle w:val="FirstParagraph"/>
        <w:rPr>
          <w:rFonts w:hint="eastAsia"/>
        </w:rPr>
      </w:pPr>
      <w:r>
        <w:t xml:space="preserve">The denominator is eventually uniformly positive. The constant depends on the declared finite temperature ceiling </w:t>
      </w:r>
      <m:oMath>
        <m:r>
          <w:rPr>
            <w:rFonts w:ascii="Cambria Math" w:hAnsi="Cambria Math"/>
          </w:rPr>
          <m:t>B</m:t>
        </m:r>
      </m:oMath>
      <w:r>
        <w:t xml:space="preserve"> and can grow exponentially because the proof uses the lower bound </w:t>
      </w:r>
      <m:oMath>
        <m:sSub>
          <m:sSubPr>
            <m:ctrlPr>
              <w:rPr>
                <w:rFonts w:ascii="Cambria Math" w:hAnsi="Cambria Math"/>
              </w:rPr>
            </m:ctrlPr>
          </m:sSubPr>
          <m:e>
            <m:r>
              <w:rPr>
                <w:rFonts w:ascii="Cambria Math" w:hAnsi="Cambria Math"/>
              </w:rPr>
              <m:t>Z</m:t>
            </m:r>
          </m:e>
          <m:sub>
            <m:r>
              <w:rPr>
                <w:rFonts w:ascii="Cambria Math" w:hAnsi="Cambria Math"/>
              </w:rPr>
              <m:t>ϑ</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sup>
        </m:sSup>
      </m:oMath>
      <w:r>
        <w:t>.</w:t>
      </w:r>
    </w:p>
    <w:p w14:paraId="130C1D88" w14:textId="77777777" w:rsidR="00314867" w:rsidRDefault="00000000">
      <w:pPr>
        <w:pStyle w:val="BodyText"/>
        <w:rPr>
          <w:rFonts w:hint="eastAsia"/>
        </w:rPr>
      </w:pPr>
      <w:r>
        <w:rPr>
          <w:i/>
          <w:iCs/>
        </w:rPr>
        <w:t>Proof.</w:t>
      </w:r>
      <w:r>
        <w:t xml:space="preserve"> Conditional cancellation of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gives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λ</m:t>
                </m:r>
              </m:sub>
            </m:sSub>
          </m:sup>
        </m:sSup>
        <m:r>
          <w:rPr>
            <w:rFonts w:ascii="Cambria Math" w:hAnsi="Cambria Math"/>
          </w:rPr>
          <m:t>h</m:t>
        </m:r>
        <m:r>
          <m:rPr>
            <m:nor/>
          </m:rPr>
          <m:t>    </m:t>
        </m:r>
        <m:r>
          <w:rPr>
            <w:rFonts w:ascii="Cambria Math" w:hAnsi="Cambria Math"/>
          </w:rPr>
          <m:t>dν</m:t>
        </m:r>
      </m:oMath>
      <w:r>
        <w:t xml:space="preserve">. Weights are bounded by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e>
        </m:d>
      </m:oMath>
      <w:r>
        <w:t xml:space="preserve">. For a fixed parameter, centered partial sums are bounded martingales. Both scalarizations satisfy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r>
              <m:rPr>
                <m:sty m:val="p"/>
              </m:rPr>
              <w:rPr>
                <w:rFonts w:ascii="Cambria Math" w:hAnsi="Cambria Math"/>
              </w:rPr>
              <m:t>'</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xml:space="preserve">, and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r>
          <w:rPr>
            <w:rFonts w:ascii="Cambria Math" w:hAnsi="Cambria Math"/>
          </w:rPr>
          <m:t>1</m:t>
        </m:r>
      </m:oMath>
      <w:r>
        <w:t xml:space="preserve">. Thus the weights are uniformly Lipschitz in the parameters, with a constant bounded by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oMath>
      <w:r>
        <w:t xml:space="preserve"> under an equivalent product norm. Cover the compact parameter space by a mesh of order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oMath>
      <w:r>
        <w:t xml:space="preserve">, containing polynomially many points. A bounded-increment exponential inequality and a union bound give a summable tail probability for errors of order </w:t>
      </w:r>
      <m:oMath>
        <m:rad>
          <m:radPr>
            <m:degHide m:val="1"/>
            <m:ctrlPr>
              <w:rPr>
                <w:rFonts w:ascii="Cambria Math" w:hAnsi="Cambria Math"/>
              </w:rPr>
            </m:ctrlPr>
          </m:radPr>
          <m:deg/>
          <m:e>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e>
        </m:rad>
      </m:oMath>
      <w:r>
        <w:t xml:space="preserve">, with a sufficiently large constant. Borel–Cantelli and Lipschitz extension yield uniform numerator and denominator laws. Since </w:t>
      </w:r>
      <m:oMath>
        <m:sSub>
          <m:sSubPr>
            <m:ctrlPr>
              <w:rPr>
                <w:rFonts w:ascii="Cambria Math" w:hAnsi="Cambria Math"/>
              </w:rPr>
            </m:ctrlPr>
          </m:sSubPr>
          <m:e>
            <m:r>
              <w:rPr>
                <w:rFonts w:ascii="Cambria Math" w:hAnsi="Cambria Math"/>
              </w:rPr>
              <m:t>Z</m:t>
            </m:r>
          </m:e>
          <m:sub>
            <m:r>
              <w:rPr>
                <w:rFonts w:ascii="Cambria Math" w:hAnsi="Cambria Math"/>
              </w:rPr>
              <m:t>ϑ</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sup>
        </m:sSup>
      </m:oMath>
      <w:r>
        <w:t>, division yields (16).</w:t>
      </w:r>
    </w:p>
    <w:p w14:paraId="52D5A79F" w14:textId="77777777" w:rsidR="00314867" w:rsidRDefault="00000000">
      <w:pPr>
        <w:pStyle w:val="BodyText"/>
        <w:rPr>
          <w:rFonts w:hint="eastAsia"/>
        </w:rPr>
      </w:pPr>
      <w:r>
        <w:t xml:space="preserve">Any data-selected </w:t>
      </w:r>
      <m:oMath>
        <m:sSub>
          <m:sSubPr>
            <m:ctrlPr>
              <w:rPr>
                <w:rFonts w:ascii="Cambria Math" w:hAnsi="Cambria Math"/>
              </w:rPr>
            </m:ctrlPr>
          </m:sSubPr>
          <m:e>
            <m:acc>
              <m:accPr>
                <m:ctrlPr>
                  <w:rPr>
                    <w:rFonts w:ascii="Cambria Math" w:hAnsi="Cambria Math"/>
                  </w:rPr>
                </m:ctrlPr>
              </m:accPr>
              <m:e>
                <m:r>
                  <w:rPr>
                    <w:rFonts w:ascii="Cambria Math" w:hAnsi="Cambria Math"/>
                  </w:rPr>
                  <m:t>ϑ</m:t>
                </m:r>
              </m:e>
            </m:acc>
          </m:e>
          <m:sub>
            <m:r>
              <w:rPr>
                <w:rFonts w:ascii="Cambria Math" w:hAnsi="Cambria Math"/>
              </w:rPr>
              <m:t>n</m:t>
            </m:r>
          </m:sub>
        </m:sSub>
      </m:oMath>
      <w:r>
        <w:t xml:space="preserve"> in this same fixed family inherits the vanishing error by substitution into the supremum. Finite-sample self-normalized estimates remain biased in general. Neither data-dependent selection nor uniform consistency proves unbiasedness. The theorem does not cover an unbounded temperature schedule, an archive-selected reference point, a learned objective function, or an arbitrary state-dependent query without additional uniform control.</w:t>
      </w:r>
    </w:p>
    <w:p w14:paraId="698C67F5" w14:textId="77777777" w:rsidR="00314867" w:rsidRDefault="00000000">
      <w:pPr>
        <w:pStyle w:val="BodyText"/>
        <w:rPr>
          <w:rFonts w:hint="eastAsia"/>
        </w:rPr>
      </w:pPr>
      <w:r>
        <w:t xml:space="preserve">For (7), fixed </w:t>
      </w:r>
      <m:oMath>
        <m:r>
          <w:rPr>
            <w:rFonts w:ascii="Cambria Math" w:hAnsi="Cambria Math"/>
          </w:rPr>
          <m:t>q</m:t>
        </m:r>
        <m:r>
          <m:rPr>
            <m:sty m:val="p"/>
          </m:rPr>
          <w:rPr>
            <w:rFonts w:ascii="Cambria Math" w:hAnsi="Cambria Math"/>
          </w:rPr>
          <m:t>,</m:t>
        </m:r>
        <m:r>
          <w:rPr>
            <w:rFonts w:ascii="Cambria Math" w:hAnsi="Cambria Math"/>
          </w:rPr>
          <m:t>a</m:t>
        </m:r>
      </m:oMath>
      <w:r>
        <w:t xml:space="preserve"> make the kernel a bounded test function; apply the same argument to its numerator and denominator. A practical search can use a changing rank or heuristic proposer while estimating these fixed targets, provided its actual sampling density remains known and defensive.</w:t>
      </w:r>
    </w:p>
    <w:p w14:paraId="4A7D231B" w14:textId="77777777" w:rsidR="00314867" w:rsidRDefault="00000000">
      <w:pPr>
        <w:pStyle w:val="Heading1"/>
        <w:rPr>
          <w:rFonts w:hint="eastAsia"/>
        </w:rPr>
      </w:pPr>
      <w:bookmarkStart w:id="24" w:name="frozen-ranks-and-unrestricted-annealing"/>
      <w:bookmarkEnd w:id="21"/>
      <w:bookmarkEnd w:id="23"/>
      <w:r>
        <w:t>9 Frozen ranks and unrestricted annealing</w:t>
      </w:r>
    </w:p>
    <w:p w14:paraId="3DB89B60" w14:textId="77777777" w:rsidR="00314867" w:rsidRDefault="00000000">
      <w:pPr>
        <w:pStyle w:val="FirstParagraph"/>
        <w:rPr>
          <w:rFonts w:hint="eastAsia"/>
        </w:rPr>
      </w:pPr>
      <w:r>
        <w:t xml:space="preserve">Fix a finite comparison archive </w:t>
      </w:r>
      <m:oMath>
        <m:r>
          <w:rPr>
            <w:rFonts w:ascii="Cambria Math" w:hAnsi="Cambria Math"/>
          </w:rPr>
          <m:t>A</m:t>
        </m:r>
      </m:oMath>
      <w:r>
        <w:t xml:space="preserve"> before generating the analysis log. Let </w:t>
      </w:r>
      <m:oMath>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v</m:t>
            </m:r>
          </m:e>
        </m:d>
      </m:oMath>
      <w:r>
        <w:t xml:space="preserve"> be the longest chain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v</m:t>
        </m:r>
      </m:oMath>
      <w:r>
        <w:t xml:space="preserve"> from </w:t>
      </w:r>
      <m:oMath>
        <m:r>
          <w:rPr>
            <w:rFonts w:ascii="Cambria Math" w:hAnsi="Cambria Math"/>
          </w:rPr>
          <m:t>A</m:t>
        </m:r>
      </m:oMath>
      <w:r>
        <w:t xml:space="preserve">, with value zero when no archive point dominates </w:t>
      </w:r>
      <m:oMath>
        <m:r>
          <w:rPr>
            <w:rFonts w:ascii="Cambria Math" w:hAnsi="Cambria Math"/>
          </w:rPr>
          <m:t>v</m:t>
        </m:r>
      </m:oMath>
      <w:r>
        <w:t xml:space="preserve">. Write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0</m:t>
        </m:r>
        <m:r>
          <m:rPr>
            <m:sty m:val="p"/>
          </m:rPr>
          <w:rPr>
            <w:rFonts w:ascii="Cambria Math" w:hAnsi="Cambria Math"/>
          </w:rPr>
          <m:t>}</m:t>
        </m:r>
      </m:oMath>
      <w:r>
        <w:t xml:space="preserve"> and assume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w:t>
      </w:r>
    </w:p>
    <w:p w14:paraId="6E2D802C" w14:textId="77777777" w:rsidR="00314867" w:rsidRDefault="00000000">
      <w:pPr>
        <w:pStyle w:val="BodyText"/>
        <w:keepNext/>
        <w:keepLines/>
        <w:rPr>
          <w:rFonts w:hint="eastAsia"/>
        </w:rPr>
      </w:pPr>
      <w:r>
        <w:rPr>
          <w:b/>
          <w:bCs/>
        </w:rPr>
        <w:lastRenderedPageBreak/>
        <w:t>Theorem 6 (frozen-rank concentration).</w:t>
      </w:r>
      <w:r>
        <w:t xml:space="preserve"> For the unnormalized integer rank loss,</w:t>
      </w:r>
    </w:p>
    <w:p w14:paraId="629B1111"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A</m:t>
                  </m:r>
                </m:sub>
                <m:sup>
                  <m:r>
                    <w:rPr>
                      <w:rFonts w:ascii="Cambria Math" w:hAnsi="Cambria Math"/>
                    </w:rPr>
                    <m:t>c</m:t>
                  </m:r>
                </m:sup>
              </m:sSubSup>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num>
            <m:den>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den>
          </m:f>
          <m:r>
            <m:rPr>
              <m:sty m:val="p"/>
            </m:rPr>
            <w:rPr>
              <w:rFonts w:ascii="Cambria Math" w:hAnsi="Cambria Math"/>
            </w:rPr>
            <m:t>.</m:t>
          </m:r>
          <m:r>
            <m:rPr>
              <m:nor/>
            </m:rPr>
            <m:t>    (17)</m:t>
          </m:r>
        </m:oMath>
      </m:oMathPara>
    </w:p>
    <w:p w14:paraId="71EAA764" w14:textId="77777777" w:rsidR="00314867" w:rsidRDefault="00000000">
      <w:pPr>
        <w:pStyle w:val="FirstParagraph"/>
        <w:rPr>
          <w:rFonts w:hint="eastAsia"/>
        </w:rPr>
      </w:pPr>
      <w:r>
        <w:t xml:space="preserve">Using (14)–(15) with this rank, the self-normalized estimated mass outside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tends to zero almost surely for any sequence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including a data-selected sequence once </w:t>
      </w:r>
      <m:oMath>
        <m:r>
          <w:rPr>
            <w:rFonts w:ascii="Cambria Math" w:hAnsi="Cambria Math"/>
          </w:rPr>
          <m:t>A</m:t>
        </m:r>
      </m:oMath>
      <w:r>
        <w:t xml:space="preserve"> is fixed.</w:t>
      </w:r>
    </w:p>
    <w:p w14:paraId="5224AEF3" w14:textId="77777777" w:rsidR="00314867" w:rsidRDefault="00000000">
      <w:pPr>
        <w:pStyle w:val="BodyText"/>
        <w:keepNext/>
        <w:rPr>
          <w:rFonts w:hint="eastAsia"/>
        </w:rPr>
      </w:pPr>
      <w:r>
        <w:rPr>
          <w:i/>
          <w:iCs/>
        </w:rPr>
        <w:t>Proof.</w:t>
      </w:r>
      <w:r>
        <w:t xml:space="preserve"> The target denominator is at least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oMath>
      <w:r>
        <w:t xml:space="preserve">, while the outside numerator is at most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oMath>
      <w:r>
        <w:t xml:space="preserve">. For the estimate define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d>
      </m:oMath>
      <w:r>
        <w:t>. Pathwise,</w:t>
      </w:r>
    </w:p>
    <w:p w14:paraId="6458716C"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A</m:t>
                  </m:r>
                </m:sub>
                <m:sup>
                  <m:r>
                    <w:rPr>
                      <w:rFonts w:ascii="Cambria Math" w:hAnsi="Cambria Math"/>
                    </w:rPr>
                    <m:t>c</m:t>
                  </m:r>
                </m:sup>
              </m:sSubSup>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M</m:t>
                      </m:r>
                    </m:e>
                    <m:sub>
                      <m:r>
                        <w:rPr>
                          <w:rFonts w:ascii="Cambria Math" w:hAnsi="Cambria Math"/>
                        </w:rPr>
                        <m:t>A</m:t>
                      </m:r>
                    </m:sub>
                  </m:sSub>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(18)</m:t>
          </m:r>
        </m:oMath>
      </m:oMathPara>
    </w:p>
    <w:p w14:paraId="30043193" w14:textId="77777777" w:rsidR="00314867" w:rsidRDefault="00000000">
      <w:pPr>
        <w:pStyle w:val="FirstParagraph"/>
        <w:rPr>
          <w:rFonts w:hint="eastAsia"/>
        </w:rPr>
      </w:pPr>
      <w:r>
        <w:t xml:space="preserve">Bounded martingale strong laws give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r>
          <w:rPr>
            <w:rFonts w:ascii="Cambria Math" w:hAnsi="Cambria Math"/>
          </w:rPr>
          <m:t>1</m:t>
        </m:r>
      </m:oMath>
      <w:r>
        <w:t xml:space="preserve"> and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M</m:t>
                </m:r>
              </m:e>
              <m:sub>
                <m:r>
                  <w:rPr>
                    <w:rFonts w:ascii="Cambria Math" w:hAnsi="Cambria Math"/>
                  </w:rPr>
                  <m:t>A</m:t>
                </m:r>
              </m:sub>
            </m:sSub>
          </m:sub>
        </m:sSub>
        <m:r>
          <m:rPr>
            <m:sty m:val="p"/>
          </m:rPr>
          <w:rPr>
            <w:rFonts w:ascii="Cambria Math" w:hAnsi="Cambria Math"/>
          </w:rPr>
          <m:t>→</m:t>
        </m:r>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 xml:space="preserve">. The ratio is eventually finite and converges to </w:t>
      </w:r>
      <m:oMath>
        <m:r>
          <w:rPr>
            <w:rFonts w:ascii="Cambria Math" w:hAnsi="Cambria Math"/>
          </w:rPr>
          <m:t>1</m:t>
        </m:r>
        <m:r>
          <m:rPr>
            <m:sty m:val="p"/>
          </m:rPr>
          <w:rPr>
            <w:rFonts w:ascii="Cambria Math" w:hAnsi="Cambria Math"/>
          </w:rPr>
          <m:t>/</m:t>
        </m:r>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oMath>
      <w:r>
        <w:t xml:space="preserve"> independently of </w:t>
      </w:r>
      <m:oMath>
        <m:r>
          <w:rPr>
            <w:rFonts w:ascii="Cambria Math" w:hAnsi="Cambria Math"/>
          </w:rPr>
          <m:t>β</m:t>
        </m:r>
      </m:oMath>
      <w:r>
        <w:t>. Substituting any divergent sequence proves the assertion without a triangular-array argument.</w:t>
      </w:r>
    </w:p>
    <w:p w14:paraId="2BEE991D" w14:textId="77777777" w:rsidR="00314867" w:rsidRDefault="00000000">
      <w:pPr>
        <w:pStyle w:val="BodyText"/>
        <w:rPr>
          <w:rFonts w:hint="eastAsia"/>
        </w:rPr>
      </w:pPr>
      <w:r>
        <w:t xml:space="preserve">This proves concentration on the region not dominated by the frozen reference, not on the true Pareto set. If ranks are divided by a frozen positive number </w:t>
      </w:r>
      <m:oMath>
        <m:r>
          <w:rPr>
            <w:rFonts w:ascii="Cambria Math" w:hAnsi="Cambria Math"/>
          </w:rPr>
          <m:t>R</m:t>
        </m:r>
      </m:oMath>
      <w:r>
        <w:t xml:space="preserve">, replace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oMath>
      <w:r>
        <w:t xml:space="preserve">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R</m:t>
            </m:r>
          </m:sup>
        </m:sSup>
      </m:oMath>
      <w:r>
        <w:t xml:space="preserve">. A growing divisor changes the condition to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oMath>
      <w:r>
        <w:t xml:space="preserve"> for this bound. If </w:t>
      </w:r>
      <m:oMath>
        <m:r>
          <w:rPr>
            <w:rFonts w:ascii="Cambria Math" w:hAnsi="Cambria Math"/>
          </w:rPr>
          <m:t>A</m:t>
        </m:r>
      </m:oMath>
      <w:r>
        <w:t xml:space="preserve"> is selected from earlier data, condition on those data and use subsequent proposals for the proof. Reusing the same records that selected </w:t>
      </w:r>
      <m:oMath>
        <m:r>
          <w:rPr>
            <w:rFonts w:ascii="Cambria Math" w:hAnsi="Cambria Math"/>
          </w:rPr>
          <m:t>A</m:t>
        </m:r>
      </m:oMath>
      <w:r>
        <w:t xml:space="preserve"> requires a separate selection-aware analysis.</w:t>
      </w:r>
    </w:p>
    <w:p w14:paraId="7B74B6A9" w14:textId="77777777" w:rsidR="00314867" w:rsidRDefault="00000000">
      <w:pPr>
        <w:pStyle w:val="BodyText"/>
        <w:rPr>
          <w:rFonts w:hint="eastAsia"/>
        </w:rPr>
      </w:pPr>
      <w:r>
        <w:t xml:space="preserve">A staged engineering implementation can freeze the comparison archive, generate fresh defensive samples, anneal, verify, and then refresh the archive. Coverage, feasibility, and evaluator changes must be checked at each stage; (17) does not itself establish convergence of the entire staged algorithm to </w:t>
      </w:r>
      <m:oMath>
        <m:r>
          <w:rPr>
            <w:rFonts w:ascii="Cambria Math" w:hAnsi="Cambria Math"/>
          </w:rPr>
          <m:t>P</m:t>
        </m:r>
      </m:oMath>
      <w:r>
        <w:t>.</w:t>
      </w:r>
    </w:p>
    <w:p w14:paraId="47907C63" w14:textId="77777777" w:rsidR="00314867" w:rsidRDefault="00000000">
      <w:pPr>
        <w:pStyle w:val="Heading1"/>
        <w:rPr>
          <w:rFonts w:hint="eastAsia"/>
        </w:rPr>
      </w:pPr>
      <w:bookmarkStart w:id="25" w:name="X778ee43254faa7e80475f733279b7cb34cfa41c"/>
      <w:bookmarkEnd w:id="24"/>
      <w:r>
        <w:t>10 Evaluation, information metrics, and prompt transfer</w:t>
      </w:r>
    </w:p>
    <w:p w14:paraId="0D00B9B6" w14:textId="77777777" w:rsidR="00314867" w:rsidRDefault="00000000">
      <w:pPr>
        <w:pStyle w:val="Heading2"/>
        <w:rPr>
          <w:rFonts w:hint="eastAsia"/>
        </w:rPr>
      </w:pPr>
      <w:bookmarkStart w:id="26" w:name="evaluation-at-selected-noise-scales"/>
      <w:r>
        <w:t>10.1 Evaluation at selected noise scales</w:t>
      </w:r>
    </w:p>
    <w:p w14:paraId="6FE12320" w14:textId="77777777" w:rsidR="00314867" w:rsidRDefault="00000000">
      <w:pPr>
        <w:pStyle w:val="FirstParagraph"/>
        <w:rPr>
          <w:rFonts w:hint="eastAsia"/>
        </w:rPr>
      </w:pPr>
      <w:r>
        <w:t xml:space="preserve">For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T</m:t>
                </m:r>
              </m:e>
            </m:d>
          </m:e>
        </m:d>
        <m:r>
          <m:rPr>
            <m:sty m:val="p"/>
          </m:rPr>
          <w:rPr>
            <w:rFonts w:ascii="Cambria Math" w:hAnsi="Cambria Math"/>
          </w:rPr>
          <m:t>/</m:t>
        </m:r>
        <m:r>
          <w:rPr>
            <w:rFonts w:ascii="Cambria Math" w:hAnsi="Cambria Math"/>
          </w:rPr>
          <m:t>2</m:t>
        </m:r>
      </m:oMath>
      <w:r>
        <w:t xml:space="preserve">, the noise scale is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=sin</m:t>
        </m:r>
        <m:d>
          <m:dPr>
            <m:ctrlPr>
              <w:rPr>
                <w:rFonts w:ascii="Cambria Math" w:hAnsi="Cambria Math"/>
              </w:rPr>
            </m:ctrlPr>
          </m:dPr>
          <m:e>
            <m:r>
              <w:rPr>
                <w:rFonts w:ascii="Cambria Math" w:hAnsi="Cambria Math"/>
              </w:rPr>
              <m:t>πt</m:t>
            </m:r>
            <m:r>
              <m:rPr>
                <m:sty m:val="p"/>
              </m:rPr>
              <w:rPr>
                <w:rFonts w:ascii="Cambria Math" w:hAnsi="Cambria Math"/>
              </w:rPr>
              <m:t>/</m:t>
            </m:r>
            <m:d>
              <m:dPr>
                <m:ctrlPr>
                  <w:rPr>
                    <w:rFonts w:ascii="Cambria Math" w:hAnsi="Cambria Math"/>
                  </w:rPr>
                </m:ctrlPr>
              </m:dPr>
              <m:e>
                <m:r>
                  <w:rPr>
                    <w:rFonts w:ascii="Cambria Math" w:hAnsi="Cambria Math"/>
                  </w:rPr>
                  <m:t>2T</m:t>
                </m:r>
              </m:e>
            </m:d>
          </m:e>
        </m:d>
      </m:oMath>
      <w:r>
        <w:t xml:space="preserve"> and the signal-to-noise ratio is </w:t>
      </w:r>
      <m:oMath>
        <m:sSup>
          <m:sSupPr>
            <m:ctrlPr>
              <w:rPr>
                <w:rFonts w:ascii="Cambria Math" w:hAnsi="Cambria Math"/>
              </w:rPr>
            </m:ctrlPr>
          </m:sSupPr>
          <m:e>
            <m:r>
              <m:rPr>
                <m:sty m:val="p"/>
              </m:rPr>
              <w:rPr>
                <w:rFonts w:ascii="Cambria Math" w:hAnsi="Cambria Math"/>
              </w:rPr>
              <m:t>cot</m:t>
            </m:r>
          </m:e>
          <m:sup>
            <m:r>
              <w:rPr>
                <w:rFonts w:ascii="Cambria Math" w:hAnsi="Cambria Math"/>
              </w:rPr>
              <m:t>2</m:t>
            </m:r>
          </m:sup>
        </m:sSup>
        <m:d>
          <m:dPr>
            <m:ctrlPr>
              <w:rPr>
                <w:rFonts w:ascii="Cambria Math" w:hAnsi="Cambria Math"/>
              </w:rPr>
            </m:ctrlPr>
          </m:dPr>
          <m:e>
            <m:r>
              <w:rPr>
                <w:rFonts w:ascii="Cambria Math" w:hAnsi="Cambria Math"/>
              </w:rPr>
              <m:t>πt</m:t>
            </m:r>
            <m:r>
              <m:rPr>
                <m:sty m:val="p"/>
              </m:rPr>
              <w:rPr>
                <w:rFonts w:ascii="Cambria Math" w:hAnsi="Cambria Math"/>
              </w:rPr>
              <m:t>/</m:t>
            </m:r>
            <m:d>
              <m:dPr>
                <m:ctrlPr>
                  <w:rPr>
                    <w:rFonts w:ascii="Cambria Math" w:hAnsi="Cambria Math"/>
                  </w:rPr>
                </m:ctrlPr>
              </m:dPr>
              <m:e>
                <m:r>
                  <w:rPr>
                    <w:rFonts w:ascii="Cambria Math" w:hAnsi="Cambria Math"/>
                  </w:rPr>
                  <m:t>2T</m:t>
                </m:r>
              </m:e>
            </m:d>
          </m:e>
        </m:d>
      </m:oMath>
      <w:r>
        <w:t xml:space="preserve">. When </w:t>
      </w:r>
      <m:oMath>
        <m:r>
          <w:rPr>
            <w:rFonts w:ascii="Cambria Math" w:hAnsi="Cambria Math"/>
          </w:rPr>
          <m:t>T</m:t>
        </m:r>
      </m:oMath>
      <w:r>
        <w:t xml:space="preserve"> is a power of two, the index set </w:t>
      </w:r>
      <m:oMath>
        <m:r>
          <m:rPr>
            <m:scr m:val="script"/>
            <m:sty m:val="p"/>
          </m:rPr>
          <w:rPr>
            <w:rFonts w:ascii="Cambria Math" w:hAnsi="Cambria Math"/>
          </w:rPr>
          <m:t>E={</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has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T</m:t>
        </m:r>
      </m:oMath>
      <w:r>
        <w:t xml:space="preserve"> elements. Consecutive scales satisfy </w:t>
      </w:r>
      <m:oMath>
        <m:sSub>
          <m:sSubPr>
            <m:ctrlPr>
              <w:rPr>
                <w:rFonts w:ascii="Cambria Math" w:hAnsi="Cambria Math"/>
              </w:rPr>
            </m:ctrlPr>
          </m:sSubPr>
          <m:e>
            <m:r>
              <w:rPr>
                <w:rFonts w:ascii="Cambria Math" w:hAnsi="Cambria Math"/>
              </w:rPr>
              <m:t>σ</m:t>
            </m:r>
          </m:e>
          <m:sub>
            <m:r>
              <w:rPr>
                <w:rFonts w:ascii="Cambria Math" w:hAnsi="Cambria Math"/>
              </w:rPr>
              <m:t>2t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2</m:t>
        </m:r>
        <m:r>
          <m:rPr>
            <m:sty m:val="p"/>
          </m:rPr>
          <w:rPr>
            <w:rFonts w:ascii="Cambria Math" w:hAnsi="Cambria Math"/>
          </w:rPr>
          <m:t>cos</m:t>
        </m:r>
        <m:d>
          <m:dPr>
            <m:ctrlPr>
              <w:rPr>
                <w:rFonts w:ascii="Cambria Math" w:hAnsi="Cambria Math"/>
              </w:rPr>
            </m:ctrlPr>
          </m:dPr>
          <m:e>
            <m:r>
              <w:rPr>
                <w:rFonts w:ascii="Cambria Math" w:hAnsi="Cambria Math"/>
              </w:rPr>
              <m:t>πt</m:t>
            </m:r>
            <m:r>
              <m:rPr>
                <m:sty m:val="p"/>
              </m:rPr>
              <w:rPr>
                <w:rFonts w:ascii="Cambria Math" w:hAnsi="Cambria Math"/>
              </w:rPr>
              <m:t>/</m:t>
            </m:r>
            <m:d>
              <m:dPr>
                <m:ctrlPr>
                  <w:rPr>
                    <w:rFonts w:ascii="Cambria Math" w:hAnsi="Cambria Math"/>
                  </w:rPr>
                </m:ctrlPr>
              </m:dPr>
              <m:e>
                <m:r>
                  <w:rPr>
                    <w:rFonts w:ascii="Cambria Math" w:hAnsi="Cambria Math"/>
                  </w:rPr>
                  <m:t>2T</m:t>
                </m:r>
              </m:e>
            </m:d>
          </m:e>
        </m:d>
      </m:oMath>
      <w:r>
        <w:t xml:space="preserve">, between </w:t>
      </w:r>
      <m:oMath>
        <m:rad>
          <m:radPr>
            <m:degHide m:val="1"/>
            <m:ctrlPr>
              <w:rPr>
                <w:rFonts w:ascii="Cambria Math" w:hAnsi="Cambria Math"/>
              </w:rPr>
            </m:ctrlPr>
          </m:radPr>
          <m:deg/>
          <m:e>
            <m:r>
              <w:rPr>
                <w:rFonts w:ascii="Cambria Math" w:hAnsi="Cambria Math"/>
              </w:rPr>
              <m:t>2</m:t>
            </m:r>
          </m:e>
        </m:rad>
      </m:oMath>
      <w:r>
        <w:t xml:space="preserve"> and </w:t>
      </w:r>
      <m:oMath>
        <m:r>
          <w:rPr>
            <w:rFonts w:ascii="Cambria Math" w:hAnsi="Cambria Math"/>
          </w:rPr>
          <m:t>2</m:t>
        </m:r>
      </m:oMath>
      <w:r>
        <w:t xml:space="preserve"> for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oMath>
      <w:r>
        <w:t>.</w:t>
      </w:r>
    </w:p>
    <w:p w14:paraId="2B0D82AE" w14:textId="77777777" w:rsidR="00314867" w:rsidRDefault="00000000">
      <w:pPr>
        <w:pStyle w:val="BodyText"/>
        <w:rPr>
          <w:rFonts w:hint="eastAsia"/>
        </w:rPr>
      </w:pPr>
      <w:r>
        <w:t xml:space="preserve">Among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exactly </w:t>
      </w:r>
      <m:oMath>
        <m:r>
          <w:rPr>
            <w:rFonts w:ascii="Cambria Math" w:hAnsi="Cambria Math"/>
          </w:rPr>
          <m:t>T</m:t>
        </m:r>
        <m:r>
          <m:rPr>
            <m:sty m:val="p"/>
          </m:rPr>
          <w:rPr>
            <w:rFonts w:ascii="Cambria Math" w:hAnsi="Cambria Math"/>
          </w:rPr>
          <m:t>/</m:t>
        </m:r>
        <m:r>
          <w:rPr>
            <w:rFonts w:ascii="Cambria Math" w:hAnsi="Cambria Math"/>
          </w:rPr>
          <m:t>2</m:t>
        </m:r>
      </m:oMath>
      <w:r>
        <w:t xml:space="preserve"> indices have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and </w:t>
      </w:r>
      <m:oMath>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have strict inequality. The power-of-two grid contains exactly one index at or above this threshold: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oMath>
      <w:r>
        <w:t>, with equality. This describes scale allocation, not optimal allocation of engineering evaluations.</w:t>
      </w:r>
    </w:p>
    <w:p w14:paraId="405B1105" w14:textId="77777777" w:rsidR="00314867" w:rsidRDefault="00000000">
      <w:pPr>
        <w:pStyle w:val="BodyText"/>
        <w:rPr>
          <w:rFonts w:hint="eastAsia"/>
        </w:rPr>
      </w:pPr>
      <w:r>
        <w:t xml:space="preserve">If a prompt costs </w:t>
      </w:r>
      <m:oMath>
        <m:r>
          <w:rPr>
            <w:rFonts w:ascii="Cambria Math" w:hAnsi="Cambria Math"/>
          </w:rPr>
          <m:t>p</m:t>
        </m:r>
      </m:oMath>
      <w:r>
        <w:t xml:space="preserve"> evaluations and each candidate costs </w:t>
      </w:r>
      <m:oMath>
        <m:r>
          <w:rPr>
            <w:rFonts w:ascii="Cambria Math" w:hAnsi="Cambria Math"/>
          </w:rPr>
          <m:t>k</m:t>
        </m:r>
      </m:oMath>
      <w:r>
        <w:t xml:space="preserve"> intermediate evaluations plus one output evaluation, a budget </w:t>
      </w:r>
      <m:oMath>
        <m:sSub>
          <m:sSubPr>
            <m:ctrlPr>
              <w:rPr>
                <w:rFonts w:ascii="Cambria Math" w:hAnsi="Cambria Math"/>
              </w:rPr>
            </m:ctrlPr>
          </m:sSubPr>
          <m:e>
            <m:r>
              <w:rPr>
                <w:rFonts w:ascii="Cambria Math" w:hAnsi="Cambria Math"/>
              </w:rPr>
              <m:t>B</m:t>
            </m:r>
          </m:e>
          <m:sub>
            <m:r>
              <m:rPr>
                <m:sty m:val="p"/>
              </m:rPr>
              <w:rPr>
                <w:rFonts w:ascii="Cambria Math" w:hAnsi="Cambria Math"/>
              </w:rPr>
              <m:t>eval</m:t>
            </m:r>
          </m:sub>
        </m:sSub>
        <m:r>
          <m:rPr>
            <m:sty m:val="p"/>
          </m:rPr>
          <w:rPr>
            <w:rFonts w:ascii="Cambria Math" w:hAnsi="Cambria Math"/>
          </w:rPr>
          <m:t>≥</m:t>
        </m:r>
        <m:r>
          <w:rPr>
            <w:rFonts w:ascii="Cambria Math" w:hAnsi="Cambria Math"/>
          </w:rPr>
          <m:t>p</m:t>
        </m:r>
      </m:oMath>
      <w:r>
        <w:t xml:space="preserve"> permits </w:t>
      </w:r>
      <m:oMath>
        <m:r>
          <w:rPr>
            <w:rFonts w:ascii="Cambria Math" w:hAnsi="Cambria Math"/>
          </w:rPr>
          <m:t>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eval</m:t>
                </m:r>
              </m:sub>
            </m:sSub>
            <m:r>
              <m:rPr>
                <m:sty m:val="p"/>
              </m:rPr>
              <w:rPr>
                <w:rFonts w:ascii="Cambria Math" w:hAnsi="Cambria Math"/>
              </w:rPr>
              <m:t>-</m:t>
            </m:r>
            <m:r>
              <w:rPr>
                <w:rFonts w:ascii="Cambria Math" w:hAnsi="Cambria Math"/>
              </w:rPr>
              <m:t>p</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oMath>
      <w:r>
        <w:t xml:space="preserve"> candidates. With </w:t>
      </w:r>
      <m:oMath>
        <m:r>
          <w:rPr>
            <w:rFonts w:ascii="Cambria Math" w:hAnsi="Cambria Math"/>
          </w:rPr>
          <m:t>T</m:t>
        </m:r>
        <m:r>
          <m:rPr>
            <m:sty m:val="p"/>
          </m:rPr>
          <w:rPr>
            <w:rFonts w:ascii="Cambria Math" w:hAnsi="Cambria Math"/>
          </w:rPr>
          <m:t>=</m:t>
        </m:r>
        <m:r>
          <w:rPr>
            <w:rFonts w:ascii="Cambria Math" w:hAnsi="Cambria Math"/>
          </w:rPr>
          <m:t>16</m:t>
        </m:r>
      </m:oMath>
      <w:r>
        <w:t>, budget 1,200 and prompt 50, the power-of-two, every-intermediate-layer, and output-only rules yield 230, 71, and 1,150 candidates. Comparisons must equalize actual evaluator calls, not merely candidate counts.</w:t>
      </w:r>
    </w:p>
    <w:p w14:paraId="00A8D56C" w14:textId="77777777" w:rsidR="00314867" w:rsidRDefault="00000000">
      <w:pPr>
        <w:pStyle w:val="BodyText"/>
        <w:rPr>
          <w:rFonts w:hint="eastAsia"/>
        </w:rPr>
      </w:pPr>
      <w:r>
        <w:t>Layer selection affects the sampled-state law. The random denoising prefix must belong to the past when the conditional proposal is defined. Index-only evaluation does not automatically make every internal state a draw from the final-output density. Omitting a state-dependent evaluation probability generally estimates a target tilted by that probability. EmoDM [6] motivates the schedule, information metric, and evolutionary-prompt devices, but the probability accounting must be established for each ADE implementation.</w:t>
      </w:r>
    </w:p>
    <w:p w14:paraId="68103339" w14:textId="77777777" w:rsidR="00314867" w:rsidRDefault="00000000">
      <w:pPr>
        <w:pStyle w:val="Heading2"/>
        <w:rPr>
          <w:rFonts w:hint="eastAsia"/>
        </w:rPr>
      </w:pPr>
      <w:bookmarkStart w:id="27" w:name="Xe9c8b7aa901d4981daf88882829db732a7a39d1"/>
      <w:bookmarkEnd w:id="26"/>
      <w:r>
        <w:lastRenderedPageBreak/>
        <w:t>10.2 Information weights alter likelihood geometry</w:t>
      </w:r>
    </w:p>
    <w:p w14:paraId="508A0B3E" w14:textId="77777777" w:rsidR="00314867" w:rsidRDefault="00000000">
      <w:pPr>
        <w:pStyle w:val="FirstParagraph"/>
        <w:rPr>
          <w:rFonts w:hint="eastAsia"/>
        </w:rPr>
      </w:pPr>
      <w:r>
        <w:t xml:space="preserve">Replacing an isotropic retrieval exponent by </w:t>
      </w:r>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d</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y</m:t>
                    </m:r>
                  </m:e>
                  <m:sub>
                    <m:r>
                      <w:rPr>
                        <w:rFonts w:ascii="Cambria Math" w:hAnsi="Cambria Math"/>
                      </w:rPr>
                      <m:t>d</m:t>
                    </m:r>
                  </m:sub>
                </m:sSub>
              </m:e>
            </m:d>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&gt;</m:t>
        </m:r>
        <m:r>
          <w:rPr>
            <w:rFonts w:ascii="Cambria Math" w:hAnsi="Cambria Math"/>
          </w:rPr>
          <m:t>0</m:t>
        </m:r>
      </m:oMath>
      <w:r>
        <w:t xml:space="preserve"> fixed at retrieval time, defines a Gaussian likelihood with covariance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e>
        </m:d>
      </m:oMath>
      <w:r>
        <w:t xml:space="preserve">. Its normalizer cancels across origins when the weights do not depend on the origin. If they depend on </w:t>
      </w:r>
      <m:oMath>
        <m:r>
          <w:rPr>
            <w:rFonts w:ascii="Cambria Math" w:hAnsi="Cambria Math"/>
          </w:rPr>
          <m:t>y</m:t>
        </m:r>
      </m:oMath>
      <w:r>
        <w:t>, the determinant factor generally cannot be dropped.</w:t>
      </w:r>
    </w:p>
    <w:p w14:paraId="5ADE204A" w14:textId="77777777" w:rsidR="00314867" w:rsidRDefault="00000000">
      <w:pPr>
        <w:pStyle w:val="BodyText"/>
        <w:keepNext/>
        <w:rPr>
          <w:rFonts w:hint="eastAsia"/>
        </w:rPr>
      </w:pPr>
      <w:r>
        <w:t xml:space="preserve">With an independent Gaussian origin coordinate </w:t>
      </w:r>
      <m:oMath>
        <m:sSub>
          <m:sSubPr>
            <m:ctrlPr>
              <w:rPr>
                <w:rFonts w:ascii="Cambria Math" w:hAnsi="Cambria Math"/>
              </w:rPr>
            </m:ctrlPr>
          </m:sSubPr>
          <m:e>
            <m:r>
              <w:rPr>
                <w:rFonts w:ascii="Cambria Math" w:hAnsi="Cambria Math"/>
              </w:rPr>
              <m:t>Y</m:t>
            </m:r>
          </m:e>
          <m:sub>
            <m:r>
              <w:rPr>
                <w:rFonts w:ascii="Cambria Math" w:hAnsi="Cambria Math"/>
              </w:rPr>
              <m:t>d</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e>
        </m:d>
      </m:oMath>
      <w:r>
        <w:t>, completing the square gives</w:t>
      </w:r>
    </w:p>
    <w:p w14:paraId="16899DC3" w14:textId="77777777" w:rsidR="00314867" w:rsidRDefault="00000000">
      <w:pPr>
        <w:pStyle w:val="BodyText"/>
        <w:keepLines/>
        <w:spacing w:before="60" w:after="120"/>
        <w:jc w:val="center"/>
        <w:rPr>
          <w:rFonts w:hint="eastAsia"/>
        </w:rPr>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(19)</m:t>
          </m:r>
        </m:oMath>
      </m:oMathPara>
    </w:p>
    <w:p w14:paraId="38760461" w14:textId="77777777" w:rsidR="00314867" w:rsidRDefault="00000000">
      <w:pPr>
        <w:pStyle w:val="FirstParagraph"/>
        <w:rPr>
          <w:rFonts w:hint="eastAsia"/>
        </w:rPr>
      </w:pPr>
      <w:r>
        <w:t xml:space="preserve">At fixed </w:t>
      </w:r>
      <m:oMath>
        <m:r>
          <w:rPr>
            <w:rFonts w:ascii="Cambria Math" w:hAnsi="Cambria Math"/>
          </w:rPr>
          <m:t>a</m:t>
        </m:r>
        <m:r>
          <m:rPr>
            <m:sty m:val="p"/>
          </m:rPr>
          <w:rPr>
            <w:rFonts w:ascii="Cambria Math" w:hAnsi="Cambria Math"/>
          </w:rPr>
          <m:t>&gt;</m:t>
        </m:r>
        <m:r>
          <w:rPr>
            <w:rFonts w:ascii="Cambria Math" w:hAnsi="Cambria Math"/>
          </w:rPr>
          <m:t>0</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oMath>
      <w:r>
        <w:t xml:space="preserve"> drives the mean to </w:t>
      </w:r>
      <m:oMath>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xml:space="preserve">; </w:t>
      </w: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0</m:t>
        </m:r>
      </m:oMath>
      <w:r>
        <w:t xml:space="preserve"> drives it to </w:t>
      </w:r>
      <m:oMath>
        <m:sSub>
          <m:sSubPr>
            <m:ctrlPr>
              <w:rPr>
                <w:rFonts w:ascii="Cambria Math" w:hAnsi="Cambria Math"/>
              </w:rPr>
            </m:ctrlPr>
          </m:sSubPr>
          <m:e>
            <m:r>
              <w:rPr>
                <w:rFonts w:ascii="Cambria Math" w:hAnsi="Cambria Math"/>
              </w:rPr>
              <m:t>m</m:t>
            </m:r>
          </m:e>
          <m:sub>
            <m:r>
              <w:rPr>
                <w:rFonts w:ascii="Cambria Math" w:hAnsi="Cambria Math"/>
              </w:rPr>
              <m:t>d</m:t>
            </m:r>
          </m:sub>
        </m:sSub>
      </m:oMath>
      <w:r>
        <w:t>. Increasing a weight makes retrieval adhere more strongly to the current query coordinate. It does not automatically increase useful exploration of that variable. If the actual forward noise is isotropic, the anisotropic likelihood is a deliberately changed model; changing the attention kernel alone does not change the true proposal law.</w:t>
      </w:r>
    </w:p>
    <w:p w14:paraId="2292BC1B" w14:textId="77777777" w:rsidR="00314867" w:rsidRDefault="00000000">
      <w:pPr>
        <w:pStyle w:val="BodyText"/>
        <w:rPr>
          <w:rFonts w:hint="eastAsia"/>
        </w:rPr>
      </w:pPr>
      <w:r>
        <w:t xml:space="preserve">Mutual information (MI) measures statistical dependence, not the causal benefit of changing a variable. Under a product design law, a coordinate absent from all objectives is independent of the response vector. Adaptive search can induce correlations even for such a coordinate. Conversely, if one objective is a strictly increasing function of a coordinate, unique-valued equal-frequency rank bins for the two variables coincide, giving normalized MI equal to one. Averaging over </w:t>
      </w:r>
      <m:oMath>
        <m:r>
          <w:rPr>
            <w:rFonts w:ascii="Cambria Math" w:hAnsi="Cambria Math"/>
          </w:rPr>
          <m:t>m</m:t>
        </m:r>
      </m:oMath>
      <w:r>
        <w:t xml:space="preserve"> nonnegative objective NMIs gives that coordinate at least </w:t>
      </w:r>
      <m:oMath>
        <m:r>
          <w:rPr>
            <w:rFonts w:ascii="Cambria Math" w:hAnsi="Cambria Math"/>
          </w:rPr>
          <m:t>1</m:t>
        </m:r>
        <m:r>
          <m:rPr>
            <m:sty m:val="p"/>
          </m:rPr>
          <w:rPr>
            <w:rFonts w:ascii="Cambria Math" w:hAnsi="Cambria Math"/>
          </w:rPr>
          <m:t>/</m:t>
        </m:r>
        <m:r>
          <w:rPr>
            <w:rFonts w:ascii="Cambria Math" w:hAnsi="Cambria Math"/>
          </w:rPr>
          <m:t>m</m:t>
        </m:r>
      </m:oMath>
      <w:r>
        <w:t xml:space="preserve"> regardless of its role in convergence.</w:t>
      </w:r>
    </w:p>
    <w:p w14:paraId="72471A7E" w14:textId="77777777" w:rsidR="00314867" w:rsidRDefault="00000000">
      <w:pPr>
        <w:pStyle w:val="BodyText"/>
        <w:rPr>
          <w:rFonts w:hint="eastAsia"/>
        </w:rPr>
      </w:pPr>
      <w:r>
        <w:t xml:space="preserve">For two independent categorical variables with fixed </w:t>
      </w:r>
      <m:oMath>
        <m:r>
          <w:rPr>
            <w:rFonts w:ascii="Cambria Math" w:hAnsi="Cambria Math"/>
          </w:rPr>
          <m:t>B</m:t>
        </m:r>
        <m:r>
          <m:rPr>
            <m:sty m:val="p"/>
          </m:rPr>
          <w:rPr>
            <w:rFonts w:ascii="Cambria Math" w:hAnsi="Cambria Math"/>
          </w:rPr>
          <m:t>×</m:t>
        </m:r>
        <m:r>
          <w:rPr>
            <w:rFonts w:ascii="Cambria Math" w:hAnsi="Cambria Math"/>
          </w:rPr>
          <m:t>B</m:t>
        </m:r>
      </m:oMath>
      <w:r>
        <w:t xml:space="preserve"> positive-probability bins, the classical likelihood-ratio approximation gives </w:t>
      </w:r>
      <m:oMath>
        <m:r>
          <w:rPr>
            <w:rFonts w:ascii="Cambria Math" w:hAnsi="Cambria Math"/>
          </w:rPr>
          <m:t>2n</m:t>
        </m:r>
        <m:acc>
          <m:accPr>
            <m:ctrlPr>
              <w:rPr>
                <w:rFonts w:ascii="Cambria Math" w:hAnsi="Cambria Math"/>
              </w:rPr>
            </m:ctrlPr>
          </m:accPr>
          <m:e>
            <m:r>
              <w:rPr>
                <w:rFonts w:ascii="Cambria Math" w:hAnsi="Cambria Math"/>
              </w:rPr>
              <m:t>I</m:t>
            </m:r>
          </m:e>
        </m:acc>
      </m:oMath>
      <w:r>
        <w:t xml:space="preserve"> an asymptotic chi-squared law with </w:t>
      </w:r>
      <m:oMath>
        <m:sSup>
          <m:sSupPr>
            <m:ctrlPr>
              <w:rPr>
                <w:rFonts w:ascii="Cambria Math" w:hAnsi="Cambria Math"/>
              </w:rPr>
            </m:ctrlPr>
          </m:sSup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degrees of freedom. With uniform marginal bins, the leading normalized null bias is </w:t>
      </w:r>
      <m:oMath>
        <m:sSup>
          <m:sSupPr>
            <m:ctrlPr>
              <w:rPr>
                <w:rFonts w:ascii="Cambria Math" w:hAnsi="Cambria Math"/>
              </w:rPr>
            </m:ctrlPr>
          </m:sSup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2n</m:t>
            </m:r>
            <m:r>
              <m:rPr>
                <m:sty m:val="p"/>
              </m:rPr>
              <w:rPr>
                <w:rFonts w:ascii="Cambria Math" w:hAnsi="Cambria Math"/>
              </w:rPr>
              <m:t>log</m:t>
            </m:r>
            <m:r>
              <w:rPr>
                <w:rFonts w:ascii="Cambria Math" w:hAnsi="Cambria Math"/>
              </w:rPr>
              <m:t>B</m:t>
            </m:r>
          </m:e>
        </m:d>
      </m:oMath>
      <w:r>
        <w:t>. Estimated quantile bins, ties, small cell counts, adaptive dependence, and multiple comparisons require separate calibration [7]. Softmax transformation amplifies both structural dependence and estimation noise. Geometry-informed or intervention-based metric adaptation should therefore be tested against a frozen metric under an equal budget.</w:t>
      </w:r>
    </w:p>
    <w:p w14:paraId="2CD046F1" w14:textId="77777777" w:rsidR="00314867" w:rsidRDefault="00000000">
      <w:pPr>
        <w:pStyle w:val="Heading2"/>
        <w:rPr>
          <w:rFonts w:hint="eastAsia"/>
        </w:rPr>
      </w:pPr>
      <w:bookmarkStart w:id="28" w:name="igd-and-transferred-prompts"/>
      <w:bookmarkEnd w:id="27"/>
      <w:r>
        <w:t>10.3 IGD+ and transferred prompts</w:t>
      </w:r>
    </w:p>
    <w:p w14:paraId="4D3E4612" w14:textId="77777777" w:rsidR="00314867" w:rsidRDefault="00000000">
      <w:pPr>
        <w:pStyle w:val="FirstParagraph"/>
        <w:keepNext/>
        <w:rPr>
          <w:rFonts w:hint="eastAsia"/>
        </w:rPr>
      </w:pPr>
      <w:r>
        <w:t xml:space="preserve">For a finite nonempty objective archive </w:t>
      </w:r>
      <m:oMath>
        <m:r>
          <w:rPr>
            <w:rFonts w:ascii="Cambria Math" w:hAnsi="Cambria Math"/>
          </w:rPr>
          <m:t>A</m:t>
        </m:r>
      </m:oMath>
      <w:r>
        <w:t xml:space="preserve"> and a fixed reference probability measure </w:t>
      </w:r>
      <m:oMath>
        <m:r>
          <w:rPr>
            <w:rFonts w:ascii="Cambria Math" w:hAnsi="Cambria Math"/>
          </w:rPr>
          <m:t>R</m:t>
        </m:r>
      </m:oMath>
      <w:r>
        <w:t xml:space="preserve"> with finite relevant distances, define [8]</w:t>
      </w:r>
    </w:p>
    <w:p w14:paraId="6912F50E" w14:textId="77777777" w:rsidR="00314867"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w:rPr>
                  <w:rFonts w:ascii="Cambria Math" w:hAnsi="Cambria Math"/>
                </w:rPr>
                <m:t>A</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r>
                <m:rPr>
                  <m:sty m:val="p"/>
                </m:rPr>
                <w:rPr>
                  <w:rFonts w:ascii="Cambria Math" w:hAnsi="Cambria Math"/>
                </w:rPr>
                <m:t>∈</m:t>
              </m:r>
              <m:r>
                <w:rPr>
                  <w:rFonts w:ascii="Cambria Math" w:hAnsi="Cambria Math"/>
                </w:rPr>
                <m:t>A</m:t>
              </m:r>
            </m:lim>
          </m:limLow>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v</m:t>
                  </m:r>
                </m:e>
              </m:d>
            </m:e>
            <m:sub>
              <m:r>
                <m:rPr>
                  <m:sty m:val="p"/>
                </m:rPr>
                <w:rPr>
                  <w:rFonts w:ascii="Cambria Math" w:hAnsi="Cambria Math"/>
                </w:rPr>
                <m:t>+</m:t>
              </m:r>
            </m:sub>
          </m:sSub>
          <m:r>
            <m:rPr>
              <m:sty m:val="p"/>
            </m:rPr>
            <w:rPr>
              <w:rFonts w:ascii="Cambria Math" w:hAnsi="Cambria Math"/>
            </w:rPr>
            <m:t>∥</m:t>
          </m:r>
          <m:r>
            <m:rPr>
              <m:nor/>
            </m:rPr>
            <m:t>    </m:t>
          </m:r>
          <m:r>
            <w:rPr>
              <w:rFonts w:ascii="Cambria Math" w:hAnsi="Cambria Math"/>
            </w:rPr>
            <m:t>R</m:t>
          </m:r>
          <m:d>
            <m:dPr>
              <m:ctrlPr>
                <w:rPr>
                  <w:rFonts w:ascii="Cambria Math" w:hAnsi="Cambria Math"/>
                </w:rPr>
              </m:ctrlPr>
            </m:dPr>
            <m:e>
              <m:r>
                <w:rPr>
                  <w:rFonts w:ascii="Cambria Math" w:hAnsi="Cambria Math"/>
                </w:rPr>
                <m:t>dv</m:t>
              </m:r>
            </m:e>
          </m:d>
          <m:r>
            <m:rPr>
              <m:sty m:val="p"/>
            </m:rPr>
            <w:rPr>
              <w:rFonts w:ascii="Cambria Math" w:hAnsi="Cambria Math"/>
            </w:rPr>
            <m:t>.</m:t>
          </m:r>
          <m:r>
            <m:rPr>
              <m:nor/>
            </m:rPr>
            <m:t>    (20)</m:t>
          </m:r>
        </m:oMath>
      </m:oMathPara>
    </w:p>
    <w:p w14:paraId="17501618" w14:textId="77777777" w:rsidR="00314867" w:rsidRDefault="00000000">
      <w:pPr>
        <w:pStyle w:val="FirstParagraph"/>
        <w:keepLines/>
        <w:rPr>
          <w:rFonts w:hint="eastAsia"/>
        </w:rPr>
      </w:pPr>
      <w:r>
        <w:rPr>
          <w:b/>
          <w:bCs/>
        </w:rPr>
        <w:t>Proposition 7.</w:t>
      </w:r>
      <w:r>
        <w:t xml:space="preserve"> Nondominated pruning leaves IGD+ unchanged; adding records cannot increase it; and IGD+ is at most ordinary IGD on the same archive.</w:t>
      </w:r>
    </w:p>
    <w:p w14:paraId="766C61CB" w14:textId="77777777" w:rsidR="00314867" w:rsidRDefault="00000000">
      <w:pPr>
        <w:pStyle w:val="BodyText"/>
        <w:rPr>
          <w:rFonts w:hint="eastAsia"/>
        </w:rPr>
      </w:pPr>
      <w:r>
        <w:rPr>
          <w:i/>
          <w:iCs/>
        </w:rPr>
        <w:t>Proof.</w:t>
      </w:r>
      <w:r>
        <w:t xml:space="preserve"> Every dominated record has a nondominated ancestor coordinatewise below it, with no larger positive-part distance to any reference vector. A minimum over a larger set cannot increase, and positive-part distance is bounded by Euclidean distance.</w:t>
      </w:r>
    </w:p>
    <w:p w14:paraId="36F0A919" w14:textId="77777777" w:rsidR="00314867" w:rsidRDefault="00000000">
      <w:pPr>
        <w:pStyle w:val="BodyText"/>
        <w:rPr>
          <w:rFonts w:hint="eastAsia"/>
        </w:rPr>
      </w:pPr>
      <w:r>
        <w:t xml:space="preserve">Ordinary IGD on the nondominated archive need not be monotone. For reference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replacing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1.1</m:t>
            </m:r>
          </m:e>
        </m:d>
      </m:oMath>
      <w:r>
        <w:t xml:space="preserve"> by its dominator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1.05</m:t>
            </m:r>
          </m:e>
        </m:d>
      </m:oMath>
      <w:r>
        <w:t xml:space="preserve"> raises ordinary distance from </w:t>
      </w:r>
      <m:oMath>
        <m:r>
          <w:rPr>
            <w:rFonts w:ascii="Cambria Math" w:hAnsi="Cambria Math"/>
          </w:rPr>
          <m:t>0.1</m:t>
        </m:r>
      </m:oMath>
      <w:r>
        <w:t xml:space="preserve"> to approximately </w:t>
      </w:r>
      <m:oMath>
        <m:r>
          <w:rPr>
            <w:rFonts w:ascii="Cambria Math" w:hAnsi="Cambria Math"/>
          </w:rPr>
          <m:t>1.001249</m:t>
        </m:r>
      </m:oMath>
      <w:r>
        <w:t xml:space="preserve"> while lowering IGD+ from </w:t>
      </w:r>
      <m:oMath>
        <m:r>
          <w:rPr>
            <w:rFonts w:ascii="Cambria Math" w:hAnsi="Cambria Math"/>
          </w:rPr>
          <m:t>0.1</m:t>
        </m:r>
      </m:oMath>
      <w:r>
        <w:t xml:space="preserve"> to </w:t>
      </w:r>
      <m:oMath>
        <m:r>
          <w:rPr>
            <w:rFonts w:ascii="Cambria Math" w:hAnsi="Cambria Math"/>
          </w:rPr>
          <m:t>0.05</m:t>
        </m:r>
      </m:oMath>
      <w:r>
        <w:t>. Ordinary IGD on the entire growing archive is monotone; the distinction is pruning.</w:t>
      </w:r>
    </w:p>
    <w:p w14:paraId="499403C4" w14:textId="77777777" w:rsidR="00314867" w:rsidRDefault="00000000">
      <w:pPr>
        <w:pStyle w:val="BodyText"/>
        <w:rPr>
          <w:rFonts w:hint="eastAsia"/>
        </w:rPr>
      </w:pPr>
      <w:r>
        <w:lastRenderedPageBreak/>
        <w:t xml:space="preserve">For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xml:space="preserve">, a fixed prompt of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records with nonnegative weights at most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changes the estimate based on subsequent records by at most </w:t>
      </w:r>
      <m:oMath>
        <m:r>
          <w:rPr>
            <w:rFonts w:ascii="Cambria Math" w:hAnsi="Cambria Math"/>
          </w:rPr>
          <m:t>2H</m:t>
        </m:r>
        <m:sSub>
          <m:sSubPr>
            <m:ctrlPr>
              <w:rPr>
                <w:rFonts w:ascii="Cambria Math" w:hAnsi="Cambria Math"/>
              </w:rPr>
            </m:ctrlPr>
          </m:sSubPr>
          <m:e>
            <m:r>
              <w:rPr>
                <w:rFonts w:ascii="Cambria Math" w:hAnsi="Cambria Math"/>
              </w:rPr>
              <m:t>m</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n</m:t>
            </m:r>
          </m:sub>
        </m:sSub>
      </m:oMath>
      <w:r>
        <w:t xml:space="preserve"> is the sum of subsequent weights. If </w:t>
      </w: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m:t>
        </m:r>
      </m:oMath>
      <w:r>
        <w:t xml:space="preserve">, the direct contribution is </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n</m:t>
            </m:r>
          </m:e>
        </m:d>
      </m:oMath>
      <w:r>
        <w:t>. This comparison holds for the same later log. It does not bound how a prompt changes the proposals of a counterfactual run, the time needed to find good designs, or an annealing regime in which the denominator vanishes.</w:t>
      </w:r>
    </w:p>
    <w:p w14:paraId="4E614E51" w14:textId="77777777" w:rsidR="00314867" w:rsidRDefault="00000000">
      <w:pPr>
        <w:pStyle w:val="BodyText"/>
        <w:keepLines/>
        <w:rPr>
          <w:rFonts w:hint="eastAsia"/>
        </w:rPr>
      </w:pPr>
      <w:r>
        <w:rPr>
          <w:b/>
          <w:bCs/>
        </w:rPr>
        <w:t>Proposition 8 (geometric transfer).</w:t>
      </w:r>
      <w:r>
        <w:t xml:space="preserve"> Let </w:t>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be nonempty source and target efficient sets, let </w:t>
      </w:r>
      <m:oMath>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oMath>
      <w:r>
        <w:t xml:space="preserve"> be a finite prompt evaluated under the target objective, and let </w:t>
      </w:r>
      <m:oMath>
        <m:r>
          <w:rPr>
            <w:rFonts w:ascii="Cambria Math" w:hAnsi="Cambria Math"/>
          </w:rPr>
          <m:t>d</m:t>
        </m:r>
      </m:oMath>
      <w:r>
        <w:t xml:space="preserve"> be a pseudometric. Suppose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w:r>
        <w:t xml:space="preserve"> for the needed pairs, where </w:t>
      </w:r>
      <m:oMath>
        <m:r>
          <w:rPr>
            <w:rFonts w:ascii="Cambria Math" w:hAnsi="Cambria Math"/>
          </w:rPr>
          <m:t>ω</m:t>
        </m:r>
      </m:oMath>
      <w:r>
        <w:t xml:space="preserve"> is nondecreasing, continuous, and </w:t>
      </w:r>
      <m:oMath>
        <m:r>
          <w:rPr>
            <w:rFonts w:ascii="Cambria Math" w:hAnsi="Cambria Math"/>
          </w:rPr>
          <m:t>ω</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Define </w:t>
      </w:r>
      <m:oMath>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sub>
        </m:sSub>
        <m:sSub>
          <m:sSubPr>
            <m:ctrlPr>
              <w:rPr>
                <w:rFonts w:ascii="Cambria Math" w:hAnsi="Cambria Math"/>
              </w:rPr>
            </m:ctrlPr>
          </m:sSubPr>
          <m:e>
            <m:r>
              <m:rPr>
                <m:sty m:val="p"/>
              </m:rPr>
              <w:rPr>
                <w:rFonts w:ascii="Cambria Math" w:hAnsi="Cambria Math"/>
              </w:rPr>
              <m:t>min</m:t>
            </m:r>
          </m:e>
          <m:sub>
            <m:r>
              <w:rPr>
                <w:rFonts w:ascii="Cambria Math" w:hAnsi="Cambria Math"/>
              </w:rPr>
              <m:t>q</m:t>
            </m:r>
            <m:r>
              <m:rPr>
                <m:sty m:val="p"/>
              </m:rPr>
              <w:rPr>
                <w:rFonts w:ascii="Cambria Math" w:hAnsi="Cambria Math"/>
              </w:rPr>
              <m:t>∈</m:t>
            </m:r>
            <m:r>
              <w:rPr>
                <w:rFonts w:ascii="Cambria Math" w:hAnsi="Cambria Math"/>
              </w:rPr>
              <m:t>Q</m:t>
            </m:r>
          </m:sub>
        </m:sSub>
        <m:r>
          <w:rPr>
            <w:rFonts w:ascii="Cambria Math" w:hAnsi="Cambria Math"/>
          </w:rPr>
          <m:t>d</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oMath>
      <w:r>
        <w:t xml:space="preserve"> and </w:t>
      </w:r>
      <m:oMath>
        <m:r>
          <w:rPr>
            <w:rFonts w:ascii="Cambria Math" w:hAnsi="Cambria Math"/>
          </w:rPr>
          <m:t>e</m:t>
        </m:r>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ub>
        </m:sSub>
        <m:sSub>
          <m:sSubPr>
            <m:ctrlPr>
              <w:rPr>
                <w:rFonts w:ascii="Cambria Math" w:hAnsi="Cambria Math"/>
              </w:rPr>
            </m:ctrlPr>
          </m:sSubPr>
          <m:e>
            <m:r>
              <m:rPr>
                <m:sty m:val="p"/>
              </m:rPr>
              <w:rPr>
                <w:rFonts w:ascii="Cambria Math" w:hAnsi="Cambria Math"/>
              </w:rPr>
              <m:t>inf</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sub>
        </m:sSub>
        <m:r>
          <w:rPr>
            <w:rFonts w:ascii="Cambria Math" w:hAnsi="Cambria Math"/>
          </w:rPr>
          <m:t>d</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e>
        </m:d>
      </m:oMath>
      <w:r>
        <w:t xml:space="preserve">. If both are finite, then </w:t>
      </w:r>
      <m:oMath>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Q</m:t>
                </m:r>
              </m:e>
            </m:d>
          </m:e>
        </m:d>
        <m:r>
          <m:rPr>
            <m:sty m:val="p"/>
          </m:rPr>
          <w:rPr>
            <w:rFonts w:ascii="Cambria Math" w:hAnsi="Cambria Math"/>
          </w:rPr>
          <m:t>≤</m:t>
        </m:r>
        <m:r>
          <w:rPr>
            <w:rFonts w:ascii="Cambria Math" w:hAnsi="Cambria Math"/>
          </w:rPr>
          <m:t>ω</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e</m:t>
            </m:r>
          </m:e>
        </m:d>
      </m:oMath>
      <w:r>
        <w:t xml:space="preserve"> for any reference probability on </w:t>
      </w: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oMath>
      <w:r>
        <w:t>.</w:t>
      </w:r>
    </w:p>
    <w:p w14:paraId="06066AA5" w14:textId="77777777" w:rsidR="00314867" w:rsidRDefault="00000000">
      <w:pPr>
        <w:pStyle w:val="BodyText"/>
        <w:rPr>
          <w:rFonts w:hint="eastAsia"/>
        </w:rPr>
      </w:pPr>
      <w:r>
        <w:rPr>
          <w:i/>
          <w:iCs/>
        </w:rPr>
        <w:t>Proof.</w:t>
      </w:r>
      <w:r>
        <w:t xml:space="preserve"> For each target-efficient design choose an arbitrarily close source-set representative and then a prompt point within </w:t>
      </w:r>
      <m:oMath>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The triangle inequality bounds their target separation by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plus an arbitrarily small error. Apply the modulus and positive-part distance, integrate, and take the error to zero. The bound persists when records are added by Proposition 7. Source feasibility alone does not establish target feasibility; transferred prompts require target checks.</w:t>
      </w:r>
    </w:p>
    <w:p w14:paraId="3F360107" w14:textId="77777777" w:rsidR="00314867" w:rsidRDefault="00000000">
      <w:pPr>
        <w:pStyle w:val="Heading1"/>
        <w:rPr>
          <w:rFonts w:hint="eastAsia"/>
        </w:rPr>
      </w:pPr>
      <w:bookmarkStart w:id="29" w:name="X7cbf210688d8052e5a5492e1f2729f1730530d2"/>
      <w:bookmarkEnd w:id="25"/>
      <w:bookmarkEnd w:id="28"/>
      <w:r>
        <w:t>11 Neuroscientific evidence and the limits of the correspondence</w:t>
      </w:r>
    </w:p>
    <w:p w14:paraId="15D22F27" w14:textId="77777777" w:rsidR="00314867" w:rsidRDefault="00000000">
      <w:pPr>
        <w:pStyle w:val="Heading2"/>
        <w:rPr>
          <w:rFonts w:hint="eastAsia"/>
        </w:rPr>
      </w:pPr>
      <w:bookmarkStart w:id="30" w:name="Xfc7c10afacf1ed532631f0347b280c23ef6bcbe"/>
      <w:r>
        <w:t>11.1 Separate attributes, integration, and uncertain observations</w:t>
      </w:r>
    </w:p>
    <w:p w14:paraId="3B67BB31" w14:textId="77777777" w:rsidR="00314867" w:rsidRDefault="00000000">
      <w:pPr>
        <w:pStyle w:val="FirstParagraph"/>
        <w:rPr>
          <w:rFonts w:hint="eastAsia"/>
        </w:rPr>
      </w:pPr>
      <w:r>
        <w:t>Grabenhorst and Báez-Mendoza [9] recorded amygdala neurons in two male monkeys receiving sequential cues for reward probability and magnitude. They found separate attribute signals, temporally changing integration, and signals related to reward variance. These direct neural recordings support the possibility of retaining distinct attributes before a later readout. They do not establish Pareto sorting, Chebyshev loss, or ADE in the brain.</w:t>
      </w:r>
    </w:p>
    <w:p w14:paraId="15852058" w14:textId="77777777" w:rsidR="00314867" w:rsidRDefault="00000000">
      <w:pPr>
        <w:pStyle w:val="BodyText"/>
        <w:rPr>
          <w:rFonts w:hint="eastAsia"/>
        </w:rPr>
      </w:pPr>
      <w:r>
        <w:t>Liu and colleagues [10] studied auditory–visual localization and source judgments in 15 human participants. Flexible observer models favored spatially varying sensory noise and a non-Gaussian prior over simpler constant-noise Gaussian assumptions. This behavioral and computational evidence motivates calibrating retrieval likelihoods and priors rather than assigning them biological validity by convenience. It is not a neural-recording result or a validation of a Gaussian ADE kernel.</w:t>
      </w:r>
    </w:p>
    <w:p w14:paraId="2F3685C5" w14:textId="77777777" w:rsidR="00314867" w:rsidRDefault="00000000">
      <w:pPr>
        <w:pStyle w:val="BodyText"/>
        <w:rPr>
          <w:rFonts w:hint="eastAsia"/>
        </w:rPr>
      </w:pPr>
      <w:r>
        <w:t>Frank and colleagues [11] analyzed intracranial recordings from 17 patients. Hippocampal ripple activity before visual events varied with predicted uncertainty and was associated with subsequent cortical responses. The finding motivates a testable engineering analogy involving memory retrieval and allocation of evaluation effort under uncertainty. It does not show that a particular adaptive evaluation policy causes an optimization gain; the recorded associations are not an intervention on an ADE controller.</w:t>
      </w:r>
    </w:p>
    <w:p w14:paraId="59B69A13" w14:textId="77777777" w:rsidR="00314867" w:rsidRDefault="00000000">
      <w:pPr>
        <w:pStyle w:val="Caption"/>
        <w:keepNext/>
        <w:rPr>
          <w:rFonts w:hint="eastAsia"/>
        </w:rPr>
      </w:pPr>
      <w:r>
        <w:lastRenderedPageBreak/>
        <w:t>Table 2. Evidence-to-engineering correspondences and their limits.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456"/>
        <w:gridCol w:w="3456"/>
      </w:tblGrid>
      <w:tr w:rsidR="00314867" w14:paraId="293977CC" w14:textId="77777777">
        <w:trPr>
          <w:cantSplit/>
          <w:tblHeader/>
          <w:jc w:val="center"/>
        </w:trPr>
        <w:tc>
          <w:tcPr>
            <w:tcW w:w="3024" w:type="dxa"/>
            <w:shd w:val="clear" w:color="auto" w:fill="EAEAEA"/>
            <w:tcMar>
              <w:top w:w="80" w:type="dxa"/>
              <w:left w:w="85" w:type="dxa"/>
              <w:bottom w:w="80" w:type="dxa"/>
              <w:right w:w="85" w:type="dxa"/>
            </w:tcMar>
            <w:vAlign w:val="center"/>
          </w:tcPr>
          <w:p w14:paraId="4D41BDFE" w14:textId="77777777" w:rsidR="00314867" w:rsidRDefault="00000000">
            <w:pPr>
              <w:keepNext/>
              <w:keepLines/>
              <w:spacing w:after="0" w:line="247" w:lineRule="auto"/>
              <w:jc w:val="left"/>
              <w:rPr>
                <w:rFonts w:hint="eastAsia"/>
              </w:rPr>
            </w:pPr>
            <w:r>
              <w:rPr>
                <w:b/>
                <w:sz w:val="21"/>
              </w:rPr>
              <w:t>Evidence</w:t>
            </w:r>
          </w:p>
        </w:tc>
        <w:tc>
          <w:tcPr>
            <w:tcW w:w="3456" w:type="dxa"/>
            <w:shd w:val="clear" w:color="auto" w:fill="EAEAEA"/>
            <w:tcMar>
              <w:top w:w="80" w:type="dxa"/>
              <w:left w:w="85" w:type="dxa"/>
              <w:bottom w:w="80" w:type="dxa"/>
              <w:right w:w="85" w:type="dxa"/>
            </w:tcMar>
            <w:vAlign w:val="center"/>
          </w:tcPr>
          <w:p w14:paraId="6E22931C" w14:textId="77777777" w:rsidR="00314867" w:rsidRDefault="00000000">
            <w:pPr>
              <w:keepNext/>
              <w:keepLines/>
              <w:spacing w:after="0" w:line="247" w:lineRule="auto"/>
              <w:jc w:val="left"/>
              <w:rPr>
                <w:rFonts w:hint="eastAsia"/>
              </w:rPr>
            </w:pPr>
            <w:r>
              <w:rPr>
                <w:b/>
                <w:sz w:val="21"/>
              </w:rPr>
              <w:t>Defensible engineering analogy</w:t>
            </w:r>
          </w:p>
        </w:tc>
        <w:tc>
          <w:tcPr>
            <w:tcW w:w="3456" w:type="dxa"/>
            <w:shd w:val="clear" w:color="auto" w:fill="EAEAEA"/>
            <w:tcMar>
              <w:top w:w="80" w:type="dxa"/>
              <w:left w:w="85" w:type="dxa"/>
              <w:bottom w:w="80" w:type="dxa"/>
              <w:right w:w="85" w:type="dxa"/>
            </w:tcMar>
            <w:vAlign w:val="center"/>
          </w:tcPr>
          <w:p w14:paraId="3F729135" w14:textId="77777777" w:rsidR="00314867" w:rsidRDefault="00000000">
            <w:pPr>
              <w:keepNext/>
              <w:keepLines/>
              <w:spacing w:after="0" w:line="247" w:lineRule="auto"/>
              <w:jc w:val="left"/>
              <w:rPr>
                <w:rFonts w:hint="eastAsia"/>
              </w:rPr>
            </w:pPr>
            <w:r>
              <w:rPr>
                <w:b/>
                <w:sz w:val="21"/>
              </w:rPr>
              <w:t>Claim requiring new evidence</w:t>
            </w:r>
          </w:p>
        </w:tc>
      </w:tr>
      <w:tr w:rsidR="00314867" w14:paraId="1C0DA4D1" w14:textId="77777777">
        <w:trPr>
          <w:cantSplit/>
          <w:jc w:val="center"/>
        </w:trPr>
        <w:tc>
          <w:tcPr>
            <w:tcW w:w="3024" w:type="dxa"/>
            <w:shd w:val="clear" w:color="auto" w:fill="FFFFFF"/>
            <w:tcMar>
              <w:top w:w="80" w:type="dxa"/>
              <w:left w:w="85" w:type="dxa"/>
              <w:bottom w:w="80" w:type="dxa"/>
              <w:right w:w="85" w:type="dxa"/>
            </w:tcMar>
            <w:vAlign w:val="center"/>
          </w:tcPr>
          <w:p w14:paraId="1CB582E9" w14:textId="77777777" w:rsidR="00314867" w:rsidRDefault="00000000">
            <w:pPr>
              <w:keepNext/>
              <w:keepLines/>
              <w:spacing w:after="0" w:line="247" w:lineRule="auto"/>
              <w:jc w:val="left"/>
              <w:rPr>
                <w:rFonts w:hint="eastAsia"/>
              </w:rPr>
            </w:pPr>
            <w:r>
              <w:rPr>
                <w:sz w:val="21"/>
              </w:rPr>
              <w:t>Distinct and integrated reward attributes [9]</w:t>
            </w:r>
          </w:p>
        </w:tc>
        <w:tc>
          <w:tcPr>
            <w:tcW w:w="3456" w:type="dxa"/>
            <w:shd w:val="clear" w:color="auto" w:fill="FFFFFF"/>
            <w:tcMar>
              <w:top w:w="80" w:type="dxa"/>
              <w:left w:w="85" w:type="dxa"/>
              <w:bottom w:w="80" w:type="dxa"/>
              <w:right w:w="85" w:type="dxa"/>
            </w:tcMar>
            <w:vAlign w:val="center"/>
          </w:tcPr>
          <w:p w14:paraId="7A6BE827" w14:textId="77777777" w:rsidR="00314867" w:rsidRDefault="00000000">
            <w:pPr>
              <w:keepNext/>
              <w:keepLines/>
              <w:spacing w:after="0" w:line="247" w:lineRule="auto"/>
              <w:jc w:val="left"/>
              <w:rPr>
                <w:rFonts w:hint="eastAsia"/>
              </w:rPr>
            </w:pPr>
            <w:r>
              <w:rPr>
                <w:sz w:val="21"/>
              </w:rPr>
              <w:t>Preserve objective channels, then compare fusion rules</w:t>
            </w:r>
          </w:p>
        </w:tc>
        <w:tc>
          <w:tcPr>
            <w:tcW w:w="3456" w:type="dxa"/>
            <w:shd w:val="clear" w:color="auto" w:fill="FFFFFF"/>
            <w:tcMar>
              <w:top w:w="80" w:type="dxa"/>
              <w:left w:w="85" w:type="dxa"/>
              <w:bottom w:w="80" w:type="dxa"/>
              <w:right w:w="85" w:type="dxa"/>
            </w:tcMar>
            <w:vAlign w:val="center"/>
          </w:tcPr>
          <w:p w14:paraId="18B61343" w14:textId="77777777" w:rsidR="00314867" w:rsidRDefault="00000000">
            <w:pPr>
              <w:keepNext/>
              <w:keepLines/>
              <w:spacing w:after="0" w:line="247" w:lineRule="auto"/>
              <w:jc w:val="left"/>
              <w:rPr>
                <w:rFonts w:hint="eastAsia"/>
              </w:rPr>
            </w:pPr>
            <w:r>
              <w:rPr>
                <w:sz w:val="21"/>
              </w:rPr>
              <w:t>Neurons implement Pareto depth or a max scalarizer</w:t>
            </w:r>
          </w:p>
        </w:tc>
      </w:tr>
      <w:tr w:rsidR="00314867" w14:paraId="1F67F454" w14:textId="77777777">
        <w:trPr>
          <w:cantSplit/>
          <w:jc w:val="center"/>
        </w:trPr>
        <w:tc>
          <w:tcPr>
            <w:tcW w:w="3024" w:type="dxa"/>
            <w:shd w:val="clear" w:color="auto" w:fill="FFFFFF"/>
            <w:tcMar>
              <w:top w:w="80" w:type="dxa"/>
              <w:left w:w="85" w:type="dxa"/>
              <w:bottom w:w="80" w:type="dxa"/>
              <w:right w:w="85" w:type="dxa"/>
            </w:tcMar>
            <w:vAlign w:val="center"/>
          </w:tcPr>
          <w:p w14:paraId="5278B799" w14:textId="77777777" w:rsidR="00314867" w:rsidRDefault="00000000">
            <w:pPr>
              <w:keepNext/>
              <w:keepLines/>
              <w:spacing w:after="0" w:line="247" w:lineRule="auto"/>
              <w:jc w:val="left"/>
              <w:rPr>
                <w:rFonts w:hint="eastAsia"/>
              </w:rPr>
            </w:pPr>
            <w:r>
              <w:rPr>
                <w:sz w:val="21"/>
              </w:rPr>
              <w:t>Flexible sensory noise and priors [10]</w:t>
            </w:r>
          </w:p>
        </w:tc>
        <w:tc>
          <w:tcPr>
            <w:tcW w:w="3456" w:type="dxa"/>
            <w:shd w:val="clear" w:color="auto" w:fill="FFFFFF"/>
            <w:tcMar>
              <w:top w:w="80" w:type="dxa"/>
              <w:left w:w="85" w:type="dxa"/>
              <w:bottom w:w="80" w:type="dxa"/>
              <w:right w:w="85" w:type="dxa"/>
            </w:tcMar>
            <w:vAlign w:val="center"/>
          </w:tcPr>
          <w:p w14:paraId="7C2841F8" w14:textId="77777777" w:rsidR="00314867" w:rsidRDefault="00000000">
            <w:pPr>
              <w:keepNext/>
              <w:keepLines/>
              <w:spacing w:after="0" w:line="247" w:lineRule="auto"/>
              <w:jc w:val="left"/>
              <w:rPr>
                <w:rFonts w:hint="eastAsia"/>
              </w:rPr>
            </w:pPr>
            <w:r>
              <w:rPr>
                <w:sz w:val="21"/>
              </w:rPr>
              <w:t>Fit uncertainty and retrieval models separately from preferences</w:t>
            </w:r>
          </w:p>
        </w:tc>
        <w:tc>
          <w:tcPr>
            <w:tcW w:w="3456" w:type="dxa"/>
            <w:shd w:val="clear" w:color="auto" w:fill="FFFFFF"/>
            <w:tcMar>
              <w:top w:w="80" w:type="dxa"/>
              <w:left w:w="85" w:type="dxa"/>
              <w:bottom w:w="80" w:type="dxa"/>
              <w:right w:w="85" w:type="dxa"/>
            </w:tcMar>
            <w:vAlign w:val="center"/>
          </w:tcPr>
          <w:p w14:paraId="2F77BBAF" w14:textId="77777777" w:rsidR="00314867" w:rsidRDefault="00000000">
            <w:pPr>
              <w:keepNext/>
              <w:keepLines/>
              <w:spacing w:after="0" w:line="247" w:lineRule="auto"/>
              <w:jc w:val="left"/>
              <w:rPr>
                <w:rFonts w:hint="eastAsia"/>
              </w:rPr>
            </w:pPr>
            <w:r>
              <w:rPr>
                <w:sz w:val="21"/>
              </w:rPr>
              <w:t>Objective importance equals sensory precision</w:t>
            </w:r>
          </w:p>
        </w:tc>
      </w:tr>
      <w:tr w:rsidR="00314867" w14:paraId="315BA3BD" w14:textId="77777777">
        <w:trPr>
          <w:cantSplit/>
          <w:jc w:val="center"/>
        </w:trPr>
        <w:tc>
          <w:tcPr>
            <w:tcW w:w="3024" w:type="dxa"/>
            <w:shd w:val="clear" w:color="auto" w:fill="FFFFFF"/>
            <w:tcMar>
              <w:top w:w="80" w:type="dxa"/>
              <w:left w:w="85" w:type="dxa"/>
              <w:bottom w:w="80" w:type="dxa"/>
              <w:right w:w="85" w:type="dxa"/>
            </w:tcMar>
            <w:vAlign w:val="center"/>
          </w:tcPr>
          <w:p w14:paraId="7215067D" w14:textId="77777777" w:rsidR="00314867" w:rsidRDefault="00000000">
            <w:pPr>
              <w:keepLines/>
              <w:spacing w:after="0" w:line="247" w:lineRule="auto"/>
              <w:jc w:val="left"/>
              <w:rPr>
                <w:rFonts w:hint="eastAsia"/>
              </w:rPr>
            </w:pPr>
            <w:r>
              <w:rPr>
                <w:sz w:val="21"/>
              </w:rPr>
              <w:t>Ripple activity and predicted uncertainty [11]</w:t>
            </w:r>
          </w:p>
        </w:tc>
        <w:tc>
          <w:tcPr>
            <w:tcW w:w="3456" w:type="dxa"/>
            <w:shd w:val="clear" w:color="auto" w:fill="FFFFFF"/>
            <w:tcMar>
              <w:top w:w="80" w:type="dxa"/>
              <w:left w:w="85" w:type="dxa"/>
              <w:bottom w:w="80" w:type="dxa"/>
              <w:right w:w="85" w:type="dxa"/>
            </w:tcMar>
            <w:vAlign w:val="center"/>
          </w:tcPr>
          <w:p w14:paraId="2BA6F0A8" w14:textId="77777777" w:rsidR="00314867" w:rsidRDefault="00000000">
            <w:pPr>
              <w:keepLines/>
              <w:spacing w:after="0" w:line="247" w:lineRule="auto"/>
              <w:jc w:val="left"/>
              <w:rPr>
                <w:rFonts w:hint="eastAsia"/>
              </w:rPr>
            </w:pPr>
            <w:r>
              <w:rPr>
                <w:sz w:val="21"/>
              </w:rPr>
              <w:t>Retrieve memory and allocate analysis effort conditionally</w:t>
            </w:r>
          </w:p>
        </w:tc>
        <w:tc>
          <w:tcPr>
            <w:tcW w:w="3456" w:type="dxa"/>
            <w:shd w:val="clear" w:color="auto" w:fill="FFFFFF"/>
            <w:tcMar>
              <w:top w:w="80" w:type="dxa"/>
              <w:left w:w="85" w:type="dxa"/>
              <w:bottom w:w="80" w:type="dxa"/>
              <w:right w:w="85" w:type="dxa"/>
            </w:tcMar>
            <w:vAlign w:val="center"/>
          </w:tcPr>
          <w:p w14:paraId="3E6B31A0" w14:textId="77777777" w:rsidR="00314867" w:rsidRDefault="00000000">
            <w:pPr>
              <w:keepLines/>
              <w:spacing w:after="0" w:line="247" w:lineRule="auto"/>
              <w:jc w:val="left"/>
              <w:rPr>
                <w:rFonts w:hint="eastAsia"/>
              </w:rPr>
            </w:pPr>
            <w:r>
              <w:rPr>
                <w:sz w:val="21"/>
              </w:rPr>
              <w:t>Ripple dynamics identify an optimal evaluation schedule</w:t>
            </w:r>
          </w:p>
        </w:tc>
      </w:tr>
    </w:tbl>
    <w:p w14:paraId="23A5509F" w14:textId="77777777" w:rsidR="00314867" w:rsidRDefault="00000000">
      <w:pPr>
        <w:pStyle w:val="Heading2"/>
        <w:rPr>
          <w:rFonts w:hint="eastAsia"/>
        </w:rPr>
      </w:pPr>
      <w:bookmarkStart w:id="31" w:name="a-precise-product-and-mixture-analogy"/>
      <w:bookmarkEnd w:id="30"/>
      <w:r>
        <w:t>11.2 A precise product-and-mixture analogy</w:t>
      </w:r>
    </w:p>
    <w:p w14:paraId="181297C4" w14:textId="77777777" w:rsidR="00314867" w:rsidRDefault="00000000">
      <w:pPr>
        <w:pStyle w:val="FirstParagraph"/>
        <w:rPr>
          <w:rFonts w:hint="eastAsia"/>
        </w:rPr>
      </w:pPr>
      <w:r>
        <w:t xml:space="preserve">Under a shared latent cause </w:t>
      </w:r>
      <m:oMath>
        <m:r>
          <w:rPr>
            <w:rFonts w:ascii="Cambria Math" w:hAnsi="Cambria Math"/>
          </w:rPr>
          <m:t>x</m:t>
        </m:r>
      </m:oMath>
      <w:r>
        <w:t xml:space="preserve"> and conditionally independent measurements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ordinary Bayesian fusion is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x</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x</m:t>
            </m:r>
          </m:e>
        </m:d>
      </m:oMath>
      <w:r>
        <w:t xml:space="preserve">. Under uncertain causal structure </w:t>
      </w:r>
      <m:oMath>
        <m:r>
          <w:rPr>
            <w:rFonts w:ascii="Cambria Math" w:hAnsi="Cambria Math"/>
          </w:rPr>
          <m:t>C</m:t>
        </m:r>
      </m:oMath>
      <w:r>
        <w:t xml:space="preserve">, posterior model averaging uses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e>
        </m:d>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e>
        </m:d>
      </m:oMath>
      <w:r>
        <w:t>. Products combine evidence conditional on a model; mixtures average alternative conditional distributions with posterior gates.</w:t>
      </w:r>
    </w:p>
    <w:p w14:paraId="1C54EFEE" w14:textId="77777777" w:rsidR="00314867" w:rsidRDefault="00000000">
      <w:pPr>
        <w:pStyle w:val="BodyText"/>
        <w:rPr>
          <w:rFonts w:hint="eastAsia"/>
        </w:rPr>
      </w:pPr>
      <w:r>
        <w:t xml:space="preserve">The algebra resembles early and late fusion, respectively. The semantic correspondence is limited. An objective tilt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sup>
        </m:sSup>
      </m:oMath>
      <w:r>
        <w:t xml:space="preserve"> expresses an engineering preference unless it is separately derived as a measurement likelihood. A sensory causal-model weight concerns an alternative explanation of observations; an ADE objective head often concerns a different preference over designs. The normalization and evidence-gating identity is shared, while the objects being normalized differ.</w:t>
      </w:r>
    </w:p>
    <w:p w14:paraId="01853A02" w14:textId="77777777" w:rsidR="00314867" w:rsidRDefault="00000000">
      <w:pPr>
        <w:pStyle w:val="BodyText"/>
        <w:rPr>
          <w:rFonts w:hint="eastAsia"/>
        </w:rPr>
      </w:pPr>
      <w:r>
        <w:t>Three experiments can test the analogy in software: hold objective preferences fixed while recalibrating evaluator noise; compare fixed and evidence-based head gates at the same evaluation budget; and compare uncertainty-driven evaluation against an index-only schedule while recording observation probabilities. Useful outcomes include calibration error, verified feasible coverage, evaluator cost, and post-selection performance. A result in any one experiment would support that engineering mechanism, not a claim of neural equivalence.</w:t>
      </w:r>
    </w:p>
    <w:p w14:paraId="6F0F0935" w14:textId="77777777" w:rsidR="00314867" w:rsidRDefault="00000000">
      <w:pPr>
        <w:pStyle w:val="Heading1"/>
        <w:rPr>
          <w:rFonts w:hint="eastAsia"/>
        </w:rPr>
      </w:pPr>
      <w:bookmarkStart w:id="32" w:name="X082f88674192c9f727eff7b962f9c27ef7699d5"/>
      <w:bookmarkEnd w:id="29"/>
      <w:bookmarkEnd w:id="31"/>
      <w:r>
        <w:t>12 ADE as a component of an AI agent harness</w:t>
      </w:r>
    </w:p>
    <w:p w14:paraId="2EE13616" w14:textId="77777777" w:rsidR="00314867" w:rsidRDefault="00000000">
      <w:pPr>
        <w:pStyle w:val="Heading2"/>
        <w:rPr>
          <w:rFonts w:hint="eastAsia"/>
        </w:rPr>
      </w:pPr>
      <w:bookmarkStart w:id="33" w:name="X6ca461d24a73d1d2843944b6fd0615b8519871e"/>
      <w:r>
        <w:t>12.1 Fixed model, changing runtime and changing harness</w:t>
      </w:r>
    </w:p>
    <w:p w14:paraId="10E4A45D" w14:textId="77777777" w:rsidR="00314867" w:rsidRDefault="00000000">
      <w:pPr>
        <w:pStyle w:val="FirstParagraph"/>
        <w:keepNext/>
        <w:rPr>
          <w:rFonts w:hint="eastAsia"/>
        </w:rPr>
      </w:pPr>
      <w:r>
        <w:t xml:space="preserve">Let </w:t>
      </w:r>
      <m:oMath>
        <m:r>
          <w:rPr>
            <w:rFonts w:ascii="Cambria Math" w:hAnsi="Cambria Math"/>
          </w:rPr>
          <m:t>θ</m:t>
        </m:r>
      </m:oMath>
      <w:r>
        <w:t xml:space="preserve"> denote fixed backbone weights, </w:t>
      </w:r>
      <m:oMath>
        <m:r>
          <w:rPr>
            <w:rFonts w:ascii="Cambria Math" w:hAnsi="Cambria Math"/>
          </w:rPr>
          <m:t>ψ</m:t>
        </m:r>
      </m:oMath>
      <w:r>
        <w:t xml:space="preserve"> a versioned harness configuration,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the runtime state containing the current task, transcript, archive, memory references, workspace identifiers, and tool status. One action cycle is</w:t>
      </w:r>
    </w:p>
    <w:p w14:paraId="2E824A5E"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ψ</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e>
          </m:d>
          <m:r>
            <m:rPr>
              <m:sty m:val="p"/>
            </m:rPr>
            <w:rPr>
              <w:rFonts w:ascii="Cambria Math" w:hAnsi="Cambria Math"/>
            </w:rPr>
            <m:t>.</m:t>
          </m:r>
          <m:r>
            <m:rPr>
              <m:nor/>
            </m:rPr>
            <m:t>    (21)</m:t>
          </m:r>
        </m:oMath>
      </m:oMathPara>
    </w:p>
    <w:p w14:paraId="576BD608" w14:textId="77777777" w:rsidR="00314867" w:rsidRDefault="00000000">
      <w:pPr>
        <w:pStyle w:val="FirstParagraph"/>
        <w:rPr>
          <w:rFonts w:hint="eastAsia"/>
        </w:rPr>
      </w:pPr>
      <w:r>
        <w:t xml:space="preserve">Here </w:t>
      </w:r>
      <m:oMath>
        <m:sSub>
          <m:sSubPr>
            <m:ctrlPr>
              <w:rPr>
                <w:rFonts w:ascii="Cambria Math" w:hAnsi="Cambria Math"/>
              </w:rPr>
            </m:ctrlPr>
          </m:sSubPr>
          <m:e>
            <m:r>
              <w:rPr>
                <w:rFonts w:ascii="Cambria Math" w:hAnsi="Cambria Math"/>
              </w:rPr>
              <m:t>C</m:t>
            </m:r>
          </m:e>
          <m:sub>
            <m:r>
              <w:rPr>
                <w:rFonts w:ascii="Cambria Math" w:hAnsi="Cambria Math"/>
              </w:rPr>
              <m:t>ψ</m:t>
            </m:r>
          </m:sub>
        </m:sSub>
      </m:oMath>
      <w:r>
        <w:t xml:space="preserve"> builds context,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ψ</m:t>
            </m:r>
          </m:sub>
        </m:sSub>
      </m:oMath>
      <w:r>
        <w:t xml:space="preserve"> is the tool/environment response law, and </w:t>
      </w:r>
      <m:oMath>
        <m:sSub>
          <m:sSubPr>
            <m:ctrlPr>
              <w:rPr>
                <w:rFonts w:ascii="Cambria Math" w:hAnsi="Cambria Math"/>
              </w:rPr>
            </m:ctrlPr>
          </m:sSubPr>
          <m:e>
            <m:r>
              <w:rPr>
                <w:rFonts w:ascii="Cambria Math" w:hAnsi="Cambria Math"/>
              </w:rPr>
              <m:t>T</m:t>
            </m:r>
          </m:e>
          <m:sub>
            <m:r>
              <w:rPr>
                <w:rFonts w:ascii="Cambria Math" w:hAnsi="Cambria Math"/>
              </w:rPr>
              <m:t>ψ</m:t>
            </m:r>
          </m:sub>
        </m:sSub>
      </m:oMath>
      <w:r>
        <w:t xml:space="preserve"> validates and commits the transition. Autoregression means that the next action depends on state containing prior actions and observations. “Next token plus old state gives new state” is a useful shorthand for this transition, not literal vector addition. A tool action may contain many tokens, and external observations can be stochastic.</w:t>
      </w:r>
    </w:p>
    <w:p w14:paraId="5EFEE199" w14:textId="77777777" w:rsidR="00314867" w:rsidRDefault="00000000">
      <w:pPr>
        <w:pStyle w:val="BodyText"/>
        <w:rPr>
          <w:rFonts w:hint="eastAsia"/>
        </w:rPr>
      </w:pPr>
      <w:r>
        <w:t xml:space="preserve">Within a run, </w:t>
      </w:r>
      <m:oMath>
        <m:r>
          <w:rPr>
            <w:rFonts w:ascii="Cambria Math" w:hAnsi="Cambria Math"/>
          </w:rPr>
          <m:t>ψ</m:t>
        </m:r>
      </m:oMath>
      <w:r>
        <w:t xml:space="preserve"> can remain fixed while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changes. Across evaluated revisions, a candidate </w:t>
      </w:r>
      <m:oMath>
        <m:r>
          <w:rPr>
            <w:rFonts w:ascii="Cambria Math" w:hAnsi="Cambria Math"/>
          </w:rPr>
          <m:t>ψ</m:t>
        </m:r>
        <m:r>
          <m:rPr>
            <m:sty m:val="p"/>
          </m:rPr>
          <w:rPr>
            <w:rFonts w:ascii="Cambria Math" w:hAnsi="Cambria Math"/>
          </w:rPr>
          <m:t>'</m:t>
        </m:r>
      </m:oMath>
      <w:r>
        <w:t xml:space="preserve"> may alter prompts, executable tools, orchestration, or memory policy while </w:t>
      </w:r>
      <m:oMath>
        <m:r>
          <w:rPr>
            <w:rFonts w:ascii="Cambria Math" w:hAnsi="Cambria Math"/>
          </w:rPr>
          <m:t>θ</m:t>
        </m:r>
      </m:oMath>
      <w:r>
        <w:t xml:space="preserve"> remains fixed. Self-Evolving Agent Harness [12] formalizes this software-revision setting. Harmony Harness [13] applies multiple </w:t>
      </w:r>
      <w:r>
        <w:lastRenderedPageBreak/>
        <w:t>Chebyshev preference subproblems and factored revision operators. Both are October 2026 preprints; their reported software results do not validate construction automation.</w:t>
      </w:r>
    </w:p>
    <w:p w14:paraId="73218B9D" w14:textId="77777777" w:rsidR="00314867" w:rsidRDefault="00000000">
      <w:pPr>
        <w:pStyle w:val="BodyText"/>
        <w:rPr>
          <w:rFonts w:hint="eastAsia"/>
        </w:rPr>
      </w:pPr>
      <w:r>
        <w:t xml:space="preserve">The ADE kernel can be one numerical proposal tool called from (21). Its evaluated designs become archive records in </w:t>
      </w:r>
      <m:oMath>
        <m:sSub>
          <m:sSubPr>
            <m:ctrlPr>
              <w:rPr>
                <w:rFonts w:ascii="Cambria Math" w:hAnsi="Cambria Math"/>
              </w:rPr>
            </m:ctrlPr>
          </m:sSubPr>
          <m:e>
            <m:r>
              <w:rPr>
                <w:rFonts w:ascii="Cambria Math" w:hAnsi="Cambria Math"/>
              </w:rPr>
              <m:t>S</m:t>
            </m:r>
          </m:e>
          <m:sub>
            <m:r>
              <w:rPr>
                <w:rFonts w:ascii="Cambria Math" w:hAnsi="Cambria Math"/>
              </w:rPr>
              <m:t>k</m:t>
            </m:r>
          </m:sub>
        </m:sSub>
      </m:oMath>
      <w:r>
        <w:t>; subsequent actions can retrieve them. This supplies a genuine history-dependent optimization loop around a fixed language model. Gaussian diffusion formulas apply to the numerical design state, not directly to tokens, executable repositories, or arbitrary knowledge-base entries.</w:t>
      </w:r>
    </w:p>
    <w:p w14:paraId="68F5E87D" w14:textId="77777777" w:rsidR="00314867" w:rsidRDefault="00000000">
      <w:pPr>
        <w:pStyle w:val="Caption"/>
        <w:keepNext/>
        <w:rPr>
          <w:rFonts w:hint="eastAsia"/>
        </w:rPr>
      </w:pPr>
      <w:r>
        <w:t>Table 3. Harness components and their engineering responsibilities.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672"/>
        <w:gridCol w:w="3888"/>
      </w:tblGrid>
      <w:tr w:rsidR="00314867" w14:paraId="2AFC946A" w14:textId="77777777">
        <w:trPr>
          <w:cantSplit/>
          <w:tblHeader/>
          <w:jc w:val="center"/>
        </w:trPr>
        <w:tc>
          <w:tcPr>
            <w:tcW w:w="2376" w:type="dxa"/>
            <w:shd w:val="clear" w:color="auto" w:fill="EAEAEA"/>
            <w:tcMar>
              <w:top w:w="80" w:type="dxa"/>
              <w:left w:w="85" w:type="dxa"/>
              <w:bottom w:w="80" w:type="dxa"/>
              <w:right w:w="85" w:type="dxa"/>
            </w:tcMar>
            <w:vAlign w:val="center"/>
          </w:tcPr>
          <w:p w14:paraId="3CE4F753" w14:textId="77777777" w:rsidR="00314867" w:rsidRDefault="00000000">
            <w:pPr>
              <w:keepNext/>
              <w:keepLines/>
              <w:spacing w:after="0" w:line="247" w:lineRule="auto"/>
              <w:jc w:val="left"/>
              <w:rPr>
                <w:rFonts w:hint="eastAsia"/>
              </w:rPr>
            </w:pPr>
            <w:r>
              <w:rPr>
                <w:b/>
                <w:sz w:val="21"/>
              </w:rPr>
              <w:t>Component</w:t>
            </w:r>
          </w:p>
        </w:tc>
        <w:tc>
          <w:tcPr>
            <w:tcW w:w="3672" w:type="dxa"/>
            <w:shd w:val="clear" w:color="auto" w:fill="EAEAEA"/>
            <w:tcMar>
              <w:top w:w="80" w:type="dxa"/>
              <w:left w:w="85" w:type="dxa"/>
              <w:bottom w:w="80" w:type="dxa"/>
              <w:right w:w="85" w:type="dxa"/>
            </w:tcMar>
            <w:vAlign w:val="center"/>
          </w:tcPr>
          <w:p w14:paraId="36F104EB" w14:textId="77777777" w:rsidR="00314867" w:rsidRDefault="00000000">
            <w:pPr>
              <w:keepNext/>
              <w:keepLines/>
              <w:spacing w:after="0" w:line="247" w:lineRule="auto"/>
              <w:jc w:val="left"/>
              <w:rPr>
                <w:rFonts w:hint="eastAsia"/>
              </w:rPr>
            </w:pPr>
            <w:r>
              <w:rPr>
                <w:b/>
                <w:sz w:val="21"/>
              </w:rPr>
              <w:t>State or operation</w:t>
            </w:r>
          </w:p>
        </w:tc>
        <w:tc>
          <w:tcPr>
            <w:tcW w:w="3888" w:type="dxa"/>
            <w:shd w:val="clear" w:color="auto" w:fill="EAEAEA"/>
            <w:tcMar>
              <w:top w:w="80" w:type="dxa"/>
              <w:left w:w="85" w:type="dxa"/>
              <w:bottom w:w="80" w:type="dxa"/>
              <w:right w:w="85" w:type="dxa"/>
            </w:tcMar>
            <w:vAlign w:val="center"/>
          </w:tcPr>
          <w:p w14:paraId="57567613" w14:textId="77777777" w:rsidR="00314867" w:rsidRDefault="00000000">
            <w:pPr>
              <w:keepNext/>
              <w:keepLines/>
              <w:spacing w:after="0" w:line="247" w:lineRule="auto"/>
              <w:jc w:val="left"/>
              <w:rPr>
                <w:rFonts w:hint="eastAsia"/>
              </w:rPr>
            </w:pPr>
            <w:r>
              <w:rPr>
                <w:b/>
                <w:sz w:val="21"/>
              </w:rPr>
              <w:t>Connection to fusion and probability</w:t>
            </w:r>
          </w:p>
        </w:tc>
      </w:tr>
      <w:tr w:rsidR="00314867" w14:paraId="624C24E5" w14:textId="77777777">
        <w:trPr>
          <w:cantSplit/>
          <w:jc w:val="center"/>
        </w:trPr>
        <w:tc>
          <w:tcPr>
            <w:tcW w:w="2376" w:type="dxa"/>
            <w:shd w:val="clear" w:color="auto" w:fill="FFFFFF"/>
            <w:tcMar>
              <w:top w:w="80" w:type="dxa"/>
              <w:left w:w="85" w:type="dxa"/>
              <w:bottom w:w="80" w:type="dxa"/>
              <w:right w:w="85" w:type="dxa"/>
            </w:tcMar>
            <w:vAlign w:val="center"/>
          </w:tcPr>
          <w:p w14:paraId="36D6745C" w14:textId="77777777" w:rsidR="00314867" w:rsidRDefault="00000000">
            <w:pPr>
              <w:keepLines/>
              <w:spacing w:after="0" w:line="247" w:lineRule="auto"/>
              <w:jc w:val="left"/>
              <w:rPr>
                <w:rFonts w:hint="eastAsia"/>
              </w:rPr>
            </w:pPr>
            <w:r>
              <w:rPr>
                <w:sz w:val="21"/>
              </w:rPr>
              <w:t>Prompts and context</w:t>
            </w:r>
          </w:p>
        </w:tc>
        <w:tc>
          <w:tcPr>
            <w:tcW w:w="3672" w:type="dxa"/>
            <w:shd w:val="clear" w:color="auto" w:fill="FFFFFF"/>
            <w:tcMar>
              <w:top w:w="80" w:type="dxa"/>
              <w:left w:w="85" w:type="dxa"/>
              <w:bottom w:w="80" w:type="dxa"/>
              <w:right w:w="85" w:type="dxa"/>
            </w:tcMar>
            <w:vAlign w:val="center"/>
          </w:tcPr>
          <w:p w14:paraId="5C3ABCB2" w14:textId="77777777" w:rsidR="00314867" w:rsidRDefault="00000000">
            <w:pPr>
              <w:keepLines/>
              <w:spacing w:after="0" w:line="247" w:lineRule="auto"/>
              <w:jc w:val="left"/>
              <w:rPr>
                <w:rFonts w:hint="eastAsia"/>
              </w:rPr>
            </w:pPr>
            <w:r>
              <w:rPr>
                <w:sz w:val="21"/>
              </w:rPr>
              <w:t>Declare task, units, objectives, and allowed actions</w:t>
            </w:r>
          </w:p>
        </w:tc>
        <w:tc>
          <w:tcPr>
            <w:tcW w:w="3888" w:type="dxa"/>
            <w:shd w:val="clear" w:color="auto" w:fill="FFFFFF"/>
            <w:tcMar>
              <w:top w:w="80" w:type="dxa"/>
              <w:left w:w="85" w:type="dxa"/>
              <w:bottom w:w="80" w:type="dxa"/>
              <w:right w:w="85" w:type="dxa"/>
            </w:tcMar>
            <w:vAlign w:val="center"/>
          </w:tcPr>
          <w:p w14:paraId="5465D93F" w14:textId="77777777" w:rsidR="00314867" w:rsidRDefault="00000000">
            <w:pPr>
              <w:keepLines/>
              <w:spacing w:after="0" w:line="247" w:lineRule="auto"/>
              <w:jc w:val="left"/>
              <w:rPr>
                <w:rFonts w:hint="eastAsia"/>
              </w:rPr>
            </w:pPr>
            <w:r>
              <w:rPr>
                <w:sz w:val="21"/>
              </w:rPr>
              <w:t>Specify the problem; do not replace numerical evaluation</w:t>
            </w:r>
          </w:p>
        </w:tc>
      </w:tr>
      <w:tr w:rsidR="00314867" w14:paraId="0ED81803" w14:textId="77777777">
        <w:trPr>
          <w:cantSplit/>
          <w:jc w:val="center"/>
        </w:trPr>
        <w:tc>
          <w:tcPr>
            <w:tcW w:w="2376" w:type="dxa"/>
            <w:shd w:val="clear" w:color="auto" w:fill="FFFFFF"/>
            <w:tcMar>
              <w:top w:w="80" w:type="dxa"/>
              <w:left w:w="85" w:type="dxa"/>
              <w:bottom w:w="80" w:type="dxa"/>
              <w:right w:w="85" w:type="dxa"/>
            </w:tcMar>
            <w:vAlign w:val="center"/>
          </w:tcPr>
          <w:p w14:paraId="1E304B52" w14:textId="77777777" w:rsidR="00314867" w:rsidRDefault="00000000">
            <w:pPr>
              <w:keepLines/>
              <w:spacing w:after="0" w:line="247" w:lineRule="auto"/>
              <w:jc w:val="left"/>
              <w:rPr>
                <w:rFonts w:hint="eastAsia"/>
              </w:rPr>
            </w:pPr>
            <w:r>
              <w:rPr>
                <w:sz w:val="21"/>
              </w:rPr>
              <w:t>Tools and executable components</w:t>
            </w:r>
          </w:p>
        </w:tc>
        <w:tc>
          <w:tcPr>
            <w:tcW w:w="3672" w:type="dxa"/>
            <w:shd w:val="clear" w:color="auto" w:fill="FFFFFF"/>
            <w:tcMar>
              <w:top w:w="80" w:type="dxa"/>
              <w:left w:w="85" w:type="dxa"/>
              <w:bottom w:w="80" w:type="dxa"/>
              <w:right w:w="85" w:type="dxa"/>
            </w:tcMar>
            <w:vAlign w:val="center"/>
          </w:tcPr>
          <w:p w14:paraId="3DC6525E" w14:textId="77777777" w:rsidR="00314867" w:rsidRDefault="00000000">
            <w:pPr>
              <w:keepLines/>
              <w:spacing w:after="0" w:line="247" w:lineRule="auto"/>
              <w:jc w:val="left"/>
              <w:rPr>
                <w:rFonts w:hint="eastAsia"/>
              </w:rPr>
            </w:pPr>
            <w:r>
              <w:rPr>
                <w:sz w:val="21"/>
              </w:rPr>
              <w:t>Geometry, solvers, cost, carbon, and document checks</w:t>
            </w:r>
          </w:p>
        </w:tc>
        <w:tc>
          <w:tcPr>
            <w:tcW w:w="3888" w:type="dxa"/>
            <w:shd w:val="clear" w:color="auto" w:fill="FFFFFF"/>
            <w:tcMar>
              <w:top w:w="80" w:type="dxa"/>
              <w:left w:w="85" w:type="dxa"/>
              <w:bottom w:w="80" w:type="dxa"/>
              <w:right w:w="85" w:type="dxa"/>
            </w:tcMar>
            <w:vAlign w:val="center"/>
          </w:tcPr>
          <w:p w14:paraId="7C52C838" w14:textId="77777777" w:rsidR="00314867" w:rsidRDefault="00000000">
            <w:pPr>
              <w:keepLines/>
              <w:spacing w:after="0" w:line="247" w:lineRule="auto"/>
              <w:jc w:val="left"/>
              <w:rPr>
                <w:rFonts w:hint="eastAsia"/>
              </w:rPr>
            </w:pPr>
            <w:r>
              <w:rPr>
                <w:sz w:val="21"/>
              </w:rPr>
              <w:t>Produce typed responses with reproducible versions</w:t>
            </w:r>
          </w:p>
        </w:tc>
      </w:tr>
      <w:tr w:rsidR="00314867" w14:paraId="19639887" w14:textId="77777777">
        <w:trPr>
          <w:cantSplit/>
          <w:jc w:val="center"/>
        </w:trPr>
        <w:tc>
          <w:tcPr>
            <w:tcW w:w="2376" w:type="dxa"/>
            <w:shd w:val="clear" w:color="auto" w:fill="FFFFFF"/>
            <w:tcMar>
              <w:top w:w="80" w:type="dxa"/>
              <w:left w:w="85" w:type="dxa"/>
              <w:bottom w:w="80" w:type="dxa"/>
              <w:right w:w="85" w:type="dxa"/>
            </w:tcMar>
            <w:vAlign w:val="center"/>
          </w:tcPr>
          <w:p w14:paraId="131DF4BF" w14:textId="77777777" w:rsidR="00314867" w:rsidRDefault="00000000">
            <w:pPr>
              <w:keepLines/>
              <w:spacing w:after="0" w:line="247" w:lineRule="auto"/>
              <w:jc w:val="left"/>
              <w:rPr>
                <w:rFonts w:hint="eastAsia"/>
              </w:rPr>
            </w:pPr>
            <w:r>
              <w:rPr>
                <w:sz w:val="21"/>
              </w:rPr>
              <w:t>Memory and knowledge bases</w:t>
            </w:r>
          </w:p>
        </w:tc>
        <w:tc>
          <w:tcPr>
            <w:tcW w:w="3672" w:type="dxa"/>
            <w:shd w:val="clear" w:color="auto" w:fill="FFFFFF"/>
            <w:tcMar>
              <w:top w:w="80" w:type="dxa"/>
              <w:left w:w="85" w:type="dxa"/>
              <w:bottom w:w="80" w:type="dxa"/>
              <w:right w:w="85" w:type="dxa"/>
            </w:tcMar>
            <w:vAlign w:val="center"/>
          </w:tcPr>
          <w:p w14:paraId="7F430C10" w14:textId="77777777" w:rsidR="00314867" w:rsidRDefault="00000000">
            <w:pPr>
              <w:keepLines/>
              <w:spacing w:after="0" w:line="247" w:lineRule="auto"/>
              <w:jc w:val="left"/>
              <w:rPr>
                <w:rFonts w:hint="eastAsia"/>
              </w:rPr>
            </w:pPr>
            <w:r>
              <w:rPr>
                <w:sz w:val="21"/>
              </w:rPr>
              <w:t>Provenance-tagged standards, catalogs, prior designs</w:t>
            </w:r>
          </w:p>
        </w:tc>
        <w:tc>
          <w:tcPr>
            <w:tcW w:w="3888" w:type="dxa"/>
            <w:shd w:val="clear" w:color="auto" w:fill="FFFFFF"/>
            <w:tcMar>
              <w:top w:w="80" w:type="dxa"/>
              <w:left w:w="85" w:type="dxa"/>
              <w:bottom w:w="80" w:type="dxa"/>
              <w:right w:w="85" w:type="dxa"/>
            </w:tcMar>
            <w:vAlign w:val="center"/>
          </w:tcPr>
          <w:p w14:paraId="4A32C95C" w14:textId="77777777" w:rsidR="00314867" w:rsidRDefault="00000000">
            <w:pPr>
              <w:keepLines/>
              <w:spacing w:after="0" w:line="247" w:lineRule="auto"/>
              <w:jc w:val="left"/>
              <w:rPr>
                <w:rFonts w:hint="eastAsia"/>
              </w:rPr>
            </w:pPr>
            <w:r>
              <w:rPr>
                <w:sz w:val="21"/>
              </w:rPr>
              <w:t>Supply retrieval and warm starts; require compatibility checks</w:t>
            </w:r>
          </w:p>
        </w:tc>
      </w:tr>
      <w:tr w:rsidR="00314867" w14:paraId="7552F6E8" w14:textId="77777777">
        <w:trPr>
          <w:cantSplit/>
          <w:jc w:val="center"/>
        </w:trPr>
        <w:tc>
          <w:tcPr>
            <w:tcW w:w="2376" w:type="dxa"/>
            <w:shd w:val="clear" w:color="auto" w:fill="FFFFFF"/>
            <w:tcMar>
              <w:top w:w="80" w:type="dxa"/>
              <w:left w:w="85" w:type="dxa"/>
              <w:bottom w:w="80" w:type="dxa"/>
              <w:right w:w="85" w:type="dxa"/>
            </w:tcMar>
            <w:vAlign w:val="center"/>
          </w:tcPr>
          <w:p w14:paraId="1CDF3F2C" w14:textId="77777777" w:rsidR="00314867" w:rsidRDefault="00000000">
            <w:pPr>
              <w:keepLines/>
              <w:spacing w:after="0" w:line="247" w:lineRule="auto"/>
              <w:jc w:val="left"/>
              <w:rPr>
                <w:rFonts w:hint="eastAsia"/>
              </w:rPr>
            </w:pPr>
            <w:r>
              <w:rPr>
                <w:sz w:val="21"/>
              </w:rPr>
              <w:t>Workspace and runtime</w:t>
            </w:r>
          </w:p>
        </w:tc>
        <w:tc>
          <w:tcPr>
            <w:tcW w:w="3672" w:type="dxa"/>
            <w:shd w:val="clear" w:color="auto" w:fill="FFFFFF"/>
            <w:tcMar>
              <w:top w:w="80" w:type="dxa"/>
              <w:left w:w="85" w:type="dxa"/>
              <w:bottom w:w="80" w:type="dxa"/>
              <w:right w:w="85" w:type="dxa"/>
            </w:tcMar>
            <w:vAlign w:val="center"/>
          </w:tcPr>
          <w:p w14:paraId="3B874371" w14:textId="77777777" w:rsidR="00314867" w:rsidRDefault="00000000">
            <w:pPr>
              <w:keepLines/>
              <w:spacing w:after="0" w:line="247" w:lineRule="auto"/>
              <w:jc w:val="left"/>
              <w:rPr>
                <w:rFonts w:hint="eastAsia"/>
              </w:rPr>
            </w:pPr>
            <w:r>
              <w:rPr>
                <w:sz w:val="21"/>
              </w:rPr>
              <w:t>Versioned files, solver jobs, immutable result records</w:t>
            </w:r>
          </w:p>
        </w:tc>
        <w:tc>
          <w:tcPr>
            <w:tcW w:w="3888" w:type="dxa"/>
            <w:shd w:val="clear" w:color="auto" w:fill="FFFFFF"/>
            <w:tcMar>
              <w:top w:w="80" w:type="dxa"/>
              <w:left w:w="85" w:type="dxa"/>
              <w:bottom w:w="80" w:type="dxa"/>
              <w:right w:w="85" w:type="dxa"/>
            </w:tcMar>
            <w:vAlign w:val="center"/>
          </w:tcPr>
          <w:p w14:paraId="4F331254" w14:textId="77777777" w:rsidR="00314867" w:rsidRDefault="00000000">
            <w:pPr>
              <w:keepLines/>
              <w:spacing w:after="0" w:line="247" w:lineRule="auto"/>
              <w:jc w:val="left"/>
              <w:rPr>
                <w:rFonts w:hint="eastAsia"/>
              </w:rPr>
            </w:pPr>
            <w:r>
              <w:rPr>
                <w:sz w:val="21"/>
              </w:rPr>
              <w:t>Bind a response to the exact analyzed artifact</w:t>
            </w:r>
          </w:p>
        </w:tc>
      </w:tr>
      <w:tr w:rsidR="00314867" w14:paraId="1BC69D2B" w14:textId="77777777">
        <w:trPr>
          <w:cantSplit/>
          <w:jc w:val="center"/>
        </w:trPr>
        <w:tc>
          <w:tcPr>
            <w:tcW w:w="2376" w:type="dxa"/>
            <w:shd w:val="clear" w:color="auto" w:fill="FFFFFF"/>
            <w:tcMar>
              <w:top w:w="80" w:type="dxa"/>
              <w:left w:w="85" w:type="dxa"/>
              <w:bottom w:w="80" w:type="dxa"/>
              <w:right w:w="85" w:type="dxa"/>
            </w:tcMar>
            <w:vAlign w:val="center"/>
          </w:tcPr>
          <w:p w14:paraId="0AD70CAF" w14:textId="77777777" w:rsidR="00314867" w:rsidRDefault="00000000">
            <w:pPr>
              <w:keepLines/>
              <w:spacing w:after="0" w:line="247" w:lineRule="auto"/>
              <w:jc w:val="left"/>
              <w:rPr>
                <w:rFonts w:hint="eastAsia"/>
              </w:rPr>
            </w:pPr>
            <w:r>
              <w:rPr>
                <w:sz w:val="21"/>
              </w:rPr>
              <w:t>Reason, act, observe</w:t>
            </w:r>
          </w:p>
        </w:tc>
        <w:tc>
          <w:tcPr>
            <w:tcW w:w="3672" w:type="dxa"/>
            <w:shd w:val="clear" w:color="auto" w:fill="FFFFFF"/>
            <w:tcMar>
              <w:top w:w="80" w:type="dxa"/>
              <w:left w:w="85" w:type="dxa"/>
              <w:bottom w:w="80" w:type="dxa"/>
              <w:right w:w="85" w:type="dxa"/>
            </w:tcMar>
            <w:vAlign w:val="center"/>
          </w:tcPr>
          <w:p w14:paraId="770E4659" w14:textId="77777777" w:rsidR="00314867" w:rsidRDefault="00000000">
            <w:pPr>
              <w:keepLines/>
              <w:spacing w:after="0" w:line="247" w:lineRule="auto"/>
              <w:jc w:val="left"/>
              <w:rPr>
                <w:rFonts w:hint="eastAsia"/>
              </w:rPr>
            </w:pPr>
            <w:r>
              <w:rPr>
                <w:sz w:val="21"/>
              </w:rPr>
              <w:t>Choose a tool or numerical proposal and append its result</w:t>
            </w:r>
          </w:p>
        </w:tc>
        <w:tc>
          <w:tcPr>
            <w:tcW w:w="3888" w:type="dxa"/>
            <w:shd w:val="clear" w:color="auto" w:fill="FFFFFF"/>
            <w:tcMar>
              <w:top w:w="80" w:type="dxa"/>
              <w:left w:w="85" w:type="dxa"/>
              <w:bottom w:w="80" w:type="dxa"/>
              <w:right w:w="85" w:type="dxa"/>
            </w:tcMar>
            <w:vAlign w:val="center"/>
          </w:tcPr>
          <w:p w14:paraId="79ADCE0C" w14:textId="77777777" w:rsidR="00314867" w:rsidRDefault="00000000">
            <w:pPr>
              <w:keepLines/>
              <w:spacing w:after="0" w:line="247" w:lineRule="auto"/>
              <w:jc w:val="left"/>
              <w:rPr>
                <w:rFonts w:hint="eastAsia"/>
              </w:rPr>
            </w:pPr>
            <w:r>
              <w:rPr>
                <w:sz w:val="21"/>
              </w:rPr>
              <w:t>Implement the state transition in (21)</w:t>
            </w:r>
          </w:p>
        </w:tc>
      </w:tr>
      <w:tr w:rsidR="00314867" w14:paraId="78F6B3E4" w14:textId="77777777">
        <w:trPr>
          <w:cantSplit/>
          <w:jc w:val="center"/>
        </w:trPr>
        <w:tc>
          <w:tcPr>
            <w:tcW w:w="2376" w:type="dxa"/>
            <w:shd w:val="clear" w:color="auto" w:fill="FFFFFF"/>
            <w:tcMar>
              <w:top w:w="80" w:type="dxa"/>
              <w:left w:w="85" w:type="dxa"/>
              <w:bottom w:w="80" w:type="dxa"/>
              <w:right w:w="85" w:type="dxa"/>
            </w:tcMar>
            <w:vAlign w:val="center"/>
          </w:tcPr>
          <w:p w14:paraId="2D88495F" w14:textId="77777777" w:rsidR="00314867" w:rsidRDefault="00000000">
            <w:pPr>
              <w:keepLines/>
              <w:spacing w:after="0" w:line="247" w:lineRule="auto"/>
              <w:jc w:val="left"/>
              <w:rPr>
                <w:rFonts w:hint="eastAsia"/>
              </w:rPr>
            </w:pPr>
            <w:r>
              <w:rPr>
                <w:sz w:val="21"/>
              </w:rPr>
              <w:t>ADE and fusion</w:t>
            </w:r>
          </w:p>
        </w:tc>
        <w:tc>
          <w:tcPr>
            <w:tcW w:w="3672" w:type="dxa"/>
            <w:shd w:val="clear" w:color="auto" w:fill="FFFFFF"/>
            <w:tcMar>
              <w:top w:w="80" w:type="dxa"/>
              <w:left w:w="85" w:type="dxa"/>
              <w:bottom w:w="80" w:type="dxa"/>
              <w:right w:w="85" w:type="dxa"/>
            </w:tcMar>
            <w:vAlign w:val="center"/>
          </w:tcPr>
          <w:p w14:paraId="607397AD" w14:textId="77777777" w:rsidR="00314867" w:rsidRDefault="00000000">
            <w:pPr>
              <w:keepLines/>
              <w:spacing w:after="0" w:line="247" w:lineRule="auto"/>
              <w:jc w:val="left"/>
              <w:rPr>
                <w:rFonts w:hint="eastAsia"/>
              </w:rPr>
            </w:pPr>
            <w:r>
              <w:rPr>
                <w:sz w:val="21"/>
              </w:rPr>
              <w:t>Draw numerical candidates, reuse the archive, compare preferences</w:t>
            </w:r>
          </w:p>
        </w:tc>
        <w:tc>
          <w:tcPr>
            <w:tcW w:w="3888" w:type="dxa"/>
            <w:shd w:val="clear" w:color="auto" w:fill="FFFFFF"/>
            <w:tcMar>
              <w:top w:w="80" w:type="dxa"/>
              <w:left w:w="85" w:type="dxa"/>
              <w:bottom w:w="80" w:type="dxa"/>
              <w:right w:w="85" w:type="dxa"/>
            </w:tcMar>
            <w:vAlign w:val="center"/>
          </w:tcPr>
          <w:p w14:paraId="4D8EC3B4" w14:textId="77777777" w:rsidR="00314867" w:rsidRDefault="00000000">
            <w:pPr>
              <w:keepLines/>
              <w:spacing w:after="0" w:line="247" w:lineRule="auto"/>
              <w:jc w:val="left"/>
              <w:rPr>
                <w:rFonts w:hint="eastAsia"/>
              </w:rPr>
            </w:pPr>
            <w:r>
              <w:rPr>
                <w:sz w:val="21"/>
              </w:rPr>
              <w:t>Keep target, proposal, observation, and reference definitions distinct</w:t>
            </w:r>
          </w:p>
        </w:tc>
      </w:tr>
      <w:tr w:rsidR="00314867" w14:paraId="5265F65B" w14:textId="77777777">
        <w:trPr>
          <w:cantSplit/>
          <w:jc w:val="center"/>
        </w:trPr>
        <w:tc>
          <w:tcPr>
            <w:tcW w:w="2376" w:type="dxa"/>
            <w:shd w:val="clear" w:color="auto" w:fill="FFFFFF"/>
            <w:tcMar>
              <w:top w:w="80" w:type="dxa"/>
              <w:left w:w="85" w:type="dxa"/>
              <w:bottom w:w="80" w:type="dxa"/>
              <w:right w:w="85" w:type="dxa"/>
            </w:tcMar>
            <w:vAlign w:val="center"/>
          </w:tcPr>
          <w:p w14:paraId="2B603A6D" w14:textId="77777777" w:rsidR="00314867" w:rsidRDefault="00000000">
            <w:pPr>
              <w:keepLines/>
              <w:spacing w:after="0" w:line="247" w:lineRule="auto"/>
              <w:jc w:val="left"/>
              <w:rPr>
                <w:rFonts w:hint="eastAsia"/>
              </w:rPr>
            </w:pPr>
            <w:r>
              <w:rPr>
                <w:sz w:val="21"/>
              </w:rPr>
              <w:t>Guardrails and verification gate</w:t>
            </w:r>
          </w:p>
        </w:tc>
        <w:tc>
          <w:tcPr>
            <w:tcW w:w="3672" w:type="dxa"/>
            <w:shd w:val="clear" w:color="auto" w:fill="FFFFFF"/>
            <w:tcMar>
              <w:top w:w="80" w:type="dxa"/>
              <w:left w:w="85" w:type="dxa"/>
              <w:bottom w:w="80" w:type="dxa"/>
              <w:right w:w="85" w:type="dxa"/>
            </w:tcMar>
            <w:vAlign w:val="center"/>
          </w:tcPr>
          <w:p w14:paraId="25AE202C" w14:textId="77777777" w:rsidR="00314867" w:rsidRDefault="00000000">
            <w:pPr>
              <w:keepLines/>
              <w:spacing w:after="0" w:line="247" w:lineRule="auto"/>
              <w:jc w:val="left"/>
              <w:rPr>
                <w:rFonts w:hint="eastAsia"/>
              </w:rPr>
            </w:pPr>
            <w:r>
              <w:rPr>
                <w:sz w:val="21"/>
              </w:rPr>
              <w:t>Enforce tool permissions, feasibility, and release conditions</w:t>
            </w:r>
          </w:p>
        </w:tc>
        <w:tc>
          <w:tcPr>
            <w:tcW w:w="3888" w:type="dxa"/>
            <w:shd w:val="clear" w:color="auto" w:fill="FFFFFF"/>
            <w:tcMar>
              <w:top w:w="80" w:type="dxa"/>
              <w:left w:w="85" w:type="dxa"/>
              <w:bottom w:w="80" w:type="dxa"/>
              <w:right w:w="85" w:type="dxa"/>
            </w:tcMar>
            <w:vAlign w:val="center"/>
          </w:tcPr>
          <w:p w14:paraId="2414F0C8" w14:textId="77777777" w:rsidR="00314867" w:rsidRDefault="00000000">
            <w:pPr>
              <w:keepLines/>
              <w:spacing w:after="0" w:line="247" w:lineRule="auto"/>
              <w:jc w:val="left"/>
              <w:rPr>
                <w:rFonts w:hint="eastAsia"/>
              </w:rPr>
            </w:pPr>
            <w:r>
              <w:rPr>
                <w:sz w:val="21"/>
              </w:rPr>
              <w:t>Remain separate from soft objective preferences and evidence gates</w:t>
            </w:r>
          </w:p>
        </w:tc>
      </w:tr>
      <w:tr w:rsidR="00314867" w14:paraId="3635279B" w14:textId="77777777">
        <w:trPr>
          <w:cantSplit/>
          <w:jc w:val="center"/>
        </w:trPr>
        <w:tc>
          <w:tcPr>
            <w:tcW w:w="2376" w:type="dxa"/>
            <w:shd w:val="clear" w:color="auto" w:fill="FFFFFF"/>
            <w:tcMar>
              <w:top w:w="80" w:type="dxa"/>
              <w:left w:w="85" w:type="dxa"/>
              <w:bottom w:w="80" w:type="dxa"/>
              <w:right w:w="85" w:type="dxa"/>
            </w:tcMar>
            <w:vAlign w:val="center"/>
          </w:tcPr>
          <w:p w14:paraId="2CA8E8C3" w14:textId="77777777" w:rsidR="00314867" w:rsidRDefault="00000000">
            <w:pPr>
              <w:keepLines/>
              <w:spacing w:after="0" w:line="247" w:lineRule="auto"/>
              <w:jc w:val="left"/>
              <w:rPr>
                <w:rFonts w:hint="eastAsia"/>
              </w:rPr>
            </w:pPr>
            <w:r>
              <w:rPr>
                <w:sz w:val="21"/>
              </w:rPr>
              <w:t>Evaluation and ablation</w:t>
            </w:r>
          </w:p>
        </w:tc>
        <w:tc>
          <w:tcPr>
            <w:tcW w:w="3672" w:type="dxa"/>
            <w:shd w:val="clear" w:color="auto" w:fill="FFFFFF"/>
            <w:tcMar>
              <w:top w:w="80" w:type="dxa"/>
              <w:left w:w="85" w:type="dxa"/>
              <w:bottom w:w="80" w:type="dxa"/>
              <w:right w:w="85" w:type="dxa"/>
            </w:tcMar>
            <w:vAlign w:val="center"/>
          </w:tcPr>
          <w:p w14:paraId="66F6434D" w14:textId="77777777" w:rsidR="00314867" w:rsidRDefault="00000000">
            <w:pPr>
              <w:keepLines/>
              <w:spacing w:after="0" w:line="247" w:lineRule="auto"/>
              <w:jc w:val="left"/>
              <w:rPr>
                <w:rFonts w:hint="eastAsia"/>
              </w:rPr>
            </w:pPr>
            <w:r>
              <w:rPr>
                <w:sz w:val="21"/>
              </w:rPr>
              <w:t>Compare variants under a fixed test and cost contract</w:t>
            </w:r>
          </w:p>
        </w:tc>
        <w:tc>
          <w:tcPr>
            <w:tcW w:w="3888" w:type="dxa"/>
            <w:shd w:val="clear" w:color="auto" w:fill="FFFFFF"/>
            <w:tcMar>
              <w:top w:w="80" w:type="dxa"/>
              <w:left w:w="85" w:type="dxa"/>
              <w:bottom w:w="80" w:type="dxa"/>
              <w:right w:w="85" w:type="dxa"/>
            </w:tcMar>
            <w:vAlign w:val="center"/>
          </w:tcPr>
          <w:p w14:paraId="1080BF3C" w14:textId="77777777" w:rsidR="00314867" w:rsidRDefault="00000000">
            <w:pPr>
              <w:keepLines/>
              <w:spacing w:after="0" w:line="247" w:lineRule="auto"/>
              <w:jc w:val="left"/>
              <w:rPr>
                <w:rFonts w:hint="eastAsia"/>
              </w:rPr>
            </w:pPr>
            <w:r>
              <w:rPr>
                <w:sz w:val="21"/>
              </w:rPr>
              <w:t>Test mechanisms without selecting on final held-out results</w:t>
            </w:r>
          </w:p>
        </w:tc>
      </w:tr>
    </w:tbl>
    <w:p w14:paraId="303D31BD" w14:textId="77777777" w:rsidR="00314867" w:rsidRDefault="00000000">
      <w:pPr>
        <w:pStyle w:val="Heading2"/>
        <w:rPr>
          <w:rFonts w:hint="eastAsia"/>
        </w:rPr>
      </w:pPr>
      <w:bookmarkStart w:id="34" w:name="a-construction-harness-example"/>
      <w:bookmarkEnd w:id="33"/>
      <w:r>
        <w:t>12.2 A construction-harness example</w:t>
      </w:r>
    </w:p>
    <w:p w14:paraId="36A9DDA0" w14:textId="77777777" w:rsidR="00314867" w:rsidRDefault="00000000">
      <w:pPr>
        <w:pStyle w:val="FirstParagraph"/>
        <w:rPr>
          <w:rFonts w:hint="eastAsia"/>
        </w:rPr>
      </w:pPr>
      <w:r>
        <w:t>Consider a conveyor-support gallery with continuous member dimensions, discrete steel grades, and connection catalogs. The harness retrieves the project brief, loading assumptions, governing standard editions, approved catalogs, material certificates, cost records, carbon factors, and site restrictions. Each knowledge item carries a source, date or revision, units, applicability, and access scope. Conflicting or missing requirements become explicit unresolved fields before analysis.</w:t>
      </w:r>
    </w:p>
    <w:p w14:paraId="2DA82548" w14:textId="77777777" w:rsidR="00314867" w:rsidRDefault="00000000">
      <w:pPr>
        <w:pStyle w:val="BodyText"/>
        <w:rPr>
          <w:rFonts w:hint="eastAsia"/>
        </w:rPr>
      </w:pPr>
      <w:r>
        <w:t>The language model proposes a typed design specification or a tool call. A numerical ADE proposal samples continuous variables together with declared categorical probabilities. The geometry tool creates the actual model; the analysis tool computes responses from that model; cost and carbon tools evaluate the same bill of quantities. The archive stores design identifiers, model hashes, response vectors, feasibility outcomes, proposal probabilities, observation probabilities, and tool versions. A missing solver result is not a zero-valued objective.</w:t>
      </w:r>
    </w:p>
    <w:p w14:paraId="26AB130D" w14:textId="77777777" w:rsidR="00314867" w:rsidRDefault="00000000">
      <w:pPr>
        <w:pStyle w:val="BodyText"/>
        <w:rPr>
          <w:rFonts w:hint="eastAsia"/>
        </w:rPr>
      </w:pPr>
      <w:r>
        <w:t xml:space="preserve">A dimensionless example loss combines cost and embodied carbon, </w:t>
      </w:r>
      <m:oMath>
        <m:sSub>
          <m:sSubPr>
            <m:ctrlPr>
              <w:rPr>
                <w:rFonts w:ascii="Cambria Math" w:hAnsi="Cambria Math"/>
              </w:rPr>
            </m:ctrlPr>
          </m:sSubPr>
          <m:e>
            <m:r>
              <w:rPr>
                <w:rFonts w:ascii="Cambria Math" w:hAnsi="Cambria Math"/>
              </w:rPr>
              <m:t>T</m:t>
            </m:r>
          </m:e>
          <m:sub>
            <m:r>
              <w:rPr>
                <w:rFonts w:ascii="Cambria Math" w:hAnsi="Cambria Math"/>
              </w:rPr>
              <m:t>λ</m:t>
            </m:r>
            <m:r>
              <m:rPr>
                <m:sty m:val="p"/>
              </m:rPr>
              <w:rPr>
                <w:rFonts w:ascii="Cambria Math" w:hAnsi="Cambria Math"/>
              </w:rPr>
              <m:t>,</m:t>
            </m:r>
            <m:r>
              <w:rPr>
                <w:rFonts w:ascii="Cambria Math" w:hAnsi="Cambria Math"/>
              </w:rPr>
              <m:t>z</m:t>
            </m:r>
          </m:sub>
        </m:sSub>
        <m:d>
          <m:dPr>
            <m:ctrlPr>
              <w:rPr>
                <w:rFonts w:ascii="Cambria Math" w:hAnsi="Cambria Math"/>
              </w:rPr>
            </m:ctrlPr>
          </m:dPr>
          <m:e>
            <m:r>
              <w:rPr>
                <w:rFonts w:ascii="Cambria Math" w:hAnsi="Cambria Math"/>
              </w:rPr>
              <m:t>G</m:t>
            </m:r>
          </m:e>
        </m:d>
        <m:r>
          <m:rPr>
            <m:sty m:val="p"/>
          </m:rPr>
          <w:rPr>
            <w:rFonts w:ascii="Cambria Math" w:hAnsi="Cambria Math"/>
          </w:rPr>
          <m:t>=max{</m:t>
        </m:r>
        <m:sSub>
          <m:sSubPr>
            <m:ctrlPr>
              <w:rPr>
                <w:rFonts w:ascii="Cambria Math" w:hAnsi="Cambria Math"/>
              </w:rPr>
            </m:ctrlPr>
          </m:sSubPr>
          <m:e>
            <m:r>
              <w:rPr>
                <w:rFonts w:ascii="Cambria Math" w:hAnsi="Cambria Math"/>
              </w:rPr>
              <m:t>λ</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cost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carbon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m:t>}</m:t>
        </m:r>
      </m:oMath>
      <w:r>
        <w:t xml:space="preserve">. Strength, serviceability, fatigue, stability, constructability, and project-specific acceptance conditions belong in the feasible set when they are mandatory. A separate uncertainty model propagates uncertain loads, parameters, or environmental assumptions. A head’s posterior </w:t>
      </w:r>
      <w:r>
        <w:lastRenderedPageBreak/>
        <w:t>evidence concerns query compatibility under its target and kernel; it does not authorize an engineering release.</w:t>
      </w:r>
    </w:p>
    <w:p w14:paraId="0C068FAD" w14:textId="77777777" w:rsidR="00314867" w:rsidRDefault="00000000">
      <w:pPr>
        <w:pStyle w:val="BodyText"/>
        <w:rPr>
          <w:rFonts w:hint="eastAsia"/>
        </w:rPr>
      </w:pPr>
      <w:r>
        <w:t>A posterior mean can interpolate between catalog sections and therefore be invalid. Decode and evaluate a real design, then run the verification gate on its exact model and report. Repairs, rejection sampling, and deterministic projections alter the proposal distribution. Either record the resulting density or mass, use a sampling construction whose probability is known, or describe archive attention as a heuristic without invoking Theorem 5. A latent embedding density alone is insufficient when many embeddings decode to the same discrete design.</w:t>
      </w:r>
    </w:p>
    <w:p w14:paraId="72C28AEE" w14:textId="77777777" w:rsidR="00314867" w:rsidRDefault="00000000">
      <w:pPr>
        <w:pStyle w:val="BodyText"/>
        <w:rPr>
          <w:rFonts w:hint="eastAsia"/>
        </w:rPr>
      </w:pPr>
      <w:r>
        <w:t>Knowledge integration is iterative through observed tool outcomes and accumulated state. It need not update the backbone weights. If a harness revision changes an evaluator, a unit convention, or the design decoder, earlier objective values cannot silently be treated as measurements of the new function. Re-evaluate affected records or maintain version-separated targets.</w:t>
      </w:r>
    </w:p>
    <w:p w14:paraId="2C58B74F" w14:textId="77777777" w:rsidR="00314867" w:rsidRDefault="00000000">
      <w:pPr>
        <w:pStyle w:val="Heading2"/>
        <w:rPr>
          <w:rFonts w:hint="eastAsia"/>
        </w:rPr>
      </w:pPr>
      <w:bookmarkStart w:id="35" w:name="admission-and-joint-verification"/>
      <w:bookmarkEnd w:id="34"/>
      <w:r>
        <w:t>12.3 Admission and joint verification</w:t>
      </w:r>
    </w:p>
    <w:p w14:paraId="627D2C70" w14:textId="77777777" w:rsidR="00314867" w:rsidRDefault="00000000">
      <w:pPr>
        <w:pStyle w:val="FirstParagraph"/>
        <w:keepNext/>
        <w:rPr>
          <w:rFonts w:hint="eastAsia"/>
        </w:rPr>
      </w:pPr>
      <w:r>
        <w:t xml:space="preserve">Suppose functionality and compliance are binary events with probabilities </w:t>
      </w:r>
      <m:oMath>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oMath>
      <w:r>
        <w:t>. Their joint probability obeys</w:t>
      </w:r>
    </w:p>
    <w:p w14:paraId="771E9D40" w14:textId="77777777" w:rsidR="00314867"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r>
                <m:rPr>
                  <m:sty m:val="p"/>
                </m:rPr>
                <w:rPr>
                  <w:rFonts w:ascii="Cambria Math" w:hAnsi="Cambria Math"/>
                </w:rPr>
                <m:t>∩</m:t>
              </m:r>
              <m:r>
                <w:rPr>
                  <w:rFonts w:ascii="Cambria Math" w:hAnsi="Cambria Math"/>
                </w:rPr>
                <m:t>C</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r>
            <m:rPr>
              <m:sty m:val="p"/>
            </m:rPr>
            <w:rPr>
              <w:rFonts w:ascii="Cambria Math" w:hAnsi="Cambria Math"/>
            </w:rPr>
            <m:t>.</m:t>
          </m:r>
          <m:r>
            <m:rPr>
              <m:nor/>
            </m:rPr>
            <m:t>    (22)</m:t>
          </m:r>
        </m:oMath>
      </m:oMathPara>
    </w:p>
    <w:p w14:paraId="6C8394E9" w14:textId="77777777" w:rsidR="00314867" w:rsidRDefault="00000000">
      <w:pPr>
        <w:pStyle w:val="FirstParagraph"/>
        <w:rPr>
          <w:rFonts w:hint="eastAsia"/>
        </w:rPr>
      </w:pPr>
      <w:r>
        <w:t>These bounds follow from the union bound and event inclusion. Separate high marginal scores do not establish the joint score, a point also made in Harmony Harness [13]. The construction gate should record whether the same artifact passes all required checks, rather than infer joint success from marginal reports on different artifacts.</w:t>
      </w:r>
    </w:p>
    <w:p w14:paraId="0EF4A7CF" w14:textId="77777777" w:rsidR="00314867" w:rsidRDefault="00000000">
      <w:pPr>
        <w:pStyle w:val="BodyText"/>
        <w:rPr>
          <w:rFonts w:hint="eastAsia"/>
        </w:rPr>
      </w:pPr>
      <w:r>
        <w:t xml:space="preserve">For a candidate harness fixed before </w:t>
      </w:r>
      <m:oMath>
        <m:r>
          <w:rPr>
            <w:rFonts w:ascii="Cambria Math" w:hAnsi="Cambria Math"/>
          </w:rPr>
          <m:t>n</m:t>
        </m:r>
      </m:oMath>
      <w:r>
        <w:t xml:space="preserve"> fresh independent bounded pass/fail tests, Hoeffding’s inequality gives </w:t>
      </w:r>
      <m:oMath>
        <m:r>
          <w:rPr>
            <w:rFonts w:ascii="Cambria Math" w:hAnsi="Cambria Math"/>
          </w:rPr>
          <m:t>p</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r>
              <m:rPr>
                <m:sty m:val="p"/>
              </m:rPr>
              <w:rPr>
                <w:rFonts w:ascii="Cambria Math" w:hAnsi="Cambria Math"/>
              </w:rPr>
              <m:t>/</m:t>
            </m:r>
            <m:d>
              <m:dPr>
                <m:ctrlPr>
                  <w:rPr>
                    <w:rFonts w:ascii="Cambria Math" w:hAnsi="Cambria Math"/>
                  </w:rPr>
                </m:ctrlPr>
              </m:dPr>
              <m:e>
                <m:r>
                  <w:rPr>
                    <w:rFonts w:ascii="Cambria Math" w:hAnsi="Cambria Math"/>
                  </w:rPr>
                  <m:t>2n</m:t>
                </m:r>
              </m:e>
            </m:d>
          </m:e>
        </m:rad>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Repeated candidate admission needs an error allocation, such as </w:t>
      </w:r>
      <m:oMath>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m:t>
        </m:r>
        <m:r>
          <w:rPr>
            <w:rFonts w:ascii="Cambria Math" w:hAnsi="Cambria Math"/>
          </w:rPr>
          <m:t>6δ</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2</m:t>
                </m:r>
              </m:sup>
            </m:sSup>
          </m:e>
        </m:d>
      </m:oMath>
      <w:r>
        <w:t>, and fresh validation conditional on the prior history. The union bound then controls the probability of any false confidence statement. A reused hidden test set can become part of the selection loop; this simple argument no longer applies. The bound concerns the declared test distribution, not universal engineering safety.</w:t>
      </w:r>
    </w:p>
    <w:p w14:paraId="5AD658BC" w14:textId="77777777" w:rsidR="00314867" w:rsidRDefault="00000000">
      <w:pPr>
        <w:pStyle w:val="Heading1"/>
        <w:rPr>
          <w:rFonts w:hint="eastAsia"/>
        </w:rPr>
      </w:pPr>
      <w:bookmarkStart w:id="36" w:name="X964ae5d4b584c0aa4e1fdc0219cee046c0d6fd3"/>
      <w:bookmarkEnd w:id="32"/>
      <w:bookmarkEnd w:id="35"/>
      <w:r>
        <w:t>13 Numerical checks and an evaluation protocol</w:t>
      </w:r>
    </w:p>
    <w:p w14:paraId="6C170866" w14:textId="77777777" w:rsidR="00314867" w:rsidRDefault="00000000">
      <w:pPr>
        <w:pStyle w:val="Heading2"/>
        <w:rPr>
          <w:rFonts w:hint="eastAsia"/>
        </w:rPr>
      </w:pPr>
      <w:bookmarkStart w:id="37" w:name="newly-executed-mathematical-checks"/>
      <w:r>
        <w:t>13.1 Newly executed mathematical checks</w:t>
      </w:r>
    </w:p>
    <w:p w14:paraId="4AAA24AB" w14:textId="77777777" w:rsidR="00314867" w:rsidRDefault="00000000">
      <w:pPr>
        <w:pStyle w:val="FirstParagraph"/>
        <w:rPr>
          <w:rFonts w:hint="eastAsia"/>
        </w:rPr>
      </w:pPr>
      <w:r>
        <w:t>The checks use Python, NumPy, SciPy, independent quadrature where applicable, and random seed 20261017. The Appendix A kernels are the kernels executed. They examine mathematical identities and one adaptive sampling example. They do not reproduce the complete ADE benchmark, a neural experiment, or a construction deployment.</w:t>
      </w:r>
    </w:p>
    <w:p w14:paraId="7C4D9872" w14:textId="77777777" w:rsidR="00314867" w:rsidRDefault="00000000">
      <w:pPr>
        <w:pStyle w:val="Caption"/>
        <w:keepNext/>
        <w:rPr>
          <w:rFonts w:hint="eastAsia"/>
        </w:rPr>
      </w:pPr>
      <w:r>
        <w:t>Table 4. Reproducible checks executed for this revision.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816"/>
        <w:gridCol w:w="4320"/>
      </w:tblGrid>
      <w:tr w:rsidR="00314867" w14:paraId="1605C9FA" w14:textId="77777777">
        <w:trPr>
          <w:cantSplit/>
          <w:tblHeader/>
          <w:jc w:val="center"/>
        </w:trPr>
        <w:tc>
          <w:tcPr>
            <w:tcW w:w="1800" w:type="dxa"/>
            <w:shd w:val="clear" w:color="auto" w:fill="EAEAEA"/>
            <w:tcMar>
              <w:top w:w="80" w:type="dxa"/>
              <w:left w:w="85" w:type="dxa"/>
              <w:bottom w:w="80" w:type="dxa"/>
              <w:right w:w="85" w:type="dxa"/>
            </w:tcMar>
            <w:vAlign w:val="center"/>
          </w:tcPr>
          <w:p w14:paraId="47DE55EF" w14:textId="77777777" w:rsidR="00314867" w:rsidRDefault="00000000">
            <w:pPr>
              <w:keepNext/>
              <w:keepLines/>
              <w:spacing w:after="0" w:line="247" w:lineRule="auto"/>
              <w:jc w:val="left"/>
              <w:rPr>
                <w:rFonts w:hint="eastAsia"/>
              </w:rPr>
            </w:pPr>
            <w:r>
              <w:rPr>
                <w:b/>
                <w:sz w:val="21"/>
              </w:rPr>
              <w:t>Check</w:t>
            </w:r>
          </w:p>
        </w:tc>
        <w:tc>
          <w:tcPr>
            <w:tcW w:w="3816" w:type="dxa"/>
            <w:shd w:val="clear" w:color="auto" w:fill="EAEAEA"/>
            <w:tcMar>
              <w:top w:w="80" w:type="dxa"/>
              <w:left w:w="85" w:type="dxa"/>
              <w:bottom w:w="80" w:type="dxa"/>
              <w:right w:w="85" w:type="dxa"/>
            </w:tcMar>
            <w:vAlign w:val="center"/>
          </w:tcPr>
          <w:p w14:paraId="379389DE" w14:textId="77777777" w:rsidR="00314867" w:rsidRDefault="00000000">
            <w:pPr>
              <w:keepNext/>
              <w:keepLines/>
              <w:spacing w:after="0" w:line="247" w:lineRule="auto"/>
              <w:jc w:val="left"/>
              <w:rPr>
                <w:rFonts w:hint="eastAsia"/>
              </w:rPr>
            </w:pPr>
            <w:r>
              <w:rPr>
                <w:b/>
                <w:sz w:val="21"/>
              </w:rPr>
              <w:t>Design</w:t>
            </w:r>
          </w:p>
        </w:tc>
        <w:tc>
          <w:tcPr>
            <w:tcW w:w="4320" w:type="dxa"/>
            <w:shd w:val="clear" w:color="auto" w:fill="EAEAEA"/>
            <w:tcMar>
              <w:top w:w="80" w:type="dxa"/>
              <w:left w:w="85" w:type="dxa"/>
              <w:bottom w:w="80" w:type="dxa"/>
              <w:right w:w="85" w:type="dxa"/>
            </w:tcMar>
            <w:vAlign w:val="center"/>
          </w:tcPr>
          <w:p w14:paraId="321CCD89" w14:textId="77777777" w:rsidR="00314867" w:rsidRDefault="00000000">
            <w:pPr>
              <w:keepNext/>
              <w:keepLines/>
              <w:spacing w:after="0" w:line="247" w:lineRule="auto"/>
              <w:jc w:val="left"/>
              <w:rPr>
                <w:rFonts w:hint="eastAsia"/>
              </w:rPr>
            </w:pPr>
            <w:r>
              <w:rPr>
                <w:b/>
                <w:sz w:val="21"/>
              </w:rPr>
              <w:t>Result</w:t>
            </w:r>
          </w:p>
        </w:tc>
      </w:tr>
      <w:tr w:rsidR="00314867" w14:paraId="7818A815" w14:textId="77777777">
        <w:trPr>
          <w:cantSplit/>
          <w:jc w:val="center"/>
        </w:trPr>
        <w:tc>
          <w:tcPr>
            <w:tcW w:w="1800" w:type="dxa"/>
            <w:shd w:val="clear" w:color="auto" w:fill="FFFFFF"/>
            <w:tcMar>
              <w:top w:w="80" w:type="dxa"/>
              <w:left w:w="85" w:type="dxa"/>
              <w:bottom w:w="80" w:type="dxa"/>
              <w:right w:w="85" w:type="dxa"/>
            </w:tcMar>
            <w:vAlign w:val="center"/>
          </w:tcPr>
          <w:p w14:paraId="7722410D" w14:textId="77777777" w:rsidR="00314867" w:rsidRDefault="00000000">
            <w:pPr>
              <w:keepLines/>
              <w:spacing w:after="0" w:line="247" w:lineRule="auto"/>
              <w:jc w:val="left"/>
              <w:rPr>
                <w:rFonts w:hint="eastAsia"/>
              </w:rPr>
            </w:pPr>
            <w:r>
              <w:rPr>
                <w:sz w:val="21"/>
              </w:rPr>
              <w:t>Tied chain length</w:t>
            </w:r>
          </w:p>
        </w:tc>
        <w:tc>
          <w:tcPr>
            <w:tcW w:w="3816" w:type="dxa"/>
            <w:shd w:val="clear" w:color="auto" w:fill="FFFFFF"/>
            <w:tcMar>
              <w:top w:w="80" w:type="dxa"/>
              <w:left w:w="85" w:type="dxa"/>
              <w:bottom w:w="80" w:type="dxa"/>
              <w:right w:w="85" w:type="dxa"/>
            </w:tcMar>
            <w:vAlign w:val="center"/>
          </w:tcPr>
          <w:p w14:paraId="782689A1" w14:textId="77777777" w:rsidR="00314867" w:rsidRDefault="00000000">
            <w:pPr>
              <w:keepLines/>
              <w:spacing w:after="0" w:line="247" w:lineRule="auto"/>
              <w:jc w:val="left"/>
              <w:rPr>
                <w:rFonts w:hint="eastAsia"/>
              </w:rPr>
            </w:pPr>
            <w:r>
              <w:rPr>
                <w:sz w:val="21"/>
              </w:rPr>
              <w:t>Forty integer-coordinate archives, sizes 1–40; compare with independent strict-order dynamic programming</w:t>
            </w:r>
          </w:p>
        </w:tc>
        <w:tc>
          <w:tcPr>
            <w:tcW w:w="4320" w:type="dxa"/>
            <w:shd w:val="clear" w:color="auto" w:fill="FFFFFF"/>
            <w:tcMar>
              <w:top w:w="80" w:type="dxa"/>
              <w:left w:w="85" w:type="dxa"/>
              <w:bottom w:w="80" w:type="dxa"/>
              <w:right w:w="85" w:type="dxa"/>
            </w:tcMar>
            <w:vAlign w:val="center"/>
          </w:tcPr>
          <w:p w14:paraId="797AD3B4" w14:textId="77777777" w:rsidR="00314867" w:rsidRDefault="00000000">
            <w:pPr>
              <w:keepLines/>
              <w:spacing w:after="0" w:line="247" w:lineRule="auto"/>
              <w:jc w:val="left"/>
              <w:rPr>
                <w:rFonts w:hint="eastAsia"/>
              </w:rPr>
            </w:pPr>
            <w:r>
              <w:rPr>
                <w:sz w:val="21"/>
              </w:rPr>
              <w:t>Maximum discrepancy zero; equal first coordinates cannot form a strict chain</w:t>
            </w:r>
          </w:p>
        </w:tc>
      </w:tr>
      <w:tr w:rsidR="00314867" w14:paraId="3C736DC9" w14:textId="77777777">
        <w:trPr>
          <w:cantSplit/>
          <w:jc w:val="center"/>
        </w:trPr>
        <w:tc>
          <w:tcPr>
            <w:tcW w:w="1800" w:type="dxa"/>
            <w:shd w:val="clear" w:color="auto" w:fill="FFFFFF"/>
            <w:tcMar>
              <w:top w:w="80" w:type="dxa"/>
              <w:left w:w="85" w:type="dxa"/>
              <w:bottom w:w="80" w:type="dxa"/>
              <w:right w:w="85" w:type="dxa"/>
            </w:tcMar>
            <w:vAlign w:val="center"/>
          </w:tcPr>
          <w:p w14:paraId="64F52C08" w14:textId="77777777" w:rsidR="00314867" w:rsidRDefault="00000000">
            <w:pPr>
              <w:keepLines/>
              <w:spacing w:after="0" w:line="247" w:lineRule="auto"/>
              <w:jc w:val="left"/>
              <w:rPr>
                <w:rFonts w:hint="eastAsia"/>
              </w:rPr>
            </w:pPr>
            <w:r>
              <w:rPr>
                <w:sz w:val="21"/>
              </w:rPr>
              <w:t>Mixture gates</w:t>
            </w:r>
          </w:p>
        </w:tc>
        <w:tc>
          <w:tcPr>
            <w:tcW w:w="3816" w:type="dxa"/>
            <w:shd w:val="clear" w:color="auto" w:fill="FFFFFF"/>
            <w:tcMar>
              <w:top w:w="80" w:type="dxa"/>
              <w:left w:w="85" w:type="dxa"/>
              <w:bottom w:w="80" w:type="dxa"/>
              <w:right w:w="85" w:type="dxa"/>
            </w:tcMar>
            <w:vAlign w:val="center"/>
          </w:tcPr>
          <w:p w14:paraId="2CA7193B" w14:textId="77777777" w:rsidR="00314867" w:rsidRDefault="00000000">
            <w:pPr>
              <w:keepLines/>
              <w:spacing w:after="0" w:line="247" w:lineRule="auto"/>
              <w:jc w:val="left"/>
              <w:rPr>
                <w:rFonts w:hint="eastAsia"/>
              </w:rPr>
            </w:pPr>
            <w:r>
              <w:rPr>
                <w:sz w:val="21"/>
              </w:rPr>
              <w:t xml:space="preserve">Point-mass heads at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rPr>
                <w:sz w:val="21"/>
              </w:rPr>
              <w:t xml:space="preserve">; preference </w:t>
            </w:r>
            <m:oMath>
              <m:d>
                <m:dPr>
                  <m:ctrlPr>
                    <w:rPr>
                      <w:rFonts w:ascii="Cambria Math" w:hAnsi="Cambria Math"/>
                    </w:rPr>
                  </m:ctrlPr>
                </m:dPr>
                <m:e>
                  <m:r>
                    <w:rPr>
                      <w:rFonts w:ascii="Cambria Math" w:hAnsi="Cambria Math"/>
                    </w:rPr>
                    <m:t>0.3</m:t>
                  </m:r>
                  <m:r>
                    <m:rPr>
                      <m:sty m:val="p"/>
                    </m:rPr>
                    <w:rPr>
                      <w:rFonts w:ascii="Cambria Math" w:hAnsi="Cambria Math"/>
                    </w:rPr>
                    <m:t>,</m:t>
                  </m:r>
                  <m:r>
                    <w:rPr>
                      <w:rFonts w:ascii="Cambria Math" w:hAnsi="Cambria Math"/>
                    </w:rPr>
                    <m:t>0.7</m:t>
                  </m:r>
                </m:e>
              </m:d>
            </m:oMath>
            <w:r>
              <w:rPr>
                <w:sz w:val="21"/>
              </w:rPr>
              <w:t xml:space="preserve">; query </w:t>
            </w:r>
            <m:oMath>
              <m:r>
                <w:rPr>
                  <w:rFonts w:ascii="Cambria Math" w:hAnsi="Cambria Math"/>
                </w:rPr>
                <m:t>0.4</m:t>
              </m:r>
            </m:oMath>
          </w:p>
        </w:tc>
        <w:tc>
          <w:tcPr>
            <w:tcW w:w="4320" w:type="dxa"/>
            <w:shd w:val="clear" w:color="auto" w:fill="FFFFFF"/>
            <w:tcMar>
              <w:top w:w="80" w:type="dxa"/>
              <w:left w:w="85" w:type="dxa"/>
              <w:bottom w:w="80" w:type="dxa"/>
              <w:right w:w="85" w:type="dxa"/>
            </w:tcMar>
            <w:vAlign w:val="center"/>
          </w:tcPr>
          <w:p w14:paraId="217FBC9C" w14:textId="77777777" w:rsidR="00314867" w:rsidRDefault="00000000">
            <w:pPr>
              <w:keepLines/>
              <w:spacing w:after="0" w:line="247" w:lineRule="auto"/>
              <w:jc w:val="left"/>
              <w:rPr>
                <w:rFonts w:hint="eastAsia"/>
              </w:rPr>
            </w:pPr>
            <w:r>
              <w:rPr>
                <w:sz w:val="21"/>
              </w:rPr>
              <w:t>Exact agreement with direct Bayes calculation to floating-point tolerance</w:t>
            </w:r>
          </w:p>
        </w:tc>
      </w:tr>
      <w:tr w:rsidR="00314867" w14:paraId="444E34E1" w14:textId="77777777">
        <w:trPr>
          <w:cantSplit/>
          <w:jc w:val="center"/>
        </w:trPr>
        <w:tc>
          <w:tcPr>
            <w:tcW w:w="1800" w:type="dxa"/>
            <w:shd w:val="clear" w:color="auto" w:fill="FFFFFF"/>
            <w:tcMar>
              <w:top w:w="80" w:type="dxa"/>
              <w:left w:w="85" w:type="dxa"/>
              <w:bottom w:w="80" w:type="dxa"/>
              <w:right w:w="85" w:type="dxa"/>
            </w:tcMar>
            <w:vAlign w:val="center"/>
          </w:tcPr>
          <w:p w14:paraId="33478BF1" w14:textId="77777777" w:rsidR="00314867" w:rsidRDefault="00000000">
            <w:pPr>
              <w:keepLines/>
              <w:spacing w:after="0" w:line="247" w:lineRule="auto"/>
              <w:jc w:val="left"/>
              <w:rPr>
                <w:rFonts w:hint="eastAsia"/>
              </w:rPr>
            </w:pPr>
            <w:r>
              <w:rPr>
                <w:sz w:val="21"/>
              </w:rPr>
              <w:lastRenderedPageBreak/>
              <w:t>Chebyshev selection</w:t>
            </w:r>
          </w:p>
        </w:tc>
        <w:tc>
          <w:tcPr>
            <w:tcW w:w="3816" w:type="dxa"/>
            <w:shd w:val="clear" w:color="auto" w:fill="FFFFFF"/>
            <w:tcMar>
              <w:top w:w="80" w:type="dxa"/>
              <w:left w:w="85" w:type="dxa"/>
              <w:bottom w:w="80" w:type="dxa"/>
              <w:right w:w="85" w:type="dxa"/>
            </w:tcMar>
            <w:vAlign w:val="center"/>
          </w:tcPr>
          <w:p w14:paraId="5AD060CF" w14:textId="77777777" w:rsidR="00314867" w:rsidRDefault="00000000">
            <w:pPr>
              <w:keepLines/>
              <w:spacing w:after="0" w:line="247" w:lineRule="auto"/>
              <w:jc w:val="left"/>
              <w:rPr>
                <w:rFonts w:hint="eastAsia"/>
              </w:rPr>
            </w:pPr>
            <w:r>
              <w:rPr>
                <w:sz w:val="21"/>
              </w:rPr>
              <w:t xml:space="preserve">Concave front on a 10,001-point grid; tailored weights at </w:t>
            </w:r>
            <m:oMath>
              <m:r>
                <w:rPr>
                  <w:rFonts w:ascii="Cambria Math" w:hAnsi="Cambria Math"/>
                </w:rPr>
                <m:t>u</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0.75</m:t>
              </m:r>
            </m:oMath>
          </w:p>
        </w:tc>
        <w:tc>
          <w:tcPr>
            <w:tcW w:w="4320" w:type="dxa"/>
            <w:shd w:val="clear" w:color="auto" w:fill="FFFFFF"/>
            <w:tcMar>
              <w:top w:w="80" w:type="dxa"/>
              <w:left w:w="85" w:type="dxa"/>
              <w:bottom w:w="80" w:type="dxa"/>
              <w:right w:w="85" w:type="dxa"/>
            </w:tcMar>
            <w:vAlign w:val="center"/>
          </w:tcPr>
          <w:p w14:paraId="071ED140" w14:textId="77777777" w:rsidR="00314867" w:rsidRDefault="00000000">
            <w:pPr>
              <w:keepLines/>
              <w:spacing w:after="0" w:line="247" w:lineRule="auto"/>
              <w:jc w:val="left"/>
              <w:rPr>
                <w:rFonts w:hint="eastAsia"/>
              </w:rPr>
            </w:pPr>
            <w:r>
              <w:rPr>
                <w:sz w:val="21"/>
              </w:rPr>
              <w:t>All three prescribed positions selected</w:t>
            </w:r>
          </w:p>
        </w:tc>
      </w:tr>
      <w:tr w:rsidR="00314867" w14:paraId="24FBAB88" w14:textId="77777777">
        <w:trPr>
          <w:cantSplit/>
          <w:jc w:val="center"/>
        </w:trPr>
        <w:tc>
          <w:tcPr>
            <w:tcW w:w="1800" w:type="dxa"/>
            <w:shd w:val="clear" w:color="auto" w:fill="FFFFFF"/>
            <w:tcMar>
              <w:top w:w="80" w:type="dxa"/>
              <w:left w:w="85" w:type="dxa"/>
              <w:bottom w:w="80" w:type="dxa"/>
              <w:right w:w="85" w:type="dxa"/>
            </w:tcMar>
            <w:vAlign w:val="center"/>
          </w:tcPr>
          <w:p w14:paraId="074F7129" w14:textId="77777777" w:rsidR="00314867" w:rsidRDefault="00000000">
            <w:pPr>
              <w:keepLines/>
              <w:spacing w:after="0" w:line="247" w:lineRule="auto"/>
              <w:jc w:val="left"/>
              <w:rPr>
                <w:rFonts w:hint="eastAsia"/>
              </w:rPr>
            </w:pPr>
            <w:r>
              <w:rPr>
                <w:sz w:val="21"/>
              </w:rPr>
              <w:t>Cone order</w:t>
            </w:r>
          </w:p>
        </w:tc>
        <w:tc>
          <w:tcPr>
            <w:tcW w:w="3816" w:type="dxa"/>
            <w:shd w:val="clear" w:color="auto" w:fill="FFFFFF"/>
            <w:tcMar>
              <w:top w:w="80" w:type="dxa"/>
              <w:left w:w="85" w:type="dxa"/>
              <w:bottom w:w="80" w:type="dxa"/>
              <w:right w:w="85" w:type="dxa"/>
            </w:tcMar>
            <w:vAlign w:val="center"/>
          </w:tcPr>
          <w:p w14:paraId="0DB4E812" w14:textId="77777777" w:rsidR="00314867" w:rsidRDefault="00000000">
            <w:pPr>
              <w:keepLines/>
              <w:spacing w:after="0" w:line="247" w:lineRule="auto"/>
              <w:jc w:val="left"/>
              <w:rPr>
                <w:rFonts w:hint="eastAsia"/>
              </w:rPr>
            </w:pPr>
            <w:r>
              <w:rPr>
                <w:sz w:val="21"/>
              </w:rPr>
              <w:t xml:space="preserve">Two efficient vectors and </w:t>
            </w:r>
            <m:oMath>
              <m:r>
                <w:rPr>
                  <w:rFonts w:ascii="Cambria Math" w:hAnsi="Cambria Math"/>
                </w:rPr>
                <m:t>ϵ</m:t>
              </m:r>
              <m:r>
                <m:rPr>
                  <m:sty m:val="p"/>
                </m:rPr>
                <w:rPr>
                  <w:rFonts w:ascii="Cambria Math" w:hAnsi="Cambria Math"/>
                </w:rPr>
                <m:t>=</m:t>
              </m:r>
              <m:r>
                <w:rPr>
                  <w:rFonts w:ascii="Cambria Math" w:hAnsi="Cambria Math"/>
                </w:rPr>
                <m:t>0.1</m:t>
              </m:r>
            </m:oMath>
          </w:p>
        </w:tc>
        <w:tc>
          <w:tcPr>
            <w:tcW w:w="4320" w:type="dxa"/>
            <w:shd w:val="clear" w:color="auto" w:fill="FFFFFF"/>
            <w:tcMar>
              <w:top w:w="80" w:type="dxa"/>
              <w:left w:w="85" w:type="dxa"/>
              <w:bottom w:w="80" w:type="dxa"/>
              <w:right w:w="85" w:type="dxa"/>
            </w:tcMar>
            <w:vAlign w:val="center"/>
          </w:tcPr>
          <w:p w14:paraId="7037BA86" w14:textId="77777777" w:rsidR="00314867" w:rsidRDefault="00000000">
            <w:pPr>
              <w:keepLines/>
              <w:spacing w:after="0" w:line="247" w:lineRule="auto"/>
              <w:jc w:val="left"/>
              <w:rPr>
                <w:rFonts w:hint="eastAsia"/>
              </w:rPr>
            </w:pPr>
            <w:r>
              <w:rPr>
                <w:sz w:val="21"/>
              </w:rPr>
              <w:t>One original Pareto trade-off removed, as calculated in Section 6</w:t>
            </w:r>
          </w:p>
        </w:tc>
      </w:tr>
      <w:tr w:rsidR="00314867" w14:paraId="2D6CF44A" w14:textId="77777777">
        <w:trPr>
          <w:cantSplit/>
          <w:jc w:val="center"/>
        </w:trPr>
        <w:tc>
          <w:tcPr>
            <w:tcW w:w="1800" w:type="dxa"/>
            <w:shd w:val="clear" w:color="auto" w:fill="FFFFFF"/>
            <w:tcMar>
              <w:top w:w="80" w:type="dxa"/>
              <w:left w:w="85" w:type="dxa"/>
              <w:bottom w:w="80" w:type="dxa"/>
              <w:right w:w="85" w:type="dxa"/>
            </w:tcMar>
            <w:vAlign w:val="center"/>
          </w:tcPr>
          <w:p w14:paraId="65F035D4" w14:textId="77777777" w:rsidR="00314867" w:rsidRDefault="00000000">
            <w:pPr>
              <w:keepLines/>
              <w:spacing w:after="0" w:line="247" w:lineRule="auto"/>
              <w:jc w:val="left"/>
              <w:rPr>
                <w:rFonts w:hint="eastAsia"/>
              </w:rPr>
            </w:pPr>
            <w:r>
              <w:rPr>
                <w:sz w:val="21"/>
              </w:rPr>
              <w:t>Depth limit</w:t>
            </w:r>
          </w:p>
        </w:tc>
        <w:tc>
          <w:tcPr>
            <w:tcW w:w="3816" w:type="dxa"/>
            <w:shd w:val="clear" w:color="auto" w:fill="FFFFFF"/>
            <w:tcMar>
              <w:top w:w="80" w:type="dxa"/>
              <w:left w:w="85" w:type="dxa"/>
              <w:bottom w:w="80" w:type="dxa"/>
              <w:right w:w="85" w:type="dxa"/>
            </w:tcMar>
            <w:vAlign w:val="center"/>
          </w:tcPr>
          <w:p w14:paraId="4B4DF369" w14:textId="77777777" w:rsidR="00314867" w:rsidRDefault="00000000">
            <w:pPr>
              <w:keepLines/>
              <w:spacing w:after="0" w:line="247" w:lineRule="auto"/>
              <w:jc w:val="left"/>
              <w:rPr>
                <w:rFonts w:hint="eastAsia"/>
              </w:rPr>
            </w:pPr>
            <w:r>
              <w:rPr>
                <w:sz w:val="21"/>
              </w:rPr>
              <w:t xml:space="preserve">Five independent uniform samples per size,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p>
        </w:tc>
        <w:tc>
          <w:tcPr>
            <w:tcW w:w="4320" w:type="dxa"/>
            <w:shd w:val="clear" w:color="auto" w:fill="FFFFFF"/>
            <w:tcMar>
              <w:top w:w="80" w:type="dxa"/>
              <w:left w:w="85" w:type="dxa"/>
              <w:bottom w:w="80" w:type="dxa"/>
              <w:right w:w="85" w:type="dxa"/>
            </w:tcMar>
            <w:vAlign w:val="center"/>
          </w:tcPr>
          <w:p w14:paraId="087FE47B" w14:textId="77777777" w:rsidR="00314867" w:rsidRDefault="00000000">
            <w:pPr>
              <w:keepLines/>
              <w:spacing w:after="0" w:line="247" w:lineRule="auto"/>
              <w:jc w:val="left"/>
              <w:rPr>
                <w:rFonts w:hint="eastAsia"/>
              </w:rPr>
            </w:pPr>
            <w:r>
              <w:rPr>
                <w:sz w:val="21"/>
              </w:rPr>
              <w:t>See Figure 1 and the values below</w:t>
            </w:r>
          </w:p>
        </w:tc>
      </w:tr>
      <w:tr w:rsidR="00314867" w14:paraId="193EBCF3" w14:textId="77777777">
        <w:trPr>
          <w:cantSplit/>
          <w:jc w:val="center"/>
        </w:trPr>
        <w:tc>
          <w:tcPr>
            <w:tcW w:w="1800" w:type="dxa"/>
            <w:shd w:val="clear" w:color="auto" w:fill="FFFFFF"/>
            <w:tcMar>
              <w:top w:w="80" w:type="dxa"/>
              <w:left w:w="85" w:type="dxa"/>
              <w:bottom w:w="80" w:type="dxa"/>
              <w:right w:w="85" w:type="dxa"/>
            </w:tcMar>
            <w:vAlign w:val="center"/>
          </w:tcPr>
          <w:p w14:paraId="47E477CD" w14:textId="77777777" w:rsidR="00314867" w:rsidRDefault="00000000">
            <w:pPr>
              <w:keepLines/>
              <w:spacing w:after="0" w:line="247" w:lineRule="auto"/>
              <w:jc w:val="left"/>
              <w:rPr>
                <w:rFonts w:hint="eastAsia"/>
              </w:rPr>
            </w:pPr>
            <w:r>
              <w:rPr>
                <w:sz w:val="21"/>
              </w:rPr>
              <w:t>Zero-set marginal</w:t>
            </w:r>
          </w:p>
        </w:tc>
        <w:tc>
          <w:tcPr>
            <w:tcW w:w="3816" w:type="dxa"/>
            <w:shd w:val="clear" w:color="auto" w:fill="FFFFFF"/>
            <w:tcMar>
              <w:top w:w="80" w:type="dxa"/>
              <w:left w:w="85" w:type="dxa"/>
              <w:bottom w:w="80" w:type="dxa"/>
              <w:right w:w="85" w:type="dxa"/>
            </w:tcMar>
            <w:vAlign w:val="center"/>
          </w:tcPr>
          <w:p w14:paraId="22D4C0CD" w14:textId="77777777" w:rsidR="00314867" w:rsidRDefault="00000000">
            <w:pPr>
              <w:keepLines/>
              <w:spacing w:after="0" w:line="247" w:lineRule="auto"/>
              <w:jc w:val="left"/>
              <w:rPr>
                <w:rFonts w:hint="eastAsia"/>
              </w:rPr>
            </w:pPr>
            <w:r>
              <w:rPr>
                <w:sz w:val="21"/>
              </w:rPr>
              <w:t xml:space="preserve">Independent normal-coordinate quadrature; </w:t>
            </w:r>
            <m:oMath>
              <m:r>
                <w:rPr>
                  <w:rFonts w:ascii="Cambria Math" w:hAnsi="Cambria Math"/>
                </w:rPr>
                <m:t>β</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80</m:t>
              </m:r>
            </m:oMath>
          </w:p>
        </w:tc>
        <w:tc>
          <w:tcPr>
            <w:tcW w:w="4320" w:type="dxa"/>
            <w:shd w:val="clear" w:color="auto" w:fill="FFFFFF"/>
            <w:tcMar>
              <w:top w:w="80" w:type="dxa"/>
              <w:left w:w="85" w:type="dxa"/>
              <w:bottom w:w="80" w:type="dxa"/>
              <w:right w:w="85" w:type="dxa"/>
            </w:tcMar>
            <w:vAlign w:val="center"/>
          </w:tcPr>
          <w:p w14:paraId="56F53D55" w14:textId="77777777" w:rsidR="00314867" w:rsidRDefault="00000000">
            <w:pPr>
              <w:keepLines/>
              <w:spacing w:after="0" w:line="247" w:lineRule="auto"/>
              <w:jc w:val="left"/>
              <w:rPr>
                <w:rFonts w:hint="eastAsia"/>
              </w:rPr>
            </w:pPr>
            <w:r>
              <w:rPr>
                <w:sz w:val="21"/>
              </w:rPr>
              <w:t>Tangential density approaches the limit in Figure 2</w:t>
            </w:r>
          </w:p>
        </w:tc>
      </w:tr>
      <w:tr w:rsidR="00314867" w14:paraId="1972BB44" w14:textId="77777777">
        <w:trPr>
          <w:cantSplit/>
          <w:jc w:val="center"/>
        </w:trPr>
        <w:tc>
          <w:tcPr>
            <w:tcW w:w="1800" w:type="dxa"/>
            <w:shd w:val="clear" w:color="auto" w:fill="FFFFFF"/>
            <w:tcMar>
              <w:top w:w="80" w:type="dxa"/>
              <w:left w:w="85" w:type="dxa"/>
              <w:bottom w:w="80" w:type="dxa"/>
              <w:right w:w="85" w:type="dxa"/>
            </w:tcMar>
            <w:vAlign w:val="center"/>
          </w:tcPr>
          <w:p w14:paraId="16E36C4E" w14:textId="77777777" w:rsidR="00314867" w:rsidRDefault="00000000">
            <w:pPr>
              <w:keepLines/>
              <w:spacing w:after="0" w:line="247" w:lineRule="auto"/>
              <w:jc w:val="left"/>
              <w:rPr>
                <w:rFonts w:hint="eastAsia"/>
              </w:rPr>
            </w:pPr>
            <w:r>
              <w:rPr>
                <w:sz w:val="21"/>
              </w:rPr>
              <w:t>Adaptive reuse</w:t>
            </w:r>
          </w:p>
        </w:tc>
        <w:tc>
          <w:tcPr>
            <w:tcW w:w="3816" w:type="dxa"/>
            <w:shd w:val="clear" w:color="auto" w:fill="FFFFFF"/>
            <w:tcMar>
              <w:top w:w="80" w:type="dxa"/>
              <w:left w:w="85" w:type="dxa"/>
              <w:bottom w:w="80" w:type="dxa"/>
              <w:right w:w="85" w:type="dxa"/>
            </w:tcMar>
            <w:vAlign w:val="center"/>
          </w:tcPr>
          <w:p w14:paraId="2DBE9E64" w14:textId="77777777" w:rsidR="00314867" w:rsidRDefault="00000000">
            <w:pPr>
              <w:keepLines/>
              <w:spacing w:after="0" w:line="247" w:lineRule="auto"/>
              <w:jc w:val="left"/>
              <w:rPr>
                <w:rFonts w:hint="eastAsia"/>
              </w:rPr>
            </w:pPr>
            <w:r>
              <w:rPr>
                <w:sz w:val="21"/>
              </w:rPr>
              <w:t>Defensive beta/uniform proposals, state-dependent observations, 57 target parameters</w:t>
            </w:r>
          </w:p>
        </w:tc>
        <w:tc>
          <w:tcPr>
            <w:tcW w:w="4320" w:type="dxa"/>
            <w:shd w:val="clear" w:color="auto" w:fill="FFFFFF"/>
            <w:tcMar>
              <w:top w:w="80" w:type="dxa"/>
              <w:left w:w="85" w:type="dxa"/>
              <w:bottom w:w="80" w:type="dxa"/>
              <w:right w:w="85" w:type="dxa"/>
            </w:tcMar>
            <w:vAlign w:val="center"/>
          </w:tcPr>
          <w:p w14:paraId="04CF22B2" w14:textId="77777777" w:rsidR="00314867" w:rsidRDefault="00000000">
            <w:pPr>
              <w:keepLines/>
              <w:spacing w:after="0" w:line="247" w:lineRule="auto"/>
              <w:jc w:val="left"/>
              <w:rPr>
                <w:rFonts w:hint="eastAsia"/>
              </w:rPr>
            </w:pPr>
            <w:r>
              <w:rPr>
                <w:sz w:val="21"/>
              </w:rPr>
              <w:t>Compared with independent quadrature; values below</w:t>
            </w:r>
          </w:p>
        </w:tc>
      </w:tr>
      <w:tr w:rsidR="00314867" w14:paraId="29CF60A0" w14:textId="77777777">
        <w:trPr>
          <w:cantSplit/>
          <w:jc w:val="center"/>
        </w:trPr>
        <w:tc>
          <w:tcPr>
            <w:tcW w:w="1800" w:type="dxa"/>
            <w:shd w:val="clear" w:color="auto" w:fill="FFFFFF"/>
            <w:tcMar>
              <w:top w:w="80" w:type="dxa"/>
              <w:left w:w="85" w:type="dxa"/>
              <w:bottom w:w="80" w:type="dxa"/>
              <w:right w:w="85" w:type="dxa"/>
            </w:tcMar>
            <w:vAlign w:val="center"/>
          </w:tcPr>
          <w:p w14:paraId="6186E6CF" w14:textId="77777777" w:rsidR="00314867" w:rsidRDefault="00000000">
            <w:pPr>
              <w:keepLines/>
              <w:spacing w:after="0" w:line="247" w:lineRule="auto"/>
              <w:jc w:val="left"/>
              <w:rPr>
                <w:rFonts w:hint="eastAsia"/>
              </w:rPr>
            </w:pPr>
            <w:r>
              <w:rPr>
                <w:sz w:val="21"/>
              </w:rPr>
              <w:t>Frozen rank and IGD+</w:t>
            </w:r>
          </w:p>
        </w:tc>
        <w:tc>
          <w:tcPr>
            <w:tcW w:w="3816" w:type="dxa"/>
            <w:shd w:val="clear" w:color="auto" w:fill="FFFFFF"/>
            <w:tcMar>
              <w:top w:w="80" w:type="dxa"/>
              <w:left w:w="85" w:type="dxa"/>
              <w:bottom w:w="80" w:type="dxa"/>
              <w:right w:w="85" w:type="dxa"/>
            </w:tcMar>
            <w:vAlign w:val="center"/>
          </w:tcPr>
          <w:p w14:paraId="0F517B81" w14:textId="77777777" w:rsidR="00314867" w:rsidRDefault="00000000">
            <w:pPr>
              <w:keepLines/>
              <w:spacing w:after="0" w:line="247" w:lineRule="auto"/>
              <w:jc w:val="left"/>
              <w:rPr>
                <w:rFonts w:hint="eastAsia"/>
              </w:rPr>
            </w:pPr>
            <w:r>
              <w:rPr>
                <w:sz w:val="21"/>
              </w:rPr>
              <w:t>Analytic one-dimensional rank target and two-point distance example</w:t>
            </w:r>
          </w:p>
        </w:tc>
        <w:tc>
          <w:tcPr>
            <w:tcW w:w="4320" w:type="dxa"/>
            <w:shd w:val="clear" w:color="auto" w:fill="FFFFFF"/>
            <w:tcMar>
              <w:top w:w="80" w:type="dxa"/>
              <w:left w:w="85" w:type="dxa"/>
              <w:bottom w:w="80" w:type="dxa"/>
              <w:right w:w="85" w:type="dxa"/>
            </w:tcMar>
            <w:vAlign w:val="center"/>
          </w:tcPr>
          <w:p w14:paraId="43FBB158" w14:textId="77777777" w:rsidR="00314867" w:rsidRDefault="00000000">
            <w:pPr>
              <w:keepLines/>
              <w:spacing w:after="0" w:line="247" w:lineRule="auto"/>
              <w:jc w:val="left"/>
              <w:rPr>
                <w:rFonts w:hint="eastAsia"/>
              </w:rPr>
            </w:pPr>
            <w:r>
              <w:rPr>
                <w:sz w:val="21"/>
              </w:rPr>
              <w:t>Concentration bound holds; pruning counterexample reproduced</w:t>
            </w:r>
          </w:p>
        </w:tc>
      </w:tr>
    </w:tbl>
    <w:p w14:paraId="13BAA3EF" w14:textId="77777777" w:rsidR="00314867" w:rsidRDefault="00000000">
      <w:pPr>
        <w:pStyle w:val="BodyText"/>
        <w:spacing w:before="140"/>
        <w:rPr>
          <w:rFonts w:hint="eastAsia"/>
        </w:rPr>
      </w:pPr>
      <w:r>
        <w:t xml:space="preserve">At </w:t>
      </w:r>
      <m:oMath>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000</m:t>
        </m:r>
      </m:oMath>
      <w:r>
        <w:t xml:space="preserve">, median normalized depths were </w:t>
      </w:r>
      <m:oMath>
        <m:r>
          <w:rPr>
            <w:rFonts w:ascii="Cambria Math" w:hAnsi="Cambria Math"/>
          </w:rPr>
          <m:t>1.970099</m:t>
        </m:r>
      </m:oMath>
      <w:r>
        <w:t xml:space="preserve">, </w:t>
      </w:r>
      <m:oMath>
        <m:r>
          <w:rPr>
            <w:rFonts w:ascii="Cambria Math" w:hAnsi="Cambria Math"/>
          </w:rPr>
          <m:t>0.973982</m:t>
        </m:r>
      </m:oMath>
      <w:r>
        <w:t xml:space="preserve">, and </w:t>
      </w:r>
      <m:oMath>
        <m:r>
          <w:rPr>
            <w:rFonts w:ascii="Cambria Math" w:hAnsi="Cambria Math"/>
          </w:rPr>
          <m:t>0.970819</m:t>
        </m:r>
      </m:oMath>
      <w:r>
        <w:t xml:space="preserve"> at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0.25</m:t>
            </m:r>
          </m:e>
        </m:d>
      </m:oMath>
      <w:r>
        <w:t xml:space="preserve">, against limits </w:t>
      </w:r>
      <m:oMath>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The observed discrepancy is finite-sample error, not evidence that the theorem’s hypotheses can be dropped. At </w:t>
      </w:r>
      <m:oMath>
        <m:r>
          <w:rPr>
            <w:rFonts w:ascii="Cambria Math" w:hAnsi="Cambria Math"/>
          </w:rPr>
          <m:t>β</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80</m:t>
        </m:r>
      </m:oMath>
      <w:r>
        <w:t xml:space="preserve">, the zero-set marginal L1 errors were </w:t>
      </w:r>
      <m:oMath>
        <m:r>
          <w:rPr>
            <w:rFonts w:ascii="Cambria Math" w:hAnsi="Cambria Math"/>
          </w:rPr>
          <m:t>0.0082492</m:t>
        </m:r>
      </m:oMath>
      <w:r>
        <w:t xml:space="preserve">, </w:t>
      </w:r>
      <m:oMath>
        <m:r>
          <w:rPr>
            <w:rFonts w:ascii="Cambria Math" w:hAnsi="Cambria Math"/>
          </w:rPr>
          <m:t>0.00050144</m:t>
        </m:r>
      </m:oMath>
      <w:r>
        <w:t xml:space="preserve">, and </w:t>
      </w:r>
      <m:oMath>
        <m:r>
          <w:rPr>
            <w:rFonts w:ascii="Cambria Math" w:hAnsi="Cambria Math"/>
          </w:rPr>
          <m:t>0.000031587</m:t>
        </m:r>
      </m:oMath>
      <w:r>
        <w:t>.</w:t>
      </w:r>
    </w:p>
    <w:p w14:paraId="7A2FB813" w14:textId="77777777" w:rsidR="00314867" w:rsidRDefault="00000000">
      <w:pPr>
        <w:pStyle w:val="BodyText"/>
        <w:rPr>
          <w:rFonts w:hint="eastAsia"/>
        </w:rPr>
      </w:pPr>
      <w:r>
        <w:t xml:space="preserve">For adaptive reuse, the reference is uniform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d>
      </m:oMath>
      <w:r>
        <w:t xml:space="preserve">. Each attempt uses a defensive mixture of 20% uniform and 80% beta proposals, with beta shapes </w:t>
      </w:r>
      <m:oMath>
        <m:r>
          <w:rPr>
            <w:rFonts w:ascii="Cambria Math" w:hAnsi="Cambria Math"/>
          </w:rPr>
          <m:t>1</m:t>
        </m:r>
        <m:r>
          <m:rPr>
            <m:sty m:val="p"/>
          </m:rPr>
          <w:rPr>
            <w:rFonts w:ascii="Cambria Math" w:hAnsi="Cambria Math"/>
          </w:rPr>
          <m:t>+</m:t>
        </m:r>
        <m:r>
          <w:rPr>
            <w:rFonts w:ascii="Cambria Math" w:hAnsi="Cambria Math"/>
          </w:rPr>
          <m:t>6</m:t>
        </m:r>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and </w:t>
      </w:r>
      <m:oMath>
        <m:r>
          <w:rPr>
            <w:rFonts w:ascii="Cambria Math" w:hAnsi="Cambria Math"/>
          </w:rPr>
          <m:t>1</m:t>
        </m:r>
        <m:r>
          <m:rPr>
            <m:sty m:val="p"/>
          </m:rPr>
          <w:rPr>
            <w:rFonts w:ascii="Cambria Math" w:hAnsi="Cambria Math"/>
          </w:rPr>
          <m:t>+</m:t>
        </m:r>
        <m:r>
          <w:rPr>
            <w:rFonts w:ascii="Cambria Math" w:hAnsi="Cambria Math"/>
          </w:rPr>
          <m:t>6</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e>
        </m:d>
      </m:oMath>
      <w:r>
        <w:t xml:space="preserve">, where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is the running mean of earlier attempted states, initialized at </w:t>
      </w:r>
      <m:oMath>
        <m:r>
          <w:rPr>
            <w:rFonts w:ascii="Cambria Math" w:hAnsi="Cambria Math"/>
          </w:rPr>
          <m:t>0.5</m:t>
        </m:r>
      </m:oMath>
      <w:r>
        <w:t xml:space="preserve">. Observation probability is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0.75x</m:t>
        </m:r>
      </m:oMath>
      <w:r>
        <w:t xml:space="preserve">. The target grid uses 19 weights from </w:t>
      </w:r>
      <m:oMath>
        <m:r>
          <w:rPr>
            <w:rFonts w:ascii="Cambria Math" w:hAnsi="Cambria Math"/>
          </w:rPr>
          <m:t>0.05</m:t>
        </m:r>
      </m:oMath>
      <w:r>
        <w:t xml:space="preserve"> to </w:t>
      </w:r>
      <m:oMath>
        <m:r>
          <w:rPr>
            <w:rFonts w:ascii="Cambria Math" w:hAnsi="Cambria Math"/>
          </w:rPr>
          <m:t>0.95</m:t>
        </m:r>
      </m:oMath>
      <w:r>
        <w:t xml:space="preserve"> and temperatures </w:t>
      </w:r>
      <m:oMath>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oMath>
      <w:r>
        <w:t xml:space="preserve">, with the zero-reference Chebyshev loss. Maximum absolute errors in the target mean of </w:t>
      </w:r>
      <m:oMath>
        <m:r>
          <w:rPr>
            <w:rFonts w:ascii="Cambria Math" w:hAnsi="Cambria Math"/>
          </w:rPr>
          <m:t>x</m:t>
        </m:r>
      </m:oMath>
      <w:r>
        <w:t xml:space="preserve"> were </w:t>
      </w:r>
      <m:oMath>
        <m:r>
          <w:rPr>
            <w:rFonts w:ascii="Cambria Math" w:hAnsi="Cambria Math"/>
          </w:rPr>
          <m:t>0.0392823</m:t>
        </m:r>
      </m:oMath>
      <w:r>
        <w:t xml:space="preserve">, </w:t>
      </w:r>
      <m:oMath>
        <m:r>
          <w:rPr>
            <w:rFonts w:ascii="Cambria Math" w:hAnsi="Cambria Math"/>
          </w:rPr>
          <m:t>0.0087848</m:t>
        </m:r>
      </m:oMath>
      <w:r>
        <w:t xml:space="preserve">, and </w:t>
      </w:r>
      <m:oMath>
        <m:r>
          <w:rPr>
            <w:rFonts w:ascii="Cambria Math" w:hAnsi="Cambria Math"/>
          </w:rPr>
          <m:t>0.0038872</m:t>
        </m:r>
      </m:oMath>
      <w:r>
        <w:t xml:space="preserve"> at 1,000, 5,000, and 20,000 attempts. Of the 20,000 attempts, 12,693 were evaluated. The single simulation illustrates reuse under known probabilities; it does not establish a general finite-budget performance advantage.</w:t>
      </w:r>
    </w:p>
    <w:p w14:paraId="13B5B035" w14:textId="77777777" w:rsidR="00314867" w:rsidRDefault="00000000">
      <w:pPr>
        <w:pStyle w:val="BodyText"/>
        <w:rPr>
          <w:rFonts w:hint="eastAsia"/>
        </w:rPr>
      </w:pPr>
      <w:r>
        <w:t xml:space="preserve">For the analytic frozen-rank check,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oMath>
      <w:r>
        <w:t xml:space="preserve">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0.4</m:t>
            </m:r>
          </m:e>
        </m:d>
        <m:r>
          <m:rPr>
            <m:sty m:val="p"/>
          </m:rPr>
          <w:rPr>
            <w:rFonts w:ascii="Cambria Math" w:hAnsi="Cambria Math"/>
          </w:rPr>
          <m:t>}</m:t>
        </m:r>
      </m:oMath>
      <w:r>
        <w:t xml:space="preserve">, and </w:t>
      </w:r>
      <m:oMath>
        <m:r>
          <w:rPr>
            <w:rFonts w:ascii="Cambria Math" w:hAnsi="Cambria Math"/>
          </w:rPr>
          <m:t>μ</m:t>
        </m:r>
      </m:oMath>
      <w:r>
        <w:t xml:space="preserve"> is uniform. Then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m:t>
        </m:r>
        <m:r>
          <w:rPr>
            <w:rFonts w:ascii="Cambria Math" w:hAnsi="Cambria Math"/>
          </w:rPr>
          <m:t>0.4</m:t>
        </m:r>
      </m:oMath>
      <w:r>
        <w:t xml:space="preserve"> and the exact outside mass is </w:t>
      </w:r>
      <m:oMath>
        <m:r>
          <w:rPr>
            <w:rFonts w:ascii="Cambria Math" w:hAnsi="Cambria Math"/>
          </w:rPr>
          <m:t>0.6</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r>
          <m:rPr>
            <m:sty m:val="p"/>
          </m:rPr>
          <w:rPr>
            <w:rFonts w:ascii="Cambria Math" w:hAnsi="Cambria Math"/>
          </w:rPr>
          <m:t>/</m:t>
        </m:r>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0.6</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e>
        </m:d>
      </m:oMath>
      <w:r>
        <w:t xml:space="preserve">. At </w:t>
      </w:r>
      <m:oMath>
        <m:r>
          <w:rPr>
            <w:rFonts w:ascii="Cambria Math" w:hAnsi="Cambria Math"/>
          </w:rPr>
          <m:t>β</m:t>
        </m:r>
        <m:r>
          <m:rPr>
            <m:sty m:val="p"/>
          </m:rPr>
          <w:rPr>
            <w:rFonts w:ascii="Cambria Math" w:hAnsi="Cambria Math"/>
          </w:rPr>
          <m:t>=</m:t>
        </m:r>
        <m:r>
          <w:rPr>
            <w:rFonts w:ascii="Cambria Math" w:hAnsi="Cambria Math"/>
          </w:rPr>
          <m:t>8</m:t>
        </m:r>
      </m:oMath>
      <w:r>
        <w:t xml:space="preserve"> it is </w:t>
      </w:r>
      <m:oMath>
        <m:r>
          <w:rPr>
            <w:rFonts w:ascii="Cambria Math" w:hAnsi="Cambria Math"/>
          </w:rPr>
          <m:t>0.00050294</m:t>
        </m:r>
      </m:oMath>
      <w:r>
        <w:t xml:space="preserve">, below the bound </w:t>
      </w:r>
      <m:oMath>
        <m:r>
          <w:rPr>
            <w:rFonts w:ascii="Cambria Math" w:hAnsi="Cambria Math"/>
          </w:rPr>
          <m:t>0.00083866</m:t>
        </m:r>
      </m:oMath>
      <w:r>
        <w:t>. The parameter choice, target mass, and bound can all be evaluated without a stochastic optimizer.</w:t>
      </w:r>
    </w:p>
    <w:p w14:paraId="3C35AC1C" w14:textId="77777777" w:rsidR="00314867" w:rsidRDefault="00000000">
      <w:pPr>
        <w:pStyle w:val="Heading2"/>
        <w:rPr>
          <w:rFonts w:hint="eastAsia"/>
        </w:rPr>
      </w:pPr>
      <w:bookmarkStart w:id="38" w:name="reported-ade-observations"/>
      <w:bookmarkEnd w:id="37"/>
      <w:r>
        <w:t>13.2 Reported ADE observations</w:t>
      </w:r>
    </w:p>
    <w:p w14:paraId="72187341" w14:textId="77777777" w:rsidR="00314867" w:rsidRDefault="00000000">
      <w:pPr>
        <w:pStyle w:val="FirstParagraph"/>
        <w:rPr>
          <w:rFonts w:hint="eastAsia"/>
        </w:rPr>
      </w:pPr>
      <w:r>
        <w:t xml:space="preserve">The supplied fusion manuscript reports ten-seed comparisons on two-objective ZDT problems. Plain and cone ranks at </w:t>
      </w:r>
      <m:oMath>
        <m:r>
          <w:rPr>
            <w:rFonts w:ascii="Cambria Math" w:hAnsi="Cambria Math"/>
          </w:rPr>
          <m:t>ϵ</m:t>
        </m:r>
        <m:r>
          <m:rPr>
            <m:sty m:val="p"/>
          </m:rPr>
          <w:rPr>
            <w:rFonts w:ascii="Cambria Math" w:hAnsi="Cambria Math"/>
          </w:rPr>
          <m:t>=</m:t>
        </m:r>
        <m:r>
          <w:rPr>
            <w:rFonts w:ascii="Cambria Math" w:hAnsi="Cambria Math"/>
          </w:rPr>
          <m:t>0.1</m:t>
        </m:r>
      </m:oMath>
      <w:r>
        <w:t xml:space="preserve"> had reported mean IGD+ values of </w:t>
      </w:r>
      <m:oMath>
        <m:r>
          <w:rPr>
            <w:rFonts w:ascii="Cambria Math" w:hAnsi="Cambria Math"/>
          </w:rPr>
          <m:t>0.117</m:t>
        </m:r>
      </m:oMath>
      <w:r>
        <w:t xml:space="preserve"> and </w:t>
      </w:r>
      <m:oMath>
        <m:r>
          <w:rPr>
            <w:rFonts w:ascii="Cambria Math" w:hAnsi="Cambria Math"/>
          </w:rPr>
          <m:t>0.095</m:t>
        </m:r>
      </m:oMath>
      <w:r>
        <w:t xml:space="preserve"> on ZDT1, and </w:t>
      </w:r>
      <m:oMath>
        <m:r>
          <w:rPr>
            <w:rFonts w:ascii="Cambria Math" w:hAnsi="Cambria Math"/>
          </w:rPr>
          <m:t>0.241</m:t>
        </m:r>
      </m:oMath>
      <w:r>
        <w:t xml:space="preserve"> and </w:t>
      </w:r>
      <m:oMath>
        <m:r>
          <w:rPr>
            <w:rFonts w:ascii="Cambria Math" w:hAnsi="Cambria Math"/>
          </w:rPr>
          <m:t>0.135</m:t>
        </m:r>
      </m:oMath>
      <w:r>
        <w:t xml:space="preserve"> on ZDT2. These summaries are retained as reported observations from the source manuscript [14], rather than pooled with the new mathematical checks. They do not establish which mechanism caused the difference, coverage of all efficient trade-offs, robustness across cone strengths, or industrial-scale performance. In particular, the counterexample in Section 6 shows why better distance scores alone cannot justify unexamined removal of trade-offs.</w:t>
      </w:r>
    </w:p>
    <w:p w14:paraId="2F0A7096" w14:textId="77777777" w:rsidR="00314867" w:rsidRDefault="00000000">
      <w:pPr>
        <w:pStyle w:val="Heading2"/>
        <w:rPr>
          <w:rFonts w:hint="eastAsia"/>
        </w:rPr>
      </w:pPr>
      <w:bookmarkStart w:id="39" w:name="construction-harness-experiments"/>
      <w:bookmarkEnd w:id="38"/>
      <w:r>
        <w:t>13.3 Construction-harness experiments</w:t>
      </w:r>
    </w:p>
    <w:p w14:paraId="3E8DFA97" w14:textId="77777777" w:rsidR="00314867" w:rsidRDefault="00000000">
      <w:pPr>
        <w:pStyle w:val="FirstParagraph"/>
        <w:rPr>
          <w:rFonts w:hint="eastAsia"/>
        </w:rPr>
      </w:pPr>
      <w:r>
        <w:t xml:space="preserve">A construction study should fix task families, physical units, solver versions, preference sets, feasible design definitions, and evaluator budgets before comparing variants. Separate held-out projects and </w:t>
      </w:r>
      <w:r>
        <w:lastRenderedPageBreak/>
        <w:t>distinct load or catalog regimes can test transfer. Report solver failures and missing evaluations as operational outcomes, with their handling declared; do not encode them as favorable numerical responses.</w:t>
      </w:r>
    </w:p>
    <w:p w14:paraId="67D3535C" w14:textId="77777777" w:rsidR="00314867" w:rsidRDefault="00000000">
      <w:pPr>
        <w:pStyle w:val="Caption"/>
        <w:keepNext/>
        <w:rPr>
          <w:rFonts w:hint="eastAsia"/>
        </w:rPr>
      </w:pPr>
      <w:r>
        <w:t>Table 5. Ablations that isolate the proposed mechanisms.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3240"/>
        <w:gridCol w:w="3456"/>
      </w:tblGrid>
      <w:tr w:rsidR="00314867" w14:paraId="54DC69DC" w14:textId="77777777">
        <w:trPr>
          <w:cantSplit/>
          <w:tblHeader/>
          <w:jc w:val="center"/>
        </w:trPr>
        <w:tc>
          <w:tcPr>
            <w:tcW w:w="3240" w:type="dxa"/>
            <w:shd w:val="clear" w:color="auto" w:fill="EAEAEA"/>
            <w:tcMar>
              <w:top w:w="80" w:type="dxa"/>
              <w:left w:w="85" w:type="dxa"/>
              <w:bottom w:w="80" w:type="dxa"/>
              <w:right w:w="85" w:type="dxa"/>
            </w:tcMar>
            <w:vAlign w:val="center"/>
          </w:tcPr>
          <w:p w14:paraId="3131EED4" w14:textId="77777777" w:rsidR="00314867" w:rsidRDefault="00000000">
            <w:pPr>
              <w:keepNext/>
              <w:keepLines/>
              <w:spacing w:after="0" w:line="247" w:lineRule="auto"/>
              <w:jc w:val="left"/>
              <w:rPr>
                <w:rFonts w:hint="eastAsia"/>
              </w:rPr>
            </w:pPr>
            <w:r>
              <w:rPr>
                <w:b/>
                <w:sz w:val="21"/>
              </w:rPr>
              <w:t>Comparison</w:t>
            </w:r>
          </w:p>
        </w:tc>
        <w:tc>
          <w:tcPr>
            <w:tcW w:w="3240" w:type="dxa"/>
            <w:shd w:val="clear" w:color="auto" w:fill="EAEAEA"/>
            <w:tcMar>
              <w:top w:w="80" w:type="dxa"/>
              <w:left w:w="85" w:type="dxa"/>
              <w:bottom w:w="80" w:type="dxa"/>
              <w:right w:w="85" w:type="dxa"/>
            </w:tcMar>
            <w:vAlign w:val="center"/>
          </w:tcPr>
          <w:p w14:paraId="63A3FEE6" w14:textId="77777777" w:rsidR="00314867" w:rsidRDefault="00000000">
            <w:pPr>
              <w:keepNext/>
              <w:keepLines/>
              <w:spacing w:after="0" w:line="247" w:lineRule="auto"/>
              <w:jc w:val="left"/>
              <w:rPr>
                <w:rFonts w:hint="eastAsia"/>
              </w:rPr>
            </w:pPr>
            <w:r>
              <w:rPr>
                <w:b/>
                <w:sz w:val="21"/>
              </w:rPr>
              <w:t>What stays fixed</w:t>
            </w:r>
          </w:p>
        </w:tc>
        <w:tc>
          <w:tcPr>
            <w:tcW w:w="3456" w:type="dxa"/>
            <w:shd w:val="clear" w:color="auto" w:fill="EAEAEA"/>
            <w:tcMar>
              <w:top w:w="80" w:type="dxa"/>
              <w:left w:w="85" w:type="dxa"/>
              <w:bottom w:w="80" w:type="dxa"/>
              <w:right w:w="85" w:type="dxa"/>
            </w:tcMar>
            <w:vAlign w:val="center"/>
          </w:tcPr>
          <w:p w14:paraId="2576AD20" w14:textId="77777777" w:rsidR="00314867" w:rsidRDefault="00000000">
            <w:pPr>
              <w:keepNext/>
              <w:keepLines/>
              <w:spacing w:after="0" w:line="247" w:lineRule="auto"/>
              <w:jc w:val="left"/>
              <w:rPr>
                <w:rFonts w:hint="eastAsia"/>
              </w:rPr>
            </w:pPr>
            <w:r>
              <w:rPr>
                <w:b/>
                <w:sz w:val="21"/>
              </w:rPr>
              <w:t>Primary measured outcomes</w:t>
            </w:r>
          </w:p>
        </w:tc>
      </w:tr>
      <w:tr w:rsidR="00314867" w14:paraId="32D21474" w14:textId="77777777">
        <w:trPr>
          <w:cantSplit/>
          <w:jc w:val="center"/>
        </w:trPr>
        <w:tc>
          <w:tcPr>
            <w:tcW w:w="3240" w:type="dxa"/>
            <w:shd w:val="clear" w:color="auto" w:fill="FFFFFF"/>
            <w:tcMar>
              <w:top w:w="80" w:type="dxa"/>
              <w:left w:w="85" w:type="dxa"/>
              <w:bottom w:w="80" w:type="dxa"/>
              <w:right w:w="85" w:type="dxa"/>
            </w:tcMar>
            <w:vAlign w:val="center"/>
          </w:tcPr>
          <w:p w14:paraId="26D5F078" w14:textId="77777777" w:rsidR="00314867" w:rsidRDefault="00000000">
            <w:pPr>
              <w:keepLines/>
              <w:spacing w:after="0" w:line="247" w:lineRule="auto"/>
              <w:jc w:val="left"/>
              <w:rPr>
                <w:rFonts w:hint="eastAsia"/>
              </w:rPr>
            </w:pPr>
            <w:r>
              <w:rPr>
                <w:sz w:val="21"/>
              </w:rPr>
              <w:t>Weighted sum versus Chebyshev versus cross</w:t>
            </w:r>
          </w:p>
        </w:tc>
        <w:tc>
          <w:tcPr>
            <w:tcW w:w="3240" w:type="dxa"/>
            <w:shd w:val="clear" w:color="auto" w:fill="FFFFFF"/>
            <w:tcMar>
              <w:top w:w="80" w:type="dxa"/>
              <w:left w:w="85" w:type="dxa"/>
              <w:bottom w:w="80" w:type="dxa"/>
              <w:right w:w="85" w:type="dxa"/>
            </w:tcMar>
            <w:vAlign w:val="center"/>
          </w:tcPr>
          <w:p w14:paraId="7876F35F" w14:textId="77777777" w:rsidR="00314867" w:rsidRDefault="00000000">
            <w:pPr>
              <w:keepLines/>
              <w:spacing w:after="0" w:line="247" w:lineRule="auto"/>
              <w:jc w:val="left"/>
              <w:rPr>
                <w:rFonts w:hint="eastAsia"/>
              </w:rPr>
            </w:pPr>
            <w:r>
              <w:rPr>
                <w:sz w:val="21"/>
              </w:rPr>
              <w:t>Archive protocol, scales, reference, budget, seeds</w:t>
            </w:r>
          </w:p>
        </w:tc>
        <w:tc>
          <w:tcPr>
            <w:tcW w:w="3456" w:type="dxa"/>
            <w:shd w:val="clear" w:color="auto" w:fill="FFFFFF"/>
            <w:tcMar>
              <w:top w:w="80" w:type="dxa"/>
              <w:left w:w="85" w:type="dxa"/>
              <w:bottom w:w="80" w:type="dxa"/>
              <w:right w:w="85" w:type="dxa"/>
            </w:tcMar>
            <w:vAlign w:val="center"/>
          </w:tcPr>
          <w:p w14:paraId="0663842B" w14:textId="77777777" w:rsidR="00314867" w:rsidRDefault="00000000">
            <w:pPr>
              <w:keepLines/>
              <w:spacing w:after="0" w:line="247" w:lineRule="auto"/>
              <w:jc w:val="left"/>
              <w:rPr>
                <w:rFonts w:hint="eastAsia"/>
              </w:rPr>
            </w:pPr>
            <w:r>
              <w:rPr>
                <w:sz w:val="21"/>
              </w:rPr>
              <w:t>Verified feasible coverage and IGD+ with fixed reference</w:t>
            </w:r>
          </w:p>
        </w:tc>
      </w:tr>
      <w:tr w:rsidR="00314867" w14:paraId="129FB23C" w14:textId="77777777">
        <w:trPr>
          <w:cantSplit/>
          <w:jc w:val="center"/>
        </w:trPr>
        <w:tc>
          <w:tcPr>
            <w:tcW w:w="3240" w:type="dxa"/>
            <w:shd w:val="clear" w:color="auto" w:fill="FFFFFF"/>
            <w:tcMar>
              <w:top w:w="80" w:type="dxa"/>
              <w:left w:w="85" w:type="dxa"/>
              <w:bottom w:w="80" w:type="dxa"/>
              <w:right w:w="85" w:type="dxa"/>
            </w:tcMar>
            <w:vAlign w:val="center"/>
          </w:tcPr>
          <w:p w14:paraId="40676DC6" w14:textId="77777777" w:rsidR="00314867" w:rsidRDefault="00000000">
            <w:pPr>
              <w:keepLines/>
              <w:spacing w:after="0" w:line="247" w:lineRule="auto"/>
              <w:jc w:val="left"/>
              <w:rPr>
                <w:rFonts w:hint="eastAsia"/>
              </w:rPr>
            </w:pPr>
            <w:r>
              <w:rPr>
                <w:sz w:val="21"/>
              </w:rPr>
              <w:t>Fixed versus evidence-based late gates</w:t>
            </w:r>
          </w:p>
        </w:tc>
        <w:tc>
          <w:tcPr>
            <w:tcW w:w="3240" w:type="dxa"/>
            <w:shd w:val="clear" w:color="auto" w:fill="FFFFFF"/>
            <w:tcMar>
              <w:top w:w="80" w:type="dxa"/>
              <w:left w:w="85" w:type="dxa"/>
              <w:bottom w:w="80" w:type="dxa"/>
              <w:right w:w="85" w:type="dxa"/>
            </w:tcMar>
            <w:vAlign w:val="center"/>
          </w:tcPr>
          <w:p w14:paraId="5AEB1148" w14:textId="77777777" w:rsidR="00314867" w:rsidRDefault="00000000">
            <w:pPr>
              <w:keepLines/>
              <w:spacing w:after="0" w:line="247" w:lineRule="auto"/>
              <w:jc w:val="left"/>
              <w:rPr>
                <w:rFonts w:hint="eastAsia"/>
              </w:rPr>
            </w:pPr>
            <w:r>
              <w:rPr>
                <w:sz w:val="21"/>
              </w:rPr>
              <w:t>Heads, kernel, preference, proposal mechanism</w:t>
            </w:r>
          </w:p>
        </w:tc>
        <w:tc>
          <w:tcPr>
            <w:tcW w:w="3456" w:type="dxa"/>
            <w:shd w:val="clear" w:color="auto" w:fill="FFFFFF"/>
            <w:tcMar>
              <w:top w:w="80" w:type="dxa"/>
              <w:left w:w="85" w:type="dxa"/>
              <w:bottom w:w="80" w:type="dxa"/>
              <w:right w:w="85" w:type="dxa"/>
            </w:tcMar>
            <w:vAlign w:val="center"/>
          </w:tcPr>
          <w:p w14:paraId="0702D485" w14:textId="77777777" w:rsidR="00314867" w:rsidRDefault="00000000">
            <w:pPr>
              <w:keepLines/>
              <w:spacing w:after="0" w:line="247" w:lineRule="auto"/>
              <w:jc w:val="left"/>
              <w:rPr>
                <w:rFonts w:hint="eastAsia"/>
              </w:rPr>
            </w:pPr>
            <w:r>
              <w:rPr>
                <w:sz w:val="21"/>
              </w:rPr>
              <w:t>Origin-mean error and verified output performance</w:t>
            </w:r>
          </w:p>
        </w:tc>
      </w:tr>
      <w:tr w:rsidR="00314867" w14:paraId="038AFDD6" w14:textId="77777777">
        <w:trPr>
          <w:cantSplit/>
          <w:jc w:val="center"/>
        </w:trPr>
        <w:tc>
          <w:tcPr>
            <w:tcW w:w="3240" w:type="dxa"/>
            <w:shd w:val="clear" w:color="auto" w:fill="FFFFFF"/>
            <w:tcMar>
              <w:top w:w="80" w:type="dxa"/>
              <w:left w:w="85" w:type="dxa"/>
              <w:bottom w:w="80" w:type="dxa"/>
              <w:right w:w="85" w:type="dxa"/>
            </w:tcMar>
            <w:vAlign w:val="center"/>
          </w:tcPr>
          <w:p w14:paraId="138558F4" w14:textId="77777777" w:rsidR="00314867" w:rsidRDefault="00000000">
            <w:pPr>
              <w:keepLines/>
              <w:spacing w:after="0" w:line="247" w:lineRule="auto"/>
              <w:jc w:val="left"/>
              <w:rPr>
                <w:rFonts w:hint="eastAsia"/>
              </w:rPr>
            </w:pPr>
            <w:r>
              <w:rPr>
                <w:sz w:val="21"/>
              </w:rPr>
              <w:t>Plain versus cone rank</w:t>
            </w:r>
          </w:p>
        </w:tc>
        <w:tc>
          <w:tcPr>
            <w:tcW w:w="3240" w:type="dxa"/>
            <w:shd w:val="clear" w:color="auto" w:fill="FFFFFF"/>
            <w:tcMar>
              <w:top w:w="80" w:type="dxa"/>
              <w:left w:w="85" w:type="dxa"/>
              <w:bottom w:w="80" w:type="dxa"/>
              <w:right w:w="85" w:type="dxa"/>
            </w:tcMar>
            <w:vAlign w:val="center"/>
          </w:tcPr>
          <w:p w14:paraId="7DB2421B" w14:textId="77777777" w:rsidR="00314867" w:rsidRDefault="00000000">
            <w:pPr>
              <w:keepLines/>
              <w:spacing w:after="0" w:line="247" w:lineRule="auto"/>
              <w:jc w:val="left"/>
              <w:rPr>
                <w:rFonts w:hint="eastAsia"/>
              </w:rPr>
            </w:pPr>
            <w:r>
              <w:rPr>
                <w:sz w:val="21"/>
              </w:rPr>
              <w:t>Comparison sample, scales, evaluator budget</w:t>
            </w:r>
          </w:p>
        </w:tc>
        <w:tc>
          <w:tcPr>
            <w:tcW w:w="3456" w:type="dxa"/>
            <w:shd w:val="clear" w:color="auto" w:fill="FFFFFF"/>
            <w:tcMar>
              <w:top w:w="80" w:type="dxa"/>
              <w:left w:w="85" w:type="dxa"/>
              <w:bottom w:w="80" w:type="dxa"/>
              <w:right w:w="85" w:type="dxa"/>
            </w:tcMar>
            <w:vAlign w:val="center"/>
          </w:tcPr>
          <w:p w14:paraId="3A9F123A" w14:textId="77777777" w:rsidR="00314867" w:rsidRDefault="00000000">
            <w:pPr>
              <w:keepLines/>
              <w:spacing w:after="0" w:line="247" w:lineRule="auto"/>
              <w:jc w:val="left"/>
              <w:rPr>
                <w:rFonts w:hint="eastAsia"/>
              </w:rPr>
            </w:pPr>
            <w:r>
              <w:rPr>
                <w:sz w:val="21"/>
              </w:rPr>
              <w:t xml:space="preserve">Retained trade-offs, coverage, and sensitivity to </w:t>
            </w:r>
            <m:oMath>
              <m:r>
                <w:rPr>
                  <w:rFonts w:ascii="Cambria Math" w:hAnsi="Cambria Math"/>
                </w:rPr>
                <m:t>ϵ</m:t>
              </m:r>
            </m:oMath>
          </w:p>
        </w:tc>
      </w:tr>
      <w:tr w:rsidR="00314867" w14:paraId="6A670244" w14:textId="77777777">
        <w:trPr>
          <w:cantSplit/>
          <w:jc w:val="center"/>
        </w:trPr>
        <w:tc>
          <w:tcPr>
            <w:tcW w:w="3240" w:type="dxa"/>
            <w:shd w:val="clear" w:color="auto" w:fill="FFFFFF"/>
            <w:tcMar>
              <w:top w:w="80" w:type="dxa"/>
              <w:left w:w="85" w:type="dxa"/>
              <w:bottom w:w="80" w:type="dxa"/>
              <w:right w:w="85" w:type="dxa"/>
            </w:tcMar>
            <w:vAlign w:val="center"/>
          </w:tcPr>
          <w:p w14:paraId="0638A827" w14:textId="77777777" w:rsidR="00314867" w:rsidRDefault="00000000">
            <w:pPr>
              <w:keepLines/>
              <w:spacing w:after="0" w:line="247" w:lineRule="auto"/>
              <w:jc w:val="left"/>
              <w:rPr>
                <w:rFonts w:hint="eastAsia"/>
              </w:rPr>
            </w:pPr>
            <w:r>
              <w:rPr>
                <w:sz w:val="21"/>
              </w:rPr>
              <w:t>Frozen versus adaptive retrieval metric</w:t>
            </w:r>
          </w:p>
        </w:tc>
        <w:tc>
          <w:tcPr>
            <w:tcW w:w="3240" w:type="dxa"/>
            <w:shd w:val="clear" w:color="auto" w:fill="FFFFFF"/>
            <w:tcMar>
              <w:top w:w="80" w:type="dxa"/>
              <w:left w:w="85" w:type="dxa"/>
              <w:bottom w:w="80" w:type="dxa"/>
              <w:right w:w="85" w:type="dxa"/>
            </w:tcMar>
            <w:vAlign w:val="center"/>
          </w:tcPr>
          <w:p w14:paraId="4697967E" w14:textId="77777777" w:rsidR="00314867" w:rsidRDefault="00000000">
            <w:pPr>
              <w:keepLines/>
              <w:spacing w:after="0" w:line="247" w:lineRule="auto"/>
              <w:jc w:val="left"/>
              <w:rPr>
                <w:rFonts w:hint="eastAsia"/>
              </w:rPr>
            </w:pPr>
            <w:r>
              <w:rPr>
                <w:sz w:val="21"/>
              </w:rPr>
              <w:t>Target, proposal accounting, evaluator budget</w:t>
            </w:r>
          </w:p>
        </w:tc>
        <w:tc>
          <w:tcPr>
            <w:tcW w:w="3456" w:type="dxa"/>
            <w:shd w:val="clear" w:color="auto" w:fill="FFFFFF"/>
            <w:tcMar>
              <w:top w:w="80" w:type="dxa"/>
              <w:left w:w="85" w:type="dxa"/>
              <w:bottom w:w="80" w:type="dxa"/>
              <w:right w:w="85" w:type="dxa"/>
            </w:tcMar>
            <w:vAlign w:val="center"/>
          </w:tcPr>
          <w:p w14:paraId="40752DB3" w14:textId="77777777" w:rsidR="00314867" w:rsidRDefault="00000000">
            <w:pPr>
              <w:keepLines/>
              <w:spacing w:after="0" w:line="247" w:lineRule="auto"/>
              <w:jc w:val="left"/>
              <w:rPr>
                <w:rFonts w:hint="eastAsia"/>
              </w:rPr>
            </w:pPr>
            <w:r>
              <w:rPr>
                <w:sz w:val="21"/>
              </w:rPr>
              <w:t>Calibration, coverage, and cost per verified design</w:t>
            </w:r>
          </w:p>
        </w:tc>
      </w:tr>
      <w:tr w:rsidR="00314867" w14:paraId="2E64093B" w14:textId="77777777">
        <w:trPr>
          <w:cantSplit/>
          <w:jc w:val="center"/>
        </w:trPr>
        <w:tc>
          <w:tcPr>
            <w:tcW w:w="3240" w:type="dxa"/>
            <w:shd w:val="clear" w:color="auto" w:fill="FFFFFF"/>
            <w:tcMar>
              <w:top w:w="80" w:type="dxa"/>
              <w:left w:w="85" w:type="dxa"/>
              <w:bottom w:w="80" w:type="dxa"/>
              <w:right w:w="85" w:type="dxa"/>
            </w:tcMar>
            <w:vAlign w:val="center"/>
          </w:tcPr>
          <w:p w14:paraId="0CCEED88" w14:textId="77777777" w:rsidR="00314867" w:rsidRDefault="00000000">
            <w:pPr>
              <w:keepLines/>
              <w:spacing w:after="0" w:line="247" w:lineRule="auto"/>
              <w:jc w:val="left"/>
              <w:rPr>
                <w:rFonts w:hint="eastAsia"/>
              </w:rPr>
            </w:pPr>
            <w:r>
              <w:rPr>
                <w:sz w:val="21"/>
              </w:rPr>
              <w:t>Memory prompt versus fresh reference starts</w:t>
            </w:r>
          </w:p>
        </w:tc>
        <w:tc>
          <w:tcPr>
            <w:tcW w:w="3240" w:type="dxa"/>
            <w:shd w:val="clear" w:color="auto" w:fill="FFFFFF"/>
            <w:tcMar>
              <w:top w:w="80" w:type="dxa"/>
              <w:left w:w="85" w:type="dxa"/>
              <w:bottom w:w="80" w:type="dxa"/>
              <w:right w:w="85" w:type="dxa"/>
            </w:tcMar>
            <w:vAlign w:val="center"/>
          </w:tcPr>
          <w:p w14:paraId="797B336C" w14:textId="77777777" w:rsidR="00314867" w:rsidRDefault="00000000">
            <w:pPr>
              <w:keepLines/>
              <w:spacing w:after="0" w:line="247" w:lineRule="auto"/>
              <w:jc w:val="left"/>
              <w:rPr>
                <w:rFonts w:hint="eastAsia"/>
              </w:rPr>
            </w:pPr>
            <w:r>
              <w:rPr>
                <w:sz w:val="21"/>
              </w:rPr>
              <w:t>Target project, reevaluation rules, budget</w:t>
            </w:r>
          </w:p>
        </w:tc>
        <w:tc>
          <w:tcPr>
            <w:tcW w:w="3456" w:type="dxa"/>
            <w:shd w:val="clear" w:color="auto" w:fill="FFFFFF"/>
            <w:tcMar>
              <w:top w:w="80" w:type="dxa"/>
              <w:left w:w="85" w:type="dxa"/>
              <w:bottom w:w="80" w:type="dxa"/>
              <w:right w:w="85" w:type="dxa"/>
            </w:tcMar>
            <w:vAlign w:val="center"/>
          </w:tcPr>
          <w:p w14:paraId="0670BF35" w14:textId="77777777" w:rsidR="00314867" w:rsidRDefault="00000000">
            <w:pPr>
              <w:keepLines/>
              <w:spacing w:after="0" w:line="247" w:lineRule="auto"/>
              <w:jc w:val="left"/>
              <w:rPr>
                <w:rFonts w:hint="eastAsia"/>
              </w:rPr>
            </w:pPr>
            <w:r>
              <w:rPr>
                <w:sz w:val="21"/>
              </w:rPr>
              <w:t>Early performance, transfer loss, and final coverage</w:t>
            </w:r>
          </w:p>
        </w:tc>
      </w:tr>
      <w:tr w:rsidR="00314867" w14:paraId="208BAEBF" w14:textId="77777777">
        <w:trPr>
          <w:cantSplit/>
          <w:jc w:val="center"/>
        </w:trPr>
        <w:tc>
          <w:tcPr>
            <w:tcW w:w="3240" w:type="dxa"/>
            <w:shd w:val="clear" w:color="auto" w:fill="FFFFFF"/>
            <w:tcMar>
              <w:top w:w="80" w:type="dxa"/>
              <w:left w:w="85" w:type="dxa"/>
              <w:bottom w:w="80" w:type="dxa"/>
              <w:right w:w="85" w:type="dxa"/>
            </w:tcMar>
            <w:vAlign w:val="center"/>
          </w:tcPr>
          <w:p w14:paraId="4EC2E005" w14:textId="77777777" w:rsidR="00314867" w:rsidRDefault="00000000">
            <w:pPr>
              <w:keepLines/>
              <w:spacing w:after="0" w:line="247" w:lineRule="auto"/>
              <w:jc w:val="left"/>
              <w:rPr>
                <w:rFonts w:hint="eastAsia"/>
              </w:rPr>
            </w:pPr>
            <w:r>
              <w:rPr>
                <w:sz w:val="21"/>
              </w:rPr>
              <w:t>Index-only versus uncertainty-driven evaluations</w:t>
            </w:r>
          </w:p>
        </w:tc>
        <w:tc>
          <w:tcPr>
            <w:tcW w:w="3240" w:type="dxa"/>
            <w:shd w:val="clear" w:color="auto" w:fill="FFFFFF"/>
            <w:tcMar>
              <w:top w:w="80" w:type="dxa"/>
              <w:left w:w="85" w:type="dxa"/>
              <w:bottom w:w="80" w:type="dxa"/>
              <w:right w:w="85" w:type="dxa"/>
            </w:tcMar>
            <w:vAlign w:val="center"/>
          </w:tcPr>
          <w:p w14:paraId="2518F383" w14:textId="77777777" w:rsidR="00314867" w:rsidRDefault="00000000">
            <w:pPr>
              <w:keepLines/>
              <w:spacing w:after="0" w:line="247" w:lineRule="auto"/>
              <w:jc w:val="left"/>
              <w:rPr>
                <w:rFonts w:hint="eastAsia"/>
              </w:rPr>
            </w:pPr>
            <w:r>
              <w:rPr>
                <w:sz w:val="21"/>
              </w:rPr>
              <w:t>Candidate mechanism and total evaluator cost</w:t>
            </w:r>
          </w:p>
        </w:tc>
        <w:tc>
          <w:tcPr>
            <w:tcW w:w="3456" w:type="dxa"/>
            <w:shd w:val="clear" w:color="auto" w:fill="FFFFFF"/>
            <w:tcMar>
              <w:top w:w="80" w:type="dxa"/>
              <w:left w:w="85" w:type="dxa"/>
              <w:bottom w:w="80" w:type="dxa"/>
              <w:right w:w="85" w:type="dxa"/>
            </w:tcMar>
            <w:vAlign w:val="center"/>
          </w:tcPr>
          <w:p w14:paraId="4942BE4F" w14:textId="77777777" w:rsidR="00314867" w:rsidRDefault="00000000">
            <w:pPr>
              <w:keepLines/>
              <w:spacing w:after="0" w:line="247" w:lineRule="auto"/>
              <w:jc w:val="left"/>
              <w:rPr>
                <w:rFonts w:hint="eastAsia"/>
              </w:rPr>
            </w:pPr>
            <w:r>
              <w:rPr>
                <w:sz w:val="21"/>
              </w:rPr>
              <w:t>Verified utility per cost; observation-probability diagnostics</w:t>
            </w:r>
          </w:p>
        </w:tc>
      </w:tr>
      <w:tr w:rsidR="00314867" w14:paraId="3DBE5CFD" w14:textId="77777777">
        <w:trPr>
          <w:cantSplit/>
          <w:jc w:val="center"/>
        </w:trPr>
        <w:tc>
          <w:tcPr>
            <w:tcW w:w="3240" w:type="dxa"/>
            <w:shd w:val="clear" w:color="auto" w:fill="FFFFFF"/>
            <w:tcMar>
              <w:top w:w="80" w:type="dxa"/>
              <w:left w:w="85" w:type="dxa"/>
              <w:bottom w:w="80" w:type="dxa"/>
              <w:right w:w="85" w:type="dxa"/>
            </w:tcMar>
            <w:vAlign w:val="center"/>
          </w:tcPr>
          <w:p w14:paraId="29BBAB42" w14:textId="77777777" w:rsidR="00314867" w:rsidRDefault="00000000">
            <w:pPr>
              <w:keepLines/>
              <w:spacing w:after="0" w:line="247" w:lineRule="auto"/>
              <w:jc w:val="left"/>
              <w:rPr>
                <w:rFonts w:hint="eastAsia"/>
              </w:rPr>
            </w:pPr>
            <w:r>
              <w:rPr>
                <w:sz w:val="21"/>
              </w:rPr>
              <w:t>Fixed versus revised harness</w:t>
            </w:r>
          </w:p>
        </w:tc>
        <w:tc>
          <w:tcPr>
            <w:tcW w:w="3240" w:type="dxa"/>
            <w:shd w:val="clear" w:color="auto" w:fill="FFFFFF"/>
            <w:tcMar>
              <w:top w:w="80" w:type="dxa"/>
              <w:left w:w="85" w:type="dxa"/>
              <w:bottom w:w="80" w:type="dxa"/>
              <w:right w:w="85" w:type="dxa"/>
            </w:tcMar>
            <w:vAlign w:val="center"/>
          </w:tcPr>
          <w:p w14:paraId="1FA5BC99" w14:textId="77777777" w:rsidR="00314867" w:rsidRDefault="00000000">
            <w:pPr>
              <w:keepLines/>
              <w:spacing w:after="0" w:line="247" w:lineRule="auto"/>
              <w:jc w:val="left"/>
              <w:rPr>
                <w:rFonts w:hint="eastAsia"/>
              </w:rPr>
            </w:pPr>
            <w:r>
              <w:rPr>
                <w:sz w:val="21"/>
              </w:rPr>
              <w:t>Fixed backbone and fresh admission-test policy</w:t>
            </w:r>
          </w:p>
        </w:tc>
        <w:tc>
          <w:tcPr>
            <w:tcW w:w="3456" w:type="dxa"/>
            <w:shd w:val="clear" w:color="auto" w:fill="FFFFFF"/>
            <w:tcMar>
              <w:top w:w="80" w:type="dxa"/>
              <w:left w:w="85" w:type="dxa"/>
              <w:bottom w:w="80" w:type="dxa"/>
              <w:right w:w="85" w:type="dxa"/>
            </w:tcMar>
            <w:vAlign w:val="center"/>
          </w:tcPr>
          <w:p w14:paraId="34410735" w14:textId="77777777" w:rsidR="00314867" w:rsidRDefault="00000000">
            <w:pPr>
              <w:keepLines/>
              <w:spacing w:after="0" w:line="247" w:lineRule="auto"/>
              <w:jc w:val="left"/>
              <w:rPr>
                <w:rFonts w:hint="eastAsia"/>
              </w:rPr>
            </w:pPr>
            <w:r>
              <w:rPr>
                <w:sz w:val="21"/>
              </w:rPr>
              <w:t>Joint pass rate, regression rate, execution cost, and provenance completeness</w:t>
            </w:r>
          </w:p>
        </w:tc>
      </w:tr>
    </w:tbl>
    <w:p w14:paraId="4B021C7E" w14:textId="77777777" w:rsidR="00314867" w:rsidRDefault="00000000">
      <w:pPr>
        <w:pStyle w:val="BodyText"/>
        <w:spacing w:before="140"/>
        <w:rPr>
          <w:rFonts w:hint="eastAsia"/>
        </w:rPr>
      </w:pPr>
      <w:r>
        <w:t>The comparison reference for IGD+ must be held fixed across runs and independent of the method being scored, or its construction and uncertainty must be reported. For mixed variables, disclose counting measures and actual decoded probabilities. Record both quality per attempted proposal and quality per expensive evaluation. Include wall-clock latency and tool failures when reporting practical automation.</w:t>
      </w:r>
    </w:p>
    <w:p w14:paraId="2B0BEBA9" w14:textId="77777777" w:rsidR="00314867" w:rsidRDefault="00000000">
      <w:pPr>
        <w:pStyle w:val="Heading1"/>
        <w:rPr>
          <w:rFonts w:hint="eastAsia"/>
        </w:rPr>
      </w:pPr>
      <w:bookmarkStart w:id="40" w:name="Xb04b6d7eec97f0dfb5c2d2e7e930cd651bea012"/>
      <w:bookmarkEnd w:id="36"/>
      <w:bookmarkEnd w:id="39"/>
      <w:r>
        <w:t>14 Engineering scope and open mathematical problems</w:t>
      </w:r>
    </w:p>
    <w:p w14:paraId="035C7CBA" w14:textId="77777777" w:rsidR="00314867" w:rsidRDefault="00000000">
      <w:pPr>
        <w:pStyle w:val="FirstParagraph"/>
        <w:rPr>
          <w:rFonts w:hint="eastAsia"/>
        </w:rPr>
      </w:pPr>
      <w:r>
        <w:t>The results identify targets, losses, and estimators under explicit contracts. They do not prove that every denoising update improves every objective, that a changing archive has an independent-sample depth limit, or that a finite sequence of fused means samples a Gibbs law. Efficient numerical design also depends on constraint handling, decoder geometry, tool reliability, and adequate exploration of feasible components.</w:t>
      </w:r>
    </w:p>
    <w:p w14:paraId="0E29A63E" w14:textId="77777777" w:rsidR="00314867" w:rsidRDefault="00000000">
      <w:pPr>
        <w:pStyle w:val="BodyText"/>
        <w:rPr>
          <w:rFonts w:hint="eastAsia"/>
        </w:rPr>
      </w:pPr>
      <w:r>
        <w:t>Three mathematical extensions are especially consequential. First, an adaptive Pareto-depth theorem would need conditions on dependent reference samples and their changing support. Second, a front-mass law would need the actual normal profile of the rank limit composed with the engineering objective map, including singular and boundary strata. Third, temperature, reference, metric, and evaluator adaptation would need joint uniform laws or a staged freeze-and-sample analysis. Theorems 5 and 6 address specific pieces rather than that entire coupled process.</w:t>
      </w:r>
    </w:p>
    <w:p w14:paraId="6EDB549D" w14:textId="77777777" w:rsidR="00314867" w:rsidRDefault="00000000">
      <w:pPr>
        <w:pStyle w:val="BodyText"/>
        <w:rPr>
          <w:rFonts w:hint="eastAsia"/>
        </w:rPr>
      </w:pPr>
      <w:r>
        <w:t>The neuroscience provides bounded functional support for separate channels, sequential combination, and uncertainty-sensitive information use. The harness provides the executable framework in which these design ideas can be tested. Engineering acceptance remains attached to the exact verified artifact, its assumptions, and the governing project requirements.</w:t>
      </w:r>
    </w:p>
    <w:p w14:paraId="6F49FECC" w14:textId="77777777" w:rsidR="00314867" w:rsidRDefault="00000000">
      <w:pPr>
        <w:pStyle w:val="Heading1"/>
        <w:rPr>
          <w:rFonts w:hint="eastAsia"/>
        </w:rPr>
      </w:pPr>
      <w:bookmarkStart w:id="41" w:name="references"/>
      <w:bookmarkEnd w:id="40"/>
      <w:r>
        <w:lastRenderedPageBreak/>
        <w:t>References</w:t>
      </w:r>
    </w:p>
    <w:p w14:paraId="04C0CA61" w14:textId="77777777" w:rsidR="00314867" w:rsidRDefault="00000000">
      <w:pPr>
        <w:pStyle w:val="FirstParagraph"/>
        <w:keepLines/>
        <w:spacing w:after="140"/>
        <w:ind w:left="360" w:hanging="360"/>
        <w:jc w:val="left"/>
        <w:rPr>
          <w:rFonts w:hint="eastAsia"/>
        </w:rPr>
      </w:pPr>
      <w:r>
        <w:rPr>
          <w:sz w:val="21"/>
        </w:rPr>
        <w:t>[1] Zhang, Y., Hartl, B., Hazan, H., and Levin, M. (2025). Diffusion Models are Evolutionary Algorithms. ICLR 2025. https://arxiv.org/abs/2410.02543</w:t>
      </w:r>
    </w:p>
    <w:p w14:paraId="73209EDC" w14:textId="77777777" w:rsidR="00314867" w:rsidRDefault="00000000">
      <w:pPr>
        <w:pStyle w:val="BodyText"/>
        <w:keepLines/>
        <w:spacing w:after="140"/>
        <w:ind w:left="360" w:hanging="360"/>
        <w:jc w:val="left"/>
        <w:rPr>
          <w:rFonts w:hint="eastAsia"/>
        </w:rPr>
      </w:pPr>
      <w:r>
        <w:rPr>
          <w:sz w:val="21"/>
        </w:rPr>
        <w:t>[2] Ghosh, D. P. (2026). ResearchOverFlow: AutoregressiveDiffusionEvolution research collection, October 2026. https://github.com/debiprasadghosh/ResearchOverFlow/tree/main/October2026/AutoregressiveDiffusionEvolution</w:t>
      </w:r>
    </w:p>
    <w:p w14:paraId="457B63E5" w14:textId="77777777" w:rsidR="00314867" w:rsidRDefault="00000000">
      <w:pPr>
        <w:pStyle w:val="BodyText"/>
        <w:keepLines/>
        <w:spacing w:after="140"/>
        <w:ind w:left="360" w:hanging="360"/>
        <w:jc w:val="left"/>
        <w:rPr>
          <w:rFonts w:hint="eastAsia"/>
        </w:rPr>
      </w:pPr>
      <w:r>
        <w:rPr>
          <w:sz w:val="21"/>
        </w:rPr>
        <w:t>[3] Ghosh, D. P. (2026). Objectives as Modalities. Revised manuscript, 17 October 2026.</w:t>
      </w:r>
    </w:p>
    <w:p w14:paraId="29B41957" w14:textId="77777777" w:rsidR="00314867" w:rsidRDefault="00000000">
      <w:pPr>
        <w:pStyle w:val="BodyText"/>
        <w:keepLines/>
        <w:spacing w:after="140"/>
        <w:ind w:left="360" w:hanging="360"/>
        <w:jc w:val="left"/>
        <w:rPr>
          <w:rFonts w:hint="eastAsia"/>
        </w:rPr>
      </w:pPr>
      <w:r>
        <w:rPr>
          <w:sz w:val="21"/>
        </w:rPr>
        <w:t>[4] Bissiri, P. G., Holmes, C. C., and Walker, S. G. (2016). A general framework for updating belief distributions. Journal of the Royal Statistical Society: Series B, 78(5), 1103–1130. https://doi.org/10.1111/rssb.12158</w:t>
      </w:r>
    </w:p>
    <w:p w14:paraId="7D3CED94" w14:textId="77777777" w:rsidR="00314867" w:rsidRDefault="00000000">
      <w:pPr>
        <w:pStyle w:val="BodyText"/>
        <w:keepLines/>
        <w:spacing w:after="140"/>
        <w:ind w:left="360" w:hanging="360"/>
        <w:jc w:val="left"/>
        <w:rPr>
          <w:rFonts w:hint="eastAsia"/>
        </w:rPr>
      </w:pPr>
      <w:r>
        <w:rPr>
          <w:sz w:val="21"/>
        </w:rPr>
        <w:t>[5] Calder, J., Esedoglu, S., and Hero, A. O. (2014). A Hamilton–Jacobi equation for the continuum limit of non-dominated sorting. SIAM Journal on Mathematical Analysis, 46(1), 603–638. https://arxiv.org/abs/1302.5828</w:t>
      </w:r>
    </w:p>
    <w:p w14:paraId="257331D7" w14:textId="77777777" w:rsidR="00314867" w:rsidRDefault="00000000">
      <w:pPr>
        <w:pStyle w:val="BodyText"/>
        <w:keepLines/>
        <w:spacing w:after="140"/>
        <w:ind w:left="360" w:hanging="360"/>
        <w:jc w:val="left"/>
        <w:rPr>
          <w:rFonts w:hint="eastAsia"/>
        </w:rPr>
      </w:pPr>
      <w:r>
        <w:rPr>
          <w:sz w:val="21"/>
        </w:rPr>
        <w:t>[6] Yan, X., and Jin, Y. (2024). EmoDM: A Diffusion Model for Evolutionary Multi-objective Optimization. arXiv:2401.15931v2. https://arxiv.org/abs/2401.15931</w:t>
      </w:r>
    </w:p>
    <w:p w14:paraId="4F4BCE4F" w14:textId="77777777" w:rsidR="00314867" w:rsidRDefault="00000000">
      <w:pPr>
        <w:pStyle w:val="BodyText"/>
        <w:keepLines/>
        <w:spacing w:after="140"/>
        <w:ind w:left="360" w:hanging="360"/>
        <w:jc w:val="left"/>
        <w:rPr>
          <w:rFonts w:hint="eastAsia"/>
        </w:rPr>
      </w:pPr>
      <w:r>
        <w:rPr>
          <w:sz w:val="21"/>
        </w:rPr>
        <w:t>[7] Paninski, L. (2003). Estimation of entropy and mutual information. Neural Computation, 15(6), 1191–1253. https://doi.org/10.1162/089976603321780272</w:t>
      </w:r>
    </w:p>
    <w:p w14:paraId="2A36984C" w14:textId="77777777" w:rsidR="00314867" w:rsidRDefault="00000000">
      <w:pPr>
        <w:pStyle w:val="BodyText"/>
        <w:keepLines/>
        <w:spacing w:after="140"/>
        <w:ind w:left="360" w:hanging="360"/>
        <w:jc w:val="left"/>
        <w:rPr>
          <w:rFonts w:hint="eastAsia"/>
        </w:rPr>
      </w:pPr>
      <w:r>
        <w:rPr>
          <w:sz w:val="21"/>
        </w:rPr>
        <w:t>[8] Ishibuchi, H., Masuda, H., Tanigaki, Y., and Nojima, Y. (2015). Modified Distance Calculation in Generational Distance and Inverted Generational Distance. EMO 2015, LNCS 9019, 110–125. https://doi.org/10.1007/978-3-319-15892-1_8</w:t>
      </w:r>
    </w:p>
    <w:p w14:paraId="0B7D6F28" w14:textId="77777777" w:rsidR="00314867" w:rsidRDefault="00000000">
      <w:pPr>
        <w:pStyle w:val="BodyText"/>
        <w:keepLines/>
        <w:spacing w:after="140"/>
        <w:ind w:left="360" w:hanging="360"/>
        <w:jc w:val="left"/>
        <w:rPr>
          <w:rFonts w:hint="eastAsia"/>
        </w:rPr>
      </w:pPr>
      <w:r>
        <w:rPr>
          <w:sz w:val="21"/>
        </w:rPr>
        <w:t>[9] Grabenhorst, F., and Báez-Mendoza, R. (2025). Dynamic coding and sequential integration of multiple reward attributes by primate amygdala neurons. Nature Communications, 16, 3119. https://doi.org/10.1038/s41467-025-58270-y</w:t>
      </w:r>
    </w:p>
    <w:p w14:paraId="661E1950" w14:textId="77777777" w:rsidR="00314867" w:rsidRDefault="00000000">
      <w:pPr>
        <w:pStyle w:val="BodyText"/>
        <w:keepLines/>
        <w:spacing w:after="140"/>
        <w:ind w:left="360" w:hanging="360"/>
        <w:jc w:val="left"/>
        <w:rPr>
          <w:rFonts w:hint="eastAsia"/>
        </w:rPr>
      </w:pPr>
      <w:r>
        <w:rPr>
          <w:sz w:val="21"/>
        </w:rPr>
        <w:t>[10] Liu, S., Holland, T., Ma, W. J., and Acerbi, L. (2026). Distilling noise characteristics and prior expectations in multisensory causal inference. PLOS Computational Biology, 22(5), e1014251. https://doi.org/10.1371/journal.pcbi.1014251</w:t>
      </w:r>
    </w:p>
    <w:p w14:paraId="2BBDEC5A" w14:textId="77777777" w:rsidR="00314867" w:rsidRDefault="00000000">
      <w:pPr>
        <w:pStyle w:val="BodyText"/>
        <w:keepLines/>
        <w:spacing w:after="140"/>
        <w:ind w:left="360" w:hanging="360"/>
        <w:jc w:val="left"/>
        <w:rPr>
          <w:rFonts w:hint="eastAsia"/>
        </w:rPr>
      </w:pPr>
      <w:r>
        <w:rPr>
          <w:sz w:val="21"/>
        </w:rPr>
        <w:t>[11] Frank, D., et al. (2026). Human hippocampal ripples tune cortical responses based on predicted uncertainty. Nature Neuroscience, 29, 1987–1998. Published online 25 June 2026. https://doi.org/10.1038/s41593-026-02345-6</w:t>
      </w:r>
    </w:p>
    <w:p w14:paraId="30210DD1" w14:textId="77777777" w:rsidR="00314867" w:rsidRDefault="00000000">
      <w:pPr>
        <w:pStyle w:val="BodyText"/>
        <w:keepLines/>
        <w:spacing w:after="140"/>
        <w:ind w:left="360" w:hanging="360"/>
        <w:jc w:val="left"/>
        <w:rPr>
          <w:rFonts w:hint="eastAsia"/>
        </w:rPr>
      </w:pPr>
      <w:r>
        <w:rPr>
          <w:sz w:val="21"/>
        </w:rPr>
        <w:t>[12] Wei, C., Guan, H., Zhu, M., Zhou, K., He, J., Zhou, X., Chen, H., and Shen, Y. (2026). Self-Evolving Agent Harness. arXiv:2610.18813v1, 13 October. Preprint. https://arxiv.org/abs/2610.18813</w:t>
      </w:r>
    </w:p>
    <w:p w14:paraId="7F1BCB96" w14:textId="77777777" w:rsidR="00314867" w:rsidRDefault="00000000">
      <w:pPr>
        <w:pStyle w:val="BodyText"/>
        <w:keepLines/>
        <w:spacing w:after="140"/>
        <w:ind w:left="360" w:hanging="360"/>
        <w:jc w:val="left"/>
        <w:rPr>
          <w:rFonts w:hint="eastAsia"/>
        </w:rPr>
      </w:pPr>
      <w:r>
        <w:rPr>
          <w:sz w:val="21"/>
        </w:rPr>
        <w:t>[13] Yu, W., Miculicich, L., Mishra, B. D., Chen, J., Li, S., Fredrikson, M., Pfister, T., and Le, L. T. (2026). Harmony Harness: Multi-Objective Self-Evolution of Agent Harnesses. arXiv:2610.15150v1, 10 October. Preprint. https://arxiv.org/abs/2610.15150</w:t>
      </w:r>
    </w:p>
    <w:p w14:paraId="685E3054" w14:textId="77777777" w:rsidR="00314867" w:rsidRDefault="00000000">
      <w:pPr>
        <w:pStyle w:val="BodyText"/>
        <w:keepLines/>
        <w:spacing w:after="140"/>
        <w:ind w:left="360" w:hanging="360"/>
        <w:jc w:val="left"/>
        <w:rPr>
          <w:rFonts w:hint="eastAsia"/>
        </w:rPr>
      </w:pPr>
      <w:r>
        <w:rPr>
          <w:sz w:val="21"/>
        </w:rPr>
        <w:t>[14] Ghosh, D. P. (2026). The Geometry of Fusion. Supplied revised manuscript dated 16 October 2026. Source of the reported ZDT summaries in Section 13.2.</w:t>
      </w:r>
    </w:p>
    <w:p w14:paraId="0070E3A8" w14:textId="77777777" w:rsidR="00314867" w:rsidRDefault="00000000">
      <w:pPr>
        <w:pStyle w:val="Heading1"/>
        <w:rPr>
          <w:rFonts w:hint="eastAsia"/>
        </w:rPr>
      </w:pPr>
      <w:bookmarkStart w:id="42" w:name="appendix-a-executed-reference-kernels"/>
      <w:bookmarkEnd w:id="41"/>
      <w:r>
        <w:t>Appendix A Executed reference kernels</w:t>
      </w:r>
    </w:p>
    <w:p w14:paraId="05DA4F0B" w14:textId="77777777" w:rsidR="00314867" w:rsidRDefault="00000000">
      <w:pPr>
        <w:pStyle w:val="FirstParagraph"/>
        <w:rPr>
          <w:rFonts w:hint="eastAsia"/>
        </w:rPr>
      </w:pPr>
      <w:r>
        <w:t xml:space="preserve">The following Python kernels implement the mathematical operations used in Section 13. The two-dimensional chain function uses ascending first coordinate and descending second coordinate before a strict longest-increasing-subsequence scan. This prevents tied first coordinates from extending a strict chain. The finite-rank function uses Pareto dominance with at least one strict coordinate and gives duplicates the same rank. These are deliberately different conventions for tied discrete inputs. </w:t>
      </w:r>
      <w:r>
        <w:lastRenderedPageBreak/>
        <w:t>All numerical inputs must be finite and have the declared dimensions; every evidence head must have nonzero mass. The checks ran with Python 3.12.14, NumPy 2.3.5, and SciPy 1.17.0.</w:t>
      </w:r>
    </w:p>
    <w:p w14:paraId="23171684" w14:textId="77777777" w:rsidR="00314867" w:rsidRDefault="00000000">
      <w:pPr>
        <w:pStyle w:val="SourceCode"/>
        <w:keepLines/>
        <w:spacing w:before="80" w:after="80"/>
        <w:rPr>
          <w:rFonts w:hint="eastAsia"/>
        </w:rPr>
      </w:pPr>
      <w:r>
        <w:t>"""Reference kernels for The Geometry of Fusion; Python 3 + NumPy."""</w:t>
      </w:r>
      <w:r>
        <w:br/>
        <w:t>from bisect import bisect_left</w:t>
      </w:r>
      <w:r>
        <w:br/>
        <w:t>import numpy as np</w:t>
      </w:r>
    </w:p>
    <w:p w14:paraId="47C789CC" w14:textId="77777777" w:rsidR="00314867" w:rsidRDefault="00000000">
      <w:pPr>
        <w:pStyle w:val="SourceCode"/>
        <w:keepLines/>
        <w:spacing w:before="80" w:after="80"/>
        <w:rPr>
          <w:rFonts w:hint="eastAsia"/>
        </w:rPr>
      </w:pPr>
      <w:r>
        <w:br/>
        <w:t>def depth2(points, upper):</w:t>
      </w:r>
      <w:r>
        <w:br/>
        <w:t xml:space="preserve">    """Strict-coordinate chain length, including coordinate ties safely."""</w:t>
      </w:r>
      <w:r>
        <w:br/>
        <w:t xml:space="preserve">    p = np.asarray(points, dtype=float).reshape(-1, 2)</w:t>
      </w:r>
      <w:r>
        <w:br/>
        <w:t xml:space="preserve">    q = p[np.all(p &lt;= np.asarray(upper), axis=1)]</w:t>
      </w:r>
      <w:r>
        <w:br/>
        <w:t xml:space="preserve">    q = q[np.lexsort((-q[:, 1], q[:, 0]))]</w:t>
      </w:r>
      <w:r>
        <w:br/>
        <w:t xml:space="preserve">    tails = []</w:t>
      </w:r>
      <w:r>
        <w:br/>
        <w:t xml:space="preserve">    for y in q[:, 1]:</w:t>
      </w:r>
      <w:r>
        <w:br/>
        <w:t xml:space="preserve">        k = bisect_left(tails, y)</w:t>
      </w:r>
      <w:r>
        <w:br/>
        <w:t xml:space="preserve">        if k == len(tails):</w:t>
      </w:r>
      <w:r>
        <w:br/>
        <w:t xml:space="preserve">            tails.append(y)</w:t>
      </w:r>
      <w:r>
        <w:br/>
        <w:t xml:space="preserve">        else:</w:t>
      </w:r>
      <w:r>
        <w:br/>
        <w:t xml:space="preserve">            tails[k] = y</w:t>
      </w:r>
      <w:r>
        <w:br/>
        <w:t xml:space="preserve">    return len(tails)</w:t>
      </w:r>
    </w:p>
    <w:p w14:paraId="4CFE285E" w14:textId="77777777" w:rsidR="00314867" w:rsidRDefault="00000000">
      <w:pPr>
        <w:pStyle w:val="SourceCode"/>
        <w:keepLines/>
        <w:spacing w:before="80" w:after="80"/>
        <w:rPr>
          <w:rFonts w:hint="eastAsia"/>
        </w:rPr>
      </w:pPr>
      <w:r>
        <w:br/>
        <w:t>def ranks(f):</w:t>
      </w:r>
      <w:r>
        <w:br/>
        <w:t xml:space="preserve">    """Zero-based nondominated fronts; duplicates have equal rank."""</w:t>
      </w:r>
      <w:r>
        <w:br/>
        <w:t xml:space="preserve">    f = np.asarray(f, dtype=float)</w:t>
      </w:r>
      <w:r>
        <w:br/>
        <w:t xml:space="preserve">    if f.ndim != 2 or not np.all(np.isfinite(f)):</w:t>
      </w:r>
      <w:r>
        <w:br/>
        <w:t xml:space="preserve">        raise ValueError('expected a finite objective matrix')</w:t>
      </w:r>
      <w:r>
        <w:br/>
        <w:t xml:space="preserve">    dom = np.all(f[:, None] &lt;= f[None, :], axis=2)</w:t>
      </w:r>
      <w:r>
        <w:br/>
        <w:t xml:space="preserve">    dom &amp;= np.any(f[:, None] &lt; f[None, :], axis=2)</w:t>
      </w:r>
      <w:r>
        <w:br/>
        <w:t xml:space="preserve">    out = np.zeros(len(f), dtype=int)</w:t>
      </w:r>
      <w:r>
        <w:br/>
        <w:t xml:space="preserve">    for j in np.lexsort(f.T[::-1]):</w:t>
      </w:r>
      <w:r>
        <w:br/>
        <w:t xml:space="preserve">        parents = out[dom[:, j]]</w:t>
      </w:r>
      <w:r>
        <w:br/>
        <w:t xml:space="preserve">        if len(parents):</w:t>
      </w:r>
      <w:r>
        <w:br/>
        <w:t xml:space="preserve">            out[j] = 1 + parents.max()</w:t>
      </w:r>
      <w:r>
        <w:br/>
        <w:t xml:space="preserve">    return out</w:t>
      </w:r>
    </w:p>
    <w:p w14:paraId="4D5F8ACB" w14:textId="77777777" w:rsidR="00314867" w:rsidRDefault="00000000">
      <w:pPr>
        <w:pStyle w:val="SourceCode"/>
        <w:keepLines/>
        <w:spacing w:before="80" w:after="80"/>
        <w:rPr>
          <w:rFonts w:hint="eastAsia"/>
        </w:rPr>
      </w:pPr>
      <w:r>
        <w:br/>
        <w:t>def logsumexp(x):</w:t>
      </w:r>
      <w:r>
        <w:br/>
        <w:t xml:space="preserve">    x = np.asarray(x, dtype=float)</w:t>
      </w:r>
      <w:r>
        <w:br/>
        <w:t xml:space="preserve">    m = np.max(x)</w:t>
      </w:r>
      <w:r>
        <w:br/>
        <w:t xml:space="preserve">    if not np.isfinite(m):</w:t>
      </w:r>
      <w:r>
        <w:br/>
        <w:t xml:space="preserve">        raise ValueError('need finite nonzero mass')</w:t>
      </w:r>
      <w:r>
        <w:br/>
        <w:t xml:space="preserve">    return m + np.log(np.exp(x - m).sum())</w:t>
      </w:r>
    </w:p>
    <w:p w14:paraId="655C761F" w14:textId="77777777" w:rsidR="00314867" w:rsidRDefault="00000000">
      <w:pPr>
        <w:pStyle w:val="SourceCode"/>
        <w:keepLines/>
        <w:spacing w:before="80" w:after="80"/>
        <w:rPr>
          <w:rFonts w:hint="eastAsia"/>
        </w:rPr>
      </w:pPr>
      <w:r>
        <w:br/>
        <w:t>def evidence_read(y, logw, logkernel, preference):</w:t>
      </w:r>
      <w:r>
        <w:br/>
        <w:t xml:space="preserve">    """Normalized head evidences and posterior mixture origin mean."""</w:t>
      </w:r>
      <w:r>
        <w:br/>
        <w:t xml:space="preserve">    y, w = np.asarray(y), np.asarray(logw)</w:t>
      </w:r>
      <w:r>
        <w:br/>
        <w:t xml:space="preserve">    lam = np.asarray(preference, dtype=float)</w:t>
      </w:r>
      <w:r>
        <w:br/>
        <w:t xml:space="preserve">    if np.any(lam &lt;= 0) or not np.isclose(lam.sum(), 1):</w:t>
      </w:r>
      <w:r>
        <w:br/>
        <w:t xml:space="preserve">        raise ValueError('need a positive simplex preference')</w:t>
      </w:r>
      <w:r>
        <w:br/>
        <w:t xml:space="preserve">    a = w + np.asarray(logkernel)[None, :]</w:t>
      </w:r>
      <w:r>
        <w:br/>
        <w:t xml:space="preserve">    z = np.array([logsumexp(row) for row in w])</w:t>
      </w:r>
      <w:r>
        <w:br/>
        <w:t xml:space="preserve">    n = np.array([logsumexp(row) for row in a])</w:t>
      </w:r>
      <w:r>
        <w:br/>
        <w:t xml:space="preserve">    gate = np.log(lam) + n - z</w:t>
      </w:r>
      <w:r>
        <w:br/>
        <w:t xml:space="preserve">    gate = np.exp(gate - logsumexp(gate))</w:t>
      </w:r>
      <w:r>
        <w:br/>
        <w:t xml:space="preserve">    heads = np.exp(a - n[:, None]) @ y</w:t>
      </w:r>
      <w:r>
        <w:br/>
        <w:t xml:space="preserve">    return gate @ heads, gate</w:t>
      </w:r>
    </w:p>
    <w:p w14:paraId="272C5E14" w14:textId="77777777" w:rsidR="00314867" w:rsidRDefault="00000000">
      <w:pPr>
        <w:pStyle w:val="SourceCode"/>
        <w:keepLines/>
        <w:spacing w:before="80" w:after="80"/>
        <w:rPr>
          <w:rFonts w:hint="eastAsia"/>
        </w:rPr>
      </w:pPr>
      <w:r>
        <w:lastRenderedPageBreak/>
        <w:br/>
        <w:t>def cone(f, epsilon):</w:t>
      </w:r>
      <w:r>
        <w:br/>
        <w:t xml:space="preserve">    f = np.asarray(f, dtype=float)</w:t>
      </w:r>
      <w:r>
        <w:br/>
        <w:t xml:space="preserve">    if epsilon &lt;= 0:</w:t>
      </w:r>
      <w:r>
        <w:br/>
        <w:t xml:space="preserve">        raise ValueError('epsilon must be positive')</w:t>
      </w:r>
      <w:r>
        <w:br/>
        <w:t xml:space="preserve">    return f + epsilon * f.sum(axis=-1, keepdims=True)</w:t>
      </w:r>
    </w:p>
    <w:p w14:paraId="6C21DE6F" w14:textId="77777777" w:rsidR="00314867" w:rsidRDefault="00000000">
      <w:pPr>
        <w:pStyle w:val="SourceCode"/>
        <w:keepLines/>
        <w:spacing w:before="80" w:after="80"/>
        <w:rPr>
          <w:rFonts w:hint="eastAsia"/>
        </w:rPr>
      </w:pPr>
      <w:r>
        <w:br/>
        <w:t>def igd_plus(f, reference):</w:t>
      </w:r>
      <w:r>
        <w:br/>
        <w:t xml:space="preserve">    f, v = np.asarray(f), np.asarray(reference)</w:t>
      </w:r>
      <w:r>
        <w:br/>
        <w:t xml:space="preserve">    d = np.linalg.norm(np.maximum(f[None, :] - v[:, None], 0),</w:t>
      </w:r>
      <w:r>
        <w:br/>
        <w:t xml:space="preserve">                       axis=2)</w:t>
      </w:r>
      <w:r>
        <w:br/>
        <w:t xml:space="preserve">    return d.min(axis=1).mean()</w:t>
      </w:r>
    </w:p>
    <w:p w14:paraId="6A5F38DD" w14:textId="77777777" w:rsidR="00314867" w:rsidRDefault="00000000">
      <w:pPr>
        <w:pStyle w:val="Heading1"/>
        <w:rPr>
          <w:rFonts w:hint="eastAsia"/>
        </w:rPr>
      </w:pPr>
      <w:bookmarkStart w:id="43" w:name="appendix-b-reproduction-driver"/>
      <w:bookmarkEnd w:id="42"/>
      <w:r>
        <w:t>Appendix B Reproduction driver</w:t>
      </w:r>
    </w:p>
    <w:p w14:paraId="62156FE4" w14:textId="77777777" w:rsidR="00314867" w:rsidRDefault="00000000">
      <w:pPr>
        <w:pStyle w:val="FirstParagraph"/>
        <w:rPr>
          <w:rFonts w:hint="eastAsia"/>
        </w:rPr>
      </w:pPr>
      <w:r>
        <w:t xml:space="preserve">Save Appendix A as </w:t>
      </w:r>
      <w:r>
        <w:rPr>
          <w:rStyle w:val="VerbatimChar"/>
        </w:rPr>
        <w:t>reference.py</w:t>
      </w:r>
      <w:r>
        <w:t xml:space="preserve"> and the listing below as </w:t>
      </w:r>
      <w:r>
        <w:rPr>
          <w:rStyle w:val="VerbatimChar"/>
        </w:rPr>
        <w:t>checks.py</w:t>
      </w:r>
      <w:r>
        <w:t xml:space="preserve"> in the same directory. Running </w:t>
      </w:r>
      <w:r>
        <w:rPr>
          <w:rStyle w:val="VerbatimChar"/>
        </w:rPr>
        <w:t>python checks.py</w:t>
      </w:r>
      <w:r>
        <w:t xml:space="preserve"> reproduces the numerical values in Section 13.1; the plotting routines are unnecessary for the checks. The running proposal mean is updated using every attempted state. Observation selection changes which objective evaluations are available, while attempted states and sampling probabilities remain known. Quadrature, rather than a second Monte Carlo estimator, supplies the reference means. Randomized results are specific to the stated seed and numerical environment.</w:t>
      </w:r>
    </w:p>
    <w:p w14:paraId="6B727676" w14:textId="77777777" w:rsidR="00314867" w:rsidRDefault="00000000">
      <w:pPr>
        <w:pStyle w:val="SourceCode"/>
        <w:keepLines/>
        <w:spacing w:before="80" w:after="80"/>
        <w:rPr>
          <w:rFonts w:hint="eastAsia"/>
        </w:rPr>
      </w:pPr>
      <w:r>
        <w:t>import json, platform</w:t>
      </w:r>
      <w:r>
        <w:br/>
        <w:t>import numpy as np</w:t>
      </w:r>
      <w:r>
        <w:br/>
        <w:t>import scipy</w:t>
      </w:r>
      <w:r>
        <w:br/>
        <w:t>from scipy.integrate import quad</w:t>
      </w:r>
      <w:r>
        <w:br/>
        <w:t>from scipy.special import lambertw</w:t>
      </w:r>
      <w:r>
        <w:br/>
        <w:t>from scipy.stats import norm, beta as beta_dist</w:t>
      </w:r>
      <w:r>
        <w:br/>
        <w:t>from reference import depth2, ranks, evidence_read, cone, igd_plus</w:t>
      </w:r>
    </w:p>
    <w:p w14:paraId="213777A4" w14:textId="77777777" w:rsidR="00314867" w:rsidRDefault="00000000">
      <w:pPr>
        <w:pStyle w:val="SourceCode"/>
        <w:keepLines/>
        <w:spacing w:before="80" w:after="80"/>
        <w:rPr>
          <w:rFonts w:hint="eastAsia"/>
        </w:rPr>
      </w:pPr>
      <w:r>
        <w:t>rng = np.random.default_rng(20261017)</w:t>
      </w:r>
      <w:r>
        <w:br/>
        <w:t>out = {'seed':20261017, 'python':platform.python_version(),</w:t>
      </w:r>
      <w:r>
        <w:br/>
        <w:t xml:space="preserve">       'numpy':np.__version__, 'scipy':scipy.__version__}</w:t>
      </w:r>
    </w:p>
    <w:p w14:paraId="67F5A245" w14:textId="77777777" w:rsidR="00314867" w:rsidRDefault="00000000">
      <w:pPr>
        <w:pStyle w:val="SourceCode"/>
        <w:keepLines/>
        <w:spacing w:before="80" w:after="80"/>
        <w:rPr>
          <w:rFonts w:hint="eastAsia"/>
        </w:rPr>
      </w:pPr>
      <w:r>
        <w:t># Tie handling: independent brute-force strict-chain dynamic program.</w:t>
      </w:r>
      <w:r>
        <w:br/>
        <w:t>maxerr = 0</w:t>
      </w:r>
      <w:r>
        <w:br/>
        <w:t>for n in range(1, 41):</w:t>
      </w:r>
      <w:r>
        <w:br/>
        <w:t xml:space="preserve">    p = rng.integers(0, 9, (n, 2))</w:t>
      </w:r>
      <w:r>
        <w:br/>
        <w:t xml:space="preserve">    d = np.zeros(n, int)</w:t>
      </w:r>
      <w:r>
        <w:br/>
        <w:t xml:space="preserve">    for j in np.lexsort((p[:, 1], p[:, 0])):</w:t>
      </w:r>
      <w:r>
        <w:br/>
        <w:t xml:space="preserve">        parents = d[np.all(p &lt; p[j], axis=1)]</w:t>
      </w:r>
      <w:r>
        <w:br/>
        <w:t xml:space="preserve">        d[j] = 1 + (parents.max() if len(parents) else 0)</w:t>
      </w:r>
      <w:r>
        <w:br/>
        <w:t xml:space="preserve">    maxerr = max(maxerr, abs(depth2(p, [8, 8])-d.max()))</w:t>
      </w:r>
      <w:r>
        <w:br/>
        <w:t>assert maxerr == 0</w:t>
      </w:r>
      <w:r>
        <w:br/>
        <w:t>assert depth2([[0, 0], [0, 1], [1, 2]], [1, 2]) == 2</w:t>
      </w:r>
      <w:r>
        <w:br/>
        <w:t>assert np.array_equal(ranks([[0, 0], [0, 1], [1, 0],</w:t>
      </w:r>
      <w:r>
        <w:br/>
        <w:t xml:space="preserve">                            [1, 1], [.5, .5], [.7, .7]]),</w:t>
      </w:r>
      <w:r>
        <w:br/>
        <w:t xml:space="preserve">                      [0, 1, 1, 3, 1, 2])</w:t>
      </w:r>
      <w:r>
        <w:br/>
        <w:t>out['ties'] = {'integer_archives':40, 'max_error':int(maxerr)}</w:t>
      </w:r>
    </w:p>
    <w:p w14:paraId="555F2D26" w14:textId="77777777" w:rsidR="00314867" w:rsidRDefault="00000000">
      <w:pPr>
        <w:pStyle w:val="SourceCode"/>
        <w:keepLines/>
        <w:spacing w:before="80" w:after="80"/>
        <w:rPr>
          <w:rFonts w:hint="eastAsia"/>
        </w:rPr>
      </w:pPr>
      <w:r>
        <w:lastRenderedPageBreak/>
        <w:t># PDE scaling: five independent samples for each n.</w:t>
      </w:r>
      <w:r>
        <w:br/>
        <w:t>sizes = [1000, 10000, 100000]</w:t>
      </w:r>
      <w:r>
        <w:br/>
        <w:t>upper = np.array([[1, 1], [.5, .5], [1, .25]])</w:t>
      </w:r>
      <w:r>
        <w:br/>
        <w:t>target = 2*np.sqrt(upper.prod(axis=1))</w:t>
      </w:r>
      <w:r>
        <w:br/>
        <w:t>values = []</w:t>
      </w:r>
      <w:r>
        <w:br/>
        <w:t>for n in sizes:</w:t>
      </w:r>
      <w:r>
        <w:br/>
        <w:t xml:space="preserve">    row = []</w:t>
      </w:r>
      <w:r>
        <w:br/>
        <w:t xml:space="preserve">    for repeat in range(5):</w:t>
      </w:r>
      <w:r>
        <w:br/>
        <w:t xml:space="preserve">        p = rng.random((n, 2))</w:t>
      </w:r>
      <w:r>
        <w:br/>
        <w:t xml:space="preserve">        row.append([depth2(p, v)/np.sqrt(n) for v in upper])</w:t>
      </w:r>
      <w:r>
        <w:br/>
        <w:t xml:space="preserve">    values.append(np.median(row, axis=0))</w:t>
      </w:r>
      <w:r>
        <w:br/>
        <w:t>out['depth'] = {'n':sizes, 'median':np.array(values).tolist(),</w:t>
      </w:r>
      <w:r>
        <w:br/>
        <w:t xml:space="preserve">                'limit':target.tolist()}</w:t>
      </w:r>
    </w:p>
    <w:p w14:paraId="3F53DCDA" w14:textId="77777777" w:rsidR="00314867" w:rsidRDefault="00000000">
      <w:pPr>
        <w:pStyle w:val="SourceCode"/>
        <w:keepLines/>
        <w:spacing w:before="80" w:after="80"/>
        <w:rPr>
          <w:rFonts w:hint="eastAsia"/>
        </w:rPr>
      </w:pPr>
      <w:r>
        <w:t># Closed-form point-mass routing, independently checked by direct Bayes.</w:t>
      </w:r>
      <w:r>
        <w:br/>
        <w:t>c = np.array([-1., 1.]); lam = np.array([.3, .7]); q = .4</w:t>
      </w:r>
      <w:r>
        <w:br/>
        <w:t>gates = []</w:t>
      </w:r>
      <w:r>
        <w:br/>
        <w:t>for a in [.9, .5, .1, .001]:</w:t>
      </w:r>
      <w:r>
        <w:br/>
        <w:t xml:space="preserve">    lk = norm.logpdf(q, np.sqrt(a)*c, np.sqrt(1-a))</w:t>
      </w:r>
      <w:r>
        <w:br/>
        <w:t xml:space="preserve">    mean, gate = evidence_read(c[:, None], np.array([[0., -1000.],</w:t>
      </w:r>
      <w:r>
        <w:br/>
        <w:t xml:space="preserve">                    [-1000., 0.]]), lk, lam)</w:t>
      </w:r>
      <w:r>
        <w:br/>
        <w:t xml:space="preserve">    direct = lam*np.exp(lk); direct /= direct.sum()</w:t>
      </w:r>
      <w:r>
        <w:br/>
        <w:t xml:space="preserve">    assert np.allclose(gate, direct, atol=1e-13)</w:t>
      </w:r>
      <w:r>
        <w:br/>
        <w:t xml:space="preserve">    gates.append(gate.tolist())</w:t>
      </w:r>
      <w:r>
        <w:br/>
        <w:t>out['gates'] = gates</w:t>
      </w:r>
    </w:p>
    <w:p w14:paraId="0F4C6D11" w14:textId="77777777" w:rsidR="00314867" w:rsidRDefault="00000000">
      <w:pPr>
        <w:pStyle w:val="SourceCode"/>
        <w:keepLines/>
        <w:spacing w:before="80" w:after="80"/>
        <w:rPr>
          <w:rFonts w:hint="eastAsia"/>
        </w:rPr>
      </w:pPr>
      <w:r>
        <w:t># Chebyshev reaches prescribed unsupported points on concave front.</w:t>
      </w:r>
      <w:r>
        <w:br/>
        <w:t>u = np.linspace(0, 1, 10001); f = np.c_[u, 1-u*u]</w:t>
      </w:r>
      <w:r>
        <w:br/>
        <w:t>z = np.array([-.05, -.05]); selected = []</w:t>
      </w:r>
      <w:r>
        <w:br/>
        <w:t>for t in [.25, .5, .75]:</w:t>
      </w:r>
      <w:r>
        <w:br/>
        <w:t xml:space="preserve">    v = np.array([t, 1-t*t]); w = 1/(v-z); w /= w.sum()</w:t>
      </w:r>
      <w:r>
        <w:br/>
        <w:t xml:space="preserve">    selected.append(float(u[np.argmin(((f-z)*w).max(axis=1))]))</w:t>
      </w:r>
      <w:r>
        <w:br/>
        <w:t>assert np.allclose(selected, [.25, .5, .75])</w:t>
      </w:r>
      <w:r>
        <w:br/>
        <w:t>out['chebyshev'] = selected</w:t>
      </w:r>
      <w:r>
        <w:br/>
        <w:t>assert np.array_equal(ranks([[0, 1], [.01, 0]]), [0, 0])</w:t>
      </w:r>
      <w:r>
        <w:br/>
        <w:t>assert np.array_equal(ranks(cone([[0, 1], [.01, 0]], .1)), [1, 0])</w:t>
      </w:r>
      <w:r>
        <w:br/>
        <w:t>out['cone_loss'] = cone([[0, 1], [.01, 0]], .1).tolist()</w:t>
      </w:r>
    </w:p>
    <w:p w14:paraId="0200DECD" w14:textId="77777777" w:rsidR="00314867" w:rsidRDefault="00000000">
      <w:pPr>
        <w:pStyle w:val="SourceCode"/>
        <w:keepLines/>
        <w:spacing w:before="80" w:after="80"/>
        <w:rPr>
          <w:rFonts w:hint="eastAsia"/>
        </w:rPr>
      </w:pPr>
      <w:r>
        <w:t># Zero-set Laplace marginal by normal-coordinate quadrature.</w:t>
      </w:r>
      <w:r>
        <w:br/>
        <w:t>s = np.linspace(-1, 1, 10001)</w:t>
      </w:r>
      <w:r>
        <w:br/>
        <w:t>c_s = 1+s*s</w:t>
      </w:r>
      <w:r>
        <w:br/>
        <w:t>limit = norm.pdf(s)*2/c_s; limit /= np.trapezoid(limit, s)</w:t>
      </w:r>
      <w:r>
        <w:br/>
        <w:t>errors = []</w:t>
      </w:r>
      <w:r>
        <w:br/>
        <w:t>for beta in [5, 20, 80]:</w:t>
      </w:r>
      <w:r>
        <w:br/>
        <w:t xml:space="preserve">    normal = np.array([quad(lambda v:np.exp(-beta*c0*v)*norm.pdf(v),</w:t>
      </w:r>
      <w:r>
        <w:br/>
        <w:t xml:space="preserve">                            0, 1, epsabs=1e-12)[0]*2 for c0 in c_s])</w:t>
      </w:r>
      <w:r>
        <w:br/>
        <w:t xml:space="preserve">    p = norm.pdf(s)*normal; p /= np.trapezoid(p, s)</w:t>
      </w:r>
      <w:r>
        <w:br/>
        <w:t xml:space="preserve">    errors.append(float(np.trapezoid(abs(p-limit), s)))</w:t>
      </w:r>
      <w:r>
        <w:br/>
        <w:t>out['laplace'] = {'beta':[5, 20, 80], 'l1':errors}</w:t>
      </w:r>
      <w:r>
        <w:br/>
        <w:t>assert errors[2] &lt; errors[1] &lt; errors[0]</w:t>
      </w:r>
    </w:p>
    <w:p w14:paraId="767005BB" w14:textId="77777777" w:rsidR="00314867" w:rsidRDefault="00000000">
      <w:pPr>
        <w:pStyle w:val="SourceCode"/>
        <w:keepLines/>
        <w:spacing w:before="80" w:after="80"/>
        <w:rPr>
          <w:rFonts w:hint="eastAsia"/>
        </w:rPr>
      </w:pPr>
      <w:r>
        <w:lastRenderedPageBreak/>
        <w:t># Adaptive defensive importance reuse with state-dependent observations.</w:t>
      </w:r>
      <w:r>
        <w:br/>
        <w:t>theta = np.array([(w, b) for w in np.linspace(.05, .95, 19)</w:t>
      </w:r>
      <w:r>
        <w:br/>
        <w:t xml:space="preserve">                  for b in [2., 5., 10.]])</w:t>
      </w:r>
      <w:r>
        <w:br/>
        <w:t>def objectives(x): return np.c_[x, 1-x*x]</w:t>
      </w:r>
      <w:r>
        <w:br/>
        <w:t>reference = []</w:t>
      </w:r>
      <w:r>
        <w:br/>
        <w:t>for w, b in theta:</w:t>
      </w:r>
      <w:r>
        <w:br/>
        <w:t xml:space="preserve">    den = quad(lambda x:np.exp(-b*max(w*x,(1-w)*(1-x*x))),0,1)[0]</w:t>
      </w:r>
      <w:r>
        <w:br/>
        <w:t xml:space="preserve">    num = quad(lambda x:x*np.exp(-b*max(w*x,(1-w)*(1-x*x))),0,1)[0]</w:t>
      </w:r>
      <w:r>
        <w:br/>
        <w:t xml:space="preserve">    reference.append(num/den)</w:t>
      </w:r>
      <w:r>
        <w:br/>
        <w:t>N = 20000; xs = np.empty(N); qs = np.empty(N); es = np.empty(N)</w:t>
      </w:r>
      <w:r>
        <w:br/>
        <w:t>inc = np.empty(N); mean = .5</w:t>
      </w:r>
      <w:r>
        <w:br/>
        <w:t>for i in range(N):</w:t>
      </w:r>
      <w:r>
        <w:br/>
        <w:t xml:space="preserve">    a0 = 1+6*mean; b0 = 1+6*(1-mean)</w:t>
      </w:r>
      <w:r>
        <w:br/>
        <w:t xml:space="preserve">    x = rng.random() if rng.random() &lt; .2 else rng.beta(a0, b0)</w:t>
      </w:r>
      <w:r>
        <w:br/>
        <w:t xml:space="preserve">    q0 = .2+.8*beta_dist.pdf(x, a0, b0)</w:t>
      </w:r>
      <w:r>
        <w:br/>
        <w:t xml:space="preserve">    e = .25+.75*x</w:t>
      </w:r>
      <w:r>
        <w:br/>
        <w:t xml:space="preserve">    seen = rng.random() &lt; e</w:t>
      </w:r>
      <w:r>
        <w:br/>
        <w:t xml:space="preserve">    xs[i], qs[i], es[i], inc[i] = x, q0, e, seen</w:t>
      </w:r>
      <w:r>
        <w:br/>
        <w:t xml:space="preserve">    mean += (x-mean)/(i+2)</w:t>
      </w:r>
      <w:r>
        <w:br/>
        <w:t>F = objectives(xs); deviations = []</w:t>
      </w:r>
      <w:r>
        <w:br/>
        <w:t>for n in [1000, 5000, 20000]:</w:t>
      </w:r>
      <w:r>
        <w:br/>
        <w:t xml:space="preserve">    estimates = []</w:t>
      </w:r>
      <w:r>
        <w:br/>
        <w:t xml:space="preserve">    for w,b in theta:</w:t>
      </w:r>
      <w:r>
        <w:br/>
        <w:t xml:space="preserve">        loss = np.max(F[:n]*[w,1-w],axis=1)</w:t>
      </w:r>
      <w:r>
        <w:br/>
        <w:t xml:space="preserve">        W = inc[:n]*np.exp(-b*loss)/(qs[:n]*es[:n])</w:t>
      </w:r>
      <w:r>
        <w:br/>
        <w:t xml:space="preserve">        estimates.append(W@xs[:n]/W.sum())</w:t>
      </w:r>
      <w:r>
        <w:br/>
        <w:t xml:space="preserve">    deviations.append(float(np.max(np.abs(np.array(estimates)-reference))))</w:t>
      </w:r>
      <w:r>
        <w:br/>
        <w:t>out['adaptive_reuse'] = {'attempts':[1000, 5000, 20000],</w:t>
      </w:r>
      <w:r>
        <w:br/>
        <w:t xml:space="preserve">  'parameters':len(theta), 'sup_error':deviations,</w:t>
      </w:r>
      <w:r>
        <w:br/>
        <w:t xml:space="preserve">  'observed':int(inc.sum()), 'target_reference':'independent quadrature'}</w:t>
      </w:r>
    </w:p>
    <w:p w14:paraId="4298DE08" w14:textId="77777777" w:rsidR="00314867" w:rsidRDefault="00000000">
      <w:pPr>
        <w:pStyle w:val="SourceCode"/>
        <w:keepLines/>
        <w:spacing w:before="80" w:after="80"/>
        <w:rPr>
          <w:rFonts w:hint="eastAsia"/>
        </w:rPr>
      </w:pPr>
      <w:r>
        <w:t># The rank-zero bound; A={(.4,.4)}, F(x)=(x,x), mu uniform.</w:t>
      </w:r>
      <w:r>
        <w:br/>
        <w:t>mass = .4; frozen = []</w:t>
      </w:r>
      <w:r>
        <w:br/>
        <w:t>for b in [1, 2, 4, 8, 16]:</w:t>
      </w:r>
      <w:r>
        <w:br/>
        <w:t xml:space="preserve">    exact = .6*np.exp(-b)/(.4+.6*np.exp(-b))</w:t>
      </w:r>
      <w:r>
        <w:br/>
        <w:t xml:space="preserve">    bound = np.exp(-b)/mass</w:t>
      </w:r>
      <w:r>
        <w:br/>
        <w:t xml:space="preserve">    assert exact &lt;= bound</w:t>
      </w:r>
      <w:r>
        <w:br/>
        <w:t xml:space="preserve">    frozen.append([b, float(exact), float(bound)])</w:t>
      </w:r>
      <w:r>
        <w:br/>
        <w:t>out['frozen'] = frozen</w:t>
      </w:r>
      <w:r>
        <w:br/>
        <w:t>old = [[1, 1.1]]; new = [[0, 1.05]]; ref = [[1, 1]]</w:t>
      </w:r>
      <w:r>
        <w:br/>
        <w:t>out['igd'] = {'ordinary_old':.1,</w:t>
      </w:r>
      <w:r>
        <w:br/>
        <w:t xml:space="preserve">              'ordinary_new':float(np.sqrt(1+.05**2)),</w:t>
      </w:r>
      <w:r>
        <w:br/>
        <w:t xml:space="preserve">              'plus_old':float(igd_plus(old,ref)),</w:t>
      </w:r>
      <w:r>
        <w:br/>
        <w:t xml:space="preserve">              'plus_new':float(igd_plus(new,ref))}</w:t>
      </w:r>
      <w:r>
        <w:br/>
        <w:t>out['latent_modes'] = [float(-.5*lambertw(4*b).real)</w:t>
      </w:r>
      <w:r>
        <w:br/>
        <w:t xml:space="preserve">                       for b in [10, 100, 1000]]</w:t>
      </w:r>
    </w:p>
    <w:p w14:paraId="7D8AB67D" w14:textId="77777777" w:rsidR="00314867" w:rsidRDefault="00000000">
      <w:pPr>
        <w:pStyle w:val="SourceCode"/>
        <w:keepLines/>
        <w:spacing w:before="80" w:after="80"/>
        <w:rPr>
          <w:rFonts w:hint="eastAsia"/>
        </w:rPr>
      </w:pPr>
      <w:r>
        <w:t>print(json.dumps(out, indent=2))</w:t>
      </w:r>
      <w:bookmarkEnd w:id="43"/>
    </w:p>
    <w:sectPr w:rsidR="00314867" w:rsidSect="00034616">
      <w:footerReference w:type="default" r:id="rId9"/>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DE674" w14:textId="77777777" w:rsidR="00090450" w:rsidRDefault="00090450">
      <w:pPr>
        <w:spacing w:after="0" w:line="240" w:lineRule="auto"/>
        <w:rPr>
          <w:rFonts w:hint="eastAsia"/>
        </w:rPr>
      </w:pPr>
      <w:r>
        <w:separator/>
      </w:r>
    </w:p>
  </w:endnote>
  <w:endnote w:type="continuationSeparator" w:id="0">
    <w:p w14:paraId="79234E9B" w14:textId="77777777" w:rsidR="00090450" w:rsidRDefault="0009045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EA03F" w14:textId="77777777" w:rsidR="00314867"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CAD73" w14:textId="77777777" w:rsidR="00090450" w:rsidRDefault="00090450">
      <w:pPr>
        <w:rPr>
          <w:rFonts w:hint="eastAsia"/>
        </w:rPr>
      </w:pPr>
      <w:r>
        <w:separator/>
      </w:r>
    </w:p>
  </w:footnote>
  <w:footnote w:type="continuationSeparator" w:id="0">
    <w:p w14:paraId="553D928E" w14:textId="77777777" w:rsidR="00090450" w:rsidRDefault="0009045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4FE75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58290192">
    <w:abstractNumId w:val="8"/>
  </w:num>
  <w:num w:numId="2" w16cid:durableId="935333174">
    <w:abstractNumId w:val="6"/>
  </w:num>
  <w:num w:numId="3" w16cid:durableId="1889369112">
    <w:abstractNumId w:val="5"/>
  </w:num>
  <w:num w:numId="4" w16cid:durableId="1652752986">
    <w:abstractNumId w:val="4"/>
  </w:num>
  <w:num w:numId="5" w16cid:durableId="46687305">
    <w:abstractNumId w:val="7"/>
  </w:num>
  <w:num w:numId="6" w16cid:durableId="1942951819">
    <w:abstractNumId w:val="3"/>
  </w:num>
  <w:num w:numId="7" w16cid:durableId="1914125242">
    <w:abstractNumId w:val="2"/>
  </w:num>
  <w:num w:numId="8" w16cid:durableId="13000045">
    <w:abstractNumId w:val="1"/>
  </w:num>
  <w:num w:numId="9" w16cid:durableId="2016376753">
    <w:abstractNumId w:val="0"/>
  </w:num>
  <w:num w:numId="10" w16cid:durableId="13453245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4867"/>
    <w:rsid w:val="00090450"/>
    <w:rsid w:val="00314867"/>
    <w:rsid w:val="003763C2"/>
    <w:rsid w:val="0096487C"/>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5FFC"/>
  <w15:docId w15:val="{46BB5EF7-4003-4C5F-861F-3E800F78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9889</Words>
  <Characters>56369</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Geometry of Fusion</dc:title>
  <dc:subject>Fusion geometry, Pareto depth, rigorous adaptive estimation, neural evidence and engineering harnesses</dc:subject>
  <dc:creator>Debi Prasad Ghosh</dc:creator>
  <cp:keywords>ADE; multi-objective; scalarization; mixture evidence; neuroscience; agent harness</cp:keywords>
  <dc:description/>
  <cp:lastModifiedBy>Debiprasad Ghosh</cp:lastModifiedBy>
  <cp:revision>2</cp:revision>
  <dcterms:created xsi:type="dcterms:W3CDTF">2026-10-17T15:42:00Z</dcterms:created>
  <dcterms:modified xsi:type="dcterms:W3CDTF">2026-10-17T16:23:00Z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17 October 2026</vt:lpwstr>
  </property>
  <property fmtid="{D5CDD505-2E9C-101B-9397-08002B2CF9AE}" pid="3" name="subtitle">
    <vt:lpwstr>Mathematical foundations, neural evidence, and engineering agent harnesses</vt:lpwstr>
  </property>
</Properties>
</file>