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99102" w14:textId="77777777" w:rsidR="00F621B8" w:rsidRDefault="00000000">
      <w:pPr>
        <w:spacing w:after="60"/>
        <w:jc w:val="center"/>
      </w:pPr>
      <w:r>
        <w:rPr>
          <w:color w:val="6B7B8C"/>
          <w:spacing w:val="40"/>
          <w:sz w:val="18"/>
          <w:szCs w:val="18"/>
        </w:rPr>
        <w:t>DEFENSIBLE INTELLIGENCE SERIES · WORKING PAPER</w:t>
      </w:r>
    </w:p>
    <w:p w14:paraId="4E5CF07D" w14:textId="77777777" w:rsidR="00F621B8" w:rsidRDefault="00000000">
      <w:pPr>
        <w:spacing w:before="200" w:after="120"/>
        <w:jc w:val="center"/>
      </w:pPr>
      <w:r>
        <w:rPr>
          <w:b/>
          <w:bCs/>
          <w:color w:val="1F3A5F"/>
          <w:sz w:val="40"/>
          <w:szCs w:val="40"/>
        </w:rPr>
        <w:t>The Specification as System of Record</w:t>
      </w:r>
    </w:p>
    <w:p w14:paraId="5E82C180" w14:textId="77777777" w:rsidR="00F621B8" w:rsidRDefault="00000000">
      <w:pPr>
        <w:spacing w:after="280"/>
        <w:jc w:val="center"/>
      </w:pPr>
      <w:r>
        <w:rPr>
          <w:i/>
          <w:iCs/>
          <w:color w:val="33475B"/>
          <w:sz w:val="26"/>
          <w:szCs w:val="26"/>
        </w:rPr>
        <w:t>SpecHub and the Falsifiable Core of the “GitHub of the AI Era” Thesis</w:t>
      </w:r>
    </w:p>
    <w:p w14:paraId="59464063" w14:textId="77777777" w:rsidR="00F621B8" w:rsidRDefault="00000000">
      <w:pPr>
        <w:spacing w:after="40"/>
        <w:jc w:val="center"/>
      </w:pPr>
      <w:r>
        <w:rPr>
          <w:b/>
          <w:bCs/>
          <w:sz w:val="23"/>
          <w:szCs w:val="23"/>
        </w:rPr>
        <w:t>Debi Prasad Ghosh</w:t>
      </w:r>
    </w:p>
    <w:p w14:paraId="7720FD96" w14:textId="77777777" w:rsidR="00F621B8" w:rsidRDefault="00000000">
      <w:pPr>
        <w:spacing w:after="40"/>
        <w:jc w:val="center"/>
      </w:pPr>
      <w:r>
        <w:rPr>
          <w:sz w:val="21"/>
          <w:szCs w:val="21"/>
        </w:rPr>
        <w:t>Independent Researcher, Kolkata, India</w:t>
      </w:r>
    </w:p>
    <w:p w14:paraId="47AD6BB6" w14:textId="77777777" w:rsidR="00F621B8" w:rsidRDefault="00000000">
      <w:pPr>
        <w:spacing w:after="300"/>
        <w:jc w:val="center"/>
      </w:pPr>
      <w:r>
        <w:rPr>
          <w:color w:val="6B7B8C"/>
          <w:sz w:val="21"/>
          <w:szCs w:val="21"/>
        </w:rPr>
        <w:t>12 October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621B8" w14:paraId="3311F5E8" w14:textId="77777777">
        <w:tblPrEx>
          <w:tblCellMar>
            <w:top w:w="0" w:type="dxa"/>
            <w:bottom w:w="0" w:type="dxa"/>
          </w:tblCellMar>
        </w:tblPrEx>
        <w:tc>
          <w:tcPr>
            <w:tcW w:w="9026" w:type="dxa"/>
            <w:tcBorders>
              <w:top w:val="single" w:sz="4" w:space="0" w:color="1F3A5F"/>
              <w:left w:val="single" w:sz="18" w:space="0" w:color="1F3A5F"/>
              <w:bottom w:val="single" w:sz="4" w:space="0" w:color="1F3A5F"/>
              <w:right w:val="none" w:sz="0" w:space="0" w:color="FFFFFF"/>
            </w:tcBorders>
            <w:shd w:val="clear" w:color="auto" w:fill="EEF3F8"/>
            <w:tcMar>
              <w:top w:w="140" w:type="dxa"/>
              <w:left w:w="200" w:type="dxa"/>
              <w:bottom w:w="140" w:type="dxa"/>
              <w:right w:w="200" w:type="dxa"/>
            </w:tcMar>
          </w:tcPr>
          <w:p w14:paraId="630A07A5" w14:textId="77777777" w:rsidR="00F621B8" w:rsidRDefault="00000000">
            <w:pPr>
              <w:spacing w:after="80"/>
            </w:pPr>
            <w:r>
              <w:rPr>
                <w:b/>
                <w:bCs/>
                <w:color w:val="1F3A5F"/>
              </w:rPr>
              <w:t>Abstract</w:t>
            </w:r>
          </w:p>
          <w:p w14:paraId="12D43FAD" w14:textId="77777777" w:rsidR="00F621B8" w:rsidRDefault="00000000">
            <w:pPr>
              <w:spacing w:after="80" w:line="280" w:lineRule="auto"/>
              <w:jc w:val="both"/>
            </w:pPr>
            <w:r>
              <w:t xml:space="preserve">A widely circulated position holds that, as AI agents absorb implementation, the scarce artefact in software shifts from code to a precise, versioned statement of intent, and that a platform such as SpecHub will do for specifications what GitHub did for code. This paper separates that position into three claims of decreasing strength: a </w:t>
            </w:r>
            <w:r>
              <w:rPr>
                <w:i/>
                <w:iCs/>
              </w:rPr>
              <w:t>bottleneck</w:t>
            </w:r>
            <w:r>
              <w:t xml:space="preserve"> claim (T1), a </w:t>
            </w:r>
            <w:r>
              <w:rPr>
                <w:i/>
                <w:iCs/>
              </w:rPr>
              <w:t>source-of-truth</w:t>
            </w:r>
            <w:r>
              <w:t xml:space="preserve"> claim (T2) and a </w:t>
            </w:r>
            <w:r>
              <w:rPr>
                <w:i/>
                <w:iCs/>
              </w:rPr>
              <w:t>platform</w:t>
            </w:r>
            <w:r>
              <w:t xml:space="preserve"> claim (T3). We give a minimal probabilistic model in which the probability of building the intended system factors into executional fidelity </w:t>
            </w:r>
            <w:r>
              <w:rPr>
                <w:i/>
                <w:iCs/>
              </w:rPr>
              <w:t>e</w:t>
            </w:r>
            <w:r>
              <w:t xml:space="preserve"> and specificational adequacy </w:t>
            </w:r>
            <w:r>
              <w:rPr>
                <w:i/>
                <w:iCs/>
              </w:rPr>
              <w:t>q</w:t>
            </w:r>
            <w:r>
              <w:t xml:space="preserve">, and show that T1 is exactly the condition </w:t>
            </w:r>
            <w:r>
              <w:rPr>
                <w:i/>
                <w:iCs/>
              </w:rPr>
              <w:t>e</w:t>
            </w:r>
            <w:r>
              <w:t xml:space="preserve"> &gt; </w:t>
            </w:r>
            <w:r>
              <w:rPr>
                <w:i/>
                <w:iCs/>
              </w:rPr>
              <w:t>q</w:t>
            </w:r>
            <w:r>
              <w:t xml:space="preserve"> under equal improvement costs. We show that treating code as a regenerable output (a core T2 commitment) is equivalent to asserting </w:t>
            </w:r>
            <w:r>
              <w:rPr>
                <w:i/>
                <w:iCs/>
              </w:rPr>
              <w:t>q</w:t>
            </w:r>
            <w:r>
              <w:t xml:space="preserve"> = 1 on the generator’s support, and that “alignment” between spec and code is measurable only on the executable fraction φ of acceptance criteria. We audit the public evidence for SpecHub and for spec-driven development (SDD) as of 12 October 2026, stress-test the GitHub analogy on seven dimensions, and state five falsifiable hypotheses with a test protocol. Verdict: T1 is well-posed and conditionally supported; T2 is defensible only in its spec-anchored form with executable acceptance; T3 is an open hypothesis with no independent evidence yet, and faces a structural threat from the incumbent code host itself.</w:t>
            </w:r>
          </w:p>
          <w:p w14:paraId="739B978D" w14:textId="77777777" w:rsidR="00F621B8" w:rsidRDefault="00000000">
            <w:pPr>
              <w:spacing w:after="80" w:line="280" w:lineRule="auto"/>
              <w:jc w:val="both"/>
            </w:pPr>
            <w:r>
              <w:rPr>
                <w:b/>
                <w:bCs/>
              </w:rPr>
              <w:t>Keywords:</w:t>
            </w:r>
            <w:r>
              <w:t xml:space="preserve"> spec-driven development; SpecHub; requirements engineering; AI coding agents; traceability; model-driven development; falsifiability.</w:t>
            </w:r>
          </w:p>
        </w:tc>
      </w:tr>
    </w:tbl>
    <w:p w14:paraId="53139E85" w14:textId="77777777" w:rsidR="00F621B8" w:rsidRDefault="00F621B8">
      <w:pPr>
        <w:spacing w:after="100"/>
      </w:pPr>
    </w:p>
    <w:p w14:paraId="32B53AF8" w14:textId="77777777" w:rsidR="00F621B8" w:rsidRDefault="00000000">
      <w:pPr>
        <w:pStyle w:val="Heading1"/>
      </w:pPr>
      <w:r>
        <w:t>1. Introduction</w:t>
      </w:r>
    </w:p>
    <w:p w14:paraId="6DA41016" w14:textId="77777777" w:rsidR="00F621B8" w:rsidRDefault="00000000">
      <w:pPr>
        <w:spacing w:after="140" w:line="300" w:lineRule="auto"/>
        <w:jc w:val="both"/>
      </w:pPr>
      <w:r>
        <w:t>GitHub did not merely host code. It made the commit, the branch, the pull request and the review thread the shared grammar of software teams, and it did so because it matched the unit of work of its era—the code change—with the social and technical machinery that unit required. The argument examined here is that AI coding agents are changing that unit of work. When an agent can produce large volumes of plausible code from a short prompt, its characteristic failure is not inability to code but building the wrong thing, or a slightly different thing each time the prompt or the context window drifts. The scarce resource moves upstream, from implementation to the durable, shared expression of intent.</w:t>
      </w:r>
    </w:p>
    <w:p w14:paraId="4A0A0D95" w14:textId="77777777" w:rsidR="00F621B8" w:rsidRDefault="00000000">
      <w:pPr>
        <w:spacing w:after="140" w:line="300" w:lineRule="auto"/>
        <w:jc w:val="both"/>
      </w:pPr>
      <w:r>
        <w:t xml:space="preserve">SpecHub (spechub.app) is positioned as the home for that intent. Its public material describes the specification as the DNA of software and offers AI-assisted bootstrapping of structured specifications, requirement-level management, collaboration with an audit trail, integration with code hosts and agents, and a route from “vibe-coded” systems back to a specification [1–3]. The </w:t>
      </w:r>
      <w:r>
        <w:lastRenderedPageBreak/>
        <w:t>claim that SpecHub is “the GitHub of the AI era” bundles together several propositions that should be evaluated separately:</w:t>
      </w:r>
    </w:p>
    <w:p w14:paraId="7EB7F50D" w14:textId="77777777" w:rsidR="00F621B8" w:rsidRDefault="00000000">
      <w:pPr>
        <w:pStyle w:val="ListParagraph"/>
        <w:numPr>
          <w:ilvl w:val="0"/>
          <w:numId w:val="2"/>
        </w:numPr>
        <w:spacing w:after="80" w:line="290" w:lineRule="auto"/>
      </w:pPr>
      <w:r>
        <w:rPr>
          <w:b/>
          <w:bCs/>
        </w:rPr>
        <w:t>T1 (Bottleneck).</w:t>
      </w:r>
      <w:r>
        <w:t xml:space="preserve"> As agents improve, the dominant cause of failure shifts from faulty implementation to faulty or missing specification.</w:t>
      </w:r>
    </w:p>
    <w:p w14:paraId="7240F173" w14:textId="77777777" w:rsidR="00F621B8" w:rsidRDefault="00000000">
      <w:pPr>
        <w:pStyle w:val="ListParagraph"/>
        <w:numPr>
          <w:ilvl w:val="0"/>
          <w:numId w:val="2"/>
        </w:numPr>
        <w:spacing w:after="80" w:line="290" w:lineRule="auto"/>
      </w:pPr>
      <w:r>
        <w:rPr>
          <w:b/>
          <w:bCs/>
        </w:rPr>
        <w:t>T2 (Source of truth).</w:t>
      </w:r>
      <w:r>
        <w:t xml:space="preserve"> The specification, not the code, should be the primary versioned and reviewed artefact; code becomes a regenerable output.</w:t>
      </w:r>
    </w:p>
    <w:p w14:paraId="407BC130" w14:textId="77777777" w:rsidR="00F621B8" w:rsidRDefault="00000000">
      <w:pPr>
        <w:pStyle w:val="ListParagraph"/>
        <w:numPr>
          <w:ilvl w:val="0"/>
          <w:numId w:val="2"/>
        </w:numPr>
        <w:spacing w:after="80" w:line="290" w:lineRule="auto"/>
      </w:pPr>
      <w:r>
        <w:rPr>
          <w:b/>
          <w:bCs/>
        </w:rPr>
        <w:t>T3 (Platform).</w:t>
      </w:r>
      <w:r>
        <w:t xml:space="preserve"> A dedicated specification platform—SpecHub in particular—becomes the natural system of record for that artefact, as GitHub became for code.</w:t>
      </w:r>
    </w:p>
    <w:p w14:paraId="66AF2461" w14:textId="77777777" w:rsidR="00F621B8" w:rsidRDefault="00000000">
      <w:pPr>
        <w:spacing w:after="140" w:line="300" w:lineRule="auto"/>
        <w:jc w:val="both"/>
      </w:pPr>
      <w:r>
        <w:t xml:space="preserve">These claims are nested in strength: T3 presupposes T2, which presupposes T1, but none implies the next. The contribution of this paper is to (i) give each claim a precise, testable form; (ii) audit the public evidence as of 12 October 2026; (iii) stress-test the GitHub analogy; and (iv) state what a specification system of record would have to provide to deserve the name. Throughout, statements are tagged by evidential status: </w:t>
      </w:r>
      <w:r>
        <w:rPr>
          <w:b/>
          <w:bCs/>
        </w:rPr>
        <w:t>[Obs]</w:t>
      </w:r>
      <w:r>
        <w:t xml:space="preserve"> observed directly by the author on the stated date; </w:t>
      </w:r>
      <w:r>
        <w:rPr>
          <w:b/>
          <w:bCs/>
        </w:rPr>
        <w:t>[Vendor]</w:t>
      </w:r>
      <w:r>
        <w:t xml:space="preserve"> claimed in vendor material and not independently verified; </w:t>
      </w:r>
      <w:r>
        <w:rPr>
          <w:b/>
          <w:bCs/>
        </w:rPr>
        <w:t>[Lit]</w:t>
      </w:r>
      <w:r>
        <w:t xml:space="preserve"> reported in the cited literature; </w:t>
      </w:r>
      <w:r>
        <w:rPr>
          <w:b/>
          <w:bCs/>
        </w:rPr>
        <w:t>[Model]</w:t>
      </w:r>
      <w:r>
        <w:t xml:space="preserve"> a consequence of the model in Section 4.</w:t>
      </w:r>
    </w:p>
    <w:p w14:paraId="68138430" w14:textId="77777777" w:rsidR="00F621B8" w:rsidRDefault="00000000">
      <w:pPr>
        <w:pStyle w:val="Heading1"/>
      </w:pPr>
      <w:r>
        <w:t>2. Background</w:t>
      </w:r>
    </w:p>
    <w:p w14:paraId="4FC3154E" w14:textId="77777777" w:rsidR="00F621B8" w:rsidRDefault="00000000">
      <w:pPr>
        <w:pStyle w:val="Heading2"/>
      </w:pPr>
      <w:r>
        <w:t>2.1 From code as truth to intent as truth</w:t>
      </w:r>
    </w:p>
    <w:p w14:paraId="0A153272" w14:textId="77777777" w:rsidR="00F621B8" w:rsidRDefault="00000000">
      <w:pPr>
        <w:spacing w:after="140" w:line="300" w:lineRule="auto"/>
        <w:jc w:val="both"/>
      </w:pPr>
      <w:r>
        <w:t>For most of software’s history the executable artefact was the record. Requirements lived in documents, tickets and conversations that drifted from the code, and teams reconstructed intent by reading diffs and asking whoever remembered. Version control made code the centre of gravity: branches, history, review and CI all orbit it. Spec-driven development (SDD) proposes to invert that orbit: write (or have an AI draft and a human refine) a structured specification capturing goals, constraints, acceptance criteria, data models and edge cases; review and freeze it; then let an agent implement, test and converge against it; and when requirements change, change the specification first.</w:t>
      </w:r>
    </w:p>
    <w:p w14:paraId="6A3D0279" w14:textId="77777777" w:rsidR="00F621B8" w:rsidRDefault="00000000">
      <w:pPr>
        <w:pStyle w:val="Heading2"/>
      </w:pPr>
      <w:r>
        <w:t>2.2 Three levels of SDD</w:t>
      </w:r>
    </w:p>
    <w:p w14:paraId="4194CB9A" w14:textId="77777777" w:rsidR="00F621B8" w:rsidRDefault="00000000">
      <w:pPr>
        <w:spacing w:after="140" w:line="300" w:lineRule="auto"/>
        <w:jc w:val="both"/>
      </w:pPr>
      <w:r>
        <w:t xml:space="preserve">Böckeler’s survey of SDD tools distinguishes three levels that the label currently conflates [5]: </w:t>
      </w:r>
      <w:r>
        <w:rPr>
          <w:b/>
          <w:bCs/>
        </w:rPr>
        <w:t>spec-first</w:t>
      </w:r>
      <w:r>
        <w:t xml:space="preserve"> (a specification is written before the task and guides it), </w:t>
      </w:r>
      <w:r>
        <w:rPr>
          <w:b/>
          <w:bCs/>
        </w:rPr>
        <w:t>spec-anchored</w:t>
      </w:r>
      <w:r>
        <w:t xml:space="preserve"> (the specification is retained and evolved with the feature after the task), and </w:t>
      </w:r>
      <w:r>
        <w:rPr>
          <w:b/>
          <w:bCs/>
        </w:rPr>
        <w:t>spec-as-source</w:t>
      </w:r>
      <w:r>
        <w:t xml:space="preserve"> (the specification is the only artefact humans edit; code is generated and not hand-edited). She observes that every approach she found is spec-first, that not all aspire to the higher levels, and that the maintenance strategy over time is often left unstated [Lit]. Piskala adopts the same ladder and recommends spec-first for AI-assisted initial work, spec-anchored for long-lived systems, and spec-as-source only once generation is reliable [6] [Lit]. This distinction is decisive for the SpecHub thesis: a </w:t>
      </w:r>
      <w:r>
        <w:rPr>
          <w:i/>
          <w:iCs/>
        </w:rPr>
        <w:t>system of record</w:t>
      </w:r>
      <w:r>
        <w:t xml:space="preserve"> is by definition at least spec-anchored.</w:t>
      </w:r>
    </w:p>
    <w:p w14:paraId="04539F27" w14:textId="77777777" w:rsidR="00F621B8" w:rsidRDefault="00000000">
      <w:pPr>
        <w:pStyle w:val="Heading2"/>
      </w:pPr>
      <w:r>
        <w:t>2.3 The tool landscape</w:t>
      </w:r>
    </w:p>
    <w:p w14:paraId="170D443B" w14:textId="77777777" w:rsidR="00F621B8" w:rsidRDefault="00000000">
      <w:pPr>
        <w:spacing w:after="140" w:line="300" w:lineRule="auto"/>
        <w:jc w:val="both"/>
      </w:pPr>
      <w:r>
        <w:rPr>
          <w:b/>
          <w:bCs/>
        </w:rPr>
        <w:t>GitHub Spec Kit</w:t>
      </w:r>
      <w:r>
        <w:t xml:space="preserve"> is an MIT-licensed toolkit that drives coding agents through a constitution step once per project and a specify → plan → tasks → implement → converge loop per feature, with </w:t>
      </w:r>
      <w:r>
        <w:lastRenderedPageBreak/>
        <w:t xml:space="preserve">optional bug-fixing and idea-assessment processes [4]. On 12 October 2026 its repository showed 139.0k stars and 12.5k forks [Obs]; a June 2026 survey reported it crossing 115k [13]. </w:t>
      </w:r>
      <w:r>
        <w:rPr>
          <w:b/>
          <w:bCs/>
        </w:rPr>
        <w:t>Kiro</w:t>
      </w:r>
      <w:r>
        <w:t xml:space="preserve">, AWS’s agentic IDE, produces three Markdown artefacts per spec (requirements, design, tasks) and writes acceptance criteria in EARS notation, a requirements syntax originally developed at Rolls-Royce [7, 8, 14] [Lit]. </w:t>
      </w:r>
      <w:r>
        <w:rPr>
          <w:b/>
          <w:bCs/>
        </w:rPr>
        <w:t>Tessl</w:t>
      </w:r>
      <w:r>
        <w:t xml:space="preserve"> explores spec-as-source with a one-to-one mapping between spec files and generated code files [5] [Lit]. Other entrants include OpenSpec, BMAD-METHOD and Task Master [13]. Note the topology: in all of these, the specification lives </w:t>
      </w:r>
      <w:r>
        <w:rPr>
          <w:i/>
          <w:iCs/>
        </w:rPr>
        <w:t>inside the code repository</w:t>
      </w:r>
      <w:r>
        <w:t xml:space="preserve"> as Markdown. SpecHub’s proposition is different—a dedicated, hosted specification store above the repository.</w:t>
      </w:r>
    </w:p>
    <w:p w14:paraId="72FF5396" w14:textId="77777777" w:rsidR="00F621B8" w:rsidRDefault="00000000">
      <w:pPr>
        <w:pStyle w:val="Heading2"/>
      </w:pPr>
      <w:r>
        <w:t>2.4 The precedent: model-driven development</w:t>
      </w:r>
    </w:p>
    <w:p w14:paraId="48369E9F" w14:textId="77777777" w:rsidR="00F621B8" w:rsidRDefault="00000000">
      <w:pPr>
        <w:spacing w:after="140" w:line="300" w:lineRule="auto"/>
        <w:jc w:val="both"/>
      </w:pPr>
      <w:r>
        <w:t xml:space="preserve">The idea that a higher-level artefact should be authoritative and code derived from it is not new. Model-Driven Architecture and executable UML pursued it two decades ago. France and Rumpe argued that full realisation of the model-driven vision was unlikely in the near to medium term because of the wicked problems involved [9] [Lit]. Kuhn, Murphy and Thompson, studying a large automotive organisation, found the frictions were contextual rather than cognitive: insufficient support for model diffing, point-to-point traceability and runtime model change [10] [Lit]. Model generation succeeded mainly in narrow domains, such as controller code generated from Simulink models. Böckeler explicitly asks whether spec-as-source may inherit the downsides of both model-driven development and LLMs—inflexibility </w:t>
      </w:r>
      <w:r>
        <w:rPr>
          <w:i/>
          <w:iCs/>
        </w:rPr>
        <w:t>and</w:t>
      </w:r>
      <w:r>
        <w:t xml:space="preserve"> non-determinism [5]. Tornhill makes the complementary cognitive point: implementation is discovery, and each stated requirement spawns many implicit design decisions the specification did not anticipate [11] [Lit]. Any defence of T2 must say what is different this time.</w:t>
      </w:r>
    </w:p>
    <w:p w14:paraId="727020C9" w14:textId="77777777" w:rsidR="00F621B8" w:rsidRDefault="00000000">
      <w:pPr>
        <w:pStyle w:val="Heading1"/>
      </w:pPr>
      <w:r>
        <w:t>3. SpecHub as Publicly Described</w:t>
      </w:r>
    </w:p>
    <w:p w14:paraId="52A6B5DB" w14:textId="77777777" w:rsidR="00F621B8" w:rsidRDefault="00000000">
      <w:pPr>
        <w:spacing w:after="140" w:line="300" w:lineRule="auto"/>
        <w:jc w:val="both"/>
      </w:pPr>
      <w:r>
        <w:t xml:space="preserve">The following is assembled from SpecHub’s public marketing pages as retrieved on 12 October 2026 [1–3]. All items are </w:t>
      </w:r>
      <w:r>
        <w:rPr>
          <w:b/>
          <w:bCs/>
        </w:rPr>
        <w:t>[Vendor]</w:t>
      </w:r>
      <w:r>
        <w:t xml:space="preserve"> unless stated.</w:t>
      </w:r>
    </w:p>
    <w:p w14:paraId="609B6FB1" w14:textId="77777777" w:rsidR="00F621B8" w:rsidRDefault="00000000">
      <w:pPr>
        <w:keepNext/>
        <w:spacing w:before="160" w:after="80"/>
      </w:pPr>
      <w:r>
        <w:rPr>
          <w:b/>
          <w:bCs/>
          <w:color w:val="1F3A5F"/>
          <w:sz w:val="20"/>
          <w:szCs w:val="20"/>
        </w:rPr>
        <w:t>Table 1. SpecHub capabilities as publicly described, with the evidence that would verify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226"/>
        <w:gridCol w:w="2900"/>
      </w:tblGrid>
      <w:tr w:rsidR="00F621B8" w14:paraId="7B39DC34" w14:textId="77777777">
        <w:tblPrEx>
          <w:tblCellMar>
            <w:top w:w="0" w:type="dxa"/>
            <w:bottom w:w="0" w:type="dxa"/>
          </w:tblCellMar>
        </w:tblPrEx>
        <w:trPr>
          <w:tblHeader/>
        </w:trPr>
        <w:tc>
          <w:tcPr>
            <w:tcW w:w="19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tcPr>
          <w:p w14:paraId="4618D109" w14:textId="77777777" w:rsidR="00F621B8" w:rsidRDefault="00000000">
            <w:pPr>
              <w:spacing w:line="260" w:lineRule="auto"/>
            </w:pPr>
            <w:r>
              <w:rPr>
                <w:b/>
                <w:bCs/>
                <w:color w:val="FFFFFF"/>
                <w:sz w:val="19"/>
                <w:szCs w:val="19"/>
              </w:rPr>
              <w:t>Capability</w:t>
            </w:r>
          </w:p>
        </w:tc>
        <w:tc>
          <w:tcPr>
            <w:tcW w:w="4226"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tcPr>
          <w:p w14:paraId="41182A26" w14:textId="77777777" w:rsidR="00F621B8" w:rsidRDefault="00000000">
            <w:pPr>
              <w:spacing w:line="260" w:lineRule="auto"/>
            </w:pPr>
            <w:r>
              <w:rPr>
                <w:b/>
                <w:bCs/>
                <w:color w:val="FFFFFF"/>
                <w:sz w:val="19"/>
                <w:szCs w:val="19"/>
              </w:rPr>
              <w:t>Public description</w:t>
            </w:r>
          </w:p>
        </w:tc>
        <w:tc>
          <w:tcPr>
            <w:tcW w:w="29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tcPr>
          <w:p w14:paraId="5715D283" w14:textId="77777777" w:rsidR="00F621B8" w:rsidRDefault="00000000">
            <w:pPr>
              <w:spacing w:line="260" w:lineRule="auto"/>
            </w:pPr>
            <w:r>
              <w:rPr>
                <w:b/>
                <w:bCs/>
                <w:color w:val="FFFFFF"/>
                <w:sz w:val="19"/>
                <w:szCs w:val="19"/>
              </w:rPr>
              <w:t>What would verify it</w:t>
            </w:r>
          </w:p>
        </w:tc>
      </w:tr>
      <w:tr w:rsidR="00F621B8" w14:paraId="693D3354" w14:textId="77777777">
        <w:tblPrEx>
          <w:tblCellMar>
            <w:top w:w="0" w:type="dxa"/>
            <w:bottom w:w="0" w:type="dxa"/>
          </w:tblCellMar>
        </w:tblPrEx>
        <w:tc>
          <w:tcPr>
            <w:tcW w:w="19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75C1B751" w14:textId="77777777" w:rsidR="00F621B8" w:rsidRDefault="00000000">
            <w:pPr>
              <w:spacing w:line="260" w:lineRule="auto"/>
            </w:pPr>
            <w:r>
              <w:rPr>
                <w:sz w:val="19"/>
                <w:szCs w:val="19"/>
              </w:rPr>
              <w:t>Spec bootstrapping</w:t>
            </w:r>
          </w:p>
        </w:tc>
        <w:tc>
          <w:tcPr>
            <w:tcW w:w="4226"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23A28528" w14:textId="77777777" w:rsidR="00F621B8" w:rsidRDefault="00000000">
            <w:pPr>
              <w:spacing w:line="260" w:lineRule="auto"/>
            </w:pPr>
            <w:r>
              <w:rPr>
                <w:sz w:val="19"/>
                <w:szCs w:val="19"/>
              </w:rPr>
              <w:t>Turns a product description into epics, features, requirements, a data model and user roles; refine by hand, with an in-app agent, or with one’s own agents.</w:t>
            </w:r>
          </w:p>
        </w:tc>
        <w:tc>
          <w:tcPr>
            <w:tcW w:w="29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2CDB0435" w14:textId="77777777" w:rsidR="00F621B8" w:rsidRDefault="00000000">
            <w:pPr>
              <w:spacing w:line="260" w:lineRule="auto"/>
            </w:pPr>
            <w:r>
              <w:rPr>
                <w:sz w:val="19"/>
                <w:szCs w:val="19"/>
              </w:rPr>
              <w:t>Blind comparison of bootstrapped vs. expert-written specs on completeness and ambiguity.</w:t>
            </w:r>
          </w:p>
        </w:tc>
      </w:tr>
      <w:tr w:rsidR="00F621B8" w14:paraId="4E13645C" w14:textId="77777777">
        <w:tblPrEx>
          <w:tblCellMar>
            <w:top w:w="0" w:type="dxa"/>
            <w:bottom w:w="0" w:type="dxa"/>
          </w:tblCellMar>
        </w:tblPrEx>
        <w:tc>
          <w:tcPr>
            <w:tcW w:w="19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6BE701B1" w14:textId="77777777" w:rsidR="00F621B8" w:rsidRDefault="00000000">
            <w:pPr>
              <w:spacing w:line="260" w:lineRule="auto"/>
            </w:pPr>
            <w:r>
              <w:rPr>
                <w:sz w:val="19"/>
                <w:szCs w:val="19"/>
              </w:rPr>
              <w:t>Requirements management</w:t>
            </w:r>
          </w:p>
        </w:tc>
        <w:tc>
          <w:tcPr>
            <w:tcW w:w="4226"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1838DDE3" w14:textId="77777777" w:rsidR="00F621B8" w:rsidRDefault="00000000">
            <w:pPr>
              <w:spacing w:line="260" w:lineRule="auto"/>
            </w:pPr>
            <w:r>
              <w:rPr>
                <w:sz w:val="19"/>
                <w:szCs w:val="19"/>
              </w:rPr>
              <w:t>Each requirement tracks origin and status, carries acceptance criteria, is organised into releases and linked to implementation.</w:t>
            </w:r>
          </w:p>
        </w:tc>
        <w:tc>
          <w:tcPr>
            <w:tcW w:w="29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58A5073C" w14:textId="77777777" w:rsidR="00F621B8" w:rsidRDefault="00000000">
            <w:pPr>
              <w:spacing w:line="260" w:lineRule="auto"/>
            </w:pPr>
            <w:r>
              <w:rPr>
                <w:sz w:val="19"/>
                <w:szCs w:val="19"/>
              </w:rPr>
              <w:t>Inspection of the data model and export format.</w:t>
            </w:r>
          </w:p>
        </w:tc>
      </w:tr>
      <w:tr w:rsidR="00F621B8" w14:paraId="312AC443" w14:textId="77777777">
        <w:tblPrEx>
          <w:tblCellMar>
            <w:top w:w="0" w:type="dxa"/>
            <w:bottom w:w="0" w:type="dxa"/>
          </w:tblCellMar>
        </w:tblPrEx>
        <w:tc>
          <w:tcPr>
            <w:tcW w:w="19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58FDF5E9" w14:textId="77777777" w:rsidR="00F621B8" w:rsidRDefault="00000000">
            <w:pPr>
              <w:spacing w:line="260" w:lineRule="auto"/>
            </w:pPr>
            <w:r>
              <w:rPr>
                <w:sz w:val="19"/>
                <w:szCs w:val="19"/>
              </w:rPr>
              <w:t>Collaboration</w:t>
            </w:r>
          </w:p>
        </w:tc>
        <w:tc>
          <w:tcPr>
            <w:tcW w:w="4226"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21CFD957" w14:textId="77777777" w:rsidR="00F621B8" w:rsidRDefault="00000000">
            <w:pPr>
              <w:spacing w:line="260" w:lineRule="auto"/>
            </w:pPr>
            <w:r>
              <w:rPr>
                <w:sz w:val="19"/>
                <w:szCs w:val="19"/>
              </w:rPr>
              <w:t>Threaded discussions and a complete audit trail per requirement, available to agents.</w:t>
            </w:r>
          </w:p>
        </w:tc>
        <w:tc>
          <w:tcPr>
            <w:tcW w:w="29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3DD1B573" w14:textId="77777777" w:rsidR="00F621B8" w:rsidRDefault="00000000">
            <w:pPr>
              <w:spacing w:line="260" w:lineRule="auto"/>
            </w:pPr>
            <w:r>
              <w:rPr>
                <w:sz w:val="19"/>
                <w:szCs w:val="19"/>
              </w:rPr>
              <w:t>Audit log distinguishes human-approved from AI-drafted changes.</w:t>
            </w:r>
          </w:p>
        </w:tc>
      </w:tr>
      <w:tr w:rsidR="00F621B8" w14:paraId="1B78FA4A" w14:textId="77777777">
        <w:tblPrEx>
          <w:tblCellMar>
            <w:top w:w="0" w:type="dxa"/>
            <w:bottom w:w="0" w:type="dxa"/>
          </w:tblCellMar>
        </w:tblPrEx>
        <w:tc>
          <w:tcPr>
            <w:tcW w:w="19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50B7FCC1" w14:textId="77777777" w:rsidR="00F621B8" w:rsidRDefault="00000000">
            <w:pPr>
              <w:spacing w:line="260" w:lineRule="auto"/>
            </w:pPr>
            <w:r>
              <w:rPr>
                <w:sz w:val="19"/>
                <w:szCs w:val="19"/>
              </w:rPr>
              <w:t>Integrations</w:t>
            </w:r>
          </w:p>
        </w:tc>
        <w:tc>
          <w:tcPr>
            <w:tcW w:w="4226"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3D685DB7" w14:textId="77777777" w:rsidR="00F621B8" w:rsidRDefault="00000000">
            <w:pPr>
              <w:spacing w:line="260" w:lineRule="auto"/>
            </w:pPr>
            <w:r>
              <w:rPr>
                <w:sz w:val="19"/>
                <w:szCs w:val="19"/>
              </w:rPr>
              <w:t>Files GitHub issues and links pull requests to requirements; embeds Figma designs; webhooks; an agent-friendly API and agent skill.</w:t>
            </w:r>
          </w:p>
        </w:tc>
        <w:tc>
          <w:tcPr>
            <w:tcW w:w="29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67E01B02" w14:textId="77777777" w:rsidR="00F621B8" w:rsidRDefault="00000000">
            <w:pPr>
              <w:spacing w:line="260" w:lineRule="auto"/>
            </w:pPr>
            <w:r>
              <w:rPr>
                <w:sz w:val="19"/>
                <w:szCs w:val="19"/>
              </w:rPr>
              <w:t>Public API documentation; round-trip with in-repo spec formats.</w:t>
            </w:r>
          </w:p>
        </w:tc>
      </w:tr>
      <w:tr w:rsidR="00F621B8" w14:paraId="6D172152" w14:textId="77777777">
        <w:tblPrEx>
          <w:tblCellMar>
            <w:top w:w="0" w:type="dxa"/>
            <w:bottom w:w="0" w:type="dxa"/>
          </w:tblCellMar>
        </w:tblPrEx>
        <w:tc>
          <w:tcPr>
            <w:tcW w:w="19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0B26A534" w14:textId="77777777" w:rsidR="00F621B8" w:rsidRDefault="00000000">
            <w:pPr>
              <w:spacing w:line="260" w:lineRule="auto"/>
            </w:pPr>
            <w:r>
              <w:rPr>
                <w:sz w:val="19"/>
                <w:szCs w:val="19"/>
              </w:rPr>
              <w:lastRenderedPageBreak/>
              <w:t>Alignment</w:t>
            </w:r>
          </w:p>
        </w:tc>
        <w:tc>
          <w:tcPr>
            <w:tcW w:w="4226"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649C77D5" w14:textId="77777777" w:rsidR="00F621B8" w:rsidRDefault="00000000">
            <w:pPr>
              <w:spacing w:line="260" w:lineRule="auto"/>
            </w:pPr>
            <w:r>
              <w:rPr>
                <w:sz w:val="19"/>
                <w:szCs w:val="19"/>
              </w:rPr>
              <w:t>Agentic workflows keep spec and implementation aligned as both evolve.</w:t>
            </w:r>
          </w:p>
        </w:tc>
        <w:tc>
          <w:tcPr>
            <w:tcW w:w="29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61AE0C34" w14:textId="77777777" w:rsidR="00F621B8" w:rsidRDefault="00000000">
            <w:pPr>
              <w:spacing w:line="260" w:lineRule="auto"/>
            </w:pPr>
            <w:r>
              <w:rPr>
                <w:sz w:val="19"/>
                <w:szCs w:val="19"/>
              </w:rPr>
              <w:t>Measured drift over time with and without the workflow (Section 7, H3).</w:t>
            </w:r>
          </w:p>
        </w:tc>
      </w:tr>
      <w:tr w:rsidR="00F621B8" w14:paraId="1FDB83C6" w14:textId="77777777">
        <w:tblPrEx>
          <w:tblCellMar>
            <w:top w:w="0" w:type="dxa"/>
            <w:bottom w:w="0" w:type="dxa"/>
          </w:tblCellMar>
        </w:tblPrEx>
        <w:tc>
          <w:tcPr>
            <w:tcW w:w="19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2B663F5A" w14:textId="77777777" w:rsidR="00F621B8" w:rsidRDefault="00000000">
            <w:pPr>
              <w:spacing w:line="260" w:lineRule="auto"/>
            </w:pPr>
            <w:r>
              <w:rPr>
                <w:sz w:val="19"/>
                <w:szCs w:val="19"/>
              </w:rPr>
              <w:t>Vibe-to-spec</w:t>
            </w:r>
          </w:p>
        </w:tc>
        <w:tc>
          <w:tcPr>
            <w:tcW w:w="4226"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0C991D37" w14:textId="77777777" w:rsidR="00F621B8" w:rsidRDefault="00000000">
            <w:pPr>
              <w:spacing w:line="260" w:lineRule="auto"/>
            </w:pPr>
            <w:r>
              <w:rPr>
                <w:sz w:val="19"/>
                <w:szCs w:val="19"/>
              </w:rPr>
              <w:t>Bootstraps a spec from an already-built product to escape vendor lock-in.</w:t>
            </w:r>
          </w:p>
        </w:tc>
        <w:tc>
          <w:tcPr>
            <w:tcW w:w="29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69027F53" w14:textId="77777777" w:rsidR="00F621B8" w:rsidRDefault="00000000">
            <w:pPr>
              <w:spacing w:line="260" w:lineRule="auto"/>
            </w:pPr>
            <w:r>
              <w:rPr>
                <w:sz w:val="19"/>
                <w:szCs w:val="19"/>
              </w:rPr>
              <w:t>Fidelity metrics separating observed behaviour from intended behaviour (Section 8, R6).</w:t>
            </w:r>
          </w:p>
        </w:tc>
      </w:tr>
      <w:tr w:rsidR="00F621B8" w14:paraId="39123C3E" w14:textId="77777777">
        <w:tblPrEx>
          <w:tblCellMar>
            <w:top w:w="0" w:type="dxa"/>
            <w:bottom w:w="0" w:type="dxa"/>
          </w:tblCellMar>
        </w:tblPrEx>
        <w:tc>
          <w:tcPr>
            <w:tcW w:w="19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435AF6A1" w14:textId="77777777" w:rsidR="00F621B8" w:rsidRDefault="00000000">
            <w:pPr>
              <w:spacing w:line="260" w:lineRule="auto"/>
            </w:pPr>
            <w:r>
              <w:rPr>
                <w:sz w:val="19"/>
                <w:szCs w:val="19"/>
              </w:rPr>
              <w:t>Quality &amp; compliance</w:t>
            </w:r>
          </w:p>
        </w:tc>
        <w:tc>
          <w:tcPr>
            <w:tcW w:w="4226"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13B46511" w14:textId="77777777" w:rsidR="00F621B8" w:rsidRDefault="00000000">
            <w:pPr>
              <w:spacing w:line="260" w:lineRule="auto"/>
            </w:pPr>
            <w:r>
              <w:rPr>
                <w:sz w:val="19"/>
                <w:szCs w:val="19"/>
              </w:rPr>
              <w:t>Acceptance criteria per requirement; AI-assisted completeness and consistency checks; QC checklists; mapping to compliance controls; audit-ready reports.</w:t>
            </w:r>
          </w:p>
        </w:tc>
        <w:tc>
          <w:tcPr>
            <w:tcW w:w="29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0A960A35" w14:textId="77777777" w:rsidR="00F621B8" w:rsidRDefault="00000000">
            <w:pPr>
              <w:spacing w:line="260" w:lineRule="auto"/>
            </w:pPr>
            <w:r>
              <w:rPr>
                <w:sz w:val="19"/>
                <w:szCs w:val="19"/>
              </w:rPr>
              <w:t>Named frameworks supported; auditor acceptance of reports.</w:t>
            </w:r>
          </w:p>
        </w:tc>
      </w:tr>
      <w:tr w:rsidR="00F621B8" w14:paraId="2F9F82B5" w14:textId="77777777">
        <w:tblPrEx>
          <w:tblCellMar>
            <w:top w:w="0" w:type="dxa"/>
            <w:bottom w:w="0" w:type="dxa"/>
          </w:tblCellMar>
        </w:tblPrEx>
        <w:tc>
          <w:tcPr>
            <w:tcW w:w="19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0B9DD7B7" w14:textId="77777777" w:rsidR="00F621B8" w:rsidRDefault="00000000">
            <w:pPr>
              <w:spacing w:line="260" w:lineRule="auto"/>
            </w:pPr>
            <w:r>
              <w:rPr>
                <w:sz w:val="19"/>
                <w:szCs w:val="19"/>
              </w:rPr>
              <w:t>Availability</w:t>
            </w:r>
          </w:p>
        </w:tc>
        <w:tc>
          <w:tcPr>
            <w:tcW w:w="4226"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41693C01" w14:textId="77777777" w:rsidR="00F621B8" w:rsidRDefault="00000000">
            <w:pPr>
              <w:spacing w:line="260" w:lineRule="auto"/>
            </w:pPr>
            <w:r>
              <w:rPr>
                <w:sz w:val="19"/>
                <w:szCs w:val="19"/>
              </w:rPr>
              <w:t>Invite-only early access; one anonymous agency testimonial on the homepage.</w:t>
            </w:r>
          </w:p>
        </w:tc>
        <w:tc>
          <w:tcPr>
            <w:tcW w:w="29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7D2FD8DD" w14:textId="77777777" w:rsidR="00F621B8" w:rsidRDefault="00000000">
            <w:pPr>
              <w:spacing w:line="260" w:lineRule="auto"/>
            </w:pPr>
            <w:r>
              <w:rPr>
                <w:b/>
                <w:bCs/>
                <w:sz w:val="19"/>
                <w:szCs w:val="19"/>
              </w:rPr>
              <w:t>[Obs]</w:t>
            </w:r>
            <w:r>
              <w:rPr>
                <w:sz w:val="19"/>
                <w:szCs w:val="19"/>
              </w:rPr>
              <w:t xml:space="preserve"> No public pricing or benchmark was found on the pages reviewed.</w:t>
            </w:r>
          </w:p>
        </w:tc>
      </w:tr>
    </w:tbl>
    <w:p w14:paraId="15662D4D" w14:textId="77777777" w:rsidR="00F621B8" w:rsidRDefault="00F621B8">
      <w:pPr>
        <w:spacing w:after="100"/>
      </w:pPr>
    </w:p>
    <w:p w14:paraId="0BE4AAC2" w14:textId="77777777" w:rsidR="00F621B8" w:rsidRDefault="00000000">
      <w:pPr>
        <w:spacing w:after="140" w:line="300" w:lineRule="auto"/>
        <w:jc w:val="both"/>
      </w:pPr>
      <w:r>
        <w:t>Two observations matter for what follows. First, the alignment claim is the load-bearing one for T2 and T3, and the public material does not specify its mechanism—which checks run, when, and against what. Second, SpecHub’s own homepage remarks that there is no clear industry standard for writing a specification [1]. That candour is to its credit, but it bears directly on the platform claim: GitHub inherited a universal substrate (plain-text files under git); a specification platform must either define or adopt one.</w:t>
      </w:r>
    </w:p>
    <w:p w14:paraId="5E778866" w14:textId="77777777" w:rsidR="00F621B8" w:rsidRDefault="00000000">
      <w:pPr>
        <w:pStyle w:val="Heading1"/>
      </w:pPr>
      <w:r>
        <w:t>4. A Minimal Formal Model</w:t>
      </w:r>
    </w:p>
    <w:p w14:paraId="2AB8AC8A" w14:textId="77777777" w:rsidR="00F621B8" w:rsidRDefault="00000000">
      <w:pPr>
        <w:spacing w:after="140" w:line="300" w:lineRule="auto"/>
        <w:jc w:val="both"/>
      </w:pPr>
      <w:r>
        <w:t>The aim of this section is not elaborate mathematics but to make the essay’s verbal claims precise enough to be wrong. All results are elementary; their value is in what they force the claims to mean.</w:t>
      </w:r>
    </w:p>
    <w:p w14:paraId="09BFEACD" w14:textId="77777777" w:rsidR="00F621B8" w:rsidRDefault="00000000">
      <w:pPr>
        <w:pStyle w:val="Heading2"/>
      </w:pPr>
      <w:r>
        <w:t>4.1 Objects</w:t>
      </w:r>
    </w:p>
    <w:p w14:paraId="229F6496" w14:textId="77777777" w:rsidR="00F621B8" w:rsidRDefault="00000000">
      <w:pPr>
        <w:spacing w:after="140" w:line="300" w:lineRule="auto"/>
        <w:jc w:val="both"/>
      </w:pPr>
      <w:r>
        <w:t xml:space="preserve">Let 𝒫 be the space of candidate programs. Stakeholder </w:t>
      </w:r>
      <w:r>
        <w:rPr>
          <w:b/>
          <w:bCs/>
        </w:rPr>
        <w:t>intent</w:t>
      </w:r>
      <w:r>
        <w:t xml:space="preserve"> is the set </w:t>
      </w:r>
      <w:r>
        <w:rPr>
          <w:i/>
          <w:iCs/>
        </w:rPr>
        <w:t>I</w:t>
      </w:r>
      <w:r>
        <w:t xml:space="preserve"> ⊆ 𝒫 of programs the stakeholders would accept. A </w:t>
      </w:r>
      <w:r>
        <w:rPr>
          <w:b/>
          <w:bCs/>
        </w:rPr>
        <w:t>specification</w:t>
      </w:r>
      <w:r>
        <w:t xml:space="preserve"> </w:t>
      </w:r>
      <w:r>
        <w:rPr>
          <w:i/>
          <w:iCs/>
        </w:rPr>
        <w:t>S</w:t>
      </w:r>
      <w:r>
        <w:t xml:space="preserve"> = (</w:t>
      </w:r>
      <w:r>
        <w:rPr>
          <w:i/>
          <w:iCs/>
        </w:rPr>
        <w:t>R</w:t>
      </w:r>
      <w:r>
        <w:t xml:space="preserve">, </w:t>
      </w:r>
      <w:r>
        <w:rPr>
          <w:i/>
          <w:iCs/>
        </w:rPr>
        <w:t>A</w:t>
      </w:r>
      <w:r>
        <w:t xml:space="preserve">) consists of requirements </w:t>
      </w:r>
      <w:r>
        <w:rPr>
          <w:i/>
          <w:iCs/>
        </w:rPr>
        <w:t>R</w:t>
      </w:r>
      <w:r>
        <w:t xml:space="preserve"> = {</w:t>
      </w:r>
      <w:r>
        <w:rPr>
          <w:i/>
          <w:iCs/>
        </w:rPr>
        <w:t>r</w:t>
      </w:r>
      <w:r>
        <w:t xml:space="preserve">₁, …, </w:t>
      </w:r>
      <w:r>
        <w:rPr>
          <w:i/>
          <w:iCs/>
        </w:rPr>
        <w:t>r</w:t>
      </w:r>
      <w:r>
        <w:t xml:space="preserve">ₙ}, each with an acceptance predicate </w:t>
      </w:r>
      <w:r>
        <w:rPr>
          <w:i/>
          <w:iCs/>
        </w:rPr>
        <w:t>a</w:t>
      </w:r>
      <w:r>
        <w:t>ᵢ : 𝒫 → {0, 1}. Its satisfying set is</w:t>
      </w:r>
    </w:p>
    <w:p w14:paraId="57E2851D" w14:textId="77777777" w:rsidR="00F621B8" w:rsidRDefault="00000000">
      <w:pPr>
        <w:spacing w:before="120" w:after="160"/>
        <w:jc w:val="center"/>
      </w:pPr>
      <w:r>
        <w:rPr>
          <w:i/>
          <w:iCs/>
          <w:sz w:val="23"/>
          <w:szCs w:val="23"/>
        </w:rPr>
        <w:t>Sat(S) = { c ∈ 𝒫 : aᵢ(c) = 1 for all i }.</w:t>
      </w:r>
      <w:r>
        <w:t>  (1)</w:t>
      </w:r>
    </w:p>
    <w:p w14:paraId="28199356" w14:textId="77777777" w:rsidR="00F621B8" w:rsidRDefault="00000000">
      <w:pPr>
        <w:spacing w:after="140" w:line="300" w:lineRule="auto"/>
        <w:jc w:val="both"/>
      </w:pPr>
      <w:r>
        <w:t xml:space="preserve">An AI implementer, given </w:t>
      </w:r>
      <w:r>
        <w:rPr>
          <w:i/>
          <w:iCs/>
        </w:rPr>
        <w:t>S</w:t>
      </w:r>
      <w:r>
        <w:t xml:space="preserve"> and context, is modelled as a generator </w:t>
      </w:r>
      <w:r>
        <w:rPr>
          <w:i/>
          <w:iCs/>
        </w:rPr>
        <w:t>G</w:t>
      </w:r>
      <w:r>
        <w:t xml:space="preserve"> inducing a distribution over 𝒫; </w:t>
      </w:r>
      <w:r>
        <w:rPr>
          <w:i/>
          <w:iCs/>
        </w:rPr>
        <w:t>C</w:t>
      </w:r>
      <w:r>
        <w:t xml:space="preserve"> ∼ </w:t>
      </w:r>
      <w:r>
        <w:rPr>
          <w:i/>
          <w:iCs/>
        </w:rPr>
        <w:t>G</w:t>
      </w:r>
      <w:r>
        <w:t>(</w:t>
      </w:r>
      <w:r>
        <w:rPr>
          <w:i/>
          <w:iCs/>
        </w:rPr>
        <w:t>S</w:t>
      </w:r>
      <w:r>
        <w:t xml:space="preserve">) is one implementation draw. Nothing requires </w:t>
      </w:r>
      <w:r>
        <w:rPr>
          <w:i/>
          <w:iCs/>
        </w:rPr>
        <w:t>Sat</w:t>
      </w:r>
      <w:r>
        <w:t>(</w:t>
      </w:r>
      <w:r>
        <w:rPr>
          <w:i/>
          <w:iCs/>
        </w:rPr>
        <w:t>S</w:t>
      </w:r>
      <w:r>
        <w:t xml:space="preserve">) = </w:t>
      </w:r>
      <w:r>
        <w:rPr>
          <w:i/>
          <w:iCs/>
        </w:rPr>
        <w:t>I</w:t>
      </w:r>
      <w:r>
        <w:t>: a specification can admit unintended programs (underspecification) or exclude intended ones (overspecification or error).</w:t>
      </w:r>
    </w:p>
    <w:p w14:paraId="78360FFF" w14:textId="77777777" w:rsidR="00F621B8" w:rsidRDefault="00000000">
      <w:pPr>
        <w:pStyle w:val="Heading2"/>
      </w:pPr>
      <w:r>
        <w:t>4.2 The bottleneck decomposition</w:t>
      </w:r>
    </w:p>
    <w:p w14:paraId="4D10ADF6" w14:textId="77777777" w:rsidR="00F621B8" w:rsidRDefault="00000000">
      <w:pPr>
        <w:spacing w:after="140" w:line="300" w:lineRule="auto"/>
        <w:jc w:val="both"/>
      </w:pPr>
      <w:r>
        <w:t xml:space="preserve">Define </w:t>
      </w:r>
      <w:r>
        <w:rPr>
          <w:b/>
          <w:bCs/>
        </w:rPr>
        <w:t>executional fidelity</w:t>
      </w:r>
      <w:r>
        <w:t xml:space="preserve"> </w:t>
      </w:r>
      <w:r>
        <w:rPr>
          <w:i/>
          <w:iCs/>
        </w:rPr>
        <w:t>e</w:t>
      </w:r>
      <w:r>
        <w:t xml:space="preserve"> = Pr[</w:t>
      </w:r>
      <w:r>
        <w:rPr>
          <w:i/>
          <w:iCs/>
        </w:rPr>
        <w:t>C</w:t>
      </w:r>
      <w:r>
        <w:t xml:space="preserve"> ∈ </w:t>
      </w:r>
      <w:r>
        <w:rPr>
          <w:i/>
          <w:iCs/>
        </w:rPr>
        <w:t>Sat</w:t>
      </w:r>
      <w:r>
        <w:t>(</w:t>
      </w:r>
      <w:r>
        <w:rPr>
          <w:i/>
          <w:iCs/>
        </w:rPr>
        <w:t>S</w:t>
      </w:r>
      <w:r>
        <w:t xml:space="preserve">)], </w:t>
      </w:r>
      <w:r>
        <w:rPr>
          <w:b/>
          <w:bCs/>
        </w:rPr>
        <w:t>specificational adequacy</w:t>
      </w:r>
      <w:r>
        <w:t xml:space="preserve"> </w:t>
      </w:r>
      <w:r>
        <w:rPr>
          <w:i/>
          <w:iCs/>
        </w:rPr>
        <w:t>q</w:t>
      </w:r>
      <w:r>
        <w:t xml:space="preserve"> = Pr[</w:t>
      </w:r>
      <w:r>
        <w:rPr>
          <w:i/>
          <w:iCs/>
        </w:rPr>
        <w:t>C</w:t>
      </w:r>
      <w:r>
        <w:t xml:space="preserve"> ∈ </w:t>
      </w:r>
      <w:r>
        <w:rPr>
          <w:i/>
          <w:iCs/>
        </w:rPr>
        <w:t>I</w:t>
      </w:r>
      <w:r>
        <w:t xml:space="preserve"> | </w:t>
      </w:r>
      <w:r>
        <w:rPr>
          <w:i/>
          <w:iCs/>
        </w:rPr>
        <w:t>C</w:t>
      </w:r>
      <w:r>
        <w:t xml:space="preserve"> ∈ </w:t>
      </w:r>
      <w:r>
        <w:rPr>
          <w:i/>
          <w:iCs/>
        </w:rPr>
        <w:t>Sat</w:t>
      </w:r>
      <w:r>
        <w:t>(</w:t>
      </w:r>
      <w:r>
        <w:rPr>
          <w:i/>
          <w:iCs/>
        </w:rPr>
        <w:t>S</w:t>
      </w:r>
      <w:r>
        <w:t xml:space="preserve">)], and the </w:t>
      </w:r>
      <w:r>
        <w:rPr>
          <w:b/>
          <w:bCs/>
        </w:rPr>
        <w:t>deviation credit</w:t>
      </w:r>
      <w:r>
        <w:t xml:space="preserve"> ε = Pr[</w:t>
      </w:r>
      <w:r>
        <w:rPr>
          <w:i/>
          <w:iCs/>
        </w:rPr>
        <w:t>C</w:t>
      </w:r>
      <w:r>
        <w:t xml:space="preserve"> ∈ </w:t>
      </w:r>
      <w:r>
        <w:rPr>
          <w:i/>
          <w:iCs/>
        </w:rPr>
        <w:t>I</w:t>
      </w:r>
      <w:r>
        <w:t xml:space="preserve"> \ </w:t>
      </w:r>
      <w:r>
        <w:rPr>
          <w:i/>
          <w:iCs/>
        </w:rPr>
        <w:t>Sat</w:t>
      </w:r>
      <w:r>
        <w:t>(</w:t>
      </w:r>
      <w:r>
        <w:rPr>
          <w:i/>
          <w:iCs/>
        </w:rPr>
        <w:t>S</w:t>
      </w:r>
      <w:r>
        <w:t>)] (the agent violated the spec yet landed inside intent—a sign the spec was wrong). Then, exactly,</w:t>
      </w:r>
    </w:p>
    <w:p w14:paraId="13EE87D1" w14:textId="77777777" w:rsidR="00F621B8" w:rsidRDefault="00000000">
      <w:pPr>
        <w:spacing w:before="120" w:after="160"/>
        <w:jc w:val="center"/>
      </w:pPr>
      <w:r>
        <w:rPr>
          <w:i/>
          <w:iCs/>
          <w:sz w:val="23"/>
          <w:szCs w:val="23"/>
        </w:rPr>
        <w:t>Pr[C ∈ I] = e · q + ε.</w:t>
      </w:r>
      <w:r>
        <w:t>  (2)</w:t>
      </w:r>
    </w:p>
    <w:p w14:paraId="40DD2169" w14:textId="77777777" w:rsidR="00F621B8" w:rsidRDefault="00000000">
      <w:pPr>
        <w:spacing w:after="140" w:line="300" w:lineRule="auto"/>
        <w:jc w:val="both"/>
      </w:pPr>
      <w:r>
        <w:lastRenderedPageBreak/>
        <w:t xml:space="preserve">Under SDD discipline ε is a defect signal (the specification should be corrected), so the managed quantity is </w:t>
      </w:r>
      <w:r>
        <w:rPr>
          <w:i/>
          <w:iCs/>
        </w:rPr>
        <w:t>e</w:t>
      </w:r>
      <w:r>
        <w:t>·</w:t>
      </w:r>
      <w:r>
        <w:rPr>
          <w:i/>
          <w:iCs/>
        </w:rPr>
        <w:t>q</w:t>
      </w:r>
      <w:r>
        <w:t>. Its partial derivatives are ∂(</w:t>
      </w:r>
      <w:r>
        <w:rPr>
          <w:i/>
          <w:iCs/>
        </w:rPr>
        <w:t>eq</w:t>
      </w:r>
      <w:r>
        <w:t>)/∂</w:t>
      </w:r>
      <w:r>
        <w:rPr>
          <w:i/>
          <w:iCs/>
        </w:rPr>
        <w:t>e</w:t>
      </w:r>
      <w:r>
        <w:t xml:space="preserve"> = </w:t>
      </w:r>
      <w:r>
        <w:rPr>
          <w:i/>
          <w:iCs/>
        </w:rPr>
        <w:t>q</w:t>
      </w:r>
      <w:r>
        <w:t xml:space="preserve"> and ∂(</w:t>
      </w:r>
      <w:r>
        <w:rPr>
          <w:i/>
          <w:iCs/>
        </w:rPr>
        <w:t>eq</w:t>
      </w:r>
      <w:r>
        <w:t>)/∂</w:t>
      </w:r>
      <w:r>
        <w:rPr>
          <w:i/>
          <w:iCs/>
        </w:rPr>
        <w:t>q</w:t>
      </w:r>
      <w:r>
        <w:t xml:space="preserve"> = </w:t>
      </w:r>
      <w:r>
        <w:rPr>
          <w:i/>
          <w:iCs/>
        </w:rPr>
        <w:t>e</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621B8" w14:paraId="4F671C8D" w14:textId="77777777">
        <w:tblPrEx>
          <w:tblCellMar>
            <w:top w:w="0" w:type="dxa"/>
            <w:bottom w:w="0" w:type="dxa"/>
          </w:tblCellMar>
        </w:tblPrEx>
        <w:tc>
          <w:tcPr>
            <w:tcW w:w="9026" w:type="dxa"/>
            <w:tcBorders>
              <w:top w:val="single" w:sz="4" w:space="0" w:color="1F3A5F"/>
              <w:left w:val="single" w:sz="18" w:space="0" w:color="1F3A5F"/>
              <w:bottom w:val="single" w:sz="4" w:space="0" w:color="1F3A5F"/>
              <w:right w:val="none" w:sz="0" w:space="0" w:color="FFFFFF"/>
            </w:tcBorders>
            <w:shd w:val="clear" w:color="auto" w:fill="EEF3F8"/>
            <w:tcMar>
              <w:top w:w="140" w:type="dxa"/>
              <w:left w:w="200" w:type="dxa"/>
              <w:bottom w:w="140" w:type="dxa"/>
              <w:right w:w="200" w:type="dxa"/>
            </w:tcMar>
          </w:tcPr>
          <w:p w14:paraId="7E5793BB" w14:textId="77777777" w:rsidR="00F621B8" w:rsidRDefault="00000000">
            <w:pPr>
              <w:spacing w:after="80"/>
            </w:pPr>
            <w:r>
              <w:rPr>
                <w:b/>
                <w:bCs/>
                <w:color w:val="1F3A5F"/>
              </w:rPr>
              <w:t>Proposition 1 (bottleneck migration) [Model]</w:t>
            </w:r>
          </w:p>
          <w:p w14:paraId="00CB5DEE" w14:textId="77777777" w:rsidR="00F621B8" w:rsidRDefault="00000000">
            <w:pPr>
              <w:spacing w:after="80" w:line="280" w:lineRule="auto"/>
              <w:jc w:val="both"/>
            </w:pPr>
            <w:r>
              <w:t>For equal marginal improvements, improving the specification yields a larger gain in Pr[</w:t>
            </w:r>
            <w:r>
              <w:rPr>
                <w:i/>
                <w:iCs/>
              </w:rPr>
              <w:t>C</w:t>
            </w:r>
            <w:r>
              <w:t xml:space="preserve"> ∈ </w:t>
            </w:r>
            <w:r>
              <w:rPr>
                <w:i/>
                <w:iCs/>
              </w:rPr>
              <w:t>I</w:t>
            </w:r>
            <w:r>
              <w:t xml:space="preserve">] than improving the agent if and only if </w:t>
            </w:r>
            <w:r>
              <w:rPr>
                <w:i/>
                <w:iCs/>
              </w:rPr>
              <w:t>e</w:t>
            </w:r>
            <w:r>
              <w:t xml:space="preserve"> &gt; </w:t>
            </w:r>
            <w:r>
              <w:rPr>
                <w:i/>
                <w:iCs/>
              </w:rPr>
              <w:t>q</w:t>
            </w:r>
            <w:r>
              <w:t xml:space="preserve">. With unequal costs </w:t>
            </w:r>
            <w:r>
              <w:rPr>
                <w:i/>
                <w:iCs/>
              </w:rPr>
              <w:t>c_e</w:t>
            </w:r>
            <w:r>
              <w:t xml:space="preserve"> and </w:t>
            </w:r>
            <w:r>
              <w:rPr>
                <w:i/>
                <w:iCs/>
              </w:rPr>
              <w:t>c_q</w:t>
            </w:r>
            <w:r>
              <w:t xml:space="preserve"> per unit improvement, the condition becomes </w:t>
            </w:r>
            <w:r>
              <w:rPr>
                <w:i/>
                <w:iCs/>
              </w:rPr>
              <w:t>e</w:t>
            </w:r>
            <w:r>
              <w:t>/</w:t>
            </w:r>
            <w:r>
              <w:rPr>
                <w:i/>
                <w:iCs/>
              </w:rPr>
              <w:t>c_q</w:t>
            </w:r>
            <w:r>
              <w:t xml:space="preserve"> &gt; </w:t>
            </w:r>
            <w:r>
              <w:rPr>
                <w:i/>
                <w:iCs/>
              </w:rPr>
              <w:t>q</w:t>
            </w:r>
            <w:r>
              <w:t>/</w:t>
            </w:r>
            <w:r>
              <w:rPr>
                <w:i/>
                <w:iCs/>
              </w:rPr>
              <w:t>c_e</w:t>
            </w:r>
            <w:r>
              <w:t>.</w:t>
            </w:r>
          </w:p>
          <w:p w14:paraId="14DF23A5" w14:textId="77777777" w:rsidR="00F621B8" w:rsidRDefault="00000000">
            <w:pPr>
              <w:spacing w:after="80" w:line="280" w:lineRule="auto"/>
              <w:jc w:val="both"/>
            </w:pPr>
            <w:r>
              <w:rPr>
                <w:i/>
                <w:iCs/>
              </w:rPr>
              <w:t>Reading.</w:t>
            </w:r>
            <w:r>
              <w:t xml:space="preserve"> T1 is not a slogan but an inequality between two measurable quantities. It is true for a team exactly when its agents already satisfy most of what is written down more reliably than what is written down captures what is wanted. It is false—and model upgrades are the better investment—when agents still routinely fail written acceptance criteria.</w:t>
            </w:r>
          </w:p>
        </w:tc>
      </w:tr>
    </w:tbl>
    <w:p w14:paraId="41BF27A0" w14:textId="77777777" w:rsidR="00F621B8" w:rsidRDefault="00F621B8">
      <w:pPr>
        <w:spacing w:after="100"/>
      </w:pPr>
    </w:p>
    <w:p w14:paraId="5D5FF18D" w14:textId="77777777" w:rsidR="00F621B8" w:rsidRDefault="00000000">
      <w:pPr>
        <w:spacing w:after="140" w:line="300" w:lineRule="auto"/>
        <w:jc w:val="both"/>
      </w:pPr>
      <w:r>
        <w:rPr>
          <w:i/>
          <w:iCs/>
        </w:rPr>
        <w:t>e</w:t>
      </w:r>
      <w:r>
        <w:t xml:space="preserve"> is directly measurable whenever acceptance predicates are executable. </w:t>
      </w:r>
      <w:r>
        <w:rPr>
          <w:i/>
          <w:iCs/>
        </w:rPr>
        <w:t>q</w:t>
      </w:r>
      <w:r>
        <w:t xml:space="preserve"> is not: it requires human judgement of whether conforming outputs are acceptable, estimated on samples. This asymmetry is important. A platform that reports only conformance is reporting </w:t>
      </w:r>
      <w:r>
        <w:rPr>
          <w:i/>
          <w:iCs/>
        </w:rPr>
        <w:t>e</w:t>
      </w:r>
      <w:r>
        <w:t>, which is precisely the factor T1 says is no longer the bottleneck.</w:t>
      </w:r>
    </w:p>
    <w:p w14:paraId="44C2928D" w14:textId="77777777" w:rsidR="00F621B8" w:rsidRDefault="00000000">
      <w:pPr>
        <w:pStyle w:val="Heading2"/>
      </w:pPr>
      <w:r>
        <w:t>4.3 Regeneration and the hidden completeness assumption</w:t>
      </w:r>
    </w:p>
    <w:p w14:paraId="777D0D60" w14:textId="77777777" w:rsidR="00F621B8" w:rsidRDefault="00000000">
      <w:pPr>
        <w:spacing w:after="140" w:line="300" w:lineRule="auto"/>
        <w:jc w:val="both"/>
      </w:pPr>
      <w:r>
        <w:t xml:space="preserve">The essay proposes treating code as a regenerable output. Draw two implementations </w:t>
      </w:r>
      <w:r>
        <w:rPr>
          <w:i/>
          <w:iCs/>
        </w:rPr>
        <w:t>C</w:t>
      </w:r>
      <w:r>
        <w:t xml:space="preserve">₁, </w:t>
      </w:r>
      <w:r>
        <w:rPr>
          <w:i/>
          <w:iCs/>
        </w:rPr>
        <w:t>C</w:t>
      </w:r>
      <w:r>
        <w:t xml:space="preserve">₂ ∼ </w:t>
      </w:r>
      <w:r>
        <w:rPr>
          <w:i/>
          <w:iCs/>
        </w:rPr>
        <w:t>G</w:t>
      </w:r>
      <w:r>
        <w:t>(</w:t>
      </w:r>
      <w:r>
        <w:rPr>
          <w:i/>
          <w:iCs/>
        </w:rPr>
        <w:t>S</w:t>
      </w:r>
      <w:r>
        <w:t xml:space="preserve">) independently. Both may conform to </w:t>
      </w:r>
      <w:r>
        <w:rPr>
          <w:i/>
          <w:iCs/>
        </w:rPr>
        <w:t>S</w:t>
      </w:r>
      <w:r>
        <w:t xml:space="preserve"> yet differ in behaviour the specification does not constrain; Böckeler reports observing exactly this non-determinism when regenerating code from the same Tessl spec [5].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621B8" w14:paraId="7272AC9B" w14:textId="77777777">
        <w:tblPrEx>
          <w:tblCellMar>
            <w:top w:w="0" w:type="dxa"/>
            <w:bottom w:w="0" w:type="dxa"/>
          </w:tblCellMar>
        </w:tblPrEx>
        <w:tc>
          <w:tcPr>
            <w:tcW w:w="9026" w:type="dxa"/>
            <w:tcBorders>
              <w:top w:val="single" w:sz="4" w:space="0" w:color="1F3A5F"/>
              <w:left w:val="single" w:sz="18" w:space="0" w:color="1F3A5F"/>
              <w:bottom w:val="single" w:sz="4" w:space="0" w:color="1F3A5F"/>
              <w:right w:val="none" w:sz="0" w:space="0" w:color="FFFFFF"/>
            </w:tcBorders>
            <w:shd w:val="clear" w:color="auto" w:fill="EEF3F8"/>
            <w:tcMar>
              <w:top w:w="140" w:type="dxa"/>
              <w:left w:w="200" w:type="dxa"/>
              <w:bottom w:w="140" w:type="dxa"/>
              <w:right w:w="200" w:type="dxa"/>
            </w:tcMar>
          </w:tcPr>
          <w:p w14:paraId="13771A22" w14:textId="77777777" w:rsidR="00F621B8" w:rsidRDefault="00000000">
            <w:pPr>
              <w:spacing w:after="80"/>
            </w:pPr>
            <w:r>
              <w:rPr>
                <w:b/>
                <w:bCs/>
                <w:color w:val="1F3A5F"/>
              </w:rPr>
              <w:t>Proposition 2 (regenerability requires completeness) [Model]</w:t>
            </w:r>
          </w:p>
          <w:p w14:paraId="5B324060" w14:textId="77777777" w:rsidR="00F621B8" w:rsidRDefault="00000000">
            <w:pPr>
              <w:spacing w:after="80" w:line="280" w:lineRule="auto"/>
              <w:jc w:val="both"/>
            </w:pPr>
            <w:r>
              <w:t xml:space="preserve">Regeneration from </w:t>
            </w:r>
            <w:r>
              <w:rPr>
                <w:i/>
                <w:iCs/>
              </w:rPr>
              <w:t>S</w:t>
            </w:r>
            <w:r>
              <w:t xml:space="preserve"> is safe—every conforming draw is acceptable—if and only if </w:t>
            </w:r>
            <w:r>
              <w:rPr>
                <w:i/>
                <w:iCs/>
              </w:rPr>
              <w:t>q</w:t>
            </w:r>
            <w:r>
              <w:t xml:space="preserve"> = 1 on the support of </w:t>
            </w:r>
            <w:r>
              <w:rPr>
                <w:i/>
                <w:iCs/>
              </w:rPr>
              <w:t>G</w:t>
            </w:r>
            <w:r>
              <w:t xml:space="preserve"> restricted to </w:t>
            </w:r>
            <w:r>
              <w:rPr>
                <w:i/>
                <w:iCs/>
              </w:rPr>
              <w:t>Sat</w:t>
            </w:r>
            <w:r>
              <w:t>(</w:t>
            </w:r>
            <w:r>
              <w:rPr>
                <w:i/>
                <w:iCs/>
              </w:rPr>
              <w:t>S</w:t>
            </w:r>
            <w:r>
              <w:t xml:space="preserve">); that is, </w:t>
            </w:r>
            <w:r>
              <w:rPr>
                <w:i/>
                <w:iCs/>
              </w:rPr>
              <w:t>Sat</w:t>
            </w:r>
            <w:r>
              <w:t>(</w:t>
            </w:r>
            <w:r>
              <w:rPr>
                <w:i/>
                <w:iCs/>
              </w:rPr>
              <w:t>S</w:t>
            </w:r>
            <w:r>
              <w:t>) ∩ supp(</w:t>
            </w:r>
            <w:r>
              <w:rPr>
                <w:i/>
                <w:iCs/>
              </w:rPr>
              <w:t>G</w:t>
            </w:r>
            <w:r>
              <w:t xml:space="preserve">) ⊆ </w:t>
            </w:r>
            <w:r>
              <w:rPr>
                <w:i/>
                <w:iCs/>
              </w:rPr>
              <w:t>I</w:t>
            </w:r>
            <w:r>
              <w:t xml:space="preserve">. If </w:t>
            </w:r>
            <w:r>
              <w:rPr>
                <w:i/>
                <w:iCs/>
              </w:rPr>
              <w:t>q</w:t>
            </w:r>
            <w:r>
              <w:t xml:space="preserve"> &lt; 1, each regeneration is a fresh draw with probability at least </w:t>
            </w:r>
            <w:r>
              <w:rPr>
                <w:i/>
                <w:iCs/>
              </w:rPr>
              <w:t>e</w:t>
            </w:r>
            <w:r>
              <w:t xml:space="preserve">(1 − </w:t>
            </w:r>
            <w:r>
              <w:rPr>
                <w:i/>
                <w:iCs/>
              </w:rPr>
              <w:t>q</w:t>
            </w:r>
            <w:r>
              <w:t>) of leaving intent even when every written check passes.</w:t>
            </w:r>
          </w:p>
          <w:p w14:paraId="31DC7B4B" w14:textId="77777777" w:rsidR="00F621B8" w:rsidRDefault="00000000">
            <w:pPr>
              <w:spacing w:after="80" w:line="280" w:lineRule="auto"/>
              <w:jc w:val="both"/>
            </w:pPr>
            <w:r>
              <w:rPr>
                <w:i/>
                <w:iCs/>
              </w:rPr>
              <w:t>Reading.</w:t>
            </w:r>
            <w:r>
              <w:t xml:space="preserve"> “Code is a regenerable output” is equivalent to “the specification is complete relative to what the generator might do.” That is the strong completeness assumption on which model-driven development foundered [9, 11]. The defensible weakening is spec-</w:t>
            </w:r>
            <w:r>
              <w:rPr>
                <w:i/>
                <w:iCs/>
              </w:rPr>
              <w:t>anchored</w:t>
            </w:r>
            <w:r>
              <w:t xml:space="preserve"> practice: code is retained and edited, and regeneration is used locally, behind tests.</w:t>
            </w:r>
          </w:p>
        </w:tc>
      </w:tr>
    </w:tbl>
    <w:p w14:paraId="3454B7A3" w14:textId="77777777" w:rsidR="00F621B8" w:rsidRDefault="00F621B8">
      <w:pPr>
        <w:spacing w:after="100"/>
      </w:pPr>
    </w:p>
    <w:p w14:paraId="3115AF79" w14:textId="77777777" w:rsidR="00F621B8" w:rsidRDefault="00000000">
      <w:pPr>
        <w:pStyle w:val="Heading2"/>
      </w:pPr>
      <w:r>
        <w:t>4.4 Drift and observability</w:t>
      </w:r>
    </w:p>
    <w:p w14:paraId="27F984D5" w14:textId="77777777" w:rsidR="00F621B8" w:rsidRDefault="00000000">
      <w:pPr>
        <w:spacing w:after="140" w:line="300" w:lineRule="auto"/>
        <w:jc w:val="both"/>
      </w:pPr>
      <w:r>
        <w:t xml:space="preserve">Let </w:t>
      </w:r>
      <w:r>
        <w:rPr>
          <w:i/>
          <w:iCs/>
        </w:rPr>
        <w:t>C</w:t>
      </w:r>
      <w:r>
        <w:t xml:space="preserve">ₜ be the implementation after </w:t>
      </w:r>
      <w:r>
        <w:rPr>
          <w:i/>
          <w:iCs/>
        </w:rPr>
        <w:t>t</w:t>
      </w:r>
      <w:r>
        <w:t xml:space="preserve"> changes. Conformance and drift are</w:t>
      </w:r>
    </w:p>
    <w:p w14:paraId="2A69AAFC" w14:textId="77777777" w:rsidR="00F621B8" w:rsidRDefault="00000000">
      <w:pPr>
        <w:spacing w:before="120" w:after="160"/>
        <w:jc w:val="center"/>
      </w:pPr>
      <w:r>
        <w:rPr>
          <w:i/>
          <w:iCs/>
          <w:sz w:val="23"/>
          <w:szCs w:val="23"/>
        </w:rPr>
        <w:t>κₜ = (1/n) Σᵢ aᵢ(Cₜ),  Dₜ = 1 − κₜ.</w:t>
      </w:r>
      <w:r>
        <w:t>  (3)</w:t>
      </w:r>
    </w:p>
    <w:p w14:paraId="32D14397" w14:textId="77777777" w:rsidR="00F621B8" w:rsidRDefault="00000000">
      <w:pPr>
        <w:spacing w:after="140" w:line="300" w:lineRule="auto"/>
        <w:jc w:val="both"/>
      </w:pPr>
      <w:r>
        <w:t>Partition the acceptance criteria into an executable fraction φ, bound to automated tests that gate merges, and a remainder 1 − φ stated only in natural language. Suppose each change silently breaks an unchecked requirement with probability λ, and a gated violation escapes with residual rate δ. Then, to first order,</w:t>
      </w:r>
    </w:p>
    <w:p w14:paraId="211ABA9E" w14:textId="77777777" w:rsidR="00F621B8" w:rsidRDefault="00000000">
      <w:pPr>
        <w:spacing w:before="120" w:after="160"/>
        <w:jc w:val="center"/>
      </w:pPr>
      <w:r>
        <w:rPr>
          <w:i/>
          <w:iCs/>
          <w:sz w:val="23"/>
          <w:szCs w:val="23"/>
        </w:rPr>
        <w:lastRenderedPageBreak/>
        <w:t>E[Dₜ] ≈ (1 − φ)(1 − (1 − λ)ᵗ) + φδ.</w:t>
      </w:r>
      <w:r>
        <w:t>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621B8" w14:paraId="3755015E" w14:textId="77777777">
        <w:tblPrEx>
          <w:tblCellMar>
            <w:top w:w="0" w:type="dxa"/>
            <w:bottom w:w="0" w:type="dxa"/>
          </w:tblCellMar>
        </w:tblPrEx>
        <w:tc>
          <w:tcPr>
            <w:tcW w:w="9026" w:type="dxa"/>
            <w:tcBorders>
              <w:top w:val="single" w:sz="4" w:space="0" w:color="1F3A5F"/>
              <w:left w:val="single" w:sz="18" w:space="0" w:color="1F3A5F"/>
              <w:bottom w:val="single" w:sz="4" w:space="0" w:color="1F3A5F"/>
              <w:right w:val="none" w:sz="0" w:space="0" w:color="FFFFFF"/>
            </w:tcBorders>
            <w:shd w:val="clear" w:color="auto" w:fill="EEF3F8"/>
            <w:tcMar>
              <w:top w:w="140" w:type="dxa"/>
              <w:left w:w="200" w:type="dxa"/>
              <w:bottom w:w="140" w:type="dxa"/>
              <w:right w:w="200" w:type="dxa"/>
            </w:tcMar>
          </w:tcPr>
          <w:p w14:paraId="1976132C" w14:textId="77777777" w:rsidR="00F621B8" w:rsidRDefault="00000000">
            <w:pPr>
              <w:spacing w:after="80"/>
            </w:pPr>
            <w:r>
              <w:rPr>
                <w:b/>
                <w:bCs/>
                <w:color w:val="1F3A5F"/>
              </w:rPr>
              <w:t>Proposition 3 (alignment is observable only where a check runs) [Model]</w:t>
            </w:r>
          </w:p>
          <w:p w14:paraId="61CA354E" w14:textId="77777777" w:rsidR="00F621B8" w:rsidRDefault="00000000">
            <w:pPr>
              <w:spacing w:after="80" w:line="280" w:lineRule="auto"/>
              <w:jc w:val="both"/>
            </w:pPr>
            <w:r>
              <w:t xml:space="preserve">As </w:t>
            </w:r>
            <w:r>
              <w:rPr>
                <w:i/>
                <w:iCs/>
              </w:rPr>
              <w:t>t</w:t>
            </w:r>
            <w:r>
              <w:t xml:space="preserve"> grows, drift on unchecked requirements tends to 1 − φ regardless of how carefully the specification was written, while drift on gated requirements stays near φδ. A correction is installed only when a check runs. Consequently, a claim that a specification is the “single source of truth” is a measured statement for the fraction φ and an assertion for the fraction 1 − φ.</w:t>
            </w:r>
          </w:p>
          <w:p w14:paraId="256BE5A0" w14:textId="77777777" w:rsidR="00F621B8" w:rsidRDefault="00000000">
            <w:pPr>
              <w:spacing w:after="80" w:line="280" w:lineRule="auto"/>
              <w:jc w:val="both"/>
            </w:pPr>
            <w:r>
              <w:rPr>
                <w:i/>
                <w:iCs/>
              </w:rPr>
              <w:t>Reading.</w:t>
            </w:r>
            <w:r>
              <w:t xml:space="preserve"> LLM-based consistency review can lower λ, but it is itself a noisy judge with its own error rate; it shifts the curve rather than bounding it. Spec-anchored practice as described by Böckeler—keeping the specification alive through CI and contract tests—is exactly the move that raises φ [5, 12].</w:t>
            </w:r>
          </w:p>
        </w:tc>
      </w:tr>
    </w:tbl>
    <w:p w14:paraId="53224F9C" w14:textId="77777777" w:rsidR="00F621B8" w:rsidRDefault="00F621B8">
      <w:pPr>
        <w:spacing w:after="100"/>
      </w:pPr>
    </w:p>
    <w:p w14:paraId="6654F30E" w14:textId="77777777" w:rsidR="00F621B8" w:rsidRDefault="00000000">
      <w:pPr>
        <w:pStyle w:val="Heading2"/>
      </w:pPr>
      <w:r>
        <w:t>4.5 When does specification pay?</w:t>
      </w:r>
    </w:p>
    <w:p w14:paraId="63FD42B1" w14:textId="77777777" w:rsidR="00F621B8" w:rsidRDefault="00000000">
      <w:pPr>
        <w:spacing w:after="140" w:line="300" w:lineRule="auto"/>
        <w:jc w:val="both"/>
      </w:pPr>
      <w:r>
        <w:t xml:space="preserve">Let </w:t>
      </w:r>
      <w:r>
        <w:rPr>
          <w:i/>
          <w:iCs/>
        </w:rPr>
        <w:t>L</w:t>
      </w:r>
      <w:r>
        <w:t xml:space="preserve"> be the expected loss from shipping the wrong thing (rework, incidents, regulatory exposure) and </w:t>
      </w:r>
      <w:r>
        <w:rPr>
          <w:i/>
          <w:iCs/>
        </w:rPr>
        <w:t>c</w:t>
      </w:r>
      <w:r>
        <w:t>ₛ the cost of writing and reviewing the specification. SDD is worth its overhead when</w:t>
      </w:r>
    </w:p>
    <w:p w14:paraId="05F45BA4" w14:textId="77777777" w:rsidR="00F621B8" w:rsidRDefault="00000000">
      <w:pPr>
        <w:spacing w:before="120" w:after="160"/>
        <w:jc w:val="center"/>
      </w:pPr>
      <w:r>
        <w:rPr>
          <w:i/>
          <w:iCs/>
          <w:sz w:val="23"/>
          <w:szCs w:val="23"/>
        </w:rPr>
        <w:t>[ Pr_SDD[C ∈ I] − Pr_base[C ∈ I] ] · L  &gt;  cₛ.</w:t>
      </w:r>
      <w:r>
        <w:t>  (5)</w:t>
      </w:r>
    </w:p>
    <w:p w14:paraId="0A6C662B" w14:textId="77777777" w:rsidR="00F621B8" w:rsidRDefault="00000000">
      <w:pPr>
        <w:spacing w:after="140" w:line="300" w:lineRule="auto"/>
        <w:jc w:val="both"/>
      </w:pPr>
      <w:r>
        <w:t xml:space="preserve">This recovers the essay’s own concession—exploratory prototypes and one-off scripts have small </w:t>
      </w:r>
      <w:r>
        <w:rPr>
          <w:i/>
          <w:iCs/>
        </w:rPr>
        <w:t>L</w:t>
      </w:r>
      <w:r>
        <w:t xml:space="preserve"> and should be prompted directly—and makes the practitioner critique precise. Böckeler reports Kiro converting a small bug fix into four user stories with sixteen acceptance criteria, and Spec Kit producing verbose, repetitive Markdown that was harder to review than code [5] [Lit]; one practitioner write-up reports 2,577 lines of Markdown to ship 689 lines of code [12] [Lit, anecdotal]. Both are reports of </w:t>
      </w:r>
      <w:r>
        <w:rPr>
          <w:i/>
          <w:iCs/>
        </w:rPr>
        <w:t>c</w:t>
      </w:r>
      <w:r>
        <w:t xml:space="preserve">ₛ inflation. A tool that inflates </w:t>
      </w:r>
      <w:r>
        <w:rPr>
          <w:i/>
          <w:iCs/>
        </w:rPr>
        <w:t>c</w:t>
      </w:r>
      <w:r>
        <w:t>ₛ uniformly moves the break-even point upward and shrinks the domain in which T2 is rational.</w:t>
      </w:r>
    </w:p>
    <w:p w14:paraId="7B982CF3" w14:textId="77777777" w:rsidR="00F621B8" w:rsidRDefault="00000000">
      <w:pPr>
        <w:pStyle w:val="Heading1"/>
      </w:pPr>
      <w:r>
        <w:t>5. Stress-Testing the GitHub Analogy</w:t>
      </w:r>
    </w:p>
    <w:p w14:paraId="1801625D" w14:textId="77777777" w:rsidR="00F621B8" w:rsidRDefault="00000000">
      <w:pPr>
        <w:spacing w:after="140" w:line="300" w:lineRule="auto"/>
        <w:jc w:val="both"/>
      </w:pPr>
      <w:r>
        <w:t>An analogy is a claim that structure transfers. Table 2 checks the transfer dimension by dimension.</w:t>
      </w:r>
    </w:p>
    <w:p w14:paraId="08273579" w14:textId="77777777" w:rsidR="00F621B8" w:rsidRDefault="00000000">
      <w:pPr>
        <w:keepNext/>
        <w:spacing w:before="160" w:after="80"/>
      </w:pPr>
      <w:r>
        <w:rPr>
          <w:b/>
          <w:bCs/>
          <w:color w:val="1F3A5F"/>
          <w:sz w:val="20"/>
          <w:szCs w:val="20"/>
        </w:rPr>
        <w:t>Table 2. Dimension-by-dimension test of the GitHub analogy.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250"/>
        <w:gridCol w:w="2826"/>
        <w:gridCol w:w="2250"/>
      </w:tblGrid>
      <w:tr w:rsidR="00F621B8" w14:paraId="77ABB1D6" w14:textId="77777777">
        <w:tblPrEx>
          <w:tblCellMar>
            <w:top w:w="0" w:type="dxa"/>
            <w:bottom w:w="0" w:type="dxa"/>
          </w:tblCellMar>
        </w:tblPrEx>
        <w:trPr>
          <w:tblHeader/>
        </w:trPr>
        <w:tc>
          <w:tcPr>
            <w:tcW w:w="17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tcPr>
          <w:p w14:paraId="633B1276" w14:textId="77777777" w:rsidR="00F621B8" w:rsidRDefault="00000000">
            <w:pPr>
              <w:spacing w:line="260" w:lineRule="auto"/>
            </w:pPr>
            <w:r>
              <w:rPr>
                <w:b/>
                <w:bCs/>
                <w:color w:val="FFFFFF"/>
                <w:sz w:val="19"/>
                <w:szCs w:val="19"/>
              </w:rPr>
              <w:t>Dimension</w:t>
            </w:r>
          </w:p>
        </w:tc>
        <w:tc>
          <w:tcPr>
            <w:tcW w:w="225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tcPr>
          <w:p w14:paraId="6C4018D9" w14:textId="77777777" w:rsidR="00F621B8" w:rsidRDefault="00000000">
            <w:pPr>
              <w:spacing w:line="260" w:lineRule="auto"/>
            </w:pPr>
            <w:r>
              <w:rPr>
                <w:b/>
                <w:bCs/>
                <w:color w:val="FFFFFF"/>
                <w:sz w:val="19"/>
                <w:szCs w:val="19"/>
              </w:rPr>
              <w:t>GitHub (code)</w:t>
            </w:r>
          </w:p>
        </w:tc>
        <w:tc>
          <w:tcPr>
            <w:tcW w:w="2826"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tcPr>
          <w:p w14:paraId="720630D1" w14:textId="77777777" w:rsidR="00F621B8" w:rsidRDefault="00000000">
            <w:pPr>
              <w:spacing w:line="260" w:lineRule="auto"/>
            </w:pPr>
            <w:r>
              <w:rPr>
                <w:b/>
                <w:bCs/>
                <w:color w:val="FFFFFF"/>
                <w:sz w:val="19"/>
                <w:szCs w:val="19"/>
              </w:rPr>
              <w:t>Spec platform (intent)</w:t>
            </w:r>
          </w:p>
        </w:tc>
        <w:tc>
          <w:tcPr>
            <w:tcW w:w="225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tcPr>
          <w:p w14:paraId="728BC905" w14:textId="77777777" w:rsidR="00F621B8" w:rsidRDefault="00000000">
            <w:pPr>
              <w:spacing w:line="260" w:lineRule="auto"/>
            </w:pPr>
            <w:r>
              <w:rPr>
                <w:b/>
                <w:bCs/>
                <w:color w:val="FFFFFF"/>
                <w:sz w:val="19"/>
                <w:szCs w:val="19"/>
              </w:rPr>
              <w:t>Transfers?</w:t>
            </w:r>
          </w:p>
        </w:tc>
      </w:tr>
      <w:tr w:rsidR="00F621B8" w14:paraId="1E2705E6" w14:textId="77777777">
        <w:tblPrEx>
          <w:tblCellMar>
            <w:top w:w="0" w:type="dxa"/>
            <w:bottom w:w="0" w:type="dxa"/>
          </w:tblCellMar>
        </w:tblPrEx>
        <w:tc>
          <w:tcPr>
            <w:tcW w:w="1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10D243AC" w14:textId="77777777" w:rsidR="00F621B8" w:rsidRDefault="00000000">
            <w:pPr>
              <w:spacing w:line="260" w:lineRule="auto"/>
            </w:pPr>
            <w:r>
              <w:rPr>
                <w:sz w:val="19"/>
                <w:szCs w:val="19"/>
              </w:rPr>
              <w:t>Unit of work</w:t>
            </w:r>
          </w:p>
        </w:tc>
        <w:tc>
          <w:tcPr>
            <w:tcW w:w="225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6D7AEABC" w14:textId="77777777" w:rsidR="00F621B8" w:rsidRDefault="00000000">
            <w:pPr>
              <w:spacing w:line="260" w:lineRule="auto"/>
            </w:pPr>
            <w:r>
              <w:rPr>
                <w:sz w:val="19"/>
                <w:szCs w:val="19"/>
              </w:rPr>
              <w:t>Commit / pull request</w:t>
            </w:r>
          </w:p>
        </w:tc>
        <w:tc>
          <w:tcPr>
            <w:tcW w:w="2826"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1F8C128E" w14:textId="77777777" w:rsidR="00F621B8" w:rsidRDefault="00000000">
            <w:pPr>
              <w:spacing w:line="260" w:lineRule="auto"/>
            </w:pPr>
            <w:r>
              <w:rPr>
                <w:sz w:val="19"/>
                <w:szCs w:val="19"/>
              </w:rPr>
              <w:t>Requirement / specification delta</w:t>
            </w:r>
          </w:p>
        </w:tc>
        <w:tc>
          <w:tcPr>
            <w:tcW w:w="225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5BB0868F" w14:textId="77777777" w:rsidR="00F621B8" w:rsidRDefault="00000000">
            <w:pPr>
              <w:spacing w:line="260" w:lineRule="auto"/>
            </w:pPr>
            <w:r>
              <w:rPr>
                <w:b/>
                <w:bCs/>
                <w:sz w:val="19"/>
                <w:szCs w:val="19"/>
              </w:rPr>
              <w:t>Yes</w:t>
            </w:r>
          </w:p>
        </w:tc>
      </w:tr>
      <w:tr w:rsidR="00F621B8" w14:paraId="0B1C09E7" w14:textId="77777777">
        <w:tblPrEx>
          <w:tblCellMar>
            <w:top w:w="0" w:type="dxa"/>
            <w:bottom w:w="0" w:type="dxa"/>
          </w:tblCellMar>
        </w:tblPrEx>
        <w:tc>
          <w:tcPr>
            <w:tcW w:w="1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5A1A1C40" w14:textId="77777777" w:rsidR="00F621B8" w:rsidRDefault="00000000">
            <w:pPr>
              <w:spacing w:line="260" w:lineRule="auto"/>
            </w:pPr>
            <w:r>
              <w:rPr>
                <w:sz w:val="19"/>
                <w:szCs w:val="19"/>
              </w:rPr>
              <w:t>Review object</w:t>
            </w:r>
          </w:p>
        </w:tc>
        <w:tc>
          <w:tcPr>
            <w:tcW w:w="225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36BA98F8" w14:textId="77777777" w:rsidR="00F621B8" w:rsidRDefault="00000000">
            <w:pPr>
              <w:spacing w:line="260" w:lineRule="auto"/>
            </w:pPr>
            <w:r>
              <w:rPr>
                <w:sz w:val="19"/>
                <w:szCs w:val="19"/>
              </w:rPr>
              <w:t>Diff of executable text</w:t>
            </w:r>
          </w:p>
        </w:tc>
        <w:tc>
          <w:tcPr>
            <w:tcW w:w="2826"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2F8B3424" w14:textId="77777777" w:rsidR="00F621B8" w:rsidRDefault="00000000">
            <w:pPr>
              <w:spacing w:line="260" w:lineRule="auto"/>
            </w:pPr>
            <w:r>
              <w:rPr>
                <w:sz w:val="19"/>
                <w:szCs w:val="19"/>
              </w:rPr>
              <w:t>Diff of intent and acceptance criteria</w:t>
            </w:r>
          </w:p>
        </w:tc>
        <w:tc>
          <w:tcPr>
            <w:tcW w:w="225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0A5C1EF3" w14:textId="77777777" w:rsidR="00F621B8" w:rsidRDefault="00000000">
            <w:pPr>
              <w:spacing w:line="260" w:lineRule="auto"/>
            </w:pPr>
            <w:r>
              <w:rPr>
                <w:b/>
                <w:bCs/>
                <w:sz w:val="19"/>
                <w:szCs w:val="19"/>
              </w:rPr>
              <w:t>Yes</w:t>
            </w:r>
            <w:r>
              <w:rPr>
                <w:sz w:val="19"/>
                <w:szCs w:val="19"/>
              </w:rPr>
              <w:t>, but review cost is the open problem (§4.5)</w:t>
            </w:r>
          </w:p>
        </w:tc>
      </w:tr>
      <w:tr w:rsidR="00F621B8" w14:paraId="77FC9901" w14:textId="77777777">
        <w:tblPrEx>
          <w:tblCellMar>
            <w:top w:w="0" w:type="dxa"/>
            <w:bottom w:w="0" w:type="dxa"/>
          </w:tblCellMar>
        </w:tblPrEx>
        <w:tc>
          <w:tcPr>
            <w:tcW w:w="1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4DB48A2E" w14:textId="77777777" w:rsidR="00F621B8" w:rsidRDefault="00000000">
            <w:pPr>
              <w:spacing w:line="260" w:lineRule="auto"/>
            </w:pPr>
            <w:r>
              <w:rPr>
                <w:sz w:val="19"/>
                <w:szCs w:val="19"/>
              </w:rPr>
              <w:t>Artefact semantics</w:t>
            </w:r>
          </w:p>
        </w:tc>
        <w:tc>
          <w:tcPr>
            <w:tcW w:w="225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2225E772" w14:textId="77777777" w:rsidR="00F621B8" w:rsidRDefault="00000000">
            <w:pPr>
              <w:spacing w:line="260" w:lineRule="auto"/>
            </w:pPr>
            <w:r>
              <w:rPr>
                <w:sz w:val="19"/>
                <w:szCs w:val="19"/>
              </w:rPr>
              <w:t>Code executes (modulo environment) deterministically</w:t>
            </w:r>
          </w:p>
        </w:tc>
        <w:tc>
          <w:tcPr>
            <w:tcW w:w="2826"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232CC700" w14:textId="77777777" w:rsidR="00F621B8" w:rsidRDefault="00000000">
            <w:pPr>
              <w:spacing w:line="260" w:lineRule="auto"/>
            </w:pPr>
            <w:r>
              <w:rPr>
                <w:sz w:val="19"/>
                <w:szCs w:val="19"/>
              </w:rPr>
              <w:t xml:space="preserve">Spec → code passes through a stochastic generator </w:t>
            </w:r>
            <w:r>
              <w:rPr>
                <w:i/>
                <w:iCs/>
                <w:sz w:val="19"/>
                <w:szCs w:val="19"/>
              </w:rPr>
              <w:t>G</w:t>
            </w:r>
          </w:p>
        </w:tc>
        <w:tc>
          <w:tcPr>
            <w:tcW w:w="225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07DB0287" w14:textId="77777777" w:rsidR="00F621B8" w:rsidRDefault="00000000">
            <w:pPr>
              <w:spacing w:line="260" w:lineRule="auto"/>
            </w:pPr>
            <w:r>
              <w:rPr>
                <w:b/>
                <w:bCs/>
                <w:sz w:val="19"/>
                <w:szCs w:val="19"/>
              </w:rPr>
              <w:t>Partly</w:t>
            </w:r>
            <w:r>
              <w:rPr>
                <w:sz w:val="19"/>
                <w:szCs w:val="19"/>
              </w:rPr>
              <w:t xml:space="preserve">: versioning </w:t>
            </w:r>
            <w:r>
              <w:rPr>
                <w:i/>
                <w:iCs/>
                <w:sz w:val="19"/>
                <w:szCs w:val="19"/>
              </w:rPr>
              <w:t>S</w:t>
            </w:r>
            <w:r>
              <w:rPr>
                <w:sz w:val="19"/>
                <w:szCs w:val="19"/>
              </w:rPr>
              <w:t xml:space="preserve"> does not fix </w:t>
            </w:r>
            <w:r>
              <w:rPr>
                <w:i/>
                <w:iCs/>
                <w:sz w:val="19"/>
                <w:szCs w:val="19"/>
              </w:rPr>
              <w:t>C</w:t>
            </w:r>
            <w:r>
              <w:rPr>
                <w:sz w:val="19"/>
                <w:szCs w:val="19"/>
              </w:rPr>
              <w:t xml:space="preserve"> (Prop. 2)</w:t>
            </w:r>
          </w:p>
        </w:tc>
      </w:tr>
      <w:tr w:rsidR="00F621B8" w14:paraId="4607DAB4" w14:textId="77777777">
        <w:tblPrEx>
          <w:tblCellMar>
            <w:top w:w="0" w:type="dxa"/>
            <w:bottom w:w="0" w:type="dxa"/>
          </w:tblCellMar>
        </w:tblPrEx>
        <w:tc>
          <w:tcPr>
            <w:tcW w:w="1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3086C2C3" w14:textId="77777777" w:rsidR="00F621B8" w:rsidRDefault="00000000">
            <w:pPr>
              <w:spacing w:line="260" w:lineRule="auto"/>
            </w:pPr>
            <w:r>
              <w:rPr>
                <w:sz w:val="19"/>
                <w:szCs w:val="19"/>
              </w:rPr>
              <w:t>Diff semantics</w:t>
            </w:r>
          </w:p>
        </w:tc>
        <w:tc>
          <w:tcPr>
            <w:tcW w:w="225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3CEA6F02" w14:textId="77777777" w:rsidR="00F621B8" w:rsidRDefault="00000000">
            <w:pPr>
              <w:spacing w:line="260" w:lineRule="auto"/>
            </w:pPr>
            <w:r>
              <w:rPr>
                <w:sz w:val="19"/>
                <w:szCs w:val="19"/>
              </w:rPr>
              <w:t>A line diff is a behavioural change</w:t>
            </w:r>
          </w:p>
        </w:tc>
        <w:tc>
          <w:tcPr>
            <w:tcW w:w="2826"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08B17419" w14:textId="77777777" w:rsidR="00F621B8" w:rsidRDefault="00000000">
            <w:pPr>
              <w:spacing w:line="260" w:lineRule="auto"/>
            </w:pPr>
            <w:r>
              <w:rPr>
                <w:sz w:val="19"/>
                <w:szCs w:val="19"/>
              </w:rPr>
              <w:t>A textual spec diff need not change any test outcome</w:t>
            </w:r>
          </w:p>
        </w:tc>
        <w:tc>
          <w:tcPr>
            <w:tcW w:w="225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1ABFAACA" w14:textId="77777777" w:rsidR="00F621B8" w:rsidRDefault="00000000">
            <w:pPr>
              <w:spacing w:line="260" w:lineRule="auto"/>
            </w:pPr>
            <w:r>
              <w:rPr>
                <w:b/>
                <w:bCs/>
                <w:sz w:val="19"/>
                <w:szCs w:val="19"/>
              </w:rPr>
              <w:t>No</w:t>
            </w:r>
            <w:r>
              <w:rPr>
                <w:sz w:val="19"/>
                <w:szCs w:val="19"/>
              </w:rPr>
              <w:t>, unless criteria are executable</w:t>
            </w:r>
          </w:p>
        </w:tc>
      </w:tr>
      <w:tr w:rsidR="00F621B8" w14:paraId="6F0A95E9" w14:textId="77777777">
        <w:tblPrEx>
          <w:tblCellMar>
            <w:top w:w="0" w:type="dxa"/>
            <w:bottom w:w="0" w:type="dxa"/>
          </w:tblCellMar>
        </w:tblPrEx>
        <w:tc>
          <w:tcPr>
            <w:tcW w:w="1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365E04A2" w14:textId="77777777" w:rsidR="00F621B8" w:rsidRDefault="00000000">
            <w:pPr>
              <w:spacing w:line="260" w:lineRule="auto"/>
            </w:pPr>
            <w:r>
              <w:rPr>
                <w:sz w:val="19"/>
                <w:szCs w:val="19"/>
              </w:rPr>
              <w:lastRenderedPageBreak/>
              <w:t>Substrate standard</w:t>
            </w:r>
          </w:p>
        </w:tc>
        <w:tc>
          <w:tcPr>
            <w:tcW w:w="225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4FE47B24" w14:textId="77777777" w:rsidR="00F621B8" w:rsidRDefault="00000000">
            <w:pPr>
              <w:spacing w:line="260" w:lineRule="auto"/>
            </w:pPr>
            <w:r>
              <w:rPr>
                <w:sz w:val="19"/>
                <w:szCs w:val="19"/>
              </w:rPr>
              <w:t>Plain text under git, universal</w:t>
            </w:r>
          </w:p>
        </w:tc>
        <w:tc>
          <w:tcPr>
            <w:tcW w:w="2826"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0B54E814" w14:textId="77777777" w:rsidR="00F621B8" w:rsidRDefault="00000000">
            <w:pPr>
              <w:spacing w:line="260" w:lineRule="auto"/>
            </w:pPr>
            <w:r>
              <w:rPr>
                <w:sz w:val="19"/>
                <w:szCs w:val="19"/>
              </w:rPr>
              <w:t>No settled spec format; vendor itself notes the gap [1]</w:t>
            </w:r>
          </w:p>
        </w:tc>
        <w:tc>
          <w:tcPr>
            <w:tcW w:w="225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5357EC21" w14:textId="77777777" w:rsidR="00F621B8" w:rsidRDefault="00000000">
            <w:pPr>
              <w:spacing w:line="260" w:lineRule="auto"/>
            </w:pPr>
            <w:r>
              <w:rPr>
                <w:b/>
                <w:bCs/>
                <w:sz w:val="19"/>
                <w:szCs w:val="19"/>
              </w:rPr>
              <w:t>Open</w:t>
            </w:r>
          </w:p>
        </w:tc>
      </w:tr>
      <w:tr w:rsidR="00F621B8" w14:paraId="3DA52716" w14:textId="77777777">
        <w:tblPrEx>
          <w:tblCellMar>
            <w:top w:w="0" w:type="dxa"/>
            <w:bottom w:w="0" w:type="dxa"/>
          </w:tblCellMar>
        </w:tblPrEx>
        <w:tc>
          <w:tcPr>
            <w:tcW w:w="1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04260961" w14:textId="77777777" w:rsidR="00F621B8" w:rsidRDefault="00000000">
            <w:pPr>
              <w:spacing w:line="260" w:lineRule="auto"/>
            </w:pPr>
            <w:r>
              <w:rPr>
                <w:sz w:val="19"/>
                <w:szCs w:val="19"/>
              </w:rPr>
              <w:t>Network effects</w:t>
            </w:r>
          </w:p>
        </w:tc>
        <w:tc>
          <w:tcPr>
            <w:tcW w:w="225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424279EC" w14:textId="77777777" w:rsidR="00F621B8" w:rsidRDefault="00000000">
            <w:pPr>
              <w:spacing w:line="260" w:lineRule="auto"/>
            </w:pPr>
            <w:r>
              <w:rPr>
                <w:sz w:val="19"/>
                <w:szCs w:val="19"/>
              </w:rPr>
              <w:t>Public open source, forks, social graph</w:t>
            </w:r>
          </w:p>
        </w:tc>
        <w:tc>
          <w:tcPr>
            <w:tcW w:w="2826"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0B4C289B" w14:textId="77777777" w:rsidR="00F621B8" w:rsidRDefault="00000000">
            <w:pPr>
              <w:spacing w:line="260" w:lineRule="auto"/>
            </w:pPr>
            <w:r>
              <w:rPr>
                <w:sz w:val="19"/>
                <w:szCs w:val="19"/>
              </w:rPr>
              <w:t>Specs are mostly private; SpecHub is invite-only</w:t>
            </w:r>
          </w:p>
        </w:tc>
        <w:tc>
          <w:tcPr>
            <w:tcW w:w="225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03BE7BEF" w14:textId="77777777" w:rsidR="00F621B8" w:rsidRDefault="00000000">
            <w:pPr>
              <w:spacing w:line="260" w:lineRule="auto"/>
            </w:pPr>
            <w:r>
              <w:rPr>
                <w:b/>
                <w:bCs/>
                <w:sz w:val="19"/>
                <w:szCs w:val="19"/>
              </w:rPr>
              <w:t>Not yet</w:t>
            </w:r>
          </w:p>
        </w:tc>
      </w:tr>
      <w:tr w:rsidR="00F621B8" w14:paraId="1332658B" w14:textId="77777777">
        <w:tblPrEx>
          <w:tblCellMar>
            <w:top w:w="0" w:type="dxa"/>
            <w:bottom w:w="0" w:type="dxa"/>
          </w:tblCellMar>
        </w:tblPrEx>
        <w:tc>
          <w:tcPr>
            <w:tcW w:w="1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03D957BB" w14:textId="77777777" w:rsidR="00F621B8" w:rsidRDefault="00000000">
            <w:pPr>
              <w:spacing w:line="260" w:lineRule="auto"/>
            </w:pPr>
            <w:r>
              <w:rPr>
                <w:sz w:val="19"/>
                <w:szCs w:val="19"/>
              </w:rPr>
              <w:t>Incumbent position</w:t>
            </w:r>
          </w:p>
        </w:tc>
        <w:tc>
          <w:tcPr>
            <w:tcW w:w="225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44074127" w14:textId="77777777" w:rsidR="00F621B8" w:rsidRDefault="00000000">
            <w:pPr>
              <w:spacing w:line="260" w:lineRule="auto"/>
            </w:pPr>
            <w:r>
              <w:rPr>
                <w:sz w:val="19"/>
                <w:szCs w:val="19"/>
              </w:rPr>
              <w:t>Displaced self-hosted SVN and SourceForge</w:t>
            </w:r>
          </w:p>
        </w:tc>
        <w:tc>
          <w:tcPr>
            <w:tcW w:w="2826"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655B530D" w14:textId="77777777" w:rsidR="00F621B8" w:rsidRDefault="00000000">
            <w:pPr>
              <w:spacing w:line="260" w:lineRule="auto"/>
            </w:pPr>
            <w:r>
              <w:rPr>
                <w:sz w:val="19"/>
                <w:szCs w:val="19"/>
              </w:rPr>
              <w:t>Incumbent code host already ships in-repo specs (Spec Kit)</w:t>
            </w:r>
          </w:p>
        </w:tc>
        <w:tc>
          <w:tcPr>
            <w:tcW w:w="225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7B8E0A69" w14:textId="77777777" w:rsidR="00F621B8" w:rsidRDefault="00000000">
            <w:pPr>
              <w:spacing w:line="260" w:lineRule="auto"/>
            </w:pPr>
            <w:r>
              <w:rPr>
                <w:b/>
                <w:bCs/>
                <w:sz w:val="19"/>
                <w:szCs w:val="19"/>
              </w:rPr>
              <w:t>Adverse</w:t>
            </w:r>
          </w:p>
        </w:tc>
      </w:tr>
    </w:tbl>
    <w:p w14:paraId="0F6E41AB" w14:textId="77777777" w:rsidR="00F621B8" w:rsidRDefault="00F621B8">
      <w:pPr>
        <w:spacing w:after="100"/>
      </w:pPr>
    </w:p>
    <w:p w14:paraId="13D9EB21" w14:textId="77777777" w:rsidR="00F621B8" w:rsidRDefault="00000000">
      <w:pPr>
        <w:spacing w:after="140" w:line="300" w:lineRule="auto"/>
        <w:jc w:val="both"/>
      </w:pPr>
      <w:r>
        <w:t xml:space="preserve">Three conclusions follow. First, the analogy holds at the level of </w:t>
      </w:r>
      <w:r>
        <w:rPr>
          <w:i/>
          <w:iCs/>
        </w:rPr>
        <w:t>workflow</w:t>
      </w:r>
      <w:r>
        <w:t xml:space="preserve">—the unit of work and the review ritual really are moving up a level. Second, it fails at the level of </w:t>
      </w:r>
      <w:r>
        <w:rPr>
          <w:i/>
          <w:iCs/>
        </w:rPr>
        <w:t>semantics</w:t>
      </w:r>
      <w:r>
        <w:t xml:space="preserve"> unless acceptance criteria are executable: git’s power came from the fact that what is versioned is what runs, and a natural-language specification does not run. Third, the analogy is competitively double-edged. GitHub won by being the place the artefact already lived. Today the artefact lives in Markdown inside repositories that GitHub hosts, through a toolkit GitHub publishes. The natural path of least resistance is absorption of the specification layer by the code host, not displacement of it.</w:t>
      </w:r>
    </w:p>
    <w:p w14:paraId="2A1E18B2" w14:textId="77777777" w:rsidR="00F621B8" w:rsidRDefault="00000000">
      <w:pPr>
        <w:spacing w:after="140" w:line="300" w:lineRule="auto"/>
        <w:jc w:val="both"/>
      </w:pPr>
      <w:r>
        <w:t>There is also an irony to resolve. SpecHub markets reverse-bootstrapping as a way out of vendor lock-in [1]. A proprietary, hosted specification store is itself a lock-in surface unless its format is portable and round-trips with in-repo artefacts. The platform claim therefore depends on an export guarantee that the public material does not yet state.</w:t>
      </w:r>
    </w:p>
    <w:p w14:paraId="5FA637FC" w14:textId="77777777" w:rsidR="00F621B8" w:rsidRDefault="00000000">
      <w:pPr>
        <w:pStyle w:val="Heading1"/>
      </w:pPr>
      <w:r>
        <w:t>6. Claims Audit</w:t>
      </w:r>
    </w:p>
    <w:p w14:paraId="06BE97CA" w14:textId="77777777" w:rsidR="00F621B8" w:rsidRDefault="00000000">
      <w:pPr>
        <w:spacing w:after="140" w:line="300" w:lineRule="auto"/>
        <w:jc w:val="both"/>
      </w:pPr>
      <w:r>
        <w:t>Table 3 audits the factual claims in the position essay that motivates this paper against what could be located on 12 October 2026.</w:t>
      </w:r>
    </w:p>
    <w:p w14:paraId="58D1E0AC" w14:textId="77777777" w:rsidR="00F621B8" w:rsidRDefault="00000000">
      <w:pPr>
        <w:keepNext/>
        <w:spacing w:before="160" w:after="80"/>
      </w:pPr>
      <w:r>
        <w:rPr>
          <w:b/>
          <w:bCs/>
          <w:color w:val="1F3A5F"/>
          <w:sz w:val="20"/>
          <w:szCs w:val="20"/>
        </w:rPr>
        <w:t>Table 3. Evidential status of the essay’s claims.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300"/>
        <w:gridCol w:w="5026"/>
      </w:tblGrid>
      <w:tr w:rsidR="00F621B8" w14:paraId="06CFA569" w14:textId="77777777">
        <w:tblPrEx>
          <w:tblCellMar>
            <w:top w:w="0" w:type="dxa"/>
            <w:bottom w:w="0" w:type="dxa"/>
          </w:tblCellMar>
        </w:tblPrEx>
        <w:trPr>
          <w:tblHeader/>
        </w:trPr>
        <w:tc>
          <w:tcPr>
            <w:tcW w:w="27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tcPr>
          <w:p w14:paraId="06A4FA7C" w14:textId="77777777" w:rsidR="00F621B8" w:rsidRDefault="00000000">
            <w:pPr>
              <w:spacing w:line="260" w:lineRule="auto"/>
            </w:pPr>
            <w:r>
              <w:rPr>
                <w:b/>
                <w:bCs/>
                <w:color w:val="FFFFFF"/>
                <w:sz w:val="19"/>
                <w:szCs w:val="19"/>
              </w:rPr>
              <w:t>Claim in position essay</w:t>
            </w:r>
          </w:p>
        </w:tc>
        <w:tc>
          <w:tcPr>
            <w:tcW w:w="1300"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tcPr>
          <w:p w14:paraId="022A0BEA" w14:textId="77777777" w:rsidR="00F621B8" w:rsidRDefault="00000000">
            <w:pPr>
              <w:spacing w:line="260" w:lineRule="auto"/>
            </w:pPr>
            <w:r>
              <w:rPr>
                <w:b/>
                <w:bCs/>
                <w:color w:val="FFFFFF"/>
                <w:sz w:val="19"/>
                <w:szCs w:val="19"/>
              </w:rPr>
              <w:t>Status</w:t>
            </w:r>
          </w:p>
        </w:tc>
        <w:tc>
          <w:tcPr>
            <w:tcW w:w="5026" w:type="dxa"/>
            <w:tcBorders>
              <w:top w:val="single" w:sz="4" w:space="0" w:color="B8C4D0"/>
              <w:left w:val="single" w:sz="4" w:space="0" w:color="B8C4D0"/>
              <w:bottom w:val="single" w:sz="4" w:space="0" w:color="B8C4D0"/>
              <w:right w:val="single" w:sz="4" w:space="0" w:color="B8C4D0"/>
            </w:tcBorders>
            <w:shd w:val="clear" w:color="auto" w:fill="1F3A5F"/>
            <w:tcMar>
              <w:top w:w="70" w:type="dxa"/>
              <w:left w:w="110" w:type="dxa"/>
              <w:bottom w:w="70" w:type="dxa"/>
              <w:right w:w="110" w:type="dxa"/>
            </w:tcMar>
          </w:tcPr>
          <w:p w14:paraId="2217D192" w14:textId="77777777" w:rsidR="00F621B8" w:rsidRDefault="00000000">
            <w:pPr>
              <w:spacing w:line="260" w:lineRule="auto"/>
            </w:pPr>
            <w:r>
              <w:rPr>
                <w:b/>
                <w:bCs/>
                <w:color w:val="FFFFFF"/>
                <w:sz w:val="19"/>
                <w:szCs w:val="19"/>
              </w:rPr>
              <w:t>Evidence and note</w:t>
            </w:r>
          </w:p>
        </w:tc>
      </w:tr>
      <w:tr w:rsidR="00F621B8" w14:paraId="5AD04F9C" w14:textId="77777777">
        <w:tblPrEx>
          <w:tblCellMar>
            <w:top w:w="0" w:type="dxa"/>
            <w:bottom w:w="0" w:type="dxa"/>
          </w:tblCellMar>
        </w:tblPrEx>
        <w:tc>
          <w:tcPr>
            <w:tcW w:w="2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67096FAE" w14:textId="77777777" w:rsidR="00F621B8" w:rsidRDefault="00000000">
            <w:pPr>
              <w:spacing w:line="260" w:lineRule="auto"/>
            </w:pPr>
            <w:r>
              <w:rPr>
                <w:sz w:val="19"/>
                <w:szCs w:val="19"/>
              </w:rPr>
              <w:t>Spec Kit is “now past 140,000 stars”</w:t>
            </w:r>
          </w:p>
        </w:tc>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700E4B70" w14:textId="77777777" w:rsidR="00F621B8" w:rsidRDefault="00000000">
            <w:pPr>
              <w:spacing w:line="260" w:lineRule="auto"/>
            </w:pPr>
            <w:r>
              <w:rPr>
                <w:sz w:val="19"/>
                <w:szCs w:val="19"/>
              </w:rPr>
              <w:t>Partly verified</w:t>
            </w:r>
          </w:p>
        </w:tc>
        <w:tc>
          <w:tcPr>
            <w:tcW w:w="5026"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6F70F0BC" w14:textId="77777777" w:rsidR="00F621B8" w:rsidRDefault="00000000">
            <w:pPr>
              <w:spacing w:line="260" w:lineRule="auto"/>
            </w:pPr>
            <w:r>
              <w:rPr>
                <w:b/>
                <w:bCs/>
                <w:sz w:val="19"/>
                <w:szCs w:val="19"/>
              </w:rPr>
              <w:t>[Obs]</w:t>
            </w:r>
            <w:r>
              <w:rPr>
                <w:sz w:val="19"/>
                <w:szCs w:val="19"/>
              </w:rPr>
              <w:t xml:space="preserve"> 139.0k stars, 12.5k forks on 12 Oct 2026 [4]. Close to, not past, 140k; recommend “nearly 140,000”.</w:t>
            </w:r>
          </w:p>
        </w:tc>
      </w:tr>
      <w:tr w:rsidR="00F621B8" w14:paraId="78E2EFEE" w14:textId="77777777">
        <w:tblPrEx>
          <w:tblCellMar>
            <w:top w:w="0" w:type="dxa"/>
            <w:bottom w:w="0" w:type="dxa"/>
          </w:tblCellMar>
        </w:tblPrEx>
        <w:tc>
          <w:tcPr>
            <w:tcW w:w="2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048B027F" w14:textId="77777777" w:rsidR="00F621B8" w:rsidRDefault="00000000">
            <w:pPr>
              <w:spacing w:line="260" w:lineRule="auto"/>
            </w:pPr>
            <w:r>
              <w:rPr>
                <w:sz w:val="19"/>
                <w:szCs w:val="19"/>
              </w:rPr>
              <w:t>Spec Kit, Kiro, OpenSpec and others popularised the pattern</w:t>
            </w:r>
          </w:p>
        </w:tc>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63EB680C" w14:textId="77777777" w:rsidR="00F621B8" w:rsidRDefault="00000000">
            <w:pPr>
              <w:spacing w:line="260" w:lineRule="auto"/>
            </w:pPr>
            <w:r>
              <w:rPr>
                <w:sz w:val="19"/>
                <w:szCs w:val="19"/>
              </w:rPr>
              <w:t>Verified</w:t>
            </w:r>
          </w:p>
        </w:tc>
        <w:tc>
          <w:tcPr>
            <w:tcW w:w="5026"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5903911D" w14:textId="77777777" w:rsidR="00F621B8" w:rsidRDefault="00000000">
            <w:pPr>
              <w:spacing w:line="260" w:lineRule="auto"/>
            </w:pPr>
            <w:r>
              <w:rPr>
                <w:sz w:val="19"/>
                <w:szCs w:val="19"/>
              </w:rPr>
              <w:t>Tools exist and are widely surveyed [5, 7, 8, 13].</w:t>
            </w:r>
          </w:p>
        </w:tc>
      </w:tr>
      <w:tr w:rsidR="00F621B8" w14:paraId="5C8CA2A9" w14:textId="77777777">
        <w:tblPrEx>
          <w:tblCellMar>
            <w:top w:w="0" w:type="dxa"/>
            <w:bottom w:w="0" w:type="dxa"/>
          </w:tblCellMar>
        </w:tblPrEx>
        <w:tc>
          <w:tcPr>
            <w:tcW w:w="2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351B7AF8" w14:textId="77777777" w:rsidR="00F621B8" w:rsidRDefault="00000000">
            <w:pPr>
              <w:spacing w:line="260" w:lineRule="auto"/>
            </w:pPr>
            <w:r>
              <w:rPr>
                <w:sz w:val="19"/>
                <w:szCs w:val="19"/>
              </w:rPr>
              <w:t>Benchmarks show higher merge rates and order-of-magnitude reductions in rework cycles</w:t>
            </w:r>
          </w:p>
        </w:tc>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7A493928" w14:textId="77777777" w:rsidR="00F621B8" w:rsidRDefault="00000000">
            <w:pPr>
              <w:spacing w:line="260" w:lineRule="auto"/>
            </w:pPr>
            <w:r>
              <w:rPr>
                <w:sz w:val="19"/>
                <w:szCs w:val="19"/>
              </w:rPr>
              <w:t>Unsupported</w:t>
            </w:r>
          </w:p>
        </w:tc>
        <w:tc>
          <w:tcPr>
            <w:tcW w:w="5026"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6622B528" w14:textId="77777777" w:rsidR="00F621B8" w:rsidRDefault="00000000">
            <w:pPr>
              <w:spacing w:line="260" w:lineRule="auto"/>
            </w:pPr>
            <w:r>
              <w:rPr>
                <w:sz w:val="19"/>
                <w:szCs w:val="19"/>
              </w:rPr>
              <w:t>No controlled public study located. Countervailing practitioner reports of review overload and agents ignoring spec instructions [5, 12]. Recommend removing or citing a specific study.</w:t>
            </w:r>
          </w:p>
        </w:tc>
      </w:tr>
      <w:tr w:rsidR="00F621B8" w14:paraId="3A1B1004" w14:textId="77777777">
        <w:tblPrEx>
          <w:tblCellMar>
            <w:top w:w="0" w:type="dxa"/>
            <w:bottom w:w="0" w:type="dxa"/>
          </w:tblCellMar>
        </w:tblPrEx>
        <w:tc>
          <w:tcPr>
            <w:tcW w:w="2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1A491326" w14:textId="77777777" w:rsidR="00F621B8" w:rsidRDefault="00000000">
            <w:pPr>
              <w:spacing w:line="260" w:lineRule="auto"/>
            </w:pPr>
            <w:r>
              <w:rPr>
                <w:sz w:val="19"/>
                <w:szCs w:val="19"/>
              </w:rPr>
              <w:t>SpecHub bootstraps epics, features, requirements and data models</w:t>
            </w:r>
          </w:p>
        </w:tc>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007065E9" w14:textId="77777777" w:rsidR="00F621B8" w:rsidRDefault="00000000">
            <w:pPr>
              <w:spacing w:line="260" w:lineRule="auto"/>
            </w:pPr>
            <w:r>
              <w:rPr>
                <w:sz w:val="19"/>
                <w:szCs w:val="19"/>
              </w:rPr>
              <w:t>Vendor claim</w:t>
            </w:r>
          </w:p>
        </w:tc>
        <w:tc>
          <w:tcPr>
            <w:tcW w:w="5026"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73024B99" w14:textId="77777777" w:rsidR="00F621B8" w:rsidRDefault="00000000">
            <w:pPr>
              <w:spacing w:line="260" w:lineRule="auto"/>
            </w:pPr>
            <w:r>
              <w:rPr>
                <w:sz w:val="19"/>
                <w:szCs w:val="19"/>
              </w:rPr>
              <w:t>Stated on product pages [1]; no independent evaluation found.</w:t>
            </w:r>
          </w:p>
        </w:tc>
      </w:tr>
      <w:tr w:rsidR="00F621B8" w14:paraId="631A3F9A" w14:textId="77777777">
        <w:tblPrEx>
          <w:tblCellMar>
            <w:top w:w="0" w:type="dxa"/>
            <w:bottom w:w="0" w:type="dxa"/>
          </w:tblCellMar>
        </w:tblPrEx>
        <w:tc>
          <w:tcPr>
            <w:tcW w:w="2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3B4229F8" w14:textId="77777777" w:rsidR="00F621B8" w:rsidRDefault="00000000">
            <w:pPr>
              <w:spacing w:line="260" w:lineRule="auto"/>
            </w:pPr>
            <w:r>
              <w:rPr>
                <w:sz w:val="19"/>
                <w:szCs w:val="19"/>
              </w:rPr>
              <w:t>SpecHub reverse-bootstraps a spec from vibe-coded systems</w:t>
            </w:r>
          </w:p>
        </w:tc>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7450D1A1" w14:textId="77777777" w:rsidR="00F621B8" w:rsidRDefault="00000000">
            <w:pPr>
              <w:spacing w:line="260" w:lineRule="auto"/>
            </w:pPr>
            <w:r>
              <w:rPr>
                <w:sz w:val="19"/>
                <w:szCs w:val="19"/>
              </w:rPr>
              <w:t>Vendor claim</w:t>
            </w:r>
          </w:p>
        </w:tc>
        <w:tc>
          <w:tcPr>
            <w:tcW w:w="5026"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5B86F2B7" w14:textId="77777777" w:rsidR="00F621B8" w:rsidRDefault="00000000">
            <w:pPr>
              <w:spacing w:line="260" w:lineRule="auto"/>
            </w:pPr>
            <w:r>
              <w:rPr>
                <w:sz w:val="19"/>
                <w:szCs w:val="19"/>
              </w:rPr>
              <w:t xml:space="preserve">Stated [1]. Conceptual caveat in §8 (R6): a spec inferred from code records what </w:t>
            </w:r>
            <w:r>
              <w:rPr>
                <w:i/>
                <w:iCs/>
                <w:sz w:val="19"/>
                <w:szCs w:val="19"/>
              </w:rPr>
              <w:t>is</w:t>
            </w:r>
            <w:r>
              <w:rPr>
                <w:sz w:val="19"/>
                <w:szCs w:val="19"/>
              </w:rPr>
              <w:t xml:space="preserve">, including defects, not what was </w:t>
            </w:r>
            <w:r>
              <w:rPr>
                <w:i/>
                <w:iCs/>
                <w:sz w:val="19"/>
                <w:szCs w:val="19"/>
              </w:rPr>
              <w:t>intended</w:t>
            </w:r>
            <w:r>
              <w:rPr>
                <w:sz w:val="19"/>
                <w:szCs w:val="19"/>
              </w:rPr>
              <w:t>.</w:t>
            </w:r>
          </w:p>
        </w:tc>
      </w:tr>
      <w:tr w:rsidR="00F621B8" w14:paraId="3D926A6B" w14:textId="77777777">
        <w:tblPrEx>
          <w:tblCellMar>
            <w:top w:w="0" w:type="dxa"/>
            <w:bottom w:w="0" w:type="dxa"/>
          </w:tblCellMar>
        </w:tblPrEx>
        <w:tc>
          <w:tcPr>
            <w:tcW w:w="2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0106F115" w14:textId="77777777" w:rsidR="00F621B8" w:rsidRDefault="00000000">
            <w:pPr>
              <w:spacing w:line="260" w:lineRule="auto"/>
            </w:pPr>
            <w:r>
              <w:rPr>
                <w:sz w:val="19"/>
                <w:szCs w:val="19"/>
              </w:rPr>
              <w:lastRenderedPageBreak/>
              <w:t>Agentic workflows keep spec and code aligned</w:t>
            </w:r>
          </w:p>
        </w:tc>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025B68F5" w14:textId="77777777" w:rsidR="00F621B8" w:rsidRDefault="00000000">
            <w:pPr>
              <w:spacing w:line="260" w:lineRule="auto"/>
            </w:pPr>
            <w:r>
              <w:rPr>
                <w:sz w:val="19"/>
                <w:szCs w:val="19"/>
              </w:rPr>
              <w:t>Vendor claim</w:t>
            </w:r>
          </w:p>
        </w:tc>
        <w:tc>
          <w:tcPr>
            <w:tcW w:w="5026"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07D62692" w14:textId="77777777" w:rsidR="00F621B8" w:rsidRDefault="00000000">
            <w:pPr>
              <w:spacing w:line="260" w:lineRule="auto"/>
            </w:pPr>
            <w:r>
              <w:rPr>
                <w:sz w:val="19"/>
                <w:szCs w:val="19"/>
              </w:rPr>
              <w:t>Mechanism unspecified publicly; see Prop. 3 for the condition under which such a claim is measurable.</w:t>
            </w:r>
          </w:p>
        </w:tc>
      </w:tr>
      <w:tr w:rsidR="00F621B8" w14:paraId="465F286F" w14:textId="77777777">
        <w:tblPrEx>
          <w:tblCellMar>
            <w:top w:w="0" w:type="dxa"/>
            <w:bottom w:w="0" w:type="dxa"/>
          </w:tblCellMar>
        </w:tblPrEx>
        <w:tc>
          <w:tcPr>
            <w:tcW w:w="2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35095EFD" w14:textId="77777777" w:rsidR="00F621B8" w:rsidRDefault="00000000">
            <w:pPr>
              <w:spacing w:line="260" w:lineRule="auto"/>
            </w:pPr>
            <w:r>
              <w:rPr>
                <w:sz w:val="19"/>
                <w:szCs w:val="19"/>
              </w:rPr>
              <w:t>SDD is succeeding because AI handles the rest of the coding</w:t>
            </w:r>
          </w:p>
        </w:tc>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438DE1A8" w14:textId="77777777" w:rsidR="00F621B8" w:rsidRDefault="00000000">
            <w:pPr>
              <w:spacing w:line="260" w:lineRule="auto"/>
            </w:pPr>
            <w:r>
              <w:rPr>
                <w:sz w:val="19"/>
                <w:szCs w:val="19"/>
              </w:rPr>
              <w:t>Mixed</w:t>
            </w:r>
          </w:p>
        </w:tc>
        <w:tc>
          <w:tcPr>
            <w:tcW w:w="5026"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3516CA64" w14:textId="77777777" w:rsidR="00F621B8" w:rsidRDefault="00000000">
            <w:pPr>
              <w:spacing w:line="260" w:lineRule="auto"/>
            </w:pPr>
            <w:r>
              <w:rPr>
                <w:sz w:val="19"/>
                <w:szCs w:val="19"/>
              </w:rPr>
              <w:t xml:space="preserve">Adoption signal strong (stars). Thoughtworks Technology Radar vol. 33 (Nov 2025) placed SDD in </w:t>
            </w:r>
            <w:r>
              <w:rPr>
                <w:i/>
                <w:iCs/>
                <w:sz w:val="19"/>
                <w:szCs w:val="19"/>
              </w:rPr>
              <w:t>Assess</w:t>
            </w:r>
            <w:r>
              <w:rPr>
                <w:sz w:val="19"/>
                <w:szCs w:val="19"/>
              </w:rPr>
              <w:t>, as reported in [12]; Böckeler’s critique [5].</w:t>
            </w:r>
          </w:p>
        </w:tc>
      </w:tr>
      <w:tr w:rsidR="00F621B8" w14:paraId="1699CB51" w14:textId="77777777">
        <w:tblPrEx>
          <w:tblCellMar>
            <w:top w:w="0" w:type="dxa"/>
            <w:bottom w:w="0" w:type="dxa"/>
          </w:tblCellMar>
        </w:tblPrEx>
        <w:tc>
          <w:tcPr>
            <w:tcW w:w="27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4B9EF673" w14:textId="77777777" w:rsidR="00F621B8" w:rsidRDefault="00000000">
            <w:pPr>
              <w:spacing w:line="260" w:lineRule="auto"/>
            </w:pPr>
            <w:r>
              <w:rPr>
                <w:sz w:val="19"/>
                <w:szCs w:val="19"/>
              </w:rPr>
              <w:t>SpecHub does for specs what GitHub did for code</w:t>
            </w:r>
          </w:p>
        </w:tc>
        <w:tc>
          <w:tcPr>
            <w:tcW w:w="1300"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2C618899" w14:textId="77777777" w:rsidR="00F621B8" w:rsidRDefault="00000000">
            <w:pPr>
              <w:spacing w:line="260" w:lineRule="auto"/>
            </w:pPr>
            <w:r>
              <w:rPr>
                <w:sz w:val="19"/>
                <w:szCs w:val="19"/>
              </w:rPr>
              <w:t>Hypothesis</w:t>
            </w:r>
          </w:p>
        </w:tc>
        <w:tc>
          <w:tcPr>
            <w:tcW w:w="5026" w:type="dxa"/>
            <w:tcBorders>
              <w:top w:val="single" w:sz="4" w:space="0" w:color="B8C4D0"/>
              <w:left w:val="single" w:sz="4" w:space="0" w:color="B8C4D0"/>
              <w:bottom w:val="single" w:sz="4" w:space="0" w:color="B8C4D0"/>
              <w:right w:val="single" w:sz="4" w:space="0" w:color="B8C4D0"/>
            </w:tcBorders>
            <w:tcMar>
              <w:top w:w="70" w:type="dxa"/>
              <w:left w:w="110" w:type="dxa"/>
              <w:bottom w:w="70" w:type="dxa"/>
              <w:right w:w="110" w:type="dxa"/>
            </w:tcMar>
          </w:tcPr>
          <w:p w14:paraId="34C221DC" w14:textId="77777777" w:rsidR="00F621B8" w:rsidRDefault="00000000">
            <w:pPr>
              <w:spacing w:line="260" w:lineRule="auto"/>
            </w:pPr>
            <w:r>
              <w:rPr>
                <w:sz w:val="19"/>
                <w:szCs w:val="19"/>
              </w:rPr>
              <w:t>Untested; see §5 and H4.</w:t>
            </w:r>
          </w:p>
        </w:tc>
      </w:tr>
    </w:tbl>
    <w:p w14:paraId="2519A676" w14:textId="77777777" w:rsidR="00F621B8" w:rsidRDefault="00F621B8">
      <w:pPr>
        <w:spacing w:after="100"/>
      </w:pPr>
    </w:p>
    <w:p w14:paraId="6413D402" w14:textId="77777777" w:rsidR="00F621B8" w:rsidRDefault="00000000">
      <w:pPr>
        <w:pStyle w:val="Heading1"/>
      </w:pPr>
      <w:r>
        <w:t>7. Falsifiable Hypotheses and Test Protocol</w:t>
      </w:r>
    </w:p>
    <w:p w14:paraId="67B93414" w14:textId="77777777" w:rsidR="00F621B8" w:rsidRDefault="00000000">
      <w:pPr>
        <w:spacing w:after="140" w:line="300" w:lineRule="auto"/>
        <w:jc w:val="both"/>
      </w:pPr>
      <w:r>
        <w:t>Each hypothesis states the observation that would refute it. A claim with no refuting observation is not counted as a result.</w:t>
      </w:r>
    </w:p>
    <w:p w14:paraId="470FDDEC" w14:textId="77777777" w:rsidR="00F621B8" w:rsidRDefault="00000000">
      <w:pPr>
        <w:pStyle w:val="ListParagraph"/>
        <w:numPr>
          <w:ilvl w:val="0"/>
          <w:numId w:val="3"/>
        </w:numPr>
        <w:spacing w:after="80" w:line="290" w:lineRule="auto"/>
      </w:pPr>
      <w:r>
        <w:rPr>
          <w:b/>
          <w:bCs/>
        </w:rPr>
        <w:t>H1 — Bottleneck migration (tests T1).</w:t>
      </w:r>
      <w:r>
        <w:t xml:space="preserve"> In a fixed task suite, estimate </w:t>
      </w:r>
      <w:r>
        <w:rPr>
          <w:i/>
          <w:iCs/>
        </w:rPr>
        <w:t>e</w:t>
      </w:r>
      <w:r>
        <w:t xml:space="preserve"> and </w:t>
      </w:r>
      <w:r>
        <w:rPr>
          <w:i/>
          <w:iCs/>
        </w:rPr>
        <w:t>q</w:t>
      </w:r>
      <w:r>
        <w:t xml:space="preserve"> for each (model, specification) cell. </w:t>
      </w:r>
      <w:r>
        <w:rPr>
          <w:i/>
          <w:iCs/>
        </w:rPr>
        <w:t>Prediction:</w:t>
      </w:r>
      <w:r>
        <w:t xml:space="preserve"> where </w:t>
      </w:r>
      <w:r>
        <w:rPr>
          <w:i/>
          <w:iCs/>
        </w:rPr>
        <w:t>e</w:t>
      </w:r>
      <w:r>
        <w:t xml:space="preserve"> &gt; </w:t>
      </w:r>
      <w:r>
        <w:rPr>
          <w:i/>
          <w:iCs/>
        </w:rPr>
        <w:t>q</w:t>
      </w:r>
      <w:r>
        <w:t>, a unit of specification refinement raises Pr[</w:t>
      </w:r>
      <w:r>
        <w:rPr>
          <w:i/>
          <w:iCs/>
        </w:rPr>
        <w:t>C</w:t>
      </w:r>
      <w:r>
        <w:t xml:space="preserve"> ∈ </w:t>
      </w:r>
      <w:r>
        <w:rPr>
          <w:i/>
          <w:iCs/>
        </w:rPr>
        <w:t>I</w:t>
      </w:r>
      <w:r>
        <w:t xml:space="preserve">] more than a model upgrade of comparable cost. </w:t>
      </w:r>
      <w:r>
        <w:rPr>
          <w:i/>
          <w:iCs/>
        </w:rPr>
        <w:t>Refuted if</w:t>
      </w:r>
      <w:r>
        <w:t xml:space="preserve"> model upgrades dominate even in cells where </w:t>
      </w:r>
      <w:r>
        <w:rPr>
          <w:i/>
          <w:iCs/>
        </w:rPr>
        <w:t>e</w:t>
      </w:r>
      <w:r>
        <w:t xml:space="preserve"> &gt; </w:t>
      </w:r>
      <w:r>
        <w:rPr>
          <w:i/>
          <w:iCs/>
        </w:rPr>
        <w:t>q</w:t>
      </w:r>
      <w:r>
        <w:t>.</w:t>
      </w:r>
    </w:p>
    <w:p w14:paraId="46C18DD6" w14:textId="77777777" w:rsidR="00F621B8" w:rsidRDefault="00000000">
      <w:pPr>
        <w:pStyle w:val="ListParagraph"/>
        <w:numPr>
          <w:ilvl w:val="0"/>
          <w:numId w:val="3"/>
        </w:numPr>
        <w:spacing w:after="80" w:line="290" w:lineRule="auto"/>
      </w:pPr>
      <w:r>
        <w:rPr>
          <w:b/>
          <w:bCs/>
        </w:rPr>
        <w:t>H2 — Regeneration stability (tests T2).</w:t>
      </w:r>
      <w:r>
        <w:t xml:space="preserve"> Regenerate each feature ten times from a frozen specification and run a held-out acceptance suite not visible to the generator. </w:t>
      </w:r>
      <w:r>
        <w:rPr>
          <w:i/>
          <w:iCs/>
        </w:rPr>
        <w:t>Prediction:</w:t>
      </w:r>
      <w:r>
        <w:t xml:space="preserve"> held-out failure across regenerations falls as estimated </w:t>
      </w:r>
      <w:r>
        <w:rPr>
          <w:i/>
          <w:iCs/>
        </w:rPr>
        <w:t>q</w:t>
      </w:r>
      <w:r>
        <w:t xml:space="preserve"> rises. </w:t>
      </w:r>
      <w:r>
        <w:rPr>
          <w:i/>
          <w:iCs/>
        </w:rPr>
        <w:t>Refuted for a given spec if</w:t>
      </w:r>
      <w:r>
        <w:t xml:space="preserve"> conforming regenerations fail the held-out suite above a pre-registered threshold τ—in which case code is not safely regenerable from that spec.</w:t>
      </w:r>
    </w:p>
    <w:p w14:paraId="0A6B2230" w14:textId="77777777" w:rsidR="00F621B8" w:rsidRDefault="00000000">
      <w:pPr>
        <w:pStyle w:val="ListParagraph"/>
        <w:numPr>
          <w:ilvl w:val="0"/>
          <w:numId w:val="3"/>
        </w:numPr>
        <w:spacing w:after="80" w:line="290" w:lineRule="auto"/>
      </w:pPr>
      <w:r>
        <w:rPr>
          <w:b/>
          <w:bCs/>
        </w:rPr>
        <w:t>H3 — Drift law (tests the alignment claim).</w:t>
      </w:r>
      <w:r>
        <w:t xml:space="preserve"> On a six-month spec-anchored project, record φ and </w:t>
      </w:r>
      <w:r>
        <w:rPr>
          <w:i/>
          <w:iCs/>
        </w:rPr>
        <w:t>D</w:t>
      </w:r>
      <w:r>
        <w:t xml:space="preserve">ₜ per release. </w:t>
      </w:r>
      <w:r>
        <w:rPr>
          <w:i/>
          <w:iCs/>
        </w:rPr>
        <w:t>Prediction:</w:t>
      </w:r>
      <w:r>
        <w:t xml:space="preserve"> drift on non-executable requirements grows as in Eq. (4); drift on gated requirements stays near φδ. </w:t>
      </w:r>
      <w:r>
        <w:rPr>
          <w:i/>
          <w:iCs/>
        </w:rPr>
        <w:t>Refuted if</w:t>
      </w:r>
      <w:r>
        <w:t xml:space="preserve"> non-executable requirements show no drift growth under agentic alignment alone. </w:t>
      </w:r>
      <w:r>
        <w:rPr>
          <w:b/>
          <w:bCs/>
        </w:rPr>
        <w:t>That refutation would be strong evidence for SpecHub’s central alignment claim</w:t>
      </w:r>
      <w:r>
        <w:t>, and is the experiment the vendor is best placed to run.</w:t>
      </w:r>
    </w:p>
    <w:p w14:paraId="4B0B3DF0" w14:textId="77777777" w:rsidR="00F621B8" w:rsidRDefault="00000000">
      <w:pPr>
        <w:pStyle w:val="ListParagraph"/>
        <w:numPr>
          <w:ilvl w:val="0"/>
          <w:numId w:val="3"/>
        </w:numPr>
        <w:spacing w:after="80" w:line="290" w:lineRule="auto"/>
      </w:pPr>
      <w:r>
        <w:rPr>
          <w:b/>
          <w:bCs/>
        </w:rPr>
        <w:t>H4 — Platform formation (tests T3).</w:t>
      </w:r>
      <w:r>
        <w:t xml:space="preserve"> </w:t>
      </w:r>
      <w:r>
        <w:rPr>
          <w:i/>
          <w:iCs/>
        </w:rPr>
        <w:t>Prediction, if T3 holds:</w:t>
      </w:r>
      <w:r>
        <w:t xml:space="preserve"> by October 2027 (a) a portable specification interchange format has multi-vendor support, and (b) hosted specifications show cross-organisation reuse or forking. </w:t>
      </w:r>
      <w:r>
        <w:rPr>
          <w:i/>
          <w:iCs/>
        </w:rPr>
        <w:t>Refuted if</w:t>
      </w:r>
      <w:r>
        <w:t xml:space="preserve"> specifications remain repository-local Markdown and the hosting function is absorbed by code hosts.</w:t>
      </w:r>
    </w:p>
    <w:p w14:paraId="09540A5D" w14:textId="77777777" w:rsidR="00F621B8" w:rsidRDefault="00000000">
      <w:pPr>
        <w:pStyle w:val="ListParagraph"/>
        <w:numPr>
          <w:ilvl w:val="0"/>
          <w:numId w:val="3"/>
        </w:numPr>
        <w:spacing w:after="80" w:line="290" w:lineRule="auto"/>
      </w:pPr>
      <w:r>
        <w:rPr>
          <w:b/>
          <w:bCs/>
        </w:rPr>
        <w:t>H5 — Break-even crossover (tests scope).</w:t>
      </w:r>
      <w:r>
        <w:t xml:space="preserve"> Across tasks stratified by expected loss </w:t>
      </w:r>
      <w:r>
        <w:rPr>
          <w:i/>
          <w:iCs/>
        </w:rPr>
        <w:t>L</w:t>
      </w:r>
      <w:r>
        <w:t xml:space="preserve">, measure net delivery time with and without SDD. </w:t>
      </w:r>
      <w:r>
        <w:rPr>
          <w:i/>
          <w:iCs/>
        </w:rPr>
        <w:t>Prediction:</w:t>
      </w:r>
      <w:r>
        <w:t xml:space="preserve"> a crossover exists—SDD loses below some </w:t>
      </w:r>
      <w:r>
        <w:rPr>
          <w:i/>
          <w:iCs/>
        </w:rPr>
        <w:t>L</w:t>
      </w:r>
      <w:r>
        <w:t xml:space="preserve">∗ and wins above it. </w:t>
      </w:r>
      <w:r>
        <w:rPr>
          <w:i/>
          <w:iCs/>
        </w:rPr>
        <w:t>Refuted if</w:t>
      </w:r>
      <w:r>
        <w:t xml:space="preserve"> no crossover appears (SDD uniformly better or uniformly worse).</w:t>
      </w:r>
    </w:p>
    <w:p w14:paraId="781E5405" w14:textId="77777777" w:rsidR="00F621B8" w:rsidRDefault="00000000">
      <w:pPr>
        <w:spacing w:after="140" w:line="300" w:lineRule="auto"/>
        <w:jc w:val="both"/>
      </w:pPr>
      <w:r>
        <w:rPr>
          <w:b/>
          <w:bCs/>
        </w:rPr>
        <w:t>Protocol.</w:t>
      </w:r>
      <w:r>
        <w:t xml:space="preserve"> Stratify tasks on Böckeler’s two axes, problem size and problem clarity [5], and on greenfield versus brownfield. Pre-register thresholds (τ, the </w:t>
      </w:r>
      <w:r>
        <w:rPr>
          <w:i/>
          <w:iCs/>
        </w:rPr>
        <w:t>e</w:t>
      </w:r>
      <w:r>
        <w:t>/</w:t>
      </w:r>
      <w:r>
        <w:rPr>
          <w:i/>
          <w:iCs/>
        </w:rPr>
        <w:t>q</w:t>
      </w:r>
      <w:r>
        <w:t xml:space="preserve"> estimators, the escape-rate window). Judge </w:t>
      </w:r>
      <w:r>
        <w:rPr>
          <w:i/>
          <w:iCs/>
        </w:rPr>
        <w:t>q</w:t>
      </w:r>
      <w:r>
        <w:t xml:space="preserve"> blind: assessors see outputs, not which arm produced them. Report specification-review time separately from implementation time, since §4.5 predicts that the result turns on it. Publish the task suite so the result can be reproduced against SpecHub, Spec Kit, Kiro and a no-spec baseline.</w:t>
      </w:r>
    </w:p>
    <w:p w14:paraId="3E8A3389" w14:textId="77777777" w:rsidR="00F621B8" w:rsidRDefault="00000000">
      <w:pPr>
        <w:pStyle w:val="Heading1"/>
      </w:pPr>
      <w:r>
        <w:lastRenderedPageBreak/>
        <w:t>8. What a Specification System of Record Must Provide</w:t>
      </w:r>
    </w:p>
    <w:p w14:paraId="56E7E204" w14:textId="77777777" w:rsidR="00F621B8" w:rsidRDefault="00000000">
      <w:pPr>
        <w:spacing w:after="140" w:line="300" w:lineRule="auto"/>
        <w:jc w:val="both"/>
      </w:pPr>
      <w:r>
        <w:t>Sections 4–7 imply concrete requirements. They are stated as acceptance criteria any platform—SpecHub included—can be checked against.</w:t>
      </w:r>
    </w:p>
    <w:p w14:paraId="18D685BA" w14:textId="77777777" w:rsidR="00F621B8" w:rsidRDefault="00000000">
      <w:pPr>
        <w:pStyle w:val="ListParagraph"/>
        <w:numPr>
          <w:ilvl w:val="0"/>
          <w:numId w:val="4"/>
        </w:numPr>
        <w:spacing w:after="80" w:line="290" w:lineRule="auto"/>
      </w:pPr>
      <w:r>
        <w:rPr>
          <w:b/>
          <w:bCs/>
        </w:rPr>
        <w:t>R1 Executable acceptance.</w:t>
      </w:r>
      <w:r>
        <w:t xml:space="preserve"> Every acceptance criterion may bind to a test identifier, and the platform reports φ per release. Without this, Proposition 3 makes alignment unmeasurable.</w:t>
      </w:r>
    </w:p>
    <w:p w14:paraId="78D4F4FA" w14:textId="77777777" w:rsidR="00F621B8" w:rsidRDefault="00000000">
      <w:pPr>
        <w:pStyle w:val="ListParagraph"/>
        <w:numPr>
          <w:ilvl w:val="0"/>
          <w:numId w:val="4"/>
        </w:numPr>
        <w:spacing w:after="80" w:line="290" w:lineRule="auto"/>
      </w:pPr>
      <w:r>
        <w:rPr>
          <w:b/>
          <w:bCs/>
        </w:rPr>
        <w:t>R2 Behavioural diff.</w:t>
      </w:r>
      <w:r>
        <w:t xml:space="preserve"> A specification delta is shown together with the test delta it induces, so reviewers see whether a textual change alters any outcome.</w:t>
      </w:r>
    </w:p>
    <w:p w14:paraId="1CC714CE" w14:textId="77777777" w:rsidR="00F621B8" w:rsidRDefault="00000000">
      <w:pPr>
        <w:pStyle w:val="ListParagraph"/>
        <w:numPr>
          <w:ilvl w:val="0"/>
          <w:numId w:val="4"/>
        </w:numPr>
        <w:spacing w:after="80" w:line="290" w:lineRule="auto"/>
      </w:pPr>
      <w:r>
        <w:rPr>
          <w:b/>
          <w:bCs/>
        </w:rPr>
        <w:t>R3 Portable round-trip.</w:t>
      </w:r>
      <w:r>
        <w:t xml:space="preserve"> Lossless export to an open format (Markdown with structured front matter; EARS for criteria) and import from in-repo Spec Kit and Kiro artefacts.</w:t>
      </w:r>
    </w:p>
    <w:p w14:paraId="1C75F197" w14:textId="77777777" w:rsidR="00F621B8" w:rsidRDefault="00000000">
      <w:pPr>
        <w:pStyle w:val="ListParagraph"/>
        <w:numPr>
          <w:ilvl w:val="0"/>
          <w:numId w:val="4"/>
        </w:numPr>
        <w:spacing w:after="80" w:line="290" w:lineRule="auto"/>
      </w:pPr>
      <w:r>
        <w:rPr>
          <w:b/>
          <w:bCs/>
        </w:rPr>
        <w:t>R4 Regeneration provenance.</w:t>
      </w:r>
      <w:r>
        <w:t xml:space="preserve"> For any generated change: specification version, model, prompt and context hash, and resulting code hash—so H2 can be run retrospectively.</w:t>
      </w:r>
    </w:p>
    <w:p w14:paraId="73C1DDA8" w14:textId="77777777" w:rsidR="00F621B8" w:rsidRDefault="00000000">
      <w:pPr>
        <w:pStyle w:val="ListParagraph"/>
        <w:numPr>
          <w:ilvl w:val="0"/>
          <w:numId w:val="4"/>
        </w:numPr>
        <w:spacing w:after="80" w:line="290" w:lineRule="auto"/>
      </w:pPr>
      <w:r>
        <w:rPr>
          <w:b/>
          <w:bCs/>
        </w:rPr>
        <w:t>R5 Size-adaptive lanes.</w:t>
      </w:r>
      <w:r>
        <w:t xml:space="preserve"> A lightweight lane for bug fixes and small changes that does not inflate </w:t>
      </w:r>
      <w:r>
        <w:rPr>
          <w:i/>
          <w:iCs/>
        </w:rPr>
        <w:t>c</w:t>
      </w:r>
      <w:r>
        <w:t>ₛ (§4.5); the sixteen-criteria bug is the failure case to avoid.</w:t>
      </w:r>
    </w:p>
    <w:p w14:paraId="6F6171E3" w14:textId="77777777" w:rsidR="00F621B8" w:rsidRDefault="00000000">
      <w:pPr>
        <w:pStyle w:val="ListParagraph"/>
        <w:numPr>
          <w:ilvl w:val="0"/>
          <w:numId w:val="4"/>
        </w:numPr>
        <w:spacing w:after="80" w:line="290" w:lineRule="auto"/>
      </w:pPr>
      <w:r>
        <w:rPr>
          <w:b/>
          <w:bCs/>
        </w:rPr>
        <w:t>R6 Reverse-bootstrap honesty.</w:t>
      </w:r>
      <w:r>
        <w:t xml:space="preserve"> A specification inferred from code describes observed behaviour, defects included. Inferred requirements must be marked as </w:t>
      </w:r>
      <w:r>
        <w:rPr>
          <w:i/>
          <w:iCs/>
        </w:rPr>
        <w:t>observed</w:t>
      </w:r>
      <w:r>
        <w:t xml:space="preserve"> until a human confirms them as </w:t>
      </w:r>
      <w:r>
        <w:rPr>
          <w:i/>
          <w:iCs/>
        </w:rPr>
        <w:t>intended</w:t>
      </w:r>
      <w:r>
        <w:t>; the platform reports the confirmed fraction.</w:t>
      </w:r>
    </w:p>
    <w:p w14:paraId="085AF50C" w14:textId="77777777" w:rsidR="00F621B8" w:rsidRDefault="00000000">
      <w:pPr>
        <w:pStyle w:val="ListParagraph"/>
        <w:numPr>
          <w:ilvl w:val="0"/>
          <w:numId w:val="4"/>
        </w:numPr>
        <w:spacing w:after="80" w:line="290" w:lineRule="auto"/>
      </w:pPr>
      <w:r>
        <w:rPr>
          <w:b/>
          <w:bCs/>
        </w:rPr>
        <w:t>R7 Authorship in the audit trail.</w:t>
      </w:r>
      <w:r>
        <w:t xml:space="preserve"> Each requirement records whether it was drafted by AI, edited by AI, or approved by a named human, because </w:t>
      </w:r>
      <w:r>
        <w:rPr>
          <w:i/>
          <w:iCs/>
        </w:rPr>
        <w:t>q</w:t>
      </w:r>
      <w:r>
        <w:t xml:space="preserve"> is ultimately a human judgement.</w:t>
      </w:r>
    </w:p>
    <w:p w14:paraId="24779046" w14:textId="77777777" w:rsidR="00F621B8" w:rsidRDefault="00000000">
      <w:pPr>
        <w:pStyle w:val="Heading1"/>
      </w:pPr>
      <w:r>
        <w:t>9. Conclusion</w:t>
      </w:r>
    </w:p>
    <w:p w14:paraId="19E688C7" w14:textId="77777777" w:rsidR="00F621B8" w:rsidRDefault="00000000">
      <w:pPr>
        <w:spacing w:after="140" w:line="300" w:lineRule="auto"/>
        <w:jc w:val="both"/>
      </w:pPr>
      <w:r>
        <w:t>The position that the specification is becoming the scarce artefact of software is right in a precise and limited sense. Stated as Proposition 1, the bottleneck has moved upstream for any team whose agents now satisfy written criteria more reliably than written criteria capture intent; this is a measurable inequality, not a mood, and many teams working with current agents plausibly satisfy it. The stronger claim that code becomes a regenerable output is, by Proposition 2, a claim of specification completeness, and the history of model-driven development is a sustained warning against making it lightly. The defensible form of T2 is spec-</w:t>
      </w:r>
      <w:r>
        <w:rPr>
          <w:i/>
          <w:iCs/>
        </w:rPr>
        <w:t>anchored</w:t>
      </w:r>
      <w:r>
        <w:t>: specification and code both retained, with the specification authoritative exactly to the extent that its acceptance criteria run.</w:t>
      </w:r>
    </w:p>
    <w:p w14:paraId="3C19E860" w14:textId="77777777" w:rsidR="00F621B8" w:rsidRDefault="00000000">
      <w:pPr>
        <w:spacing w:after="140" w:line="300" w:lineRule="auto"/>
        <w:jc w:val="both"/>
      </w:pPr>
      <w:r>
        <w:t xml:space="preserve">SpecHub’s design, as publicly described, points in the right direction: requirement-level identity, status and origin; acceptance criteria per requirement; an audit trail; linkage to pull requests; and an explicit compliance use case, where the expected loss </w:t>
      </w:r>
      <w:r>
        <w:rPr>
          <w:i/>
          <w:iCs/>
        </w:rPr>
        <w:t>L</w:t>
      </w:r>
      <w:r>
        <w:t xml:space="preserve"> is high and SDD most clearly pays. Whether it becomes the GitHub of the AI era is a different question, and one the available evidence cannot yet answer. The product is invite-only, its alignment mechanism is not publicly specified, no independent evaluation was found, and the incumbent code host already distributes the most popular specification toolkit inside the repository. The decisive tests are H3 and H4. If SpecHub can show bounded drift on non-executable requirements, and a portable format that others adopt, the analogy will have earned itself. Until then, the accurate statement is narrower: the </w:t>
      </w:r>
      <w:r>
        <w:lastRenderedPageBreak/>
        <w:t>specification deserves a system of record; whether that record lives in a new platform or in the repository is open.</w:t>
      </w:r>
    </w:p>
    <w:p w14:paraId="48F4798D" w14:textId="77777777" w:rsidR="00F621B8" w:rsidRDefault="00000000">
      <w:pPr>
        <w:pStyle w:val="Heading1"/>
      </w:pPr>
      <w:r>
        <w:t>References</w:t>
      </w:r>
    </w:p>
    <w:p w14:paraId="65E7E56B" w14:textId="77777777" w:rsidR="00F621B8" w:rsidRDefault="00000000">
      <w:pPr>
        <w:tabs>
          <w:tab w:val="left" w:pos="540"/>
        </w:tabs>
        <w:spacing w:after="90" w:line="270" w:lineRule="auto"/>
        <w:ind w:left="540" w:hanging="540"/>
      </w:pPr>
      <w:r>
        <w:rPr>
          <w:sz w:val="19"/>
          <w:szCs w:val="19"/>
        </w:rPr>
        <w:t>[1]</w:t>
      </w:r>
      <w:r>
        <w:rPr>
          <w:sz w:val="19"/>
          <w:szCs w:val="19"/>
        </w:rPr>
        <w:tab/>
        <w:t>SpecHub. “Spec-Driven Development for AI Teams.” https://spechub.app/ (accessed 12 Oct 2026).</w:t>
      </w:r>
    </w:p>
    <w:p w14:paraId="0C5939DA" w14:textId="77777777" w:rsidR="00F621B8" w:rsidRDefault="00000000">
      <w:pPr>
        <w:tabs>
          <w:tab w:val="left" w:pos="540"/>
        </w:tabs>
        <w:spacing w:after="90" w:line="270" w:lineRule="auto"/>
        <w:ind w:left="540" w:hanging="540"/>
      </w:pPr>
      <w:r>
        <w:rPr>
          <w:sz w:val="19"/>
          <w:szCs w:val="19"/>
        </w:rPr>
        <w:t>[2]</w:t>
      </w:r>
      <w:r>
        <w:rPr>
          <w:sz w:val="19"/>
          <w:szCs w:val="19"/>
        </w:rPr>
        <w:tab/>
        <w:t>SpecHub. “Integrations.” https://spechub.app/features/integrations (accessed 12 Oct 2026).</w:t>
      </w:r>
    </w:p>
    <w:p w14:paraId="560D1CF6" w14:textId="77777777" w:rsidR="00F621B8" w:rsidRDefault="00000000">
      <w:pPr>
        <w:tabs>
          <w:tab w:val="left" w:pos="540"/>
        </w:tabs>
        <w:spacing w:after="90" w:line="270" w:lineRule="auto"/>
        <w:ind w:left="540" w:hanging="540"/>
      </w:pPr>
      <w:r>
        <w:rPr>
          <w:sz w:val="19"/>
          <w:szCs w:val="19"/>
        </w:rPr>
        <w:t>[3]</w:t>
      </w:r>
      <w:r>
        <w:rPr>
          <w:sz w:val="19"/>
          <w:szCs w:val="19"/>
        </w:rPr>
        <w:tab/>
        <w:t>SpecHub. “Ship high-quality, compliant products with living specs.” https://spechub.app/solutions/compliance (accessed 12 Oct 2026).</w:t>
      </w:r>
    </w:p>
    <w:p w14:paraId="501CEF1F" w14:textId="77777777" w:rsidR="00F621B8" w:rsidRDefault="00000000">
      <w:pPr>
        <w:tabs>
          <w:tab w:val="left" w:pos="540"/>
        </w:tabs>
        <w:spacing w:after="90" w:line="270" w:lineRule="auto"/>
        <w:ind w:left="540" w:hanging="540"/>
      </w:pPr>
      <w:r>
        <w:rPr>
          <w:sz w:val="19"/>
          <w:szCs w:val="19"/>
        </w:rPr>
        <w:t>[4]</w:t>
      </w:r>
      <w:r>
        <w:rPr>
          <w:sz w:val="19"/>
          <w:szCs w:val="19"/>
        </w:rPr>
        <w:tab/>
        <w:t xml:space="preserve">GitHub. </w:t>
      </w:r>
      <w:r>
        <w:rPr>
          <w:i/>
          <w:iCs/>
          <w:sz w:val="19"/>
          <w:szCs w:val="19"/>
        </w:rPr>
        <w:t>spec-kit</w:t>
      </w:r>
      <w:r>
        <w:rPr>
          <w:sz w:val="19"/>
          <w:szCs w:val="19"/>
        </w:rPr>
        <w:t xml:space="preserve"> repository, MIT licence. https://github.com/github/spec-kit (139.0k stars, 12.5k forks observed 12 Oct 2026).</w:t>
      </w:r>
    </w:p>
    <w:p w14:paraId="010E455E" w14:textId="77777777" w:rsidR="00F621B8" w:rsidRDefault="00000000">
      <w:pPr>
        <w:tabs>
          <w:tab w:val="left" w:pos="540"/>
        </w:tabs>
        <w:spacing w:after="90" w:line="270" w:lineRule="auto"/>
        <w:ind w:left="540" w:hanging="540"/>
      </w:pPr>
      <w:r>
        <w:rPr>
          <w:sz w:val="19"/>
          <w:szCs w:val="19"/>
        </w:rPr>
        <w:t>[5]</w:t>
      </w:r>
      <w:r>
        <w:rPr>
          <w:sz w:val="19"/>
          <w:szCs w:val="19"/>
        </w:rPr>
        <w:tab/>
        <w:t>Böckeler, B. (2025). “Understanding Spec-Driven-Development: Kiro, spec-kit, and Tessl.” martinfowler.com, 15 October 2025. https://martinfowler.com/articles/exploring-gen-ai/sdd-3-tools.html</w:t>
      </w:r>
    </w:p>
    <w:p w14:paraId="1B87D71B" w14:textId="77777777" w:rsidR="00F621B8" w:rsidRDefault="00000000">
      <w:pPr>
        <w:tabs>
          <w:tab w:val="left" w:pos="540"/>
        </w:tabs>
        <w:spacing w:after="90" w:line="270" w:lineRule="auto"/>
        <w:ind w:left="540" w:hanging="540"/>
      </w:pPr>
      <w:r>
        <w:rPr>
          <w:sz w:val="19"/>
          <w:szCs w:val="19"/>
        </w:rPr>
        <w:t>[6]</w:t>
      </w:r>
      <w:r>
        <w:rPr>
          <w:sz w:val="19"/>
          <w:szCs w:val="19"/>
        </w:rPr>
        <w:tab/>
        <w:t>Piskala, D. B. (2026). “Spec-Driven Development: From Code to Contract in the Age of AI Coding Assistants.” arXiv:2602.00180.</w:t>
      </w:r>
    </w:p>
    <w:p w14:paraId="4553E3E0" w14:textId="77777777" w:rsidR="00F621B8" w:rsidRDefault="00000000">
      <w:pPr>
        <w:tabs>
          <w:tab w:val="left" w:pos="540"/>
        </w:tabs>
        <w:spacing w:after="90" w:line="270" w:lineRule="auto"/>
        <w:ind w:left="540" w:hanging="540"/>
      </w:pPr>
      <w:r>
        <w:rPr>
          <w:sz w:val="19"/>
          <w:szCs w:val="19"/>
        </w:rPr>
        <w:t>[7]</w:t>
      </w:r>
      <w:r>
        <w:rPr>
          <w:sz w:val="19"/>
          <w:szCs w:val="19"/>
        </w:rPr>
        <w:tab/>
        <w:t>SD Times. “Amazon launches spec-driven AI IDE, Kiro.” https://sdtimes.com/ai/amazon-launches-spec-driven-ai-ide-kiro/</w:t>
      </w:r>
    </w:p>
    <w:p w14:paraId="3E59EF24" w14:textId="77777777" w:rsidR="00F621B8" w:rsidRDefault="00000000">
      <w:pPr>
        <w:tabs>
          <w:tab w:val="left" w:pos="540"/>
        </w:tabs>
        <w:spacing w:after="90" w:line="270" w:lineRule="auto"/>
        <w:ind w:left="540" w:hanging="540"/>
      </w:pPr>
      <w:r>
        <w:rPr>
          <w:sz w:val="19"/>
          <w:szCs w:val="19"/>
        </w:rPr>
        <w:t>[8]</w:t>
      </w:r>
      <w:r>
        <w:rPr>
          <w:sz w:val="19"/>
          <w:szCs w:val="19"/>
        </w:rPr>
        <w:tab/>
        <w:t>heise online. “What can Kiro do that Copilot can’t? Amazon launches its own AI IDE.” https://heise.de/-10489232</w:t>
      </w:r>
    </w:p>
    <w:p w14:paraId="1B38034F" w14:textId="77777777" w:rsidR="00F621B8" w:rsidRDefault="00000000">
      <w:pPr>
        <w:tabs>
          <w:tab w:val="left" w:pos="540"/>
        </w:tabs>
        <w:spacing w:after="90" w:line="270" w:lineRule="auto"/>
        <w:ind w:left="540" w:hanging="540"/>
      </w:pPr>
      <w:r>
        <w:rPr>
          <w:sz w:val="19"/>
          <w:szCs w:val="19"/>
        </w:rPr>
        <w:t>[9]</w:t>
      </w:r>
      <w:r>
        <w:rPr>
          <w:sz w:val="19"/>
          <w:szCs w:val="19"/>
        </w:rPr>
        <w:tab/>
        <w:t>France, R., &amp; Rumpe, B. (2007). “Model-driven Development of Complex Software: A Research Roadmap.” Future of Software Engineering (FOSE ’07). arXiv:1409.6620.</w:t>
      </w:r>
    </w:p>
    <w:p w14:paraId="4EE3AF43" w14:textId="77777777" w:rsidR="00F621B8" w:rsidRDefault="00000000">
      <w:pPr>
        <w:tabs>
          <w:tab w:val="left" w:pos="540"/>
        </w:tabs>
        <w:spacing w:after="90" w:line="270" w:lineRule="auto"/>
        <w:ind w:left="540" w:hanging="540"/>
      </w:pPr>
      <w:r>
        <w:rPr>
          <w:sz w:val="19"/>
          <w:szCs w:val="19"/>
        </w:rPr>
        <w:t>[10]</w:t>
      </w:r>
      <w:r>
        <w:rPr>
          <w:sz w:val="19"/>
          <w:szCs w:val="19"/>
        </w:rPr>
        <w:tab/>
        <w:t>Kuhn, A., Murphy, G. C., &amp; Thompson, C. A. (2012). “An Exploratory Study of Forces and Frictions affecting Large-Scale Model-Driven Development.” MODELS 2012. arXiv:1207.0855.</w:t>
      </w:r>
    </w:p>
    <w:p w14:paraId="0FC774B6" w14:textId="77777777" w:rsidR="00F621B8" w:rsidRDefault="00000000">
      <w:pPr>
        <w:tabs>
          <w:tab w:val="left" w:pos="540"/>
        </w:tabs>
        <w:spacing w:after="90" w:line="270" w:lineRule="auto"/>
        <w:ind w:left="540" w:hanging="540"/>
      </w:pPr>
      <w:r>
        <w:rPr>
          <w:sz w:val="19"/>
          <w:szCs w:val="19"/>
        </w:rPr>
        <w:t>[11]</w:t>
      </w:r>
      <w:r>
        <w:rPr>
          <w:sz w:val="19"/>
          <w:szCs w:val="19"/>
        </w:rPr>
        <w:tab/>
        <w:t>Tornhill, A. “A Blast from the Past: SDD and the Illusion of Known Scope.” https://adamtornhill.substack.com/p/a-blast-from-the-past-sdd-and-the</w:t>
      </w:r>
    </w:p>
    <w:p w14:paraId="71D515A6" w14:textId="77777777" w:rsidR="00F621B8" w:rsidRDefault="00000000">
      <w:pPr>
        <w:tabs>
          <w:tab w:val="left" w:pos="540"/>
        </w:tabs>
        <w:spacing w:after="90" w:line="270" w:lineRule="auto"/>
        <w:ind w:left="540" w:hanging="540"/>
      </w:pPr>
      <w:r>
        <w:rPr>
          <w:sz w:val="19"/>
          <w:szCs w:val="19"/>
        </w:rPr>
        <w:t>[12]</w:t>
      </w:r>
      <w:r>
        <w:rPr>
          <w:sz w:val="19"/>
          <w:szCs w:val="19"/>
        </w:rPr>
        <w:tab/>
        <w:t>“SDD, Kent Beck, and Martin Fowler: Why Spec-Anchored Development Wins.” Level Up Coding (Medium). https://levelup.gitconnected.com/sdd-kent-beck-and-martin-fowler-why-spec-anchored-development-wins-a4c838d5be11 (secondary source for Thoughtworks Radar vol. 33 placement and the 2,577:689 report).</w:t>
      </w:r>
    </w:p>
    <w:p w14:paraId="16AC6F9A" w14:textId="77777777" w:rsidR="00F621B8" w:rsidRDefault="00000000">
      <w:pPr>
        <w:tabs>
          <w:tab w:val="left" w:pos="540"/>
        </w:tabs>
        <w:spacing w:after="90" w:line="270" w:lineRule="auto"/>
        <w:ind w:left="540" w:hanging="540"/>
      </w:pPr>
      <w:r>
        <w:rPr>
          <w:sz w:val="19"/>
          <w:szCs w:val="19"/>
        </w:rPr>
        <w:t>[13]</w:t>
      </w:r>
      <w:r>
        <w:rPr>
          <w:sz w:val="19"/>
          <w:szCs w:val="19"/>
        </w:rPr>
        <w:tab/>
        <w:t>SSOJet. “7 Spec-Driven Development Tools: Spec Kit, Kiro, OpenSpec, Tessl &amp; More.” https://ssojet.com/blog/best-spec-driven-development-tools</w:t>
      </w:r>
    </w:p>
    <w:p w14:paraId="704228CE" w14:textId="77777777" w:rsidR="00F621B8" w:rsidRDefault="00000000">
      <w:pPr>
        <w:tabs>
          <w:tab w:val="left" w:pos="540"/>
        </w:tabs>
        <w:spacing w:after="90" w:line="270" w:lineRule="auto"/>
        <w:ind w:left="540" w:hanging="540"/>
        <w:rPr>
          <w:sz w:val="19"/>
          <w:szCs w:val="19"/>
        </w:rPr>
      </w:pPr>
      <w:r>
        <w:rPr>
          <w:sz w:val="19"/>
          <w:szCs w:val="19"/>
        </w:rPr>
        <w:t>[14]</w:t>
      </w:r>
      <w:r>
        <w:rPr>
          <w:sz w:val="19"/>
          <w:szCs w:val="19"/>
        </w:rPr>
        <w:tab/>
        <w:t>Mavin, A., Wilkinson, P., Harwood, A., &amp; Novak, M. (2009). “Easy Approach to Requirements Syntax (EARS).” 17th IEEE International Requirements Engineering Conference (RE’09), 317–322.</w:t>
      </w:r>
    </w:p>
    <w:p w14:paraId="55CFF9C8" w14:textId="0A20BDAC" w:rsidR="006923AC" w:rsidRDefault="006923AC">
      <w:pPr>
        <w:tabs>
          <w:tab w:val="left" w:pos="540"/>
        </w:tabs>
        <w:spacing w:after="90" w:line="270" w:lineRule="auto"/>
        <w:ind w:left="540" w:hanging="540"/>
      </w:pPr>
      <w:r w:rsidRPr="006923AC">
        <w:t>https://github.com/debiprasadghosh/ResearchOverFlow/tree/main/October2026/SoftwareArchitectuteInAI</w:t>
      </w:r>
    </w:p>
    <w:p w14:paraId="35245A14" w14:textId="77777777" w:rsidR="00F621B8" w:rsidRDefault="00000000">
      <w:pPr>
        <w:pStyle w:val="Heading1"/>
        <w:pageBreakBefore/>
      </w:pPr>
      <w:r>
        <w:lastRenderedPageBreak/>
        <w:t>Appendix A. Reference Requirement Schema (C#)</w:t>
      </w:r>
    </w:p>
    <w:p w14:paraId="4EA072D4" w14:textId="77777777" w:rsidR="00F621B8" w:rsidRDefault="00000000">
      <w:pPr>
        <w:spacing w:after="140" w:line="300" w:lineRule="auto"/>
        <w:jc w:val="both"/>
      </w:pPr>
      <w:r>
        <w:t>A minimal, immutable schema that makes R1, R6 and R7 concrete and computes conformance κ and the executable fraction φ of Section 4.4. Unbound or failing criteria count as non-conforming, so κ is conservative: it never reports alignment that no check has established.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621B8" w14:paraId="2DE1BB1A" w14:textId="77777777">
        <w:tblPrEx>
          <w:tblCellMar>
            <w:top w:w="0" w:type="dxa"/>
            <w:bottom w:w="0" w:type="dxa"/>
          </w:tblCellMar>
        </w:tblPrEx>
        <w:tc>
          <w:tcPr>
            <w:tcW w:w="9026"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14:paraId="7C620661" w14:textId="77777777" w:rsidR="00F621B8" w:rsidRDefault="00000000">
            <w:r>
              <w:rPr>
                <w:rFonts w:ascii="Consolas" w:eastAsia="Consolas" w:hAnsi="Consolas" w:cs="Consolas"/>
                <w:sz w:val="17"/>
                <w:szCs w:val="17"/>
              </w:rPr>
              <w:t>using System.Collections.Generic;</w:t>
            </w:r>
          </w:p>
          <w:p w14:paraId="579BAF7F" w14:textId="77777777" w:rsidR="00F621B8" w:rsidRDefault="00000000">
            <w:r>
              <w:rPr>
                <w:rFonts w:ascii="Consolas" w:eastAsia="Consolas" w:hAnsi="Consolas" w:cs="Consolas"/>
                <w:sz w:val="17"/>
                <w:szCs w:val="17"/>
              </w:rPr>
              <w:t>using System.Linq;</w:t>
            </w:r>
          </w:p>
          <w:p w14:paraId="0AA88982" w14:textId="77777777" w:rsidR="00F621B8" w:rsidRDefault="00000000">
            <w:r>
              <w:rPr>
                <w:rFonts w:ascii="Consolas" w:eastAsia="Consolas" w:hAnsi="Consolas" w:cs="Consolas"/>
                <w:sz w:val="17"/>
                <w:szCs w:val="17"/>
              </w:rPr>
              <w:t xml:space="preserve"> </w:t>
            </w:r>
          </w:p>
          <w:p w14:paraId="7EB0090E" w14:textId="77777777" w:rsidR="00F621B8" w:rsidRDefault="00000000">
            <w:r>
              <w:rPr>
                <w:rFonts w:ascii="Consolas" w:eastAsia="Consolas" w:hAnsi="Consolas" w:cs="Consolas"/>
                <w:sz w:val="17"/>
                <w:szCs w:val="17"/>
              </w:rPr>
              <w:t>public enum Provenance { AiDrafted, AiEdited, HumanApproved }</w:t>
            </w:r>
          </w:p>
          <w:p w14:paraId="42584D34" w14:textId="77777777" w:rsidR="00F621B8" w:rsidRDefault="00000000">
            <w:r>
              <w:rPr>
                <w:rFonts w:ascii="Consolas" w:eastAsia="Consolas" w:hAnsi="Consolas" w:cs="Consolas"/>
                <w:sz w:val="17"/>
                <w:szCs w:val="17"/>
              </w:rPr>
              <w:t>public enum Basis { Intended, ObservedFromCode }   // R6: reverse-bootstrap honesty</w:t>
            </w:r>
          </w:p>
          <w:p w14:paraId="5096AC1D" w14:textId="77777777" w:rsidR="00F621B8" w:rsidRDefault="00000000">
            <w:r>
              <w:rPr>
                <w:rFonts w:ascii="Consolas" w:eastAsia="Consolas" w:hAnsi="Consolas" w:cs="Consolas"/>
                <w:sz w:val="17"/>
                <w:szCs w:val="17"/>
              </w:rPr>
              <w:t xml:space="preserve"> </w:t>
            </w:r>
          </w:p>
          <w:p w14:paraId="3F55C7C6" w14:textId="77777777" w:rsidR="00F621B8" w:rsidRDefault="00000000">
            <w:r>
              <w:rPr>
                <w:rFonts w:ascii="Consolas" w:eastAsia="Consolas" w:hAnsi="Consolas" w:cs="Consolas"/>
                <w:sz w:val="17"/>
                <w:szCs w:val="17"/>
              </w:rPr>
              <w:t>public sealed record AcceptanceCriterion(</w:t>
            </w:r>
          </w:p>
          <w:p w14:paraId="58DDDEB4" w14:textId="77777777" w:rsidR="00F621B8" w:rsidRDefault="00000000">
            <w:r>
              <w:rPr>
                <w:rFonts w:ascii="Consolas" w:eastAsia="Consolas" w:hAnsi="Consolas" w:cs="Consolas"/>
                <w:sz w:val="17"/>
                <w:szCs w:val="17"/>
              </w:rPr>
              <w:t xml:space="preserve">    string Id,</w:t>
            </w:r>
          </w:p>
          <w:p w14:paraId="52B58F2F" w14:textId="77777777" w:rsidR="00F621B8" w:rsidRDefault="00000000">
            <w:r>
              <w:rPr>
                <w:rFonts w:ascii="Consolas" w:eastAsia="Consolas" w:hAnsi="Consolas" w:cs="Consolas"/>
                <w:sz w:val="17"/>
                <w:szCs w:val="17"/>
              </w:rPr>
              <w:t xml:space="preserve">    string Statement,   // EARS: "When &lt;trigger&gt;, the system shall &lt;response&gt;"</w:t>
            </w:r>
          </w:p>
          <w:p w14:paraId="1A42D837" w14:textId="77777777" w:rsidR="00F621B8" w:rsidRDefault="00000000">
            <w:r>
              <w:rPr>
                <w:rFonts w:ascii="Consolas" w:eastAsia="Consolas" w:hAnsi="Consolas" w:cs="Consolas"/>
                <w:sz w:val="17"/>
                <w:szCs w:val="17"/>
              </w:rPr>
              <w:t xml:space="preserve">    string? ExecutableTestId);   // R1: null =&gt; natural-language only</w:t>
            </w:r>
          </w:p>
          <w:p w14:paraId="116D7D2A" w14:textId="77777777" w:rsidR="00F621B8" w:rsidRDefault="00000000">
            <w:r>
              <w:rPr>
                <w:rFonts w:ascii="Consolas" w:eastAsia="Consolas" w:hAnsi="Consolas" w:cs="Consolas"/>
                <w:sz w:val="17"/>
                <w:szCs w:val="17"/>
              </w:rPr>
              <w:t xml:space="preserve"> </w:t>
            </w:r>
          </w:p>
          <w:p w14:paraId="30677D2A" w14:textId="77777777" w:rsidR="00F621B8" w:rsidRDefault="00000000">
            <w:r>
              <w:rPr>
                <w:rFonts w:ascii="Consolas" w:eastAsia="Consolas" w:hAnsi="Consolas" w:cs="Consolas"/>
                <w:sz w:val="17"/>
                <w:szCs w:val="17"/>
              </w:rPr>
              <w:t>public sealed record Requirement(</w:t>
            </w:r>
          </w:p>
          <w:p w14:paraId="0D3983FC" w14:textId="77777777" w:rsidR="00F621B8" w:rsidRDefault="00000000">
            <w:r>
              <w:rPr>
                <w:rFonts w:ascii="Consolas" w:eastAsia="Consolas" w:hAnsi="Consolas" w:cs="Consolas"/>
                <w:sz w:val="17"/>
                <w:szCs w:val="17"/>
              </w:rPr>
              <w:t xml:space="preserve">    string Id,</w:t>
            </w:r>
          </w:p>
          <w:p w14:paraId="72891836" w14:textId="77777777" w:rsidR="00F621B8" w:rsidRDefault="00000000">
            <w:r>
              <w:rPr>
                <w:rFonts w:ascii="Consolas" w:eastAsia="Consolas" w:hAnsi="Consolas" w:cs="Consolas"/>
                <w:sz w:val="17"/>
                <w:szCs w:val="17"/>
              </w:rPr>
              <w:t xml:space="preserve">    string Title,</w:t>
            </w:r>
          </w:p>
          <w:p w14:paraId="1072BC44" w14:textId="77777777" w:rsidR="00F621B8" w:rsidRDefault="00000000">
            <w:r>
              <w:rPr>
                <w:rFonts w:ascii="Consolas" w:eastAsia="Consolas" w:hAnsi="Consolas" w:cs="Consolas"/>
                <w:sz w:val="17"/>
                <w:szCs w:val="17"/>
              </w:rPr>
              <w:t xml:space="preserve">    Basis Basis,</w:t>
            </w:r>
          </w:p>
          <w:p w14:paraId="1CAD3EDE" w14:textId="77777777" w:rsidR="00F621B8" w:rsidRDefault="00000000">
            <w:r>
              <w:rPr>
                <w:rFonts w:ascii="Consolas" w:eastAsia="Consolas" w:hAnsi="Consolas" w:cs="Consolas"/>
                <w:sz w:val="17"/>
                <w:szCs w:val="17"/>
              </w:rPr>
              <w:t xml:space="preserve">    Provenance Provenance,       // R7</w:t>
            </w:r>
          </w:p>
          <w:p w14:paraId="3D518D09" w14:textId="77777777" w:rsidR="00F621B8" w:rsidRDefault="00000000">
            <w:r>
              <w:rPr>
                <w:rFonts w:ascii="Consolas" w:eastAsia="Consolas" w:hAnsi="Consolas" w:cs="Consolas"/>
                <w:sz w:val="17"/>
                <w:szCs w:val="17"/>
              </w:rPr>
              <w:t xml:space="preserve">    IReadOnlyList&lt;AcceptanceCriterion&gt; Criteria,</w:t>
            </w:r>
          </w:p>
          <w:p w14:paraId="7C9C698F" w14:textId="77777777" w:rsidR="00F621B8" w:rsidRDefault="00000000">
            <w:r>
              <w:rPr>
                <w:rFonts w:ascii="Consolas" w:eastAsia="Consolas" w:hAnsi="Consolas" w:cs="Consolas"/>
                <w:sz w:val="17"/>
                <w:szCs w:val="17"/>
              </w:rPr>
              <w:t xml:space="preserve">    IReadOnlyList&lt;string&gt; LinkedPullRequests);</w:t>
            </w:r>
          </w:p>
          <w:p w14:paraId="178A843E" w14:textId="77777777" w:rsidR="00F621B8" w:rsidRDefault="00000000">
            <w:r>
              <w:rPr>
                <w:rFonts w:ascii="Consolas" w:eastAsia="Consolas" w:hAnsi="Consolas" w:cs="Consolas"/>
                <w:sz w:val="17"/>
                <w:szCs w:val="17"/>
              </w:rPr>
              <w:t xml:space="preserve"> </w:t>
            </w:r>
          </w:p>
          <w:p w14:paraId="38000A94" w14:textId="77777777" w:rsidR="00F621B8" w:rsidRDefault="00000000">
            <w:r>
              <w:rPr>
                <w:rFonts w:ascii="Consolas" w:eastAsia="Consolas" w:hAnsi="Consolas" w:cs="Consolas"/>
                <w:sz w:val="17"/>
                <w:szCs w:val="17"/>
              </w:rPr>
              <w:t>public static class Conformance</w:t>
            </w:r>
          </w:p>
          <w:p w14:paraId="74A29140" w14:textId="77777777" w:rsidR="00F621B8" w:rsidRDefault="00000000">
            <w:r>
              <w:rPr>
                <w:rFonts w:ascii="Consolas" w:eastAsia="Consolas" w:hAnsi="Consolas" w:cs="Consolas"/>
                <w:sz w:val="17"/>
                <w:szCs w:val="17"/>
              </w:rPr>
              <w:t>{</w:t>
            </w:r>
          </w:p>
          <w:p w14:paraId="1BAB3B04" w14:textId="77777777" w:rsidR="00F621B8" w:rsidRDefault="00000000">
            <w:r>
              <w:rPr>
                <w:rFonts w:ascii="Consolas" w:eastAsia="Consolas" w:hAnsi="Consolas" w:cs="Consolas"/>
                <w:sz w:val="17"/>
                <w:szCs w:val="17"/>
              </w:rPr>
              <w:t xml:space="preserve">    // phi: fraction of criteria bound to an executable test</w:t>
            </w:r>
          </w:p>
          <w:p w14:paraId="1303B82F" w14:textId="77777777" w:rsidR="00F621B8" w:rsidRDefault="00000000">
            <w:r>
              <w:rPr>
                <w:rFonts w:ascii="Consolas" w:eastAsia="Consolas" w:hAnsi="Consolas" w:cs="Consolas"/>
                <w:sz w:val="17"/>
                <w:szCs w:val="17"/>
              </w:rPr>
              <w:t xml:space="preserve">    public static double ExecutableFraction(IReadOnlyList&lt;Requirement&gt; spec)</w:t>
            </w:r>
          </w:p>
          <w:p w14:paraId="10BDB19A" w14:textId="77777777" w:rsidR="00F621B8" w:rsidRDefault="00000000">
            <w:r>
              <w:rPr>
                <w:rFonts w:ascii="Consolas" w:eastAsia="Consolas" w:hAnsi="Consolas" w:cs="Consolas"/>
                <w:sz w:val="17"/>
                <w:szCs w:val="17"/>
              </w:rPr>
              <w:t xml:space="preserve">    {</w:t>
            </w:r>
          </w:p>
          <w:p w14:paraId="58532235" w14:textId="77777777" w:rsidR="00F621B8" w:rsidRDefault="00000000">
            <w:r>
              <w:rPr>
                <w:rFonts w:ascii="Consolas" w:eastAsia="Consolas" w:hAnsi="Consolas" w:cs="Consolas"/>
                <w:sz w:val="17"/>
                <w:szCs w:val="17"/>
              </w:rPr>
              <w:t xml:space="preserve">        var all = spec.SelectMany(r =&gt; r.Criteria).ToList();</w:t>
            </w:r>
          </w:p>
          <w:p w14:paraId="08542D1D" w14:textId="77777777" w:rsidR="00F621B8" w:rsidRDefault="00000000">
            <w:r>
              <w:rPr>
                <w:rFonts w:ascii="Consolas" w:eastAsia="Consolas" w:hAnsi="Consolas" w:cs="Consolas"/>
                <w:sz w:val="17"/>
                <w:szCs w:val="17"/>
              </w:rPr>
              <w:t xml:space="preserve">        return all.Count == 0 ? 0.0</w:t>
            </w:r>
          </w:p>
          <w:p w14:paraId="20536D8E" w14:textId="77777777" w:rsidR="00F621B8" w:rsidRDefault="00000000">
            <w:r>
              <w:rPr>
                <w:rFonts w:ascii="Consolas" w:eastAsia="Consolas" w:hAnsi="Consolas" w:cs="Consolas"/>
                <w:sz w:val="17"/>
                <w:szCs w:val="17"/>
              </w:rPr>
              <w:t xml:space="preserve">            : all.Count(c =&gt; c.ExecutableTestId is not null) / (double)all.Count;</w:t>
            </w:r>
          </w:p>
          <w:p w14:paraId="3B9EA705" w14:textId="77777777" w:rsidR="00F621B8" w:rsidRDefault="00000000">
            <w:r>
              <w:rPr>
                <w:rFonts w:ascii="Consolas" w:eastAsia="Consolas" w:hAnsi="Consolas" w:cs="Consolas"/>
                <w:sz w:val="17"/>
                <w:szCs w:val="17"/>
              </w:rPr>
              <w:t xml:space="preserve">    }</w:t>
            </w:r>
          </w:p>
          <w:p w14:paraId="507A3AC4" w14:textId="77777777" w:rsidR="00F621B8" w:rsidRDefault="00000000">
            <w:r>
              <w:rPr>
                <w:rFonts w:ascii="Consolas" w:eastAsia="Consolas" w:hAnsi="Consolas" w:cs="Consolas"/>
                <w:sz w:val="17"/>
                <w:szCs w:val="17"/>
              </w:rPr>
              <w:t xml:space="preserve"> </w:t>
            </w:r>
          </w:p>
          <w:p w14:paraId="7C2D43C5" w14:textId="77777777" w:rsidR="00F621B8" w:rsidRDefault="00000000">
            <w:r>
              <w:rPr>
                <w:rFonts w:ascii="Consolas" w:eastAsia="Consolas" w:hAnsi="Consolas" w:cs="Consolas"/>
                <w:sz w:val="17"/>
                <w:szCs w:val="17"/>
              </w:rPr>
              <w:t xml:space="preserve">    // kappa: a requirement conforms only if every criterion is bound AND passing</w:t>
            </w:r>
          </w:p>
          <w:p w14:paraId="6F8DE336" w14:textId="77777777" w:rsidR="00F621B8" w:rsidRDefault="00000000">
            <w:r>
              <w:rPr>
                <w:rFonts w:ascii="Consolas" w:eastAsia="Consolas" w:hAnsi="Consolas" w:cs="Consolas"/>
                <w:sz w:val="17"/>
                <w:szCs w:val="17"/>
              </w:rPr>
              <w:t xml:space="preserve">    public static double Kappa(</w:t>
            </w:r>
          </w:p>
          <w:p w14:paraId="31527831" w14:textId="77777777" w:rsidR="00F621B8" w:rsidRDefault="00000000">
            <w:r>
              <w:rPr>
                <w:rFonts w:ascii="Consolas" w:eastAsia="Consolas" w:hAnsi="Consolas" w:cs="Consolas"/>
                <w:sz w:val="17"/>
                <w:szCs w:val="17"/>
              </w:rPr>
              <w:t xml:space="preserve">        IReadOnlyList&lt;Requirement&gt; spec,</w:t>
            </w:r>
          </w:p>
          <w:p w14:paraId="43D9C718" w14:textId="77777777" w:rsidR="00F621B8" w:rsidRDefault="00000000">
            <w:r>
              <w:rPr>
                <w:rFonts w:ascii="Consolas" w:eastAsia="Consolas" w:hAnsi="Consolas" w:cs="Consolas"/>
                <w:sz w:val="17"/>
                <w:szCs w:val="17"/>
              </w:rPr>
              <w:t xml:space="preserve">        IReadOnlyDictionary&lt;string, bool&gt; testResults) =&gt;</w:t>
            </w:r>
          </w:p>
          <w:p w14:paraId="14B7AEA6" w14:textId="77777777" w:rsidR="00F621B8" w:rsidRDefault="00000000">
            <w:r>
              <w:rPr>
                <w:rFonts w:ascii="Consolas" w:eastAsia="Consolas" w:hAnsi="Consolas" w:cs="Consolas"/>
                <w:sz w:val="17"/>
                <w:szCs w:val="17"/>
              </w:rPr>
              <w:t xml:space="preserve">        spec.Count == 0 ? 1.0</w:t>
            </w:r>
          </w:p>
          <w:p w14:paraId="65B3E25B" w14:textId="77777777" w:rsidR="00F621B8" w:rsidRDefault="00000000">
            <w:r>
              <w:rPr>
                <w:rFonts w:ascii="Consolas" w:eastAsia="Consolas" w:hAnsi="Consolas" w:cs="Consolas"/>
                <w:sz w:val="17"/>
                <w:szCs w:val="17"/>
              </w:rPr>
              <w:t xml:space="preserve">        : spec.Count(r =&gt; r.Criteria.Count &gt; 0 &amp;&amp; r.Criteria.All(c =&gt;</w:t>
            </w:r>
          </w:p>
          <w:p w14:paraId="40FFA4E9" w14:textId="77777777" w:rsidR="00F621B8" w:rsidRDefault="00000000">
            <w:r>
              <w:rPr>
                <w:rFonts w:ascii="Consolas" w:eastAsia="Consolas" w:hAnsi="Consolas" w:cs="Consolas"/>
                <w:sz w:val="17"/>
                <w:szCs w:val="17"/>
              </w:rPr>
              <w:t xml:space="preserve">              c.ExecutableTestId is { } t</w:t>
            </w:r>
          </w:p>
          <w:p w14:paraId="2A664F0B" w14:textId="77777777" w:rsidR="00F621B8" w:rsidRDefault="00000000">
            <w:r>
              <w:rPr>
                <w:rFonts w:ascii="Consolas" w:eastAsia="Consolas" w:hAnsi="Consolas" w:cs="Consolas"/>
                <w:sz w:val="17"/>
                <w:szCs w:val="17"/>
              </w:rPr>
              <w:t xml:space="preserve">              &amp;&amp; testResults.TryGetValue(t, out var passed) &amp;&amp; passed))</w:t>
            </w:r>
          </w:p>
          <w:p w14:paraId="31F32F04" w14:textId="77777777" w:rsidR="00F621B8" w:rsidRDefault="00000000">
            <w:r>
              <w:rPr>
                <w:rFonts w:ascii="Consolas" w:eastAsia="Consolas" w:hAnsi="Consolas" w:cs="Consolas"/>
                <w:sz w:val="17"/>
                <w:szCs w:val="17"/>
              </w:rPr>
              <w:t xml:space="preserve">          / (double)spec.Count;</w:t>
            </w:r>
          </w:p>
          <w:p w14:paraId="595F7402" w14:textId="77777777" w:rsidR="00F621B8" w:rsidRDefault="00000000">
            <w:r>
              <w:rPr>
                <w:rFonts w:ascii="Consolas" w:eastAsia="Consolas" w:hAnsi="Consolas" w:cs="Consolas"/>
                <w:sz w:val="17"/>
                <w:szCs w:val="17"/>
              </w:rPr>
              <w:t xml:space="preserve"> </w:t>
            </w:r>
          </w:p>
          <w:p w14:paraId="3DF25C79" w14:textId="77777777" w:rsidR="00F621B8" w:rsidRDefault="00000000">
            <w:r>
              <w:rPr>
                <w:rFonts w:ascii="Consolas" w:eastAsia="Consolas" w:hAnsi="Consolas" w:cs="Consolas"/>
                <w:sz w:val="17"/>
                <w:szCs w:val="17"/>
              </w:rPr>
              <w:t xml:space="preserve">    // R6: share of observed-from-code requirements a human has confirmed</w:t>
            </w:r>
          </w:p>
          <w:p w14:paraId="15D26F71" w14:textId="77777777" w:rsidR="00F621B8" w:rsidRDefault="00000000">
            <w:r>
              <w:rPr>
                <w:rFonts w:ascii="Consolas" w:eastAsia="Consolas" w:hAnsi="Consolas" w:cs="Consolas"/>
                <w:sz w:val="17"/>
                <w:szCs w:val="17"/>
              </w:rPr>
              <w:t xml:space="preserve">    public static double ConfirmedObservedFraction(IReadOnlyList&lt;Requirement&gt; spec)</w:t>
            </w:r>
          </w:p>
          <w:p w14:paraId="450A0197" w14:textId="77777777" w:rsidR="00F621B8" w:rsidRDefault="00000000">
            <w:r>
              <w:rPr>
                <w:rFonts w:ascii="Consolas" w:eastAsia="Consolas" w:hAnsi="Consolas" w:cs="Consolas"/>
                <w:sz w:val="17"/>
                <w:szCs w:val="17"/>
              </w:rPr>
              <w:t xml:space="preserve">    {</w:t>
            </w:r>
          </w:p>
          <w:p w14:paraId="2BEBD8E5" w14:textId="77777777" w:rsidR="00F621B8" w:rsidRDefault="00000000">
            <w:r>
              <w:rPr>
                <w:rFonts w:ascii="Consolas" w:eastAsia="Consolas" w:hAnsi="Consolas" w:cs="Consolas"/>
                <w:sz w:val="17"/>
                <w:szCs w:val="17"/>
              </w:rPr>
              <w:t xml:space="preserve">        var observed = spec.Where(r =&gt; r.Basis == Basis.ObservedFromCode).ToList();</w:t>
            </w:r>
          </w:p>
          <w:p w14:paraId="11EC9745" w14:textId="77777777" w:rsidR="00F621B8" w:rsidRDefault="00000000">
            <w:r>
              <w:rPr>
                <w:rFonts w:ascii="Consolas" w:eastAsia="Consolas" w:hAnsi="Consolas" w:cs="Consolas"/>
                <w:sz w:val="17"/>
                <w:szCs w:val="17"/>
              </w:rPr>
              <w:t xml:space="preserve">        return observed.Count == 0 ? 1.0</w:t>
            </w:r>
          </w:p>
          <w:p w14:paraId="3C73EFE2" w14:textId="77777777" w:rsidR="00F621B8" w:rsidRDefault="00000000">
            <w:r>
              <w:rPr>
                <w:rFonts w:ascii="Consolas" w:eastAsia="Consolas" w:hAnsi="Consolas" w:cs="Consolas"/>
                <w:sz w:val="17"/>
                <w:szCs w:val="17"/>
              </w:rPr>
              <w:t xml:space="preserve">            : observed.Count(r =&gt; r.Provenance == Provenance.HumanApproved)</w:t>
            </w:r>
          </w:p>
          <w:p w14:paraId="46C68552" w14:textId="77777777" w:rsidR="00F621B8" w:rsidRDefault="00000000">
            <w:r>
              <w:rPr>
                <w:rFonts w:ascii="Consolas" w:eastAsia="Consolas" w:hAnsi="Consolas" w:cs="Consolas"/>
                <w:sz w:val="17"/>
                <w:szCs w:val="17"/>
              </w:rPr>
              <w:t xml:space="preserve">              / (double)observed.Count;</w:t>
            </w:r>
          </w:p>
          <w:p w14:paraId="48F57AEC" w14:textId="77777777" w:rsidR="00F621B8" w:rsidRDefault="00000000">
            <w:r>
              <w:rPr>
                <w:rFonts w:ascii="Consolas" w:eastAsia="Consolas" w:hAnsi="Consolas" w:cs="Consolas"/>
                <w:sz w:val="17"/>
                <w:szCs w:val="17"/>
              </w:rPr>
              <w:t xml:space="preserve">    }</w:t>
            </w:r>
          </w:p>
          <w:p w14:paraId="0C798B4D" w14:textId="77777777" w:rsidR="00F621B8" w:rsidRDefault="00000000">
            <w:r>
              <w:rPr>
                <w:rFonts w:ascii="Consolas" w:eastAsia="Consolas" w:hAnsi="Consolas" w:cs="Consolas"/>
                <w:sz w:val="17"/>
                <w:szCs w:val="17"/>
              </w:rPr>
              <w:t>}</w:t>
            </w:r>
          </w:p>
        </w:tc>
      </w:tr>
    </w:tbl>
    <w:p w14:paraId="47D39BC7" w14:textId="77777777" w:rsidR="008736F4" w:rsidRDefault="008736F4"/>
    <w:sectPr w:rsidR="008736F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E5691" w14:textId="77777777" w:rsidR="008736F4" w:rsidRDefault="008736F4">
      <w:r>
        <w:separator/>
      </w:r>
    </w:p>
  </w:endnote>
  <w:endnote w:type="continuationSeparator" w:id="0">
    <w:p w14:paraId="65592F26" w14:textId="77777777" w:rsidR="008736F4" w:rsidRDefault="00873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8B85" w14:textId="77777777" w:rsidR="00F621B8" w:rsidRDefault="00000000">
    <w:pPr>
      <w:jc w:val="center"/>
    </w:pPr>
    <w:r>
      <w:rPr>
        <w:color w:val="6B7B8C"/>
        <w:sz w:val="18"/>
        <w:szCs w:val="18"/>
      </w:rPr>
      <w:fldChar w:fldCharType="begin"/>
    </w:r>
    <w:r>
      <w:rPr>
        <w:color w:val="6B7B8C"/>
        <w:sz w:val="18"/>
        <w:szCs w:val="18"/>
      </w:rPr>
      <w:instrText>PAGE</w:instrText>
    </w:r>
    <w:r>
      <w:rPr>
        <w:color w:val="6B7B8C"/>
        <w:sz w:val="18"/>
        <w:szCs w:val="18"/>
      </w:rPr>
      <w:fldChar w:fldCharType="separate"/>
    </w:r>
    <w:r w:rsidR="006923AC">
      <w:rPr>
        <w:noProof/>
        <w:color w:val="6B7B8C"/>
        <w:sz w:val="18"/>
        <w:szCs w:val="18"/>
      </w:rPr>
      <w:t>1</w:t>
    </w:r>
    <w:r>
      <w:rPr>
        <w:color w:val="6B7B8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8A9B8" w14:textId="77777777" w:rsidR="008736F4" w:rsidRDefault="008736F4">
      <w:r>
        <w:separator/>
      </w:r>
    </w:p>
  </w:footnote>
  <w:footnote w:type="continuationSeparator" w:id="0">
    <w:p w14:paraId="0FE57186" w14:textId="77777777" w:rsidR="008736F4" w:rsidRDefault="008736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4F8AA" w14:textId="77777777" w:rsidR="00F621B8" w:rsidRDefault="00000000">
    <w:pPr>
      <w:jc w:val="right"/>
    </w:pPr>
    <w:r>
      <w:rPr>
        <w:i/>
        <w:iCs/>
        <w:color w:val="8A99A8"/>
        <w:sz w:val="16"/>
        <w:szCs w:val="16"/>
      </w:rPr>
      <w:t>Ghosh · The Specification as System of Record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A7F26"/>
    <w:multiLevelType w:val="hybridMultilevel"/>
    <w:tmpl w:val="AAD662F8"/>
    <w:lvl w:ilvl="0" w:tplc="383CD3D4">
      <w:start w:val="1"/>
      <w:numFmt w:val="bullet"/>
      <w:lvlText w:val="●"/>
      <w:lvlJc w:val="left"/>
      <w:pPr>
        <w:ind w:left="720" w:hanging="360"/>
      </w:pPr>
    </w:lvl>
    <w:lvl w:ilvl="1" w:tplc="E48A2BAC">
      <w:start w:val="1"/>
      <w:numFmt w:val="bullet"/>
      <w:lvlText w:val="○"/>
      <w:lvlJc w:val="left"/>
      <w:pPr>
        <w:ind w:left="1440" w:hanging="360"/>
      </w:pPr>
    </w:lvl>
    <w:lvl w:ilvl="2" w:tplc="B6BA85CA">
      <w:start w:val="1"/>
      <w:numFmt w:val="bullet"/>
      <w:lvlText w:val="■"/>
      <w:lvlJc w:val="left"/>
      <w:pPr>
        <w:ind w:left="2160" w:hanging="360"/>
      </w:pPr>
    </w:lvl>
    <w:lvl w:ilvl="3" w:tplc="254E950A">
      <w:start w:val="1"/>
      <w:numFmt w:val="bullet"/>
      <w:lvlText w:val="●"/>
      <w:lvlJc w:val="left"/>
      <w:pPr>
        <w:ind w:left="2880" w:hanging="360"/>
      </w:pPr>
    </w:lvl>
    <w:lvl w:ilvl="4" w:tplc="078C024A">
      <w:start w:val="1"/>
      <w:numFmt w:val="bullet"/>
      <w:lvlText w:val="○"/>
      <w:lvlJc w:val="left"/>
      <w:pPr>
        <w:ind w:left="3600" w:hanging="360"/>
      </w:pPr>
    </w:lvl>
    <w:lvl w:ilvl="5" w:tplc="07E8C34E">
      <w:start w:val="1"/>
      <w:numFmt w:val="bullet"/>
      <w:lvlText w:val="■"/>
      <w:lvlJc w:val="left"/>
      <w:pPr>
        <w:ind w:left="4320" w:hanging="360"/>
      </w:pPr>
    </w:lvl>
    <w:lvl w:ilvl="6" w:tplc="215AD9B2">
      <w:start w:val="1"/>
      <w:numFmt w:val="bullet"/>
      <w:lvlText w:val="●"/>
      <w:lvlJc w:val="left"/>
      <w:pPr>
        <w:ind w:left="5040" w:hanging="360"/>
      </w:pPr>
    </w:lvl>
    <w:lvl w:ilvl="7" w:tplc="2E9A3D8C">
      <w:start w:val="1"/>
      <w:numFmt w:val="bullet"/>
      <w:lvlText w:val="●"/>
      <w:lvlJc w:val="left"/>
      <w:pPr>
        <w:ind w:left="5760" w:hanging="360"/>
      </w:pPr>
    </w:lvl>
    <w:lvl w:ilvl="8" w:tplc="89203B14">
      <w:start w:val="1"/>
      <w:numFmt w:val="bullet"/>
      <w:lvlText w:val="●"/>
      <w:lvlJc w:val="left"/>
      <w:pPr>
        <w:ind w:left="6480" w:hanging="360"/>
      </w:pPr>
    </w:lvl>
  </w:abstractNum>
  <w:abstractNum w:abstractNumId="1" w15:restartNumberingAfterBreak="0">
    <w:nsid w:val="549D4DD8"/>
    <w:multiLevelType w:val="hybridMultilevel"/>
    <w:tmpl w:val="3564B68C"/>
    <w:lvl w:ilvl="0" w:tplc="A496774A">
      <w:start w:val="1"/>
      <w:numFmt w:val="decimal"/>
      <w:lvlText w:val="%1."/>
      <w:lvlJc w:val="left"/>
      <w:pPr>
        <w:ind w:left="540" w:hanging="360"/>
      </w:pPr>
    </w:lvl>
    <w:lvl w:ilvl="1" w:tplc="E32CAAF4">
      <w:numFmt w:val="decimal"/>
      <w:lvlText w:val=""/>
      <w:lvlJc w:val="left"/>
    </w:lvl>
    <w:lvl w:ilvl="2" w:tplc="CC2A046C">
      <w:numFmt w:val="decimal"/>
      <w:lvlText w:val=""/>
      <w:lvlJc w:val="left"/>
    </w:lvl>
    <w:lvl w:ilvl="3" w:tplc="22961E86">
      <w:numFmt w:val="decimal"/>
      <w:lvlText w:val=""/>
      <w:lvlJc w:val="left"/>
    </w:lvl>
    <w:lvl w:ilvl="4" w:tplc="7C241028">
      <w:numFmt w:val="decimal"/>
      <w:lvlText w:val=""/>
      <w:lvlJc w:val="left"/>
    </w:lvl>
    <w:lvl w:ilvl="5" w:tplc="25466BD6">
      <w:numFmt w:val="decimal"/>
      <w:lvlText w:val=""/>
      <w:lvlJc w:val="left"/>
    </w:lvl>
    <w:lvl w:ilvl="6" w:tplc="5AA62B3A">
      <w:numFmt w:val="decimal"/>
      <w:lvlText w:val=""/>
      <w:lvlJc w:val="left"/>
    </w:lvl>
    <w:lvl w:ilvl="7" w:tplc="CE44B98E">
      <w:numFmt w:val="decimal"/>
      <w:lvlText w:val=""/>
      <w:lvlJc w:val="left"/>
    </w:lvl>
    <w:lvl w:ilvl="8" w:tplc="34DAEB00">
      <w:numFmt w:val="decimal"/>
      <w:lvlText w:val=""/>
      <w:lvlJc w:val="left"/>
    </w:lvl>
  </w:abstractNum>
  <w:abstractNum w:abstractNumId="2" w15:restartNumberingAfterBreak="0">
    <w:nsid w:val="662446BB"/>
    <w:multiLevelType w:val="hybridMultilevel"/>
    <w:tmpl w:val="4C9ED70C"/>
    <w:lvl w:ilvl="0" w:tplc="983A868E">
      <w:start w:val="1"/>
      <w:numFmt w:val="decimal"/>
      <w:lvlText w:val="%1."/>
      <w:lvlJc w:val="left"/>
      <w:pPr>
        <w:ind w:left="540" w:hanging="360"/>
      </w:pPr>
    </w:lvl>
    <w:lvl w:ilvl="1" w:tplc="5B6E0964">
      <w:numFmt w:val="decimal"/>
      <w:lvlText w:val=""/>
      <w:lvlJc w:val="left"/>
    </w:lvl>
    <w:lvl w:ilvl="2" w:tplc="A1E2C28A">
      <w:numFmt w:val="decimal"/>
      <w:lvlText w:val=""/>
      <w:lvlJc w:val="left"/>
    </w:lvl>
    <w:lvl w:ilvl="3" w:tplc="C372A30E">
      <w:numFmt w:val="decimal"/>
      <w:lvlText w:val=""/>
      <w:lvlJc w:val="left"/>
    </w:lvl>
    <w:lvl w:ilvl="4" w:tplc="D8CCC2E4">
      <w:numFmt w:val="decimal"/>
      <w:lvlText w:val=""/>
      <w:lvlJc w:val="left"/>
    </w:lvl>
    <w:lvl w:ilvl="5" w:tplc="444EE89A">
      <w:numFmt w:val="decimal"/>
      <w:lvlText w:val=""/>
      <w:lvlJc w:val="left"/>
    </w:lvl>
    <w:lvl w:ilvl="6" w:tplc="0F104F8A">
      <w:numFmt w:val="decimal"/>
      <w:lvlText w:val=""/>
      <w:lvlJc w:val="left"/>
    </w:lvl>
    <w:lvl w:ilvl="7" w:tplc="C010CFD6">
      <w:numFmt w:val="decimal"/>
      <w:lvlText w:val=""/>
      <w:lvlJc w:val="left"/>
    </w:lvl>
    <w:lvl w:ilvl="8" w:tplc="BA68A032">
      <w:numFmt w:val="decimal"/>
      <w:lvlText w:val=""/>
      <w:lvlJc w:val="left"/>
    </w:lvl>
  </w:abstractNum>
  <w:abstractNum w:abstractNumId="3" w15:restartNumberingAfterBreak="0">
    <w:nsid w:val="71615D9C"/>
    <w:multiLevelType w:val="hybridMultilevel"/>
    <w:tmpl w:val="C4F234CE"/>
    <w:lvl w:ilvl="0" w:tplc="3E0235DA">
      <w:start w:val="1"/>
      <w:numFmt w:val="bullet"/>
      <w:lvlText w:val="•"/>
      <w:lvlJc w:val="left"/>
      <w:pPr>
        <w:ind w:left="720" w:hanging="360"/>
      </w:pPr>
    </w:lvl>
    <w:lvl w:ilvl="1" w:tplc="3B42D6F6">
      <w:numFmt w:val="decimal"/>
      <w:lvlText w:val=""/>
      <w:lvlJc w:val="left"/>
    </w:lvl>
    <w:lvl w:ilvl="2" w:tplc="35A433E2">
      <w:numFmt w:val="decimal"/>
      <w:lvlText w:val=""/>
      <w:lvlJc w:val="left"/>
    </w:lvl>
    <w:lvl w:ilvl="3" w:tplc="D2C2160C">
      <w:numFmt w:val="decimal"/>
      <w:lvlText w:val=""/>
      <w:lvlJc w:val="left"/>
    </w:lvl>
    <w:lvl w:ilvl="4" w:tplc="4B766734">
      <w:numFmt w:val="decimal"/>
      <w:lvlText w:val=""/>
      <w:lvlJc w:val="left"/>
    </w:lvl>
    <w:lvl w:ilvl="5" w:tplc="C5C493D2">
      <w:numFmt w:val="decimal"/>
      <w:lvlText w:val=""/>
      <w:lvlJc w:val="left"/>
    </w:lvl>
    <w:lvl w:ilvl="6" w:tplc="6AB2C02A">
      <w:numFmt w:val="decimal"/>
      <w:lvlText w:val=""/>
      <w:lvlJc w:val="left"/>
    </w:lvl>
    <w:lvl w:ilvl="7" w:tplc="B76AD00C">
      <w:numFmt w:val="decimal"/>
      <w:lvlText w:val=""/>
      <w:lvlJc w:val="left"/>
    </w:lvl>
    <w:lvl w:ilvl="8" w:tplc="0E343F9C">
      <w:numFmt w:val="decimal"/>
      <w:lvlText w:val=""/>
      <w:lvlJc w:val="left"/>
    </w:lvl>
  </w:abstractNum>
  <w:num w:numId="1" w16cid:durableId="1798597385">
    <w:abstractNumId w:val="0"/>
    <w:lvlOverride w:ilvl="0">
      <w:startOverride w:val="1"/>
    </w:lvlOverride>
  </w:num>
  <w:num w:numId="2" w16cid:durableId="1280262836">
    <w:abstractNumId w:val="3"/>
    <w:lvlOverride w:ilvl="0">
      <w:startOverride w:val="1"/>
    </w:lvlOverride>
  </w:num>
  <w:num w:numId="3" w16cid:durableId="43992214">
    <w:abstractNumId w:val="2"/>
    <w:lvlOverride w:ilvl="0">
      <w:startOverride w:val="1"/>
    </w:lvlOverride>
  </w:num>
  <w:num w:numId="4" w16cid:durableId="1434718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1B8"/>
    <w:rsid w:val="006923AC"/>
    <w:rsid w:val="008736F4"/>
    <w:rsid w:val="00CB683B"/>
    <w:rsid w:val="00F621B8"/>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2CCF1"/>
  <w15:docId w15:val="{AB6598B6-D69D-434F-A4EA-10EA1C978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20" w:after="140"/>
      <w:outlineLvl w:val="0"/>
    </w:pPr>
    <w:rPr>
      <w:b/>
      <w:bCs/>
      <w:color w:val="1F3A5F"/>
      <w:sz w:val="28"/>
      <w:szCs w:val="28"/>
    </w:rPr>
  </w:style>
  <w:style w:type="paragraph" w:styleId="Heading2">
    <w:name w:val="heading 2"/>
    <w:uiPriority w:val="9"/>
    <w:unhideWhenUsed/>
    <w:qFormat/>
    <w:pPr>
      <w:keepNext/>
      <w:spacing w:before="220" w:after="100"/>
      <w:outlineLvl w:val="1"/>
    </w:pPr>
    <w:rPr>
      <w:b/>
      <w:bCs/>
      <w:color w:val="33475B"/>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4429</Words>
  <Characters>25249</Characters>
  <Application>Microsoft Office Word</Application>
  <DocSecurity>0</DocSecurity>
  <Lines>210</Lines>
  <Paragraphs>59</Paragraphs>
  <ScaleCrop>false</ScaleCrop>
  <Company/>
  <LinksUpToDate>false</LinksUpToDate>
  <CharactersWithSpaces>29619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Specification as System of Record: SpecHub</dc:title>
  <dc:creator>Debi Prasad Ghosh</dc:creator>
  <cp:lastModifiedBy>Debiprasad Ghosh</cp:lastModifiedBy>
  <cp:revision>2</cp:revision>
  <dcterms:created xsi:type="dcterms:W3CDTF">2026-10-12T15:47:00Z</dcterms:created>
  <dcterms:modified xsi:type="dcterms:W3CDTF">2026-10-13T05:44:00Z</dcterms:modified>
</cp:coreProperties>
</file>