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63F0" w14:textId="77777777" w:rsidR="002166D3" w:rsidRPr="00C02A33" w:rsidRDefault="00000000" w:rsidP="00C02A33">
      <w:pPr>
        <w:pStyle w:val="Title"/>
        <w:spacing w:after="200"/>
        <w:rPr>
          <w:sz w:val="56"/>
          <w:szCs w:val="48"/>
        </w:rPr>
      </w:pPr>
      <w:r w:rsidRPr="00C02A33">
        <w:rPr>
          <w:sz w:val="56"/>
          <w:szCs w:val="48"/>
        </w:rPr>
        <w:t>A Philosophy of Certified Intelligence</w:t>
      </w:r>
    </w:p>
    <w:p w14:paraId="21A8DF7B" w14:textId="77777777" w:rsidR="002166D3" w:rsidRPr="00C02A33" w:rsidRDefault="00000000" w:rsidP="00C02A33">
      <w:pPr>
        <w:pStyle w:val="Subtitle"/>
        <w:spacing w:after="280"/>
        <w:rPr>
          <w:color w:val="00B0F0"/>
          <w:sz w:val="32"/>
          <w:szCs w:val="36"/>
        </w:rPr>
      </w:pPr>
      <w:r w:rsidRPr="00C02A33">
        <w:rPr>
          <w:color w:val="00B0F0"/>
          <w:sz w:val="32"/>
          <w:szCs w:val="36"/>
        </w:rPr>
        <w:t>Evidence Memory and Action Under Explicit Uncertainty</w:t>
      </w:r>
    </w:p>
    <w:p w14:paraId="66923DBC" w14:textId="77777777" w:rsidR="002166D3" w:rsidRDefault="00000000" w:rsidP="00C02A33">
      <w:pPr>
        <w:keepNext/>
        <w:spacing w:after="40"/>
        <w:jc w:val="center"/>
      </w:pPr>
      <w:r>
        <w:rPr>
          <w:b/>
        </w:rPr>
        <w:t>Debi Prasad Ghosh</w:t>
      </w:r>
    </w:p>
    <w:p w14:paraId="13573D27" w14:textId="1ACAFCEA" w:rsidR="002166D3" w:rsidRDefault="00000000" w:rsidP="00C02A33">
      <w:pPr>
        <w:spacing w:after="40"/>
        <w:jc w:val="center"/>
      </w:pPr>
      <w:r>
        <w:rPr>
          <w:sz w:val="20"/>
        </w:rPr>
        <w:t>Debias Parametric Guru, Kolkata, India | debiprasadghosh@gmail.com</w:t>
      </w:r>
    </w:p>
    <w:p w14:paraId="14D1AB35" w14:textId="2D9F716E" w:rsidR="002166D3" w:rsidRDefault="00000000" w:rsidP="00C02A33">
      <w:pPr>
        <w:spacing w:after="260"/>
        <w:jc w:val="center"/>
      </w:pPr>
      <w:r>
        <w:rPr>
          <w:sz w:val="20"/>
        </w:rPr>
        <w:t>12 October 2026 · Philosophical synthesis of the log interval network</w:t>
      </w:r>
      <w:r w:rsidR="00517238">
        <w:rPr>
          <w:sz w:val="20"/>
        </w:rPr>
        <w:t xml:space="preserve"> · </w:t>
      </w:r>
      <w:hyperlink r:id="rId7" w:history="1">
        <w:r w:rsidR="00517238" w:rsidRPr="00420139">
          <w:rPr>
            <w:rStyle w:val="Hyperlink"/>
            <w:sz w:val="20"/>
          </w:rPr>
          <w:t>https://doi.org/10.13140/RG.2.2.32795.84008</w:t>
        </w:r>
      </w:hyperlink>
      <w:r w:rsidR="00517238">
        <w:rPr>
          <w:sz w:val="20"/>
        </w:rPr>
        <w:t xml:space="preserve"> </w:t>
      </w:r>
    </w:p>
    <w:p w14:paraId="4AA1BFE8" w14:textId="77777777" w:rsidR="002166D3" w:rsidRDefault="00000000" w:rsidP="00C02A33">
      <w:pPr>
        <w:pStyle w:val="Heading2"/>
        <w:spacing w:before="0"/>
        <w:jc w:val="both"/>
      </w:pPr>
      <w:r>
        <w:t>Abstract</w:t>
      </w:r>
    </w:p>
    <w:p w14:paraId="3A4C1534" w14:textId="77777777" w:rsidR="002166D3" w:rsidRPr="00C36525" w:rsidRDefault="00000000" w:rsidP="00C02A33">
      <w:pPr>
        <w:pStyle w:val="FirstParagraph"/>
        <w:jc w:val="both"/>
        <w:rPr>
          <w:sz w:val="28"/>
          <w:szCs w:val="28"/>
        </w:rPr>
      </w:pPr>
      <w:r w:rsidRPr="00C36525">
        <w:rPr>
          <w:sz w:val="28"/>
          <w:szCs w:val="28"/>
        </w:rPr>
        <w:t>An intelligent system may reach an accurate answer without accumulating the evidence attributed to it, preserve a decision without preserving its truth, and compress a memory without retaining the information needed to justify later action. The log interval network programme makes these separations unusually explicit. This paper develops a philosophical interpretation of its studies of evidence accumulation, attention, memory precision, action inhibition, Kronecker routing, product-memory consolidation, interval diffusion, evolutionary populations, and robust noise covers. Its central claim is that defensible intelligence requires explicit accounts of which variations are admitted, which relations are preserved, and which commitments survive a transformation. A certificate provides conditional warrant for a specified property; it does not independently establish the adequacy of its uncertainty model or the correctness of the protected decision. Dependency-aware reasoning shows why uncertainty cannot always be represented by independent ranges. Consolidation exposes an obligation to preserve sufficient information before deletion, while the distinction between sampling paths and endpoint distributions separates population fidelity from individual continuity. The programme’s failed predictions also constrain its interpretation: positivity is not a universal solution, interval-valued populations do not guarantee diversity, and product memory does not prove the physiological necessity of two sleep stages. I defend a form of bounded, revisable rationality in which verification informs commitment without replacing empirical inquiry or practical judgment. This is a philosophical synthesis of the series, not a new computational study or a claim that certification constitutes consciousness or general intelligence.</w:t>
      </w:r>
    </w:p>
    <w:p w14:paraId="13D63147" w14:textId="3263F50C" w:rsidR="002166D3" w:rsidRPr="00C36525" w:rsidRDefault="00000000" w:rsidP="00C02A33">
      <w:pPr>
        <w:pStyle w:val="BodyText"/>
        <w:jc w:val="both"/>
        <w:rPr>
          <w:sz w:val="28"/>
          <w:szCs w:val="28"/>
        </w:rPr>
      </w:pPr>
      <w:r w:rsidRPr="00C36525">
        <w:rPr>
          <w:b/>
          <w:bCs/>
          <w:sz w:val="28"/>
          <w:szCs w:val="28"/>
        </w:rPr>
        <w:t>Keywords</w:t>
      </w:r>
      <w:r w:rsidR="00C36525">
        <w:rPr>
          <w:b/>
          <w:bCs/>
          <w:sz w:val="28"/>
          <w:szCs w:val="28"/>
        </w:rPr>
        <w:t xml:space="preserve">: </w:t>
      </w:r>
      <w:r w:rsidRPr="00C36525">
        <w:rPr>
          <w:sz w:val="28"/>
          <w:szCs w:val="28"/>
        </w:rPr>
        <w:t>philosophy of artificial intelligence; epistemic warrant; robust decision making; memory; uncertainty; certification; bounded rationality; scientific method</w:t>
      </w:r>
    </w:p>
    <w:p w14:paraId="1B2D2BEA" w14:textId="77777777" w:rsidR="002166D3" w:rsidRDefault="00000000" w:rsidP="00C02A33">
      <w:pPr>
        <w:pStyle w:val="Heading1"/>
        <w:jc w:val="both"/>
      </w:pPr>
      <w:bookmarkStart w:id="0" w:name="introduction"/>
      <w:r>
        <w:t>1 Introduction</w:t>
      </w:r>
    </w:p>
    <w:p w14:paraId="2EFA6F8C" w14:textId="77777777" w:rsidR="002166D3" w:rsidRPr="002F240B" w:rsidRDefault="00000000" w:rsidP="00C02A33">
      <w:pPr>
        <w:pStyle w:val="FirstParagraph"/>
        <w:jc w:val="both"/>
        <w:rPr>
          <w:sz w:val="28"/>
          <w:szCs w:val="28"/>
        </w:rPr>
      </w:pPr>
      <w:r w:rsidRPr="002F240B">
        <w:rPr>
          <w:sz w:val="28"/>
          <w:szCs w:val="28"/>
        </w:rPr>
        <w:t xml:space="preserve">The central question of this paper is what an intelligent system is entitled to claim after it has calculated an answer. A prediction can be accurate on a test set, a stored decision can survive quantization, and a sampling procedure can reproduce a target distribution. Each achievement matters. None, by itself, establishes that the system used the intended </w:t>
      </w:r>
      <w:r w:rsidRPr="002F240B">
        <w:rPr>
          <w:sz w:val="28"/>
          <w:szCs w:val="28"/>
        </w:rPr>
        <w:lastRenderedPageBreak/>
        <w:t>evidence, preserved the reasons for its answer, or can safely repeat the same commitment under a changed condition. A philosophy of intelligence should account for these differences rather than subsume them under a single measure of performance.</w:t>
      </w:r>
    </w:p>
    <w:p w14:paraId="589628E5" w14:textId="77777777" w:rsidR="002166D3" w:rsidRPr="002F240B" w:rsidRDefault="00000000" w:rsidP="00C02A33">
      <w:pPr>
        <w:pStyle w:val="BodyText"/>
        <w:jc w:val="both"/>
        <w:rPr>
          <w:sz w:val="28"/>
          <w:szCs w:val="28"/>
        </w:rPr>
      </w:pPr>
      <w:r w:rsidRPr="002F240B">
        <w:rPr>
          <w:sz w:val="28"/>
          <w:szCs w:val="28"/>
        </w:rPr>
        <w:t>The papers considered here offer a concrete setting for that inquiry. P1 studies positive readouts and evidence accumulation; P2 studies positive Kronecker attention; P3 studies consolidation and memory precision; P4 studies an interval-based action brake. N1 distinguishes routing from accumulation in Kronecker-product logarithmic neural networks. The product-memory paper examines whether consolidation requires separate information-transfer and commitment phases. IDEA represents populations by regions of tolerated genomes. INDIA treats uncertainty in diffusion noise levels, and the robust-cover paper studies noise covers whose entire handoff sets meet an error objective [1–9]. Across these different problems, a recurring issue is what can legitimately be inferred from an apparently successful transformation.</w:t>
      </w:r>
    </w:p>
    <w:p w14:paraId="13ABCDA2" w14:textId="77777777" w:rsidR="002166D3" w:rsidRPr="002F240B" w:rsidRDefault="00000000" w:rsidP="00C02A33">
      <w:pPr>
        <w:pStyle w:val="BodyText"/>
        <w:jc w:val="both"/>
        <w:rPr>
          <w:sz w:val="28"/>
          <w:szCs w:val="28"/>
        </w:rPr>
      </w:pPr>
      <w:r w:rsidRPr="002F240B">
        <w:rPr>
          <w:sz w:val="28"/>
          <w:szCs w:val="28"/>
        </w:rPr>
        <w:t xml:space="preserve">I argue that the most coherent philosophical contribution of this programme is an account of </w:t>
      </w:r>
      <w:r w:rsidRPr="002F240B">
        <w:rPr>
          <w:i/>
          <w:iCs/>
          <w:sz w:val="28"/>
          <w:szCs w:val="28"/>
        </w:rPr>
        <w:t>explicitly bounded commitment</w:t>
      </w:r>
      <w:r w:rsidRPr="002F240B">
        <w:rPr>
          <w:sz w:val="28"/>
          <w:szCs w:val="28"/>
        </w:rPr>
        <w:t>. A commitment is bounded when its object, admissible variations, preservation criterion, and remaining uncertainties are specified. It is explicit when these conditions can be inspected separately from the decision itself. This does not require that every useful action possess a universal mathematical guarantee. It requires that a guarantee, an estimate, a heuristic, and an empirical observation remain distinguishable, especially when the same word, such as confidence or robustness, might otherwise cover all four.</w:t>
      </w:r>
    </w:p>
    <w:p w14:paraId="40FC7DAB" w14:textId="77777777" w:rsidR="002166D3" w:rsidRPr="002F240B" w:rsidRDefault="00000000" w:rsidP="00C02A33">
      <w:pPr>
        <w:pStyle w:val="BodyText"/>
        <w:jc w:val="both"/>
        <w:rPr>
          <w:sz w:val="28"/>
          <w:szCs w:val="28"/>
        </w:rPr>
      </w:pPr>
      <w:r w:rsidRPr="002F240B">
        <w:rPr>
          <w:sz w:val="28"/>
          <w:szCs w:val="28"/>
        </w:rPr>
        <w:t>The argument has three levels. At the mathematical level, a statement follows from declared assumptions. At the empirical level, a model or procedure succeeds or fails in a specified task and resource regime. At the philosophical level, these findings motivate claims about warrant, preservation, and responsible commitment. The third level is not a theorem obtained merely by adding philosophical vocabulary to the first. Its conclusions require arguments about why the distinctions matter to inquiry and action.</w:t>
      </w:r>
    </w:p>
    <w:p w14:paraId="316DDD57" w14:textId="77777777" w:rsidR="002166D3" w:rsidRPr="002F240B" w:rsidRDefault="00000000" w:rsidP="00C02A33">
      <w:pPr>
        <w:pStyle w:val="BodyText"/>
        <w:jc w:val="both"/>
        <w:rPr>
          <w:sz w:val="28"/>
          <w:szCs w:val="28"/>
        </w:rPr>
      </w:pPr>
      <w:r w:rsidRPr="002F240B">
        <w:rPr>
          <w:sz w:val="28"/>
          <w:szCs w:val="28"/>
        </w:rPr>
        <w:t>This position belongs near familiar concerns about fallible inquiry and resource-limited choice. Peirce’s account of belief directs attention to the difference between settling an opinion and submitting it to a method answerable to something beyond the believer’s preference [10]. Simon’s analysis makes the capacities and limitations of the deciding system relevant to rational choice [11]. The present paper develops these concerns through the particular problems of certification and compression. It does not identify an interval algorithm with a complete theory of human knowledge.</w:t>
      </w:r>
    </w:p>
    <w:p w14:paraId="5ED132BD" w14:textId="77777777" w:rsidR="002166D3" w:rsidRPr="002F240B" w:rsidRDefault="00000000" w:rsidP="00C02A33">
      <w:pPr>
        <w:pStyle w:val="BodyText"/>
        <w:jc w:val="both"/>
        <w:rPr>
          <w:sz w:val="28"/>
          <w:szCs w:val="28"/>
        </w:rPr>
      </w:pPr>
      <w:r w:rsidRPr="002F240B">
        <w:rPr>
          <w:sz w:val="28"/>
          <w:szCs w:val="28"/>
        </w:rPr>
        <w:t xml:space="preserve">The contribution is therefore interpretive and critical. I give a precise account of the kind of warrant a certificate supplies, explain why preserving dependency is epistemically significant, and argue that responsible forgetting depends on the future commitments a </w:t>
      </w:r>
      <w:r w:rsidRPr="002F240B">
        <w:rPr>
          <w:sz w:val="28"/>
          <w:szCs w:val="28"/>
        </w:rPr>
        <w:lastRenderedPageBreak/>
        <w:t>memory must support. I then show why these commitments need empirical revision and why no numerical certificate, however exact, determines its own normative authority.</w:t>
      </w:r>
    </w:p>
    <w:p w14:paraId="1A94583A" w14:textId="77777777" w:rsidR="002166D3" w:rsidRDefault="00000000" w:rsidP="00C02A33">
      <w:pPr>
        <w:pStyle w:val="Heading1"/>
        <w:jc w:val="both"/>
      </w:pPr>
      <w:bookmarkStart w:id="1" w:name="X70c5d61aa571efe597efdb79e108f6bc48eb212"/>
      <w:bookmarkEnd w:id="0"/>
      <w:r>
        <w:t>2 The programme as a sequence of discriminating questions</w:t>
      </w:r>
    </w:p>
    <w:p w14:paraId="48095B32" w14:textId="77777777" w:rsidR="002166D3" w:rsidRPr="002F240B" w:rsidRDefault="00000000" w:rsidP="00C02A33">
      <w:pPr>
        <w:pStyle w:val="FirstParagraph"/>
        <w:jc w:val="both"/>
        <w:rPr>
          <w:sz w:val="24"/>
        </w:rPr>
      </w:pPr>
      <w:r w:rsidRPr="002F240B">
        <w:rPr>
          <w:sz w:val="24"/>
        </w:rPr>
        <w:t>The series should not be read as a succession of demonstrations that one architecture solves every problem. Its stronger philosophical evidence comes from cases in which a plausible explanation or prediction fails. P1 meets its registered acceptance criteria, yet its MNIST mechanism largely selects a small number of features. P2 distinguishes satisfying a benchmark rule from demonstrating an attention mechanism. P3 supports precision allocation while rejecting three agenda predictions. P4 survives its registered comparison while stronger baselines substantially narrow the interpretation. IDEA fails its central diversity prediction [1–4, 7].</w:t>
      </w:r>
    </w:p>
    <w:p w14:paraId="29FC7ADC" w14:textId="77777777" w:rsidR="002166D3" w:rsidRPr="002F240B" w:rsidRDefault="00000000" w:rsidP="00C02A33">
      <w:pPr>
        <w:pStyle w:val="BodyText"/>
        <w:jc w:val="both"/>
        <w:rPr>
          <w:sz w:val="24"/>
        </w:rPr>
      </w:pPr>
      <w:r w:rsidRPr="002F240B">
        <w:rPr>
          <w:sz w:val="24"/>
        </w:rPr>
        <w:t>These outcomes make the programme useful for philosophy because they separate three questions that often travel together: Does a system work? How does it work? What does that success authorize us to conclude? The first does not settle the second, and the second does not automatically settle the third. A classifier can work through selection where its motivating theory anticipated accumulation. A stopping rule can improve reward rate through its changing threshold rather than through the distinctive epistemic role assigned to its intervals.</w:t>
      </w:r>
    </w:p>
    <w:p w14:paraId="560220C3" w14:textId="77777777" w:rsidR="002166D3" w:rsidRPr="002F240B" w:rsidRDefault="00000000" w:rsidP="00C02A33">
      <w:pPr>
        <w:pStyle w:val="BodyText"/>
        <w:jc w:val="both"/>
        <w:rPr>
          <w:sz w:val="24"/>
        </w:rPr>
      </w:pPr>
      <w:r w:rsidRPr="002F240B">
        <w:rPr>
          <w:sz w:val="24"/>
        </w:rPr>
        <w:t>The corrections recorded in the papers matter as much as their positive findings. A participation measure can count constant mass rather than decision-relevant contributions. A certificate can be described too broadly when it is conditional on a fixed input. A geometric residual can be mistaken for the globally smallest possible residual. These are not interchangeable errors: some concern measurement, some quantification, and some optimization. A philosophical synthesis loses its subject if it erases these differences in pursuit of a single triumphant narrative.</w:t>
      </w:r>
    </w:p>
    <w:p w14:paraId="2AAFC6B0" w14:textId="77777777" w:rsidR="002166D3" w:rsidRPr="002F240B" w:rsidRDefault="00000000" w:rsidP="00C02A33">
      <w:pPr>
        <w:pStyle w:val="BodyText"/>
        <w:keepNext/>
        <w:jc w:val="both"/>
        <w:rPr>
          <w:sz w:val="24"/>
        </w:rPr>
      </w:pPr>
      <w:r w:rsidRPr="002F240B">
        <w:rPr>
          <w:sz w:val="24"/>
        </w:rPr>
        <w:t>Table 1 identifies the main distinctions carried forward in this paper. The philosophical questions in its final column are interpretations developed here. They are not additional registered results of the source studies.</w:t>
      </w:r>
    </w:p>
    <w:p w14:paraId="34660C5B" w14:textId="77777777" w:rsidR="002166D3" w:rsidRDefault="00000000" w:rsidP="00C02A33">
      <w:pPr>
        <w:pStyle w:val="Caption"/>
        <w:keepNext/>
        <w:keepLines/>
        <w:spacing w:before="140" w:after="140"/>
        <w:jc w:val="both"/>
      </w:pPr>
      <w:r>
        <w:t>Table 1. The source programme and its philosophical questions.</w:t>
      </w:r>
    </w:p>
    <w:tbl>
      <w:tblPr>
        <w:tblStyle w:val="Table"/>
        <w:tblW w:w="4853"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639"/>
        <w:gridCol w:w="4423"/>
        <w:gridCol w:w="3803"/>
      </w:tblGrid>
      <w:tr w:rsidR="002166D3" w14:paraId="0C27F01D" w14:textId="77777777" w:rsidTr="002F240B">
        <w:trPr>
          <w:cnfStyle w:val="100000000000" w:firstRow="1" w:lastRow="0" w:firstColumn="0" w:lastColumn="0" w:oddVBand="0" w:evenVBand="0" w:oddHBand="0" w:evenHBand="0" w:firstRowFirstColumn="0" w:firstRowLastColumn="0" w:lastRowFirstColumn="0" w:lastRowLastColumn="0"/>
          <w:cantSplit/>
          <w:tblHeader/>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49F4BE4C" w14:textId="77777777" w:rsidR="002166D3" w:rsidRDefault="00000000" w:rsidP="00C02A33">
            <w:pPr>
              <w:pStyle w:val="Compact"/>
              <w:keepNext/>
              <w:spacing w:before="40" w:after="40" w:line="240" w:lineRule="auto"/>
              <w:jc w:val="both"/>
            </w:pPr>
            <w:r>
              <w:rPr>
                <w:b/>
                <w:sz w:val="19"/>
              </w:rPr>
              <w:t>Study</w:t>
            </w:r>
          </w:p>
        </w:tc>
        <w:tc>
          <w:tcPr>
            <w:tcW w:w="442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4D354F23" w14:textId="77777777" w:rsidR="002166D3" w:rsidRDefault="00000000" w:rsidP="00C02A33">
            <w:pPr>
              <w:pStyle w:val="Compact"/>
              <w:keepNext/>
              <w:spacing w:before="40" w:after="40" w:line="240" w:lineRule="auto"/>
              <w:jc w:val="both"/>
            </w:pPr>
            <w:r>
              <w:rPr>
                <w:b/>
                <w:sz w:val="19"/>
              </w:rPr>
              <w:t>Distinction established or investigated</w:t>
            </w:r>
          </w:p>
        </w:tc>
        <w:tc>
          <w:tcPr>
            <w:tcW w:w="380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129D047" w14:textId="77777777" w:rsidR="002166D3" w:rsidRDefault="00000000" w:rsidP="00C02A33">
            <w:pPr>
              <w:pStyle w:val="Compact"/>
              <w:keepNext/>
              <w:spacing w:before="40" w:after="40" w:line="240" w:lineRule="auto"/>
              <w:jc w:val="both"/>
            </w:pPr>
            <w:r>
              <w:rPr>
                <w:b/>
                <w:sz w:val="19"/>
              </w:rPr>
              <w:t>Philosophical question</w:t>
            </w:r>
          </w:p>
        </w:tc>
      </w:tr>
      <w:tr w:rsidR="002166D3" w14:paraId="2C3B0672"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33447A" w14:textId="77777777" w:rsidR="002166D3" w:rsidRDefault="00000000" w:rsidP="00C02A33">
            <w:pPr>
              <w:pStyle w:val="Compact"/>
              <w:keepNext/>
              <w:spacing w:before="40" w:after="40" w:line="240" w:lineRule="auto"/>
              <w:jc w:val="both"/>
            </w:pPr>
            <w:r>
              <w:rPr>
                <w:sz w:val="19"/>
              </w:rPr>
              <w:t>P1 and N1</w:t>
            </w:r>
          </w:p>
        </w:tc>
        <w:tc>
          <w:tcPr>
            <w:tcW w:w="442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D6E227" w14:textId="77777777" w:rsidR="002166D3" w:rsidRDefault="00000000" w:rsidP="00C02A33">
            <w:pPr>
              <w:pStyle w:val="Compact"/>
              <w:keepNext/>
              <w:spacing w:before="40" w:after="40" w:line="240" w:lineRule="auto"/>
              <w:jc w:val="both"/>
            </w:pPr>
            <w:r>
              <w:rPr>
                <w:sz w:val="19"/>
              </w:rPr>
              <w:t>Selection differs from accumulation</w:t>
            </w:r>
          </w:p>
        </w:tc>
        <w:tc>
          <w:tcPr>
            <w:tcW w:w="3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AE9FF4" w14:textId="77777777" w:rsidR="002166D3" w:rsidRDefault="00000000" w:rsidP="00C02A33">
            <w:pPr>
              <w:pStyle w:val="Compact"/>
              <w:keepNext/>
              <w:spacing w:before="40" w:after="40" w:line="240" w:lineRule="auto"/>
              <w:jc w:val="both"/>
            </w:pPr>
            <w:r>
              <w:rPr>
                <w:sz w:val="19"/>
              </w:rPr>
              <w:t>What counts as using evidence?</w:t>
            </w:r>
          </w:p>
        </w:tc>
      </w:tr>
      <w:tr w:rsidR="002166D3" w14:paraId="037A9DE0"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F72FCBB" w14:textId="77777777" w:rsidR="002166D3" w:rsidRDefault="00000000" w:rsidP="00C02A33">
            <w:pPr>
              <w:pStyle w:val="Compact"/>
              <w:keepNext/>
              <w:spacing w:before="40" w:after="40" w:line="240" w:lineRule="auto"/>
              <w:jc w:val="both"/>
            </w:pPr>
            <w:r>
              <w:rPr>
                <w:sz w:val="19"/>
              </w:rPr>
              <w:t>P2</w:t>
            </w:r>
          </w:p>
        </w:tc>
        <w:tc>
          <w:tcPr>
            <w:tcW w:w="442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956906A" w14:textId="77777777" w:rsidR="002166D3" w:rsidRDefault="00000000" w:rsidP="00C02A33">
            <w:pPr>
              <w:pStyle w:val="Compact"/>
              <w:keepNext/>
              <w:spacing w:before="40" w:after="40" w:line="240" w:lineRule="auto"/>
              <w:jc w:val="both"/>
            </w:pPr>
            <w:r>
              <w:rPr>
                <w:sz w:val="19"/>
              </w:rPr>
              <w:t>Passing a rule differs from testing attention</w:t>
            </w:r>
          </w:p>
        </w:tc>
        <w:tc>
          <w:tcPr>
            <w:tcW w:w="380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8EEFD5C" w14:textId="77777777" w:rsidR="002166D3" w:rsidRDefault="00000000" w:rsidP="00C02A33">
            <w:pPr>
              <w:pStyle w:val="Compact"/>
              <w:keepNext/>
              <w:spacing w:before="40" w:after="40" w:line="240" w:lineRule="auto"/>
              <w:jc w:val="both"/>
            </w:pPr>
            <w:r>
              <w:rPr>
                <w:sz w:val="19"/>
              </w:rPr>
              <w:t>When does success bear on a mechanism?</w:t>
            </w:r>
          </w:p>
        </w:tc>
      </w:tr>
      <w:tr w:rsidR="002166D3" w14:paraId="53EE1A84"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0739C6" w14:textId="77777777" w:rsidR="002166D3" w:rsidRDefault="00000000" w:rsidP="00C02A33">
            <w:pPr>
              <w:pStyle w:val="Compact"/>
              <w:keepNext/>
              <w:spacing w:before="40" w:after="40" w:line="240" w:lineRule="auto"/>
              <w:jc w:val="both"/>
            </w:pPr>
            <w:r>
              <w:rPr>
                <w:sz w:val="19"/>
              </w:rPr>
              <w:t>P3</w:t>
            </w:r>
          </w:p>
        </w:tc>
        <w:tc>
          <w:tcPr>
            <w:tcW w:w="442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401887" w14:textId="77777777" w:rsidR="002166D3" w:rsidRDefault="00000000" w:rsidP="00C02A33">
            <w:pPr>
              <w:pStyle w:val="Compact"/>
              <w:keepNext/>
              <w:spacing w:before="40" w:after="40" w:line="240" w:lineRule="auto"/>
              <w:jc w:val="both"/>
            </w:pPr>
            <w:r>
              <w:rPr>
                <w:sz w:val="19"/>
              </w:rPr>
              <w:t>Decision retention differs from correctness</w:t>
            </w:r>
          </w:p>
        </w:tc>
        <w:tc>
          <w:tcPr>
            <w:tcW w:w="3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F9C457" w14:textId="77777777" w:rsidR="002166D3" w:rsidRDefault="00000000" w:rsidP="00C02A33">
            <w:pPr>
              <w:pStyle w:val="Compact"/>
              <w:keepNext/>
              <w:spacing w:before="40" w:after="40" w:line="240" w:lineRule="auto"/>
              <w:jc w:val="both"/>
            </w:pPr>
            <w:r>
              <w:rPr>
                <w:sz w:val="19"/>
              </w:rPr>
              <w:t>What should a memory preserve?</w:t>
            </w:r>
          </w:p>
        </w:tc>
      </w:tr>
      <w:tr w:rsidR="002166D3" w14:paraId="582C8EA3"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07C1CC8" w14:textId="77777777" w:rsidR="002166D3" w:rsidRDefault="00000000" w:rsidP="00C02A33">
            <w:pPr>
              <w:pStyle w:val="Compact"/>
              <w:keepNext/>
              <w:spacing w:before="40" w:after="40" w:line="240" w:lineRule="auto"/>
              <w:jc w:val="both"/>
            </w:pPr>
            <w:r>
              <w:rPr>
                <w:sz w:val="19"/>
              </w:rPr>
              <w:t>P4</w:t>
            </w:r>
          </w:p>
        </w:tc>
        <w:tc>
          <w:tcPr>
            <w:tcW w:w="442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46914E6" w14:textId="77777777" w:rsidR="002166D3" w:rsidRDefault="00000000" w:rsidP="00C02A33">
            <w:pPr>
              <w:pStyle w:val="Compact"/>
              <w:keepNext/>
              <w:spacing w:before="40" w:after="40" w:line="240" w:lineRule="auto"/>
              <w:jc w:val="both"/>
            </w:pPr>
            <w:r>
              <w:rPr>
                <w:sz w:val="19"/>
              </w:rPr>
              <w:t>A useful brake can lack calibrated coverage</w:t>
            </w:r>
          </w:p>
        </w:tc>
        <w:tc>
          <w:tcPr>
            <w:tcW w:w="380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E53994B" w14:textId="77777777" w:rsidR="002166D3" w:rsidRDefault="00000000" w:rsidP="00C02A33">
            <w:pPr>
              <w:pStyle w:val="Compact"/>
              <w:keepNext/>
              <w:spacing w:before="40" w:after="40" w:line="240" w:lineRule="auto"/>
              <w:jc w:val="both"/>
            </w:pPr>
            <w:r>
              <w:rPr>
                <w:sz w:val="19"/>
              </w:rPr>
              <w:t>When should uncertainty delay action?</w:t>
            </w:r>
          </w:p>
        </w:tc>
      </w:tr>
      <w:tr w:rsidR="002166D3" w14:paraId="06DF06A6"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68EC7D" w14:textId="77777777" w:rsidR="002166D3" w:rsidRDefault="00000000" w:rsidP="00C02A33">
            <w:pPr>
              <w:pStyle w:val="Compact"/>
              <w:keepNext/>
              <w:spacing w:before="40" w:after="40" w:line="240" w:lineRule="auto"/>
              <w:jc w:val="both"/>
            </w:pPr>
            <w:r>
              <w:rPr>
                <w:sz w:val="19"/>
              </w:rPr>
              <w:t>Product memory</w:t>
            </w:r>
          </w:p>
        </w:tc>
        <w:tc>
          <w:tcPr>
            <w:tcW w:w="442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45591F" w14:textId="77777777" w:rsidR="002166D3" w:rsidRDefault="00000000" w:rsidP="00C02A33">
            <w:pPr>
              <w:pStyle w:val="Compact"/>
              <w:keepNext/>
              <w:spacing w:before="40" w:after="40" w:line="240" w:lineRule="auto"/>
              <w:jc w:val="both"/>
            </w:pPr>
            <w:r>
              <w:rPr>
                <w:sz w:val="19"/>
              </w:rPr>
              <w:t>Residual accounting differs from final storage</w:t>
            </w:r>
          </w:p>
        </w:tc>
        <w:tc>
          <w:tcPr>
            <w:tcW w:w="3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78A858" w14:textId="77777777" w:rsidR="002166D3" w:rsidRDefault="00000000" w:rsidP="00C02A33">
            <w:pPr>
              <w:pStyle w:val="Compact"/>
              <w:keepNext/>
              <w:spacing w:before="40" w:after="40" w:line="240" w:lineRule="auto"/>
              <w:jc w:val="both"/>
            </w:pPr>
            <w:r>
              <w:rPr>
                <w:sz w:val="19"/>
              </w:rPr>
              <w:t>What must remain available before deletion?</w:t>
            </w:r>
          </w:p>
        </w:tc>
      </w:tr>
      <w:tr w:rsidR="002166D3" w14:paraId="2A5EC7B7"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50EB724" w14:textId="77777777" w:rsidR="002166D3" w:rsidRDefault="00000000" w:rsidP="00C02A33">
            <w:pPr>
              <w:pStyle w:val="Compact"/>
              <w:keepNext/>
              <w:spacing w:before="40" w:after="40" w:line="240" w:lineRule="auto"/>
              <w:jc w:val="both"/>
            </w:pPr>
            <w:r>
              <w:rPr>
                <w:sz w:val="19"/>
              </w:rPr>
              <w:t>IDEA</w:t>
            </w:r>
          </w:p>
        </w:tc>
        <w:tc>
          <w:tcPr>
            <w:tcW w:w="442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1094B9B2" w14:textId="77777777" w:rsidR="002166D3" w:rsidRDefault="00000000" w:rsidP="00C02A33">
            <w:pPr>
              <w:pStyle w:val="Compact"/>
              <w:keepNext/>
              <w:spacing w:before="40" w:after="40" w:line="240" w:lineRule="auto"/>
              <w:jc w:val="both"/>
            </w:pPr>
            <w:r>
              <w:rPr>
                <w:sz w:val="19"/>
              </w:rPr>
              <w:t>A viable region differs from a best individual</w:t>
            </w:r>
          </w:p>
        </w:tc>
        <w:tc>
          <w:tcPr>
            <w:tcW w:w="380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4A49E6F" w14:textId="77777777" w:rsidR="002166D3" w:rsidRDefault="00000000" w:rsidP="00C02A33">
            <w:pPr>
              <w:pStyle w:val="Compact"/>
              <w:keepNext/>
              <w:spacing w:before="40" w:after="40" w:line="240" w:lineRule="auto"/>
              <w:jc w:val="both"/>
            </w:pPr>
            <w:r>
              <w:rPr>
                <w:sz w:val="19"/>
              </w:rPr>
              <w:t>What is the unit of evaluation?</w:t>
            </w:r>
          </w:p>
        </w:tc>
      </w:tr>
      <w:tr w:rsidR="002166D3" w14:paraId="0B40DFBC"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208496" w14:textId="77777777" w:rsidR="002166D3" w:rsidRDefault="00000000" w:rsidP="00C02A33">
            <w:pPr>
              <w:pStyle w:val="Compact"/>
              <w:keepNext/>
              <w:spacing w:before="40" w:after="40" w:line="240" w:lineRule="auto"/>
              <w:jc w:val="both"/>
            </w:pPr>
            <w:r>
              <w:rPr>
                <w:sz w:val="19"/>
              </w:rPr>
              <w:t>INDIA</w:t>
            </w:r>
          </w:p>
        </w:tc>
        <w:tc>
          <w:tcPr>
            <w:tcW w:w="442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8B1E73" w14:textId="77777777" w:rsidR="002166D3" w:rsidRDefault="00000000" w:rsidP="00C02A33">
            <w:pPr>
              <w:pStyle w:val="Compact"/>
              <w:keepNext/>
              <w:spacing w:before="40" w:after="40" w:line="240" w:lineRule="auto"/>
              <w:jc w:val="both"/>
            </w:pPr>
            <w:r>
              <w:rPr>
                <w:sz w:val="19"/>
              </w:rPr>
              <w:t>Endpoint laws differ from individual transports</w:t>
            </w:r>
          </w:p>
        </w:tc>
        <w:tc>
          <w:tcPr>
            <w:tcW w:w="3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1BDED9" w14:textId="77777777" w:rsidR="002166D3" w:rsidRDefault="00000000" w:rsidP="00C02A33">
            <w:pPr>
              <w:pStyle w:val="Compact"/>
              <w:keepNext/>
              <w:spacing w:before="40" w:after="40" w:line="240" w:lineRule="auto"/>
              <w:jc w:val="both"/>
            </w:pPr>
            <w:r>
              <w:rPr>
                <w:sz w:val="19"/>
              </w:rPr>
              <w:t>What kind of identity survives a path?</w:t>
            </w:r>
          </w:p>
        </w:tc>
      </w:tr>
      <w:tr w:rsidR="002166D3" w14:paraId="410B9235" w14:textId="77777777" w:rsidTr="002F240B">
        <w:trPr>
          <w:cantSplit/>
          <w:jc w:val="center"/>
        </w:trPr>
        <w:tc>
          <w:tcPr>
            <w:tcW w:w="1640"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2D3EBEA" w14:textId="77777777" w:rsidR="002166D3" w:rsidRDefault="00000000" w:rsidP="00C02A33">
            <w:pPr>
              <w:pStyle w:val="Compact"/>
              <w:spacing w:before="40" w:after="40" w:line="240" w:lineRule="auto"/>
              <w:jc w:val="both"/>
            </w:pPr>
            <w:r>
              <w:rPr>
                <w:sz w:val="19"/>
              </w:rPr>
              <w:t>Robust covers</w:t>
            </w:r>
          </w:p>
        </w:tc>
        <w:tc>
          <w:tcPr>
            <w:tcW w:w="442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70E47D3" w14:textId="77777777" w:rsidR="002166D3" w:rsidRDefault="00000000" w:rsidP="00C02A33">
            <w:pPr>
              <w:pStyle w:val="Compact"/>
              <w:spacing w:before="40" w:after="40" w:line="240" w:lineRule="auto"/>
              <w:jc w:val="both"/>
            </w:pPr>
            <w:r>
              <w:rPr>
                <w:sz w:val="19"/>
              </w:rPr>
              <w:t>Quantile performance differs from a universal bound</w:t>
            </w:r>
          </w:p>
        </w:tc>
        <w:tc>
          <w:tcPr>
            <w:tcW w:w="380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9E63EFE" w14:textId="77777777" w:rsidR="002166D3" w:rsidRDefault="00000000" w:rsidP="00C02A33">
            <w:pPr>
              <w:pStyle w:val="Compact"/>
              <w:spacing w:before="40" w:after="40" w:line="240" w:lineRule="auto"/>
              <w:jc w:val="both"/>
            </w:pPr>
            <w:r>
              <w:rPr>
                <w:sz w:val="19"/>
              </w:rPr>
              <w:t>Which adversities does a guarantee include?</w:t>
            </w:r>
          </w:p>
        </w:tc>
      </w:tr>
    </w:tbl>
    <w:p w14:paraId="73F4BF5C" w14:textId="77777777" w:rsidR="002166D3" w:rsidRDefault="00000000" w:rsidP="00C02A33">
      <w:pPr>
        <w:pStyle w:val="Heading1"/>
        <w:jc w:val="both"/>
      </w:pPr>
      <w:bookmarkStart w:id="2" w:name="X04ea5919e87c7ba218be6c6713904d76559e613"/>
      <w:bookmarkEnd w:id="1"/>
      <w:r>
        <w:lastRenderedPageBreak/>
        <w:t>3 Certificates as conditional epistemic warrant</w:t>
      </w:r>
    </w:p>
    <w:p w14:paraId="0F5E30E6" w14:textId="77777777" w:rsidR="002166D3" w:rsidRDefault="00000000" w:rsidP="00C02A33">
      <w:pPr>
        <w:pStyle w:val="Heading2"/>
        <w:jc w:val="both"/>
      </w:pPr>
      <w:bookmarkStart w:id="3" w:name="what-a-certificate-says"/>
      <w:r>
        <w:t>3.1 What a certificate says</w:t>
      </w:r>
    </w:p>
    <w:p w14:paraId="2B86A06D" w14:textId="77777777" w:rsidR="002166D3" w:rsidRPr="002F240B" w:rsidRDefault="00000000" w:rsidP="00C02A33">
      <w:pPr>
        <w:pStyle w:val="FirstParagraph"/>
        <w:keepNext/>
        <w:jc w:val="both"/>
        <w:rPr>
          <w:sz w:val="24"/>
          <w:szCs w:val="28"/>
        </w:rPr>
      </w:pPr>
      <w:r w:rsidRPr="002F240B">
        <w:rPr>
          <w:sz w:val="24"/>
          <w:szCs w:val="28"/>
        </w:rPr>
        <w:t xml:space="preserve">Let </w:t>
      </w:r>
      <m:oMath>
        <m:sSub>
          <m:sSubPr>
            <m:ctrlPr>
              <w:rPr>
                <w:rFonts w:ascii="Cambria Math" w:hAnsi="Cambria Math"/>
                <w:sz w:val="24"/>
                <w:szCs w:val="28"/>
              </w:rPr>
            </m:ctrlPr>
          </m:sSubPr>
          <m:e>
            <m:r>
              <w:rPr>
                <w:rFonts w:ascii="Latin Modern Math" w:eastAsia="Latin Modern Math" w:hAnsi="Latin Modern Math" w:cs="Latin Modern Math"/>
                <w:sz w:val="25"/>
                <w:szCs w:val="26"/>
              </w:rPr>
              <m:t>D</m:t>
            </m:r>
          </m:e>
          <m:sub>
            <m:r>
              <w:rPr>
                <w:rFonts w:ascii="Latin Modern Math" w:eastAsia="Latin Modern Math" w:hAnsi="Latin Modern Math" w:cs="Latin Modern Math"/>
                <w:sz w:val="25"/>
                <w:szCs w:val="26"/>
              </w:rPr>
              <m:t>θ</m:t>
            </m:r>
          </m:sub>
        </m:sSub>
        <m:d>
          <m:dPr>
            <m:ctrlPr>
              <w:rPr>
                <w:rFonts w:ascii="Cambria Math" w:hAnsi="Cambria Math"/>
                <w:sz w:val="24"/>
                <w:szCs w:val="28"/>
              </w:rPr>
            </m:ctrlPr>
          </m:dPr>
          <m:e>
            <m:r>
              <w:rPr>
                <w:rFonts w:ascii="Latin Modern Math" w:eastAsia="Latin Modern Math" w:hAnsi="Latin Modern Math" w:cs="Latin Modern Math"/>
                <w:sz w:val="25"/>
                <w:szCs w:val="26"/>
              </w:rPr>
              <m:t>x</m:t>
            </m:r>
          </m:e>
        </m:d>
      </m:oMath>
      <w:r w:rsidRPr="002F240B">
        <w:rPr>
          <w:sz w:val="24"/>
          <w:szCs w:val="28"/>
        </w:rPr>
        <w:t xml:space="preserve"> denote the decision made on input </w:t>
      </w:r>
      <m:oMath>
        <m:r>
          <w:rPr>
            <w:rFonts w:ascii="Latin Modern Math" w:eastAsia="Latin Modern Math" w:hAnsi="Latin Modern Math" w:cs="Latin Modern Math"/>
            <w:sz w:val="25"/>
            <w:szCs w:val="26"/>
          </w:rPr>
          <m:t>x</m:t>
        </m:r>
      </m:oMath>
      <w:r w:rsidRPr="002F240B">
        <w:rPr>
          <w:sz w:val="24"/>
          <w:szCs w:val="28"/>
        </w:rPr>
        <w:t xml:space="preserve"> by parameters </w:t>
      </w:r>
      <m:oMath>
        <m:r>
          <w:rPr>
            <w:rFonts w:ascii="Latin Modern Math" w:eastAsia="Latin Modern Math" w:hAnsi="Latin Modern Math" w:cs="Latin Modern Math"/>
            <w:sz w:val="25"/>
            <w:szCs w:val="26"/>
          </w:rPr>
          <m:t>θ</m:t>
        </m:r>
      </m:oMath>
      <w:r w:rsidRPr="002F240B">
        <w:rPr>
          <w:sz w:val="24"/>
          <w:szCs w:val="28"/>
        </w:rPr>
        <w:t xml:space="preserve">. Let </w:t>
      </w:r>
      <m:oMath>
        <m:r>
          <w:rPr>
            <w:rFonts w:ascii="Latin Modern Math" w:eastAsia="Latin Modern Math" w:hAnsi="Latin Modern Math" w:cs="Latin Modern Math"/>
            <w:sz w:val="25"/>
            <w:szCs w:val="26"/>
          </w:rPr>
          <m:t>Θ</m:t>
        </m:r>
      </m:oMath>
      <w:r w:rsidRPr="002F240B">
        <w:rPr>
          <w:sz w:val="24"/>
          <w:szCs w:val="28"/>
        </w:rPr>
        <w:t xml:space="preserve"> be an admitted set of parameter variations. A decision certificate can establish</w:t>
      </w:r>
    </w:p>
    <w:p w14:paraId="66C54A44" w14:textId="77777777" w:rsidR="002166D3" w:rsidRPr="002F240B" w:rsidRDefault="00000000" w:rsidP="00C02A33">
      <w:pPr>
        <w:pStyle w:val="BodyText"/>
        <w:keepLines/>
        <w:spacing w:before="120" w:after="140"/>
        <w:jc w:val="both"/>
        <w:rPr>
          <w:sz w:val="24"/>
          <w:szCs w:val="28"/>
        </w:rPr>
      </w:pPr>
      <m:oMathPara>
        <m:oMathParaPr>
          <m:jc m:val="center"/>
        </m:oMathParaPr>
        <m:oMath>
          <m:r>
            <m:rPr>
              <m:sty m:val="p"/>
            </m:rPr>
            <w:rPr>
              <w:rFonts w:ascii="Latin Modern Math" w:eastAsia="Latin Modern Math" w:hAnsi="Latin Modern Math" w:cs="Latin Modern Math"/>
              <w:sz w:val="25"/>
              <w:szCs w:val="26"/>
            </w:rPr>
            <m:t>∀</m:t>
          </m:r>
          <m:r>
            <w:rPr>
              <w:rFonts w:ascii="Latin Modern Math" w:eastAsia="Latin Modern Math" w:hAnsi="Latin Modern Math" w:cs="Latin Modern Math"/>
              <w:sz w:val="25"/>
              <w:szCs w:val="26"/>
            </w:rPr>
            <m:t>θ</m:t>
          </m:r>
          <m:r>
            <m:rPr>
              <m:sty m:val="p"/>
            </m:rPr>
            <w:rPr>
              <w:rFonts w:ascii="Latin Modern Math" w:eastAsia="Latin Modern Math" w:hAnsi="Latin Modern Math" w:cs="Latin Modern Math"/>
              <w:sz w:val="25"/>
              <w:szCs w:val="26"/>
            </w:rPr>
            <m:t>∈</m:t>
          </m:r>
          <m:r>
            <w:rPr>
              <w:rFonts w:ascii="Latin Modern Math" w:eastAsia="Latin Modern Math" w:hAnsi="Latin Modern Math" w:cs="Latin Modern Math"/>
              <w:sz w:val="25"/>
              <w:szCs w:val="26"/>
            </w:rPr>
            <m:t>Θ</m:t>
          </m:r>
          <m:r>
            <m:rPr>
              <m:sty m:val="p"/>
            </m:rPr>
            <w:rPr>
              <w:rFonts w:ascii="Latin Modern Math" w:eastAsia="Latin Modern Math" w:hAnsi="Latin Modern Math" w:cs="Latin Modern Math"/>
              <w:sz w:val="25"/>
              <w:szCs w:val="26"/>
            </w:rPr>
            <m:t>,</m:t>
          </m:r>
          <m:r>
            <w:rPr>
              <w:rFonts w:ascii="Latin Modern Math" w:eastAsia="Latin Modern Math" w:hAnsi="Latin Modern Math" w:cs="Latin Modern Math"/>
              <w:sz w:val="25"/>
              <w:szCs w:val="26"/>
            </w:rPr>
            <m:t>  </m:t>
          </m:r>
          <m:sSub>
            <m:sSubPr>
              <m:ctrlPr>
                <w:rPr>
                  <w:rFonts w:ascii="Cambria Math" w:hAnsi="Cambria Math"/>
                  <w:sz w:val="24"/>
                  <w:szCs w:val="28"/>
                </w:rPr>
              </m:ctrlPr>
            </m:sSubPr>
            <m:e>
              <m:r>
                <w:rPr>
                  <w:rFonts w:ascii="Latin Modern Math" w:eastAsia="Latin Modern Math" w:hAnsi="Latin Modern Math" w:cs="Latin Modern Math"/>
                  <w:sz w:val="25"/>
                  <w:szCs w:val="26"/>
                </w:rPr>
                <m:t>D</m:t>
              </m:r>
            </m:e>
            <m:sub>
              <m:r>
                <w:rPr>
                  <w:rFonts w:ascii="Latin Modern Math" w:eastAsia="Latin Modern Math" w:hAnsi="Latin Modern Math" w:cs="Latin Modern Math"/>
                  <w:sz w:val="25"/>
                  <w:szCs w:val="26"/>
                </w:rPr>
                <m:t>θ</m:t>
              </m:r>
            </m:sub>
          </m:sSub>
          <m:d>
            <m:dPr>
              <m:ctrlPr>
                <w:rPr>
                  <w:rFonts w:ascii="Cambria Math" w:hAnsi="Cambria Math"/>
                  <w:sz w:val="24"/>
                  <w:szCs w:val="28"/>
                </w:rPr>
              </m:ctrlPr>
            </m:dPr>
            <m:e>
              <m:r>
                <w:rPr>
                  <w:rFonts w:ascii="Latin Modern Math" w:eastAsia="Latin Modern Math" w:hAnsi="Latin Modern Math" w:cs="Latin Modern Math"/>
                  <w:sz w:val="25"/>
                  <w:szCs w:val="26"/>
                </w:rPr>
                <m:t>x</m:t>
              </m:r>
            </m:e>
          </m:d>
          <m:r>
            <m:rPr>
              <m:sty m:val="p"/>
            </m:rPr>
            <w:rPr>
              <w:rFonts w:ascii="Latin Modern Math" w:eastAsia="Latin Modern Math" w:hAnsi="Latin Modern Math" w:cs="Latin Modern Math"/>
              <w:sz w:val="25"/>
              <w:szCs w:val="26"/>
            </w:rPr>
            <m:t>=</m:t>
          </m:r>
          <m:r>
            <w:rPr>
              <w:rFonts w:ascii="Latin Modern Math" w:eastAsia="Latin Modern Math" w:hAnsi="Latin Modern Math" w:cs="Latin Modern Math"/>
              <w:sz w:val="25"/>
              <w:szCs w:val="26"/>
            </w:rPr>
            <m:t>a</m:t>
          </m:r>
          <m:r>
            <m:rPr>
              <m:sty m:val="p"/>
            </m:rPr>
            <w:rPr>
              <w:rFonts w:ascii="Latin Modern Math" w:eastAsia="Latin Modern Math" w:hAnsi="Latin Modern Math" w:cs="Latin Modern Math"/>
              <w:sz w:val="25"/>
              <w:szCs w:val="26"/>
            </w:rPr>
            <m:t>.</m:t>
          </m:r>
        </m:oMath>
      </m:oMathPara>
    </w:p>
    <w:p w14:paraId="39BEF649" w14:textId="77777777" w:rsidR="002166D3" w:rsidRPr="002F240B" w:rsidRDefault="00000000" w:rsidP="00C02A33">
      <w:pPr>
        <w:pStyle w:val="FirstParagraph"/>
        <w:jc w:val="both"/>
        <w:rPr>
          <w:sz w:val="24"/>
          <w:szCs w:val="28"/>
        </w:rPr>
      </w:pPr>
      <w:r w:rsidRPr="002F240B">
        <w:rPr>
          <w:sz w:val="24"/>
          <w:szCs w:val="28"/>
        </w:rPr>
        <w:t xml:space="preserve">This is a universal statement, but its universality is restricted. It says that the designated decision is invariant throughout the specified set. It does not say that </w:t>
      </w:r>
      <m:oMath>
        <m:r>
          <w:rPr>
            <w:rFonts w:ascii="Latin Modern Math" w:eastAsia="Latin Modern Math" w:hAnsi="Latin Modern Math" w:cs="Latin Modern Math"/>
            <w:sz w:val="25"/>
            <w:szCs w:val="26"/>
          </w:rPr>
          <m:t>a</m:t>
        </m:r>
      </m:oMath>
      <w:r w:rsidRPr="002F240B">
        <w:rPr>
          <w:sz w:val="24"/>
          <w:szCs w:val="28"/>
        </w:rPr>
        <w:t xml:space="preserve"> is correct, that the deployed parameters belong to </w:t>
      </w:r>
      <m:oMath>
        <m:r>
          <w:rPr>
            <w:rFonts w:ascii="Latin Modern Math" w:eastAsia="Latin Modern Math" w:hAnsi="Latin Modern Math" w:cs="Latin Modern Math"/>
            <w:sz w:val="25"/>
            <w:szCs w:val="26"/>
          </w:rPr>
          <m:t>Θ</m:t>
        </m:r>
      </m:oMath>
      <w:r w:rsidRPr="002F240B">
        <w:rPr>
          <w:sz w:val="24"/>
          <w:szCs w:val="28"/>
        </w:rPr>
        <w:t xml:space="preserve">, that future inputs resemble </w:t>
      </w:r>
      <m:oMath>
        <m:r>
          <w:rPr>
            <w:rFonts w:ascii="Latin Modern Math" w:eastAsia="Latin Modern Math" w:hAnsi="Latin Modern Math" w:cs="Latin Modern Math"/>
            <w:sz w:val="25"/>
            <w:szCs w:val="26"/>
          </w:rPr>
          <m:t>x</m:t>
        </m:r>
      </m:oMath>
      <w:r w:rsidRPr="002F240B">
        <w:rPr>
          <w:sz w:val="24"/>
          <w:szCs w:val="28"/>
        </w:rPr>
        <w:t>, or that every relevant disturbance has been included. The statement may be exactly true even when one or more of those further claims is false.</w:t>
      </w:r>
    </w:p>
    <w:p w14:paraId="6DFB115A" w14:textId="77777777" w:rsidR="002166D3" w:rsidRPr="002F240B" w:rsidRDefault="00000000" w:rsidP="00C02A33">
      <w:pPr>
        <w:pStyle w:val="BodyText"/>
        <w:jc w:val="both"/>
        <w:rPr>
          <w:sz w:val="24"/>
          <w:szCs w:val="28"/>
        </w:rPr>
      </w:pPr>
      <w:r w:rsidRPr="002F240B">
        <w:rPr>
          <w:sz w:val="24"/>
          <w:szCs w:val="28"/>
        </w:rPr>
        <w:t>It is useful to understand a certification claim as a contract with four components: an admissible set, a domain of application, a property to be preserved, and an account of how the assertion is established. For example, the contract might concern storage error around a reference model, a fixed set of queries, preservation of class decisions, and an exact optimization over a log-parameter box. Changing any component changes the claim. A certificate about attention distributions at a nominal layer input is not automatically a certificate about the final network’s decisions under propagated input changes.</w:t>
      </w:r>
    </w:p>
    <w:p w14:paraId="53D5AACC" w14:textId="77777777" w:rsidR="002166D3" w:rsidRPr="002F240B" w:rsidRDefault="00000000" w:rsidP="00C02A33">
      <w:pPr>
        <w:pStyle w:val="BodyText"/>
        <w:jc w:val="both"/>
        <w:rPr>
          <w:sz w:val="24"/>
          <w:szCs w:val="28"/>
        </w:rPr>
      </w:pPr>
      <w:r w:rsidRPr="002F240B">
        <w:rPr>
          <w:sz w:val="24"/>
          <w:szCs w:val="28"/>
        </w:rPr>
        <w:t>Calling this a contract does not imply a legal agreement or a subjective truth. Once its terms are fixed, the mathematical assertion is objective. The contractual aspect concerns the selection of the terms and the responsibility for representing their scope accurately. A proof can settle the assertion while leaving the appropriateness of its terms open to investigation.</w:t>
      </w:r>
    </w:p>
    <w:p w14:paraId="47062CC0" w14:textId="77777777" w:rsidR="002166D3" w:rsidRDefault="00000000" w:rsidP="00C02A33">
      <w:pPr>
        <w:pStyle w:val="Heading2"/>
        <w:jc w:val="both"/>
      </w:pPr>
      <w:bookmarkStart w:id="4" w:name="why-invariance-is-not-truth"/>
      <w:bookmarkEnd w:id="3"/>
      <w:r>
        <w:t>3.2 Why invariance is not truth</w:t>
      </w:r>
    </w:p>
    <w:p w14:paraId="52EF9704" w14:textId="77777777" w:rsidR="002166D3" w:rsidRDefault="00000000" w:rsidP="00C02A33">
      <w:pPr>
        <w:pStyle w:val="FirstParagraph"/>
        <w:jc w:val="both"/>
      </w:pPr>
      <w:r>
        <w:t>P3 supplies a particularly clear example. On its split CIFAR-100 setting, certificate-guided storage retained a larger certified fraction of decisions than the alternatives, while the final model’s classification accuracy was only about 7% because of its weak fixed random features [3]. A preserved decision could therefore remain wrong. There is no contradiction. Accuracy asks about correspondence with the task’s labels; retention asks about agreement with a reference decision.</w:t>
      </w:r>
    </w:p>
    <w:p w14:paraId="4C81696A" w14:textId="77777777" w:rsidR="002166D3" w:rsidRDefault="00000000" w:rsidP="00C02A33">
      <w:pPr>
        <w:pStyle w:val="BodyText"/>
        <w:jc w:val="both"/>
      </w:pPr>
      <w:r>
        <w:t>Consider two imagined classifiers. The first is usually right but changes some decisions under small storage perturbations. The second always outputs a fixed class and is perfectly invariant under those perturbations. A stability certificate ranks the second highly on its own property. It should not rank the second highly as an answerer of the classification problem. This thought experiment shows that robustness is not a substitute definition of truth or competence.</w:t>
      </w:r>
    </w:p>
    <w:p w14:paraId="1BB5F61B" w14:textId="77777777" w:rsidR="002166D3" w:rsidRDefault="00000000" w:rsidP="00C02A33">
      <w:pPr>
        <w:pStyle w:val="BodyText"/>
        <w:jc w:val="both"/>
      </w:pPr>
      <w:r>
        <w:t>The converse distinction also matters. A model may be accurate without having a certificate, and an unsuccessful verification attempt may reflect the looseness of a bound. P1’s exact decision tests and executed rejection witnesses are valuable because they separate demonstrable flips from cases left unresolved by an approximation [1]. Where exactness is absent, the inability to establish invariance must not be redescribed as a demonstrated failure of invariance.</w:t>
      </w:r>
    </w:p>
    <w:p w14:paraId="2EAF212F" w14:textId="77777777" w:rsidR="002166D3" w:rsidRDefault="00000000" w:rsidP="00C02A33">
      <w:pPr>
        <w:pStyle w:val="BodyText"/>
        <w:jc w:val="both"/>
      </w:pPr>
      <w:r>
        <w:t>Four statuses should therefore remain separate: verified preservation, witnessed violation, unresolved verification, and behavior outside the declared model. These statuses call for different responses. A stronger verifier may resolve the third; changing the model may be necessary for the fourth. Neither is repaired merely by increasing confidence in the original certificate.</w:t>
      </w:r>
    </w:p>
    <w:p w14:paraId="0F98C478" w14:textId="77777777" w:rsidR="002166D3" w:rsidRDefault="00000000" w:rsidP="00C02A33">
      <w:pPr>
        <w:pStyle w:val="Heading2"/>
        <w:jc w:val="both"/>
      </w:pPr>
      <w:bookmarkStart w:id="5" w:name="where-warrant-ends"/>
      <w:bookmarkEnd w:id="4"/>
      <w:r>
        <w:lastRenderedPageBreak/>
        <w:t>3.3 Where warrant ends</w:t>
      </w:r>
    </w:p>
    <w:p w14:paraId="72B5F280" w14:textId="77777777" w:rsidR="002166D3" w:rsidRDefault="00000000" w:rsidP="00C02A33">
      <w:pPr>
        <w:pStyle w:val="FirstParagraph"/>
        <w:jc w:val="both"/>
      </w:pPr>
      <w:r>
        <w:t xml:space="preserve">The philosophical conclusion is that certification supplies </w:t>
      </w:r>
      <w:r>
        <w:rPr>
          <w:i/>
          <w:iCs/>
        </w:rPr>
        <w:t>conditional epistemic warrant</w:t>
      </w:r>
      <w:r>
        <w:t>: a reason to rely on a specified property through a specified transformation. It can support a practical decision when that property is relevant and the assumptions are adequately justified. It does not confer unrestricted authority on the system possessing it.</w:t>
      </w:r>
    </w:p>
    <w:p w14:paraId="49252092" w14:textId="77777777" w:rsidR="002166D3" w:rsidRDefault="00000000" w:rsidP="00C02A33">
      <w:pPr>
        <w:pStyle w:val="BodyText"/>
        <w:jc w:val="both"/>
      </w:pPr>
      <w:r>
        <w:t>This avoids both excessive optimism and excessive skepticism. Conditionality does not make the certificate empty. A bridge calculation, an error-correcting code, or an inference procedure can be useful because a limited guarantee matches an actual requirement. Equally, exact mathematics cannot rescue an uncertainty set that omits the disturbance of concern. Defensibility has both an internal aspect, the validity of the calculation, and an external aspect, the adequacy of its application.</w:t>
      </w:r>
    </w:p>
    <w:p w14:paraId="305F557C" w14:textId="77777777" w:rsidR="002166D3" w:rsidRDefault="00000000" w:rsidP="00C02A33">
      <w:pPr>
        <w:pStyle w:val="Heading1"/>
        <w:jc w:val="both"/>
      </w:pPr>
      <w:bookmarkStart w:id="6" w:name="evidence-is-defined-by-its-contribution"/>
      <w:bookmarkEnd w:id="2"/>
      <w:bookmarkEnd w:id="5"/>
      <w:r>
        <w:t>4 Evidence is defined by its contribution</w:t>
      </w:r>
    </w:p>
    <w:p w14:paraId="545F44B8" w14:textId="77777777" w:rsidR="002166D3" w:rsidRDefault="00000000" w:rsidP="00C02A33">
      <w:pPr>
        <w:pStyle w:val="Heading2"/>
        <w:jc w:val="both"/>
      </w:pPr>
      <w:bookmarkStart w:id="7" w:name="selection-and-accumulation"/>
      <w:r>
        <w:t>4.1 Selection and accumulation</w:t>
      </w:r>
    </w:p>
    <w:p w14:paraId="65DC3C67" w14:textId="77777777" w:rsidR="002166D3" w:rsidRDefault="00000000" w:rsidP="00C02A33">
      <w:pPr>
        <w:pStyle w:val="FirstParagraph"/>
        <w:jc w:val="both"/>
      </w:pPr>
      <w:r>
        <w:t>P1’s MNIST result and its evidence-task result illustrate different ways of succeeding. On MNIST, retaining only the most active feature still yielded roughly 95–96% accuracy. On the sixteen-block evidence task, the positive readout exceeded the four-block oracle and approached the Bayes reference, supporting the use of evidence from many blocks [1]. The same general architecture could therefore support different mechanisms on different tasks.</w:t>
      </w:r>
    </w:p>
    <w:p w14:paraId="4D063B65" w14:textId="77777777" w:rsidR="002166D3" w:rsidRDefault="00000000" w:rsidP="00C02A33">
      <w:pPr>
        <w:pStyle w:val="BodyText"/>
        <w:jc w:val="both"/>
      </w:pPr>
      <w:r>
        <w:t>N1 makes the structural distinction precise. Within a fixed route, a KP-LNN routing body’s output depends on one routed log input plus signed log-weight contributions, or becomes constant. Its local dependence is not an additive integration of independently varying inputs. An additive positive variant has a different Jacobian structure and can combine inputs through a log-sum-exp operation [5]. These results concern the stated computational body and do not exclude accumulation in an encoder, an added readout, or another part of a larger system.</w:t>
      </w:r>
    </w:p>
    <w:p w14:paraId="032174D3" w14:textId="77777777" w:rsidR="002166D3" w:rsidRDefault="00000000" w:rsidP="00C02A33">
      <w:pPr>
        <w:pStyle w:val="BodyText"/>
        <w:jc w:val="both"/>
      </w:pPr>
      <w:r>
        <w:t>The philosophical issue is not whether selection is inferior. Selection can be exactly the right operation when one highly informative feature resolves a task. The issue is whether a successful score supports the explanation attached to it. Calling a computation evidence accumulation requires showing how independent evidential changes affect the result. Architectural width, activation mass, or the number of available routes does not establish that dependence.</w:t>
      </w:r>
    </w:p>
    <w:p w14:paraId="358B820B" w14:textId="77777777" w:rsidR="002166D3" w:rsidRDefault="00000000" w:rsidP="00C02A33">
      <w:pPr>
        <w:pStyle w:val="BodyText"/>
        <w:jc w:val="both"/>
      </w:pPr>
      <w:r>
        <w:t>P1’s revision of its fan-in measure reinforces this point. The earlier grouped measure could count a block’s constant mass as participation even when the decision effectively depended on one block. A later contribution-based measure addressed a different question and was labeled post hoc [1]. The general lesson is that an indicator of participation should be assessed against the counterfactual it purports to represent. Would changing this source of evidence, while respecting the task’s dependencies, change the decision or its support?</w:t>
      </w:r>
    </w:p>
    <w:p w14:paraId="4408AD1A" w14:textId="77777777" w:rsidR="002166D3" w:rsidRDefault="00000000" w:rsidP="00C02A33">
      <w:pPr>
        <w:pStyle w:val="Heading2"/>
        <w:jc w:val="both"/>
      </w:pPr>
      <w:bookmarkStart w:id="8" w:name="X7031df2f99d22c25da407ddda41d5884c9fc065"/>
      <w:bookmarkEnd w:id="7"/>
      <w:r>
        <w:t>4.2 Why a benchmark needs a validity argument</w:t>
      </w:r>
    </w:p>
    <w:p w14:paraId="1BE58568" w14:textId="77777777" w:rsidR="002166D3" w:rsidRDefault="00000000" w:rsidP="00C02A33">
      <w:pPr>
        <w:pStyle w:val="FirstParagraph"/>
        <w:jc w:val="both"/>
      </w:pPr>
      <w:r>
        <w:t>P2 shows that a benchmark verdict and a mechanistic verdict can diverge without either being misreported. On LRA-Image, the positive variants met the criteria inherited from Paper II. Yet an attention-free pooling control was the most accurate model. Under the additional validity gate fixed before that pilot, the task could not supply the intended support for selective attention [2]. The gate addressed what the experiment tested, not merely how well the models scored.</w:t>
      </w:r>
    </w:p>
    <w:p w14:paraId="4F3B9AC8" w14:textId="77777777" w:rsidR="002166D3" w:rsidRDefault="00000000" w:rsidP="00C02A33">
      <w:pPr>
        <w:pStyle w:val="BodyText"/>
        <w:jc w:val="both"/>
      </w:pPr>
      <w:r>
        <w:lastRenderedPageBreak/>
        <w:t>On the added retrieval task, signed scoring achieved 99.4% while the positive variants averaged 17–20% at the registered budget. Longer exploratory training later allowed sparse positive pools to learn retrieval, while explicit perturbations demonstrated violations of the desired attention-stability target in sampled queries [2]. Neither result licenses an unrestricted claim about every positive or signed attention model. Together they identify a concrete tension among learning, selectivity, and certification in the studied regime.</w:t>
      </w:r>
    </w:p>
    <w:p w14:paraId="3CADC6BE" w14:textId="77777777" w:rsidR="002166D3" w:rsidRDefault="00000000" w:rsidP="00C02A33">
      <w:pPr>
        <w:pStyle w:val="BodyText"/>
        <w:jc w:val="both"/>
      </w:pPr>
      <w:r>
        <w:t>The conceptual conclusion is that evidence for an ability requires a task whose demands discriminate that ability from plausible alternatives. A system’s success is always success at something; the experimental design must show why that something matches the theoretical claim. This is especially important when broad terms such as attention, memory, or reasoning have several computational realizations.</w:t>
      </w:r>
    </w:p>
    <w:p w14:paraId="71AE49ED" w14:textId="77777777" w:rsidR="002166D3" w:rsidRDefault="00000000" w:rsidP="00C02A33">
      <w:pPr>
        <w:pStyle w:val="Heading1"/>
        <w:jc w:val="both"/>
      </w:pPr>
      <w:bookmarkStart w:id="9" w:name="uncertainty-lives-in-relations"/>
      <w:bookmarkEnd w:id="6"/>
      <w:bookmarkEnd w:id="8"/>
      <w:r>
        <w:t>5 Uncertainty lives in relations</w:t>
      </w:r>
    </w:p>
    <w:p w14:paraId="4657004F" w14:textId="77777777" w:rsidR="002166D3" w:rsidRDefault="00000000" w:rsidP="00C02A33">
      <w:pPr>
        <w:pStyle w:val="FirstParagraph"/>
        <w:jc w:val="both"/>
      </w:pPr>
      <w:r>
        <w:t xml:space="preserve">An interval assigns a range to a quantity. A joint uncertainty model also specifies which combinations of values are possible. Those are different kinds of information. Suppose a shared uncertain quantity </w:t>
      </w:r>
      <m:oMath>
        <m:r>
          <w:rPr>
            <w:rFonts w:ascii="Latin Modern Math" w:eastAsia="Latin Modern Math" w:hAnsi="Latin Modern Math" w:cs="Latin Modern Math"/>
          </w:rPr>
          <m:t>u</m:t>
        </m:r>
      </m:oMath>
      <w:r>
        <w:t xml:space="preserve"> lies in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and define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and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Both coordinate ranges are exact. Their difference is nevertheless identically zero. If the two ranges are treated as independent, interval subtraction gives </w:t>
      </w:r>
      <m:oMath>
        <m:d>
          <m:dPr>
            <m:begChr m:val="["/>
            <m:endChr m:val="]"/>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and admits differences that no shared value of </w:t>
      </w:r>
      <m:oMath>
        <m:r>
          <w:rPr>
            <w:rFonts w:ascii="Latin Modern Math" w:eastAsia="Latin Modern Math" w:hAnsi="Latin Modern Math" w:cs="Latin Modern Math"/>
          </w:rPr>
          <m:t>u</m:t>
        </m:r>
      </m:oMath>
      <w:r>
        <w:t xml:space="preserve"> can produce.</w:t>
      </w:r>
    </w:p>
    <w:p w14:paraId="12B3B03E" w14:textId="77777777" w:rsidR="002166D3" w:rsidRDefault="00000000" w:rsidP="00C02A33">
      <w:pPr>
        <w:pStyle w:val="BodyText"/>
        <w:jc w:val="both"/>
      </w:pPr>
      <w:r>
        <w:t>This is not merely an inconvenience of notation. The independent box describes a larger set of possible worlds. It forgets that two quantities have the same origin. The resulting pessimism can be mathematically sound as an outer bound while being epistemically misleading if described as the system’s actual range of behavior. A sound enclosure and an exact account of possibility are different achievements.</w:t>
      </w:r>
    </w:p>
    <w:p w14:paraId="127CF053" w14:textId="77777777" w:rsidR="002166D3" w:rsidRDefault="00000000" w:rsidP="00C02A33">
      <w:pPr>
        <w:pStyle w:val="BodyText"/>
        <w:jc w:val="both"/>
      </w:pPr>
      <w:r>
        <w:t>The issue reappears across the programme. P2’s attention scores share factor perturbations, so independently varying each score can exaggerate relative changes. N1’s decision comparisons can cancel shared route variables. P4’s Go and Stop strengths may share an uncertain input. In INDIA, an exact flow composed through the same unknown intermediate noise level cancels that intermediate choice, while a discretized DDIM composition generally retains a defect [2, 4, 5, 8]. Each case concerns the preservation of identity across several uses of a quantity.</w:t>
      </w:r>
    </w:p>
    <w:p w14:paraId="5E1C63A9" w14:textId="77777777" w:rsidR="002166D3" w:rsidRDefault="00000000" w:rsidP="00C02A33">
      <w:pPr>
        <w:pStyle w:val="BodyText"/>
        <w:jc w:val="both"/>
      </w:pPr>
      <w:r>
        <w:t>This motivates a relational account of epistemic state. A state of uncertainty is not fully specified by saying what each component might be separately. It must also represent what may vary together, what is constrained, and what is held fixed across comparisons. Dependencies can be known even when individual values are not. Losing them can make a system less certain without learning anything new about the world.</w:t>
      </w:r>
    </w:p>
    <w:p w14:paraId="02283D7D" w14:textId="77777777" w:rsidR="002166D3" w:rsidRDefault="00000000" w:rsidP="00C02A33">
      <w:pPr>
        <w:pStyle w:val="BodyText"/>
        <w:jc w:val="both"/>
      </w:pPr>
      <w:r>
        <w:t>There is an important asymmetry here. Removing a false dependency can properly enlarge uncertainty; removing a true dependency enlarges the representation without enlarging reality. Conversely, imposing an unsupported dependency can produce unjustifiably narrow certificates. The philosophical recommendation is therefore not to minimize interval widths at every opportunity. It is to justify the joint model and preserve the dependencies it actually contains.</w:t>
      </w:r>
    </w:p>
    <w:p w14:paraId="5CCB97E2" w14:textId="77777777" w:rsidR="002166D3" w:rsidRDefault="00000000" w:rsidP="00C02A33">
      <w:pPr>
        <w:pStyle w:val="BodyText"/>
        <w:jc w:val="both"/>
      </w:pPr>
      <w:r>
        <w:t>Nor does this argument make probability unnecessary. A probability law answers how mass is distributed over possibilities, while a set specifies which possibilities are admitted. A box need not carry a uniform law, and a confidence region needs a sampling interpretation not supplied by its shape. The multiple-prior framework of Gilboa and Schmeidler is one established way to formalize decisions when a single probability measure is not fixed [12]. The set-based contracts discussed here need not adopt that particular decision rule; their common requirement is clarity about what the uncertainty representation asserts.</w:t>
      </w:r>
    </w:p>
    <w:p w14:paraId="098EB125" w14:textId="77777777" w:rsidR="002166D3" w:rsidRDefault="00000000" w:rsidP="00C02A33">
      <w:pPr>
        <w:pStyle w:val="Heading1"/>
        <w:jc w:val="both"/>
      </w:pPr>
      <w:bookmarkStart w:id="10" w:name="X2813777fddeed05f01397a9293aa4294c5336b1"/>
      <w:bookmarkEnd w:id="9"/>
      <w:r>
        <w:lastRenderedPageBreak/>
        <w:t>6 Memory preservation is relative to a question</w:t>
      </w:r>
    </w:p>
    <w:p w14:paraId="422E7C1C" w14:textId="77777777" w:rsidR="002166D3" w:rsidRDefault="00000000" w:rsidP="00C02A33">
      <w:pPr>
        <w:pStyle w:val="Heading2"/>
        <w:jc w:val="both"/>
      </w:pPr>
      <w:bookmarkStart w:id="11" w:name="X2f3ed99a3641ed3c26f95f13d3da00916187702"/>
      <w:r>
        <w:t>6.1 Three objects that a memory might preserve</w:t>
      </w:r>
    </w:p>
    <w:p w14:paraId="0C5C0356" w14:textId="77777777" w:rsidR="002166D3" w:rsidRDefault="00000000" w:rsidP="00C02A33">
      <w:pPr>
        <w:pStyle w:val="FirstParagraph"/>
        <w:jc w:val="both"/>
      </w:pPr>
      <w:r>
        <w:t>A memory transformation can preserve at least three different objects: the represented operator, its answers to designated queries, or the information needed to assess and revise those answers. Operator preservation is a strong structural requirement. Decision preservation can tolerate substantial numerical changes. Preservation of reasons may require provenance or residual information that the decisions themselves do not reveal.</w:t>
      </w:r>
    </w:p>
    <w:p w14:paraId="40F8A075" w14:textId="77777777" w:rsidR="002166D3" w:rsidRDefault="00000000" w:rsidP="00C02A33">
      <w:pPr>
        <w:pStyle w:val="BodyText"/>
        <w:keepNext/>
        <w:jc w:val="both"/>
      </w:pPr>
      <w:r>
        <w:t xml:space="preserve">To formalize the middle case, let </w:t>
      </w:r>
      <m:oMath>
        <m:r>
          <m:rPr>
            <m:scr m:val="script"/>
            <m:sty m:val="p"/>
          </m:rPr>
          <w:rPr>
            <w:rFonts w:ascii="Latin Modern Math" w:eastAsia="Latin Modern Math" w:hAnsi="Latin Modern Math" w:cs="Latin Modern Math"/>
          </w:rPr>
          <m:t>Q</m:t>
        </m:r>
      </m:oMath>
      <w:r>
        <w:t xml:space="preserve"> be a designated query family and let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q</m:t>
            </m:r>
          </m:e>
        </m:d>
      </m:oMath>
      <w:r>
        <w:t xml:space="preserve"> be the answer supplied by memory </w:t>
      </w:r>
      <m:oMath>
        <m:r>
          <w:rPr>
            <w:rFonts w:ascii="Latin Modern Math" w:eastAsia="Latin Modern Math" w:hAnsi="Latin Modern Math" w:cs="Latin Modern Math"/>
          </w:rPr>
          <m:t>M</m:t>
        </m:r>
      </m:oMath>
      <w:r>
        <w:t>. Define</w:t>
      </w:r>
    </w:p>
    <w:p w14:paraId="1D307469" w14:textId="77777777" w:rsidR="002166D3" w:rsidRDefault="00000000" w:rsidP="00C02A33">
      <w:pPr>
        <w:pStyle w:val="BodyText"/>
        <w:keepLines/>
        <w:spacing w:before="120" w:after="140"/>
        <w:jc w:val="both"/>
      </w:pPr>
      <m:oMathPara>
        <m:oMathParaPr>
          <m:jc m:val="center"/>
        </m:oMathParaPr>
        <m:oMath>
          <m:r>
            <w:rPr>
              <w:rFonts w:ascii="Latin Modern Math" w:eastAsia="Latin Modern Math" w:hAnsi="Latin Modern Math" w:cs="Latin Modern Math"/>
            </w:rPr>
            <m:t>M</m:t>
          </m:r>
          <m:sSub>
            <m:sSubPr>
              <m:ctrlPr>
                <w:rPr>
                  <w:rFonts w:ascii="Cambria Math" w:hAnsi="Cambria Math"/>
                </w:rPr>
              </m:ctrlPr>
            </m:sSubPr>
            <m:e>
              <m:r>
                <m:rPr>
                  <m:sty m:val="p"/>
                </m:rPr>
                <w:rPr>
                  <w:rFonts w:ascii="Latin Modern Math" w:eastAsia="Latin Modern Math" w:hAnsi="Latin Modern Math" w:cs="Latin Modern Math"/>
                </w:rPr>
                <m:t>∼</m:t>
              </m:r>
            </m:e>
            <m:sub>
              <m:r>
                <m:rPr>
                  <m:scr m:val="script"/>
                  <m:sty m:val="p"/>
                </m:rPr>
                <w:rPr>
                  <w:rFonts w:ascii="Latin Modern Math" w:eastAsia="Latin Modern Math" w:hAnsi="Latin Modern Math" w:cs="Latin Modern Math"/>
                </w:rPr>
                <m:t>Q</m:t>
              </m:r>
            </m:sub>
          </m:sSub>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q</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m:t>
              </m:r>
              <m:r>
                <m:rPr>
                  <m:sty m:val="p"/>
                </m:rPr>
                <w:rPr>
                  <w:rFonts w:ascii="Latin Modern Math" w:eastAsia="Latin Modern Math" w:hAnsi="Latin Modern Math" w:cs="Latin Modern Math"/>
                </w:rPr>
                <m:t>'</m:t>
              </m:r>
            </m:sub>
          </m:sSub>
          <m:d>
            <m:dPr>
              <m:ctrlPr>
                <w:rPr>
                  <w:rFonts w:ascii="Cambria Math" w:hAnsi="Cambria Math"/>
                </w:rPr>
              </m:ctrlPr>
            </m:dPr>
            <m:e>
              <m:r>
                <w:rPr>
                  <w:rFonts w:ascii="Latin Modern Math" w:eastAsia="Latin Modern Math" w:hAnsi="Latin Modern Math" w:cs="Latin Modern Math"/>
                </w:rPr>
                <m:t>q</m:t>
              </m:r>
            </m:e>
          </m:d>
          <m:r>
            <w:rPr>
              <w:rFonts w:ascii="Latin Modern Math" w:eastAsia="Latin Modern Math" w:hAnsi="Latin Modern Math" w:cs="Latin Modern Math"/>
            </w:rPr>
            <m:t> </m:t>
          </m:r>
          <m:r>
            <m:rPr>
              <m:nor/>
            </m:rPr>
            <w:rPr>
              <w:rFonts w:ascii="Latin Modern Math" w:eastAsia="Latin Modern Math" w:hAnsi="Latin Modern Math" w:cs="Latin Modern Math"/>
            </w:rPr>
            <m:t xml:space="preserve">for every </m:t>
          </m:r>
          <m:r>
            <w:rPr>
              <w:rFonts w:ascii="Latin Modern Math" w:eastAsia="Latin Modern Math" w:hAnsi="Latin Modern Math" w:cs="Latin Modern Math"/>
            </w:rPr>
            <m:t>q</m:t>
          </m:r>
          <m:r>
            <m:rPr>
              <m:scr m:val="script"/>
              <m:sty m:val="p"/>
            </m:rPr>
            <w:rPr>
              <w:rFonts w:ascii="Latin Modern Math" w:eastAsia="Latin Modern Math" w:hAnsi="Latin Modern Math" w:cs="Latin Modern Math"/>
            </w:rPr>
            <m:t>∈Q.</m:t>
          </m:r>
        </m:oMath>
      </m:oMathPara>
    </w:p>
    <w:p w14:paraId="66EE93B1" w14:textId="77777777" w:rsidR="002166D3" w:rsidRDefault="00000000" w:rsidP="00C02A33">
      <w:pPr>
        <w:pStyle w:val="FirstParagraph"/>
        <w:jc w:val="both"/>
      </w:pPr>
      <w:r>
        <w:t xml:space="preserve">This is an equivalence relation on memories with defined deterministic decisions. It groups memories by the answers that matter under </w:t>
      </w:r>
      <m:oMath>
        <m:r>
          <m:rPr>
            <m:scr m:val="script"/>
            <m:sty m:val="p"/>
          </m:rPr>
          <w:rPr>
            <w:rFonts w:ascii="Latin Modern Math" w:eastAsia="Latin Modern Math" w:hAnsi="Latin Modern Math" w:cs="Latin Modern Math"/>
          </w:rPr>
          <m:t>Q</m:t>
        </m:r>
      </m:oMath>
      <w:r>
        <w:t>. It does not equate their internal structures or their answers to queries outside that family. A compression can therefore preserve an equivalence class of behavior while deleting distinctions relevant to future questions.</w:t>
      </w:r>
    </w:p>
    <w:p w14:paraId="69A4EC4D" w14:textId="77777777" w:rsidR="002166D3" w:rsidRDefault="00000000" w:rsidP="00C02A33">
      <w:pPr>
        <w:pStyle w:val="BodyText"/>
        <w:jc w:val="both"/>
      </w:pPr>
      <w:r>
        <w:t>This observation explains both the attraction and the limitation of decision-guided precision. P3 allocates bits according to certified retention rather than only usage or age, and it improves the registered retained fraction at an equal total bit budget [3]. The extra allocation computation was measured rather than equalized, so equal memory does not mean equal total cost. That achievement is intelligible because all parameter errors need not matter equally to the designated decisions. But it does not imply that currently unused distinctions are worthless. A later task can make them relevant.</w:t>
      </w:r>
    </w:p>
    <w:p w14:paraId="770A419A" w14:textId="77777777" w:rsidR="002166D3" w:rsidRDefault="00000000" w:rsidP="00C02A33">
      <w:pPr>
        <w:pStyle w:val="BodyText"/>
        <w:jc w:val="both"/>
      </w:pPr>
      <w:r>
        <w:t>The question family is thus a substantive commitment. Who selected it, how well it represents future demands, and how it can be revised all matter. A memory system designed solely to reproduce past answers may preserve a mistake with remarkable efficiency. Rational retention must therefore coexist with a route for correction, rather than turn prior output into an untouchable standard.</w:t>
      </w:r>
    </w:p>
    <w:p w14:paraId="5F83A5E8" w14:textId="77777777" w:rsidR="002166D3" w:rsidRDefault="00000000" w:rsidP="00C02A33">
      <w:pPr>
        <w:pStyle w:val="Heading2"/>
        <w:jc w:val="both"/>
      </w:pPr>
      <w:bookmarkStart w:id="12" w:name="X516fa304cf53c46ac49473e9b3278fcdf7a066a"/>
      <w:bookmarkEnd w:id="11"/>
      <w:r>
        <w:t>6.2 Product memory and the meaning of a residual</w:t>
      </w:r>
    </w:p>
    <w:p w14:paraId="5880A3F3" w14:textId="77777777" w:rsidR="002166D3" w:rsidRDefault="00000000" w:rsidP="00C02A33">
      <w:pPr>
        <w:pStyle w:val="FirstParagraph"/>
        <w:keepNext/>
        <w:jc w:val="both"/>
      </w:pPr>
      <w:r>
        <w:t xml:space="preserve">The product-memory model makes representational restriction explicit. Its permanent state is a positive Kronecker product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oMath>
      <w:r>
        <w:t xml:space="preserve">, while wake adds an episode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oMath>
      <w:r>
        <w:t>. The memory in use is</w:t>
      </w:r>
    </w:p>
    <w:p w14:paraId="5A1E85FB" w14:textId="77777777" w:rsidR="002166D3" w:rsidRDefault="00000000" w:rsidP="00C02A33">
      <w:pPr>
        <w:pStyle w:val="BodyText"/>
        <w:keepLines/>
        <w:spacing w:before="120" w:after="140"/>
        <w:jc w:val="both"/>
      </w:pPr>
      <m:oMathPara>
        <m:oMathParaPr>
          <m:jc m:val="center"/>
        </m:oMathParaPr>
        <m:oMath>
          <m:r>
            <w:rPr>
              <w:rFonts w:ascii="Latin Modern Math" w:eastAsia="Latin Modern Math" w:hAnsi="Latin Modern Math" w:cs="Latin Modern Math"/>
            </w:rPr>
            <m:t>E</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m:oMathPara>
    </w:p>
    <w:p w14:paraId="6006CCD1" w14:textId="77777777" w:rsidR="002166D3" w:rsidRDefault="00000000" w:rsidP="00C02A33">
      <w:pPr>
        <w:pStyle w:val="FirstParagraph"/>
        <w:jc w:val="both"/>
      </w:pPr>
      <w:r>
        <w:t xml:space="preserve">This working sum need not belong to the family of single products. Consolidation therefore has to choose a representable approximation or enlarge the store. A residual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E</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oMath>
      <w:r>
        <w:t xml:space="preserve"> records the difference between the working target and a chosen final product. It is not automatically meaningless detail. It is what the selected representational family and fitting criterion leave unexplained [6].</w:t>
      </w:r>
    </w:p>
    <w:p w14:paraId="7FEC5792" w14:textId="77777777" w:rsidR="002166D3" w:rsidRDefault="00000000" w:rsidP="00C02A33">
      <w:pPr>
        <w:pStyle w:val="BodyText"/>
        <w:jc w:val="both"/>
      </w:pPr>
      <w:r>
        <w:t>The criterion matters. The product nearest in Frobenius norm minimizes a numerical reconstruction loss. It need not best preserve class decisions, protect rare queries, or retain information for a later task. P3’s refit and certification results demonstrate that good task accuracy, small reconstruction objectives, and certified retention can come apart [3]. No single norm acquires epistemic or practical priority merely because it is convenient to optimize.</w:t>
      </w:r>
    </w:p>
    <w:p w14:paraId="28E88097" w14:textId="77777777" w:rsidR="002166D3" w:rsidRDefault="00000000" w:rsidP="00C02A33">
      <w:pPr>
        <w:pStyle w:val="BodyText"/>
        <w:jc w:val="both"/>
      </w:pPr>
      <w:r>
        <w:t xml:space="preserve">This yields a distinction between </w:t>
      </w:r>
      <w:r>
        <w:rPr>
          <w:i/>
          <w:iCs/>
        </w:rPr>
        <w:t>unavoidable loss under a chosen representation</w:t>
      </w:r>
      <w:r>
        <w:t xml:space="preserve"> and </w:t>
      </w:r>
      <w:r>
        <w:rPr>
          <w:i/>
          <w:iCs/>
        </w:rPr>
        <w:t>unavoidable loss as such</w:t>
      </w:r>
      <w:r>
        <w:t xml:space="preserve">. The former is meaningful after fixing the admissible store and objective. The latter would require showing that alternative representations, residual channels, and resource budgets cannot preserve the </w:t>
      </w:r>
      <w:r>
        <w:lastRenderedPageBreak/>
        <w:t>information. The programme does not establish that stronger impossibility. It instead makes the cost of some alternatives visible: retaining a dense residual can substantially increase storage.</w:t>
      </w:r>
    </w:p>
    <w:p w14:paraId="7A99E0C4" w14:textId="77777777" w:rsidR="002166D3" w:rsidRDefault="00000000" w:rsidP="00C02A33">
      <w:pPr>
        <w:pStyle w:val="Heading2"/>
        <w:jc w:val="both"/>
      </w:pPr>
      <w:bookmarkStart w:id="13" w:name="the-obligation-before-deletion"/>
      <w:bookmarkEnd w:id="12"/>
      <w:r>
        <w:t>6.3 The obligation before deletion</w:t>
      </w:r>
    </w:p>
    <w:p w14:paraId="7C50BD14" w14:textId="77777777" w:rsidR="002166D3" w:rsidRDefault="00000000" w:rsidP="00C02A33">
      <w:pPr>
        <w:pStyle w:val="FirstParagraph"/>
        <w:jc w:val="both"/>
      </w:pPr>
      <w:r>
        <w:t>The corrected two-stage analysis establishes a conditional information requirement. A first factor update can absorb one component of an episode while leaving a residual. If that residual, or a sufficient summary of it, is discarded too early, the updated product alone can fail to determine the next conditional update. Preserving adequate information until the commitment is formed can therefore matter [6].</w:t>
      </w:r>
    </w:p>
    <w:p w14:paraId="4072AE76" w14:textId="77777777" w:rsidR="002166D3" w:rsidRDefault="00000000" w:rsidP="00C02A33">
      <w:pPr>
        <w:pStyle w:val="BodyText"/>
        <w:jc w:val="both"/>
      </w:pPr>
      <w:r>
        <w:t>What follows is an obligation before deletion, not a theorem that nature must implement two named sleep stages. Either factor order can be valid. One alternating sweep need not be globally optimal. A direct small-core singular value decomposition provides a one-commit alternative in the unconstrained approximation problem, subject to the separate requirements of a positive store. The mathematical representation alone does not fix the chronology of computation or identify it with NREM and REM.</w:t>
      </w:r>
    </w:p>
    <w:p w14:paraId="0A9BCAFF" w14:textId="77777777" w:rsidR="002166D3" w:rsidRDefault="00000000" w:rsidP="00C02A33">
      <w:pPr>
        <w:pStyle w:val="BodyText"/>
        <w:jc w:val="both"/>
      </w:pPr>
      <w:r>
        <w:t>The philosophical obligation is conditional on the agent’s aim: if it intends to preserve a specified relation to the working memory, it must retain enough information to establish that relation before destroying the evidence. The relevant unit is sufficient information, not a compulsory number of stages. An implementation may satisfy the obligation by a residual tag, a direct computation, replay, or another justified mechanism.</w:t>
      </w:r>
    </w:p>
    <w:p w14:paraId="15C76238" w14:textId="77777777" w:rsidR="002166D3" w:rsidRDefault="00000000" w:rsidP="00C02A33">
      <w:pPr>
        <w:pStyle w:val="BodyText"/>
        <w:jc w:val="both"/>
      </w:pPr>
      <w:r>
        <w:t>This principle extends beyond the particular memory model. A system that compresses an explanation into an answer may preserve its conclusion while losing the means of revising it. Retaining everything is not feasible, but deleting information without specifying the commitments it supported makes the loss difficult to assess. A defensible memory should make at least some of those commitments inspectable.</w:t>
      </w:r>
    </w:p>
    <w:p w14:paraId="1D0FC00F" w14:textId="77777777" w:rsidR="002166D3" w:rsidRDefault="00000000" w:rsidP="00C02A33">
      <w:pPr>
        <w:pStyle w:val="Heading1"/>
        <w:jc w:val="both"/>
      </w:pPr>
      <w:bookmarkStart w:id="14" w:name="X0deaea4df27dc2c071e46a6c80741860814f32a"/>
      <w:bookmarkEnd w:id="10"/>
      <w:bookmarkEnd w:id="13"/>
      <w:r>
        <w:t>7 Action requires a policy beyond the certificate</w:t>
      </w:r>
    </w:p>
    <w:p w14:paraId="0047BE65" w14:textId="77777777" w:rsidR="002166D3" w:rsidRDefault="00000000" w:rsidP="00C02A33">
      <w:pPr>
        <w:pStyle w:val="FirstParagraph"/>
        <w:jc w:val="both"/>
      </w:pPr>
      <w:r>
        <w:t>P4 investigates a rule that delays action when the leading channel’s lower salience does not exceed its rivals’ upper saliences. If the ranges are valid and the relevant joint possibilities are represented correctly, separation can certify an ordering. Overlap, however, need not prove that two incompatible actions are both realizable: the apparent overlap can arise from a loose enclosure or from dependencies omitted in the comparison [4].</w:t>
      </w:r>
    </w:p>
    <w:p w14:paraId="5B5FCBFB" w14:textId="77777777" w:rsidR="002166D3" w:rsidRDefault="00000000" w:rsidP="00C02A33">
      <w:pPr>
        <w:pStyle w:val="BodyText"/>
        <w:jc w:val="both"/>
      </w:pPr>
      <w:r>
        <w:t>Even genuine ambiguity does not dictate a unique action. An agent may gather evidence, defer, choose conservatively, randomize, or act immediately because delay is costly. Selecting among these responses requires a model of outcomes and costs. The logical status of the current comparison is one input to that choice, not the whole policy.</w:t>
      </w:r>
    </w:p>
    <w:p w14:paraId="05214B3C" w14:textId="77777777" w:rsidR="002166D3" w:rsidRDefault="00000000" w:rsidP="00C02A33">
      <w:pPr>
        <w:pStyle w:val="BodyText"/>
        <w:jc w:val="both"/>
      </w:pPr>
      <w:r>
        <w:t>P4 makes this point concrete. Its overlap brake improved reward rate against the registered fixed threshold on the mean evidence. Later comparisons showed that much of the advantage could be recovered through a time-varying threshold without intervals, and a non-interval rule surpassed the interval rules in one task. Moreover, the reward-optimal radius covered the true value only about 43–54% of the time [4]. Such a radius can function as a useful control parameter while failing to provide the coverage interpretation that the language of a certificate might suggest.</w:t>
      </w:r>
    </w:p>
    <w:p w14:paraId="694FDFA3" w14:textId="77777777" w:rsidR="002166D3" w:rsidRDefault="00000000" w:rsidP="00C02A33">
      <w:pPr>
        <w:pStyle w:val="BodyText"/>
        <w:jc w:val="both"/>
      </w:pPr>
      <w:r>
        <w:t>A philosophical account should resist two opposite mistakes. The first is to assume that every uncertainty-sensitive delay is epistemically calibrated. The second is to assume that a heuristic is useless because it lacks a universal guarantee. Utility and calibration answer different questions. The rule should be evaluated according to both when both matter, and its description should disclose which objective set its parameters.</w:t>
      </w:r>
    </w:p>
    <w:p w14:paraId="38435BD0" w14:textId="77777777" w:rsidR="002166D3" w:rsidRDefault="00000000" w:rsidP="00C02A33">
      <w:pPr>
        <w:pStyle w:val="BodyText"/>
        <w:jc w:val="both"/>
      </w:pPr>
      <w:r>
        <w:lastRenderedPageBreak/>
        <w:t>The broader principle is that uncertainty does not carry its own value function. A certificate may identify decisions stable under admitted variations, but it cannot establish whether their consequences are desirable, whether a delay is acceptable, or whose losses deserve priority. These are practical and sometimes ethical questions. Their treatment may be formalized, but the formalisms still require substantive choices.</w:t>
      </w:r>
    </w:p>
    <w:p w14:paraId="0B260E1C" w14:textId="77777777" w:rsidR="002166D3" w:rsidRDefault="00000000" w:rsidP="00C02A33">
      <w:pPr>
        <w:pStyle w:val="BodyText"/>
        <w:jc w:val="both"/>
      </w:pPr>
      <w:r>
        <w:t>Simon supplies an appropriate orientation here: a theory of rational choice must attend to the deciding organism’s limitations and the simplifications by which choice becomes feasible [11]. The present proposal adds a demand for traceability. When simplification changes the claim being made, that change should be visible. An agent may rationally accept risk; it should not redescribe that acceptance as a proof that the risk is absent.</w:t>
      </w:r>
    </w:p>
    <w:p w14:paraId="4DF80FF4" w14:textId="77777777" w:rsidR="002166D3" w:rsidRDefault="00000000" w:rsidP="00C02A33">
      <w:pPr>
        <w:pStyle w:val="Heading1"/>
        <w:jc w:val="both"/>
      </w:pPr>
      <w:bookmarkStart w:id="15" w:name="X43bf51b6fc8873bd431fdf104844dd6e93d4de6"/>
      <w:bookmarkEnd w:id="14"/>
      <w:r>
        <w:t>8 Populations of possibilities and the cost of robustness</w:t>
      </w:r>
    </w:p>
    <w:p w14:paraId="4088DDEE" w14:textId="77777777" w:rsidR="002166D3" w:rsidRDefault="00000000" w:rsidP="00C02A33">
      <w:pPr>
        <w:pStyle w:val="Heading2"/>
        <w:jc w:val="both"/>
      </w:pPr>
      <w:bookmarkStart w:id="16" w:name="from-an-individual-to-a-region"/>
      <w:r>
        <w:t>8.1 From an individual to a region</w:t>
      </w:r>
    </w:p>
    <w:p w14:paraId="5DB6C894" w14:textId="77777777" w:rsidR="002166D3" w:rsidRDefault="00000000" w:rsidP="00C02A33">
      <w:pPr>
        <w:pStyle w:val="FirstParagraph"/>
        <w:jc w:val="both"/>
      </w:pPr>
      <w:r>
        <w:t>IDEA changes the unit of evaluation from an individual genome to a box of tolerated genomes. A region can be valuable because many of its inhabitants remain viable, even if its best inhabitant is not the best point in the entire landscape [7]. This supports a philosophical distinction between success at a point and capacity to remain successful under variation.</w:t>
      </w:r>
    </w:p>
    <w:p w14:paraId="4839BCCB" w14:textId="77777777" w:rsidR="002166D3" w:rsidRDefault="00000000" w:rsidP="00C02A33">
      <w:pPr>
        <w:pStyle w:val="BodyText"/>
        <w:jc w:val="both"/>
      </w:pPr>
      <w:r>
        <w:t>The distinction should not be romanticized. The tested IDEA did not keep more optima than its Diffusion Evolution comparison in its principal diversity tests. Selecting for the lower fitness quantile of a region can favor some broad regions while sacrificing narrow peaks. It does not automatically preserve more kinds of possibility. Nor does the computational word species establish that an axis-aligned box captures biological species identity.</w:t>
      </w:r>
    </w:p>
    <w:p w14:paraId="6A0C8838" w14:textId="77777777" w:rsidR="002166D3" w:rsidRDefault="00000000" w:rsidP="00C02A33">
      <w:pPr>
        <w:pStyle w:val="BodyText"/>
        <w:jc w:val="both"/>
      </w:pPr>
      <w:r>
        <w:t>There are consequently two independent questions: how well a region tolerates variation, and how many distinct regions or modes remain represented. The robustness of one survivor does not imply the diversity of the population. An algorithm can become more regionally viable while becoming less plural. A philosophical interpretation that treats intervals as intrinsically inclusive would miss this trade-off.</w:t>
      </w:r>
    </w:p>
    <w:p w14:paraId="7DD2A954" w14:textId="77777777" w:rsidR="002166D3" w:rsidRDefault="00000000" w:rsidP="00C02A33">
      <w:pPr>
        <w:pStyle w:val="Heading2"/>
        <w:jc w:val="both"/>
      </w:pPr>
      <w:bookmarkStart w:id="17" w:name="quantiles-and-universal-claims"/>
      <w:bookmarkEnd w:id="16"/>
      <w:r>
        <w:t>8.2 Quantiles and universal claims</w:t>
      </w:r>
    </w:p>
    <w:p w14:paraId="15B6E551" w14:textId="77777777" w:rsidR="002166D3" w:rsidRDefault="00000000" w:rsidP="00C02A33">
      <w:pPr>
        <w:pStyle w:val="FirstParagraph"/>
        <w:jc w:val="both"/>
      </w:pPr>
      <w:r>
        <w:t>The robust-cover paper makes a further change. It considers the worst loss across an entire box of possible noise handoffs, rather than a lower fitness quantile estimated from sampled inhabitants [9]. In its Gaussian setting, the inner worst-case problem has an exact finite characterization. This enables a certificate for a particular cover; it does not make an evolutionary search globally optimal merely because that search proposes the cover.</w:t>
      </w:r>
    </w:p>
    <w:p w14:paraId="24881A30" w14:textId="77777777" w:rsidR="002166D3" w:rsidRDefault="00000000" w:rsidP="00C02A33">
      <w:pPr>
        <w:pStyle w:val="BodyText"/>
        <w:jc w:val="both"/>
      </w:pPr>
      <w:r>
        <w:t>A fixed quantile and a universal bound differ in their quantifiers. A quantile can disregard a specified fraction of cases under a stated law. A universal guarantee must include every admitted case, irrespective of how little probability it receives. In the paper’s stated asymptotic construction, fixed-quantile loss and worst-case loss remain separated by a nonvanishing ratio. The philosophical point does not depend on that ratio’s particular value: increasing sample density does not transform an average or a fixed quantile into a worst-case claim.</w:t>
      </w:r>
    </w:p>
    <w:p w14:paraId="14615B0A" w14:textId="77777777" w:rsidR="002166D3" w:rsidRDefault="00000000" w:rsidP="00C02A33">
      <w:pPr>
        <w:pStyle w:val="BodyText"/>
        <w:jc w:val="both"/>
      </w:pPr>
      <w:r>
        <w:t>Neither objective is universally preferable. A universal guarantee can be needlessly costly when the admitted set includes irrelevant combinations. A quantile objective can be unacceptable when the omitted tail contains consequential failures. The appropriate criterion depends on the uncertainty model and the intended use. The reasons for accepting one quantifier rather than another belong in the justification of the system.</w:t>
      </w:r>
    </w:p>
    <w:p w14:paraId="75EE3990" w14:textId="77777777" w:rsidR="002166D3" w:rsidRDefault="00000000" w:rsidP="00C02A33">
      <w:pPr>
        <w:pStyle w:val="Heading2"/>
        <w:jc w:val="both"/>
      </w:pPr>
      <w:bookmarkStart w:id="18" w:name="Xbbc42cd71a181b3899e6e69a82c7ad602ac0ce1"/>
      <w:bookmarkEnd w:id="17"/>
      <w:r>
        <w:lastRenderedPageBreak/>
        <w:t>8.3 More refinement can create more obligations</w:t>
      </w:r>
    </w:p>
    <w:p w14:paraId="4F234C96" w14:textId="77777777" w:rsidR="002166D3" w:rsidRDefault="00000000" w:rsidP="00C02A33">
      <w:pPr>
        <w:pStyle w:val="FirstParagraph"/>
        <w:jc w:val="both"/>
      </w:pPr>
      <w:r>
        <w:t>Ordinary numerical intuition suggests that more steps improve an approximation. INDIA confirms a form of this intuition for sufficiently controlled Gaussian DDIM steps, but robust handoff intervals complicate it. When every handoff carries a mandatory nonzero uncertainty width, adding more handoffs can add more opportunities for adverse variation. The robust-cover analysis therefore distinguishes free, at-most, and exact step budgets and identifies uncertainty-induced limits under its assumptions [8, 9].</w:t>
      </w:r>
    </w:p>
    <w:p w14:paraId="183DF953" w14:textId="77777777" w:rsidR="002166D3" w:rsidRDefault="00000000" w:rsidP="00C02A33">
      <w:pPr>
        <w:pStyle w:val="BodyText"/>
        <w:jc w:val="both"/>
      </w:pPr>
      <w:r>
        <w:t>This is a useful instance of bounded rationality at the level of procedure. A longer deliberation is not unconditionally a better deliberation when each additional operation brings a cost or a new uncertainty. The right question is whether the refinement improves the relevant end-to-end contract. The conclusion is conditional, not an argument against complexity: richer representations or better-controlled handoffs may change the trade-off.</w:t>
      </w:r>
    </w:p>
    <w:p w14:paraId="1C92AF09" w14:textId="77777777" w:rsidR="002166D3" w:rsidRDefault="00000000" w:rsidP="00C02A33">
      <w:pPr>
        <w:pStyle w:val="Heading1"/>
        <w:jc w:val="both"/>
      </w:pPr>
      <w:bookmarkStart w:id="19" w:name="Xc3094a6993436bb6fefd85cd5c65dea5b3d0fe6"/>
      <w:bookmarkEnd w:id="15"/>
      <w:bookmarkEnd w:id="18"/>
      <w:r>
        <w:t>9 A path is more than its endpoint distribution</w:t>
      </w:r>
    </w:p>
    <w:p w14:paraId="4251A37E" w14:textId="77777777" w:rsidR="002166D3" w:rsidRDefault="00000000" w:rsidP="00C02A33">
      <w:pPr>
        <w:pStyle w:val="FirstParagraph"/>
        <w:jc w:val="both"/>
      </w:pPr>
      <w:r>
        <w:t>INDIA starts from a compact noise domain covered by intervals. On a scalar noise line, an irredundant interval cover has an ordered chain structure, but the original unreduced cover does not by itself specify a unique sampling schedule. Overlaps introduce sets of permitted handoff levels, and their geometry affects discretization error [8]. A set of admissible transitions and an executed history are thus different objects.</w:t>
      </w:r>
    </w:p>
    <w:p w14:paraId="50F9ED97" w14:textId="77777777" w:rsidR="002166D3" w:rsidRDefault="00000000" w:rsidP="00C02A33">
      <w:pPr>
        <w:pStyle w:val="BodyText"/>
        <w:jc w:val="both"/>
      </w:pPr>
      <w:r>
        <w:t>The distinction becomes richer when noise has several coordinates. Different routes through the noise space may transport the same initial sample differently. In the Gaussian analysis, a chosen family of coordinate probability flows can be path-dependent even when each admissible path has the correct endpoint law. Other transport constructions can be flat. Correct marginals therefore underdetermine the geometry of individual transport [8].</w:t>
      </w:r>
    </w:p>
    <w:p w14:paraId="1F1CAB60" w14:textId="77777777" w:rsidR="002166D3" w:rsidRDefault="00000000" w:rsidP="00C02A33">
      <w:pPr>
        <w:pStyle w:val="BodyText"/>
        <w:jc w:val="both"/>
      </w:pPr>
      <w:r>
        <w:t>This result supports a careful philosophical analogy. Two processes may agree on the distribution of outcomes while disagreeing on which initial individual becomes which final individual. If the goal is only population sampling, that difference may be irrelevant. If the goal involves correspondence, editing, provenance, or preserving an identified example, it can matter greatly. Distributional fidelity and individual continuity are different standards of preservation.</w:t>
      </w:r>
    </w:p>
    <w:p w14:paraId="29E73C78" w14:textId="77777777" w:rsidR="002166D3" w:rsidRDefault="00000000" w:rsidP="00C02A33">
      <w:pPr>
        <w:pStyle w:val="BodyText"/>
        <w:jc w:val="both"/>
      </w:pPr>
      <w:r>
        <w:t>The analogy should not be inflated into a theory of personal identity or consciousness. A sample trajectory is not a conscious life, and a transport map supplies no account of experience. What the mathematics establishes is a simpler logical point: a description at the population level may omit relations essential to a question at the individual level. The question determines which equivalence is adequate.</w:t>
      </w:r>
    </w:p>
    <w:p w14:paraId="2707A315" w14:textId="77777777" w:rsidR="002166D3" w:rsidRDefault="00000000" w:rsidP="00C02A33">
      <w:pPr>
        <w:pStyle w:val="BodyText"/>
        <w:jc w:val="both"/>
      </w:pPr>
      <w:r>
        <w:t>There is a close connection to memory. Two compressed stores may agree on a test set while differing in how their answers relate to past episodes. A verifier aimed at decision agreement will not necessarily notice that difference, just as a check of marginal distributions will not identify a unique coupling. An agent that needs provenance must preserve or reconstruct it through an additional mechanism; it cannot recover the requirement by renaming output agreement as continuity.</w:t>
      </w:r>
    </w:p>
    <w:p w14:paraId="6B082E26" w14:textId="77777777" w:rsidR="002166D3" w:rsidRDefault="00000000" w:rsidP="00C02A33">
      <w:pPr>
        <w:pStyle w:val="Heading1"/>
        <w:jc w:val="both"/>
      </w:pPr>
      <w:bookmarkStart w:id="20" w:name="X7e04514c7e34b0ec80a835313a9fea29057b682"/>
      <w:bookmarkEnd w:id="19"/>
      <w:r>
        <w:t>10 Scientific revision is part of the architecture of inquiry</w:t>
      </w:r>
    </w:p>
    <w:p w14:paraId="33DF599F" w14:textId="77777777" w:rsidR="002166D3" w:rsidRDefault="00000000" w:rsidP="00C02A33">
      <w:pPr>
        <w:pStyle w:val="FirstParagraph"/>
        <w:jc w:val="both"/>
      </w:pPr>
      <w:r>
        <w:t>The programme’s negative results establish limits on its own preferred vocabulary. Positivity can simplify parts of verification but can trade off with accuracy or selective attention. Logarithmic storage supports particular arithmetic operations but does not automatically consolidate an additive episode. A population of boxes can optimize a robust objective without preserving more modes. Exact ranges can be less useful to a particular reward objective than a looser heuristic [1–4, 7]. These are reasons to refine the claims, not anomalies to hide in a philosophical synthesis.</w:t>
      </w:r>
    </w:p>
    <w:p w14:paraId="1A7DFF4E" w14:textId="77777777" w:rsidR="002166D3" w:rsidRDefault="00000000" w:rsidP="00C02A33">
      <w:pPr>
        <w:pStyle w:val="BodyText"/>
        <w:jc w:val="both"/>
      </w:pPr>
      <w:r>
        <w:lastRenderedPageBreak/>
        <w:t>P2’s two verdicts are especially instructive. Reporting success under the earlier rule and lack of mechanistic support under the pre-pilot gate preserves the history of the question. It prevents the convenient substitution of one criterion for another after the results are known. The exploratory recovery of retrieval accuracy then opens a new question about training and temperature without retroactively changing the confirmatory verdict [2].</w:t>
      </w:r>
    </w:p>
    <w:p w14:paraId="6EB8254E" w14:textId="77777777" w:rsidR="002166D3" w:rsidRDefault="00000000" w:rsidP="00C02A33">
      <w:pPr>
        <w:pStyle w:val="BodyText"/>
        <w:jc w:val="both"/>
      </w:pPr>
      <w:r>
        <w:t>P3 similarly separates frozen checks from stronger post-review checks, and P1 labels its revised participation analysis as post hoc [1, 3]. Such labeling does not make later inquiry illegitimate. It makes the evidential role of that inquiry assessable. A new explanation can be promising while still needing a new test. Distinguishing prediction from reconstruction is part of intellectual honesty, not a ban on learning from results.</w:t>
      </w:r>
    </w:p>
    <w:p w14:paraId="297C169A" w14:textId="77777777" w:rsidR="002166D3" w:rsidRDefault="00000000" w:rsidP="00C02A33">
      <w:pPr>
        <w:pStyle w:val="BodyText"/>
        <w:jc w:val="both"/>
      </w:pPr>
      <w:r>
        <w:t>The relevant philosophical virtue is corrigibility of claims. A system of inquiry should have procedures by which a strong statement becomes a narrower one when evidence requires it. The product-memory paper exemplifies this when it replaces an unrestricted inevitability claim with a conditional requirement to preserve sufficient information across an access or commitment transition [6]. The resulting claim is smaller but better defended.</w:t>
      </w:r>
    </w:p>
    <w:p w14:paraId="187BCFC4" w14:textId="77777777" w:rsidR="002166D3" w:rsidRDefault="00000000" w:rsidP="00C02A33">
      <w:pPr>
        <w:pStyle w:val="BodyText"/>
        <w:jc w:val="both"/>
      </w:pPr>
      <w:r>
        <w:t>Peirce’s discussion of scientific inquiry is pertinent because it distinguishes a method responsive to external constraint from the mere psychological stability of a belief [10]. A perfectly stable answer could still reflect tenacity. In the present programme, explicit witnesses, task controls, frozen criteria, and independent checking function as opportunities for resistance to a preferred interpretation. They do not guarantee that every conclusion is correct, but they make correction more tractable.</w:t>
      </w:r>
    </w:p>
    <w:p w14:paraId="60DE400F" w14:textId="77777777" w:rsidR="002166D3" w:rsidRDefault="00000000" w:rsidP="00C02A33">
      <w:pPr>
        <w:pStyle w:val="BodyText"/>
        <w:jc w:val="both"/>
      </w:pPr>
      <w:r>
        <w:t>This provides a recursive lesson. The papers ask systems to declare the conditions under which their decisions survive. The research programme should likewise declare the conditions under which its own explanatory claims survive. Certification becomes philosophically valuable when accompanied by a willingness to revise its scope, not when it is used to immunize an architecture from criticism.</w:t>
      </w:r>
    </w:p>
    <w:p w14:paraId="494C5F95" w14:textId="77777777" w:rsidR="002166D3" w:rsidRDefault="00000000" w:rsidP="00C02A33">
      <w:pPr>
        <w:pStyle w:val="Heading1"/>
        <w:jc w:val="both"/>
      </w:pPr>
      <w:bookmarkStart w:id="21" w:name="objections-and-limits"/>
      <w:bookmarkEnd w:id="20"/>
      <w:r>
        <w:t>11 Objections and limits</w:t>
      </w:r>
    </w:p>
    <w:p w14:paraId="11FBB2B2" w14:textId="77777777" w:rsidR="002166D3" w:rsidRDefault="00000000" w:rsidP="00C02A33">
      <w:pPr>
        <w:pStyle w:val="Heading2"/>
        <w:jc w:val="both"/>
      </w:pPr>
      <w:bookmarkStart w:id="22" w:name="is-this-only-engineering-discipline"/>
      <w:r>
        <w:t>11.1 Is this only engineering discipline</w:t>
      </w:r>
    </w:p>
    <w:p w14:paraId="000308CC" w14:textId="77777777" w:rsidR="002166D3" w:rsidRDefault="00000000" w:rsidP="00C02A33">
      <w:pPr>
        <w:pStyle w:val="FirstParagraph"/>
        <w:jc w:val="both"/>
      </w:pPr>
      <w:r>
        <w:t>One objection is that the paper merely restates good engineering: state assumptions, test mechanisms, preserve dependencies, and inspect residuals. Much of the recommended practice is indeed engineering discipline. The philosophical contribution lies in explaining why these practices concern warrant and the identity of the object being preserved. They expose different relations that the general language of knowledge or intelligence tends to combine.</w:t>
      </w:r>
    </w:p>
    <w:p w14:paraId="0F751B15" w14:textId="77777777" w:rsidR="002166D3" w:rsidRDefault="00000000" w:rsidP="00C02A33">
      <w:pPr>
        <w:pStyle w:val="BodyText"/>
        <w:jc w:val="both"/>
      </w:pPr>
      <w:r>
        <w:t>An output can remain fixed while its truth is unexamined. A memory can preserve decisions while losing future revisability. A population can preserve a law while changing individual correspondences. These separations constrain what should count as evidence for a cognitive claim. They are not resolved by reporting a better benchmark number, although empirical work can help determine their practical importance.</w:t>
      </w:r>
    </w:p>
    <w:p w14:paraId="1A9CA51D" w14:textId="77777777" w:rsidR="002166D3" w:rsidRDefault="00000000" w:rsidP="00C02A33">
      <w:pPr>
        <w:pStyle w:val="Heading2"/>
        <w:jc w:val="both"/>
      </w:pPr>
      <w:bookmarkStart w:id="23" w:name="X90898f134018c633d1bbb9a84ee37734f0ba73c"/>
      <w:bookmarkEnd w:id="22"/>
      <w:r>
        <w:t>11.2 Can explicit uncertainty become a fiction of completeness</w:t>
      </w:r>
    </w:p>
    <w:p w14:paraId="0676F87B" w14:textId="77777777" w:rsidR="002166D3" w:rsidRDefault="00000000" w:rsidP="00C02A33">
      <w:pPr>
        <w:pStyle w:val="FirstParagraph"/>
        <w:jc w:val="both"/>
      </w:pPr>
      <w:r>
        <w:t>A second objection is more serious. Declaring an uncertainty set may create the impression that everything outside it is irrelevant. The set could encode the designer’s convenience rather than the world’s actual variability. An exact guarantee can then lend authority to an incomplete picture.</w:t>
      </w:r>
    </w:p>
    <w:p w14:paraId="1D274597" w14:textId="77777777" w:rsidR="002166D3" w:rsidRDefault="00000000" w:rsidP="00C02A33">
      <w:pPr>
        <w:pStyle w:val="BodyText"/>
        <w:jc w:val="both"/>
      </w:pPr>
      <w:r>
        <w:lastRenderedPageBreak/>
        <w:t>The answer is to deny that explicitness establishes completeness. A declared box is open to criticism precisely because its limits are visible. Evidence for its relevance must come from the application, measurement, calibration, or a justified tolerance specification. Where such evidence is absent, the certificate remains a conditional mathematical result. There is no finite description here that proves the absence of every unmodeled failure.</w:t>
      </w:r>
    </w:p>
    <w:p w14:paraId="06A564D9" w14:textId="77777777" w:rsidR="002166D3" w:rsidRDefault="00000000" w:rsidP="00C02A33">
      <w:pPr>
        <w:pStyle w:val="BodyText"/>
        <w:jc w:val="both"/>
      </w:pPr>
      <w:r>
        <w:t>This limitation also prevents an infinite regress of certificates from becoming the proposed solution. A further verifier can check aspects of the first verifier, but empirical applicability and normative priority cannot all be deduced from formal self-inspection. Defensibility requires a division of labor among proof, observation, and judgment, with uncertainty at their interfaces acknowledged rather than concealed.</w:t>
      </w:r>
    </w:p>
    <w:p w14:paraId="121A9065" w14:textId="77777777" w:rsidR="002166D3" w:rsidRDefault="00000000" w:rsidP="00C02A33">
      <w:pPr>
        <w:pStyle w:val="Heading2"/>
        <w:jc w:val="both"/>
      </w:pPr>
      <w:bookmarkStart w:id="24" w:name="X35280ab668dee19bc5f122793d523c68e5cfe32"/>
      <w:bookmarkEnd w:id="23"/>
      <w:r>
        <w:t>11.3 Does preservation privilege the past over learning</w:t>
      </w:r>
    </w:p>
    <w:p w14:paraId="20222D53" w14:textId="77777777" w:rsidR="002166D3" w:rsidRDefault="00000000" w:rsidP="00C02A33">
      <w:pPr>
        <w:pStyle w:val="FirstParagraph"/>
        <w:jc w:val="both"/>
      </w:pPr>
      <w:r>
        <w:t>If stored decisions receive special protection, an architecture may preserve obsolete or unjustified conclusions. Certificate-guided retention can become an efficient mechanism of rigidity. The risk follows directly from the difference between retention and truth established in Section 3.</w:t>
      </w:r>
    </w:p>
    <w:p w14:paraId="5A3194F1" w14:textId="77777777" w:rsidR="002166D3" w:rsidRDefault="00000000" w:rsidP="00C02A33">
      <w:pPr>
        <w:pStyle w:val="BodyText"/>
        <w:jc w:val="both"/>
      </w:pPr>
      <w:r>
        <w:t>The response is to distinguish preserving a commitment through an unintended disturbance from retaining it after relevant counterevidence. A storage certificate concerns the former. Learning and correction concern the latter. A defensible system needs a policy for authorized revision as well as a mechanism for preventing accidental loss. Nothing in a log-parameter box specifies when new evidence should defeat an old conclusion.</w:t>
      </w:r>
    </w:p>
    <w:p w14:paraId="3B2BC432" w14:textId="77777777" w:rsidR="002166D3" w:rsidRDefault="00000000" w:rsidP="00C02A33">
      <w:pPr>
        <w:pStyle w:val="BodyText"/>
        <w:jc w:val="both"/>
      </w:pPr>
      <w:r>
        <w:t>The same distinction applies to residuals. Keeping residual information until it has been assessed is not a commitment to permanent archival storage. It creates an opportunity for an informed deletion or representation change. Whether that opportunity justifies its resource cost remains a practical question.</w:t>
      </w:r>
    </w:p>
    <w:p w14:paraId="19127DD8" w14:textId="77777777" w:rsidR="002166D3" w:rsidRDefault="00000000" w:rsidP="00C02A33">
      <w:pPr>
        <w:pStyle w:val="Heading2"/>
        <w:jc w:val="both"/>
      </w:pPr>
      <w:bookmarkStart w:id="25" w:name="X772e7931df0a2378e0c90e5671ec6604e808be2"/>
      <w:bookmarkEnd w:id="24"/>
      <w:r>
        <w:t>11.4 Does the synthesis explain biological intelligence</w:t>
      </w:r>
    </w:p>
    <w:p w14:paraId="75728C7A" w14:textId="77777777" w:rsidR="002166D3" w:rsidRDefault="00000000" w:rsidP="00C02A33">
      <w:pPr>
        <w:pStyle w:val="FirstParagraph"/>
        <w:jc w:val="both"/>
      </w:pPr>
      <w:r>
        <w:t>The programme uses terms such as sleep, species, attention, and action inhibition. Their use can generate hypotheses, but a mathematical correspondence does not establish a biological mechanism. A factor update is not identified with a physiological stage by sharing an order of operations. An algorithmic box is not a species merely by supporting variation. A confidence-like interval is not a neural uncertainty representation merely by changing a threshold.</w:t>
      </w:r>
    </w:p>
    <w:p w14:paraId="46840953" w14:textId="77777777" w:rsidR="002166D3" w:rsidRDefault="00000000" w:rsidP="00C02A33">
      <w:pPr>
        <w:pStyle w:val="BodyText"/>
        <w:jc w:val="both"/>
      </w:pPr>
      <w:r>
        <w:t>Biological interpretations need evidence that discriminates them from alternative mechanisms under relevant constraints. The corrected sleep paper makes this requirement explicit [6]. The present philosophical account accepts that limitation. It offers a way to ask more precise questions about intelligent systems; it does not derive the brain, consciousness, or general intelligence from positivity and interval arithmetic.</w:t>
      </w:r>
    </w:p>
    <w:p w14:paraId="5266894C" w14:textId="77777777" w:rsidR="002166D3" w:rsidRDefault="00000000" w:rsidP="00C02A33">
      <w:pPr>
        <w:pStyle w:val="Heading1"/>
        <w:jc w:val="both"/>
      </w:pPr>
      <w:bookmarkStart w:id="26" w:name="conclusion"/>
      <w:bookmarkEnd w:id="21"/>
      <w:bookmarkEnd w:id="25"/>
      <w:r>
        <w:t>12 Conclusion</w:t>
      </w:r>
    </w:p>
    <w:p w14:paraId="42AE01C6" w14:textId="77777777" w:rsidR="002166D3" w:rsidRPr="002F240B" w:rsidRDefault="00000000" w:rsidP="00C02A33">
      <w:pPr>
        <w:pStyle w:val="FirstParagraph"/>
        <w:jc w:val="both"/>
        <w:rPr>
          <w:sz w:val="28"/>
          <w:szCs w:val="28"/>
        </w:rPr>
      </w:pPr>
      <w:r w:rsidRPr="002F240B">
        <w:rPr>
          <w:sz w:val="28"/>
          <w:szCs w:val="28"/>
        </w:rPr>
        <w:t>The papers support a philosophy of intelligence centered on the conditions of defensible commitment. A system must distinguish using evidence from merely performing well, preserving a decision from establishing its truth, and retaining an answer from retaining what future inquiry may require. These distinctions are practical because each identifies a different failure that a single score can conceal.</w:t>
      </w:r>
    </w:p>
    <w:p w14:paraId="2886E89D" w14:textId="77777777" w:rsidR="002166D3" w:rsidRPr="002F240B" w:rsidRDefault="00000000" w:rsidP="00C02A33">
      <w:pPr>
        <w:pStyle w:val="BodyText"/>
        <w:jc w:val="both"/>
        <w:rPr>
          <w:sz w:val="28"/>
          <w:szCs w:val="28"/>
        </w:rPr>
      </w:pPr>
      <w:r w:rsidRPr="002F240B">
        <w:rPr>
          <w:sz w:val="28"/>
          <w:szCs w:val="28"/>
        </w:rPr>
        <w:t xml:space="preserve">Certificates contribute to this philosophy by making some preservation claims exact. Their force remains relative to a declared set, property, and domain. Dependencies </w:t>
      </w:r>
      <w:r w:rsidRPr="002F240B">
        <w:rPr>
          <w:sz w:val="28"/>
          <w:szCs w:val="28"/>
        </w:rPr>
        <w:lastRenderedPageBreak/>
        <w:t>determine which possibilities genuinely belong to that set. Memory constraints determine which distinctions can survive compression. Action policies determine when unresolved uncertainty warrants delay and when its costs should be accepted. No one of these components substitutes for the others.</w:t>
      </w:r>
    </w:p>
    <w:p w14:paraId="5A96A726" w14:textId="77777777" w:rsidR="002166D3" w:rsidRPr="002F240B" w:rsidRDefault="00000000" w:rsidP="00C02A33">
      <w:pPr>
        <w:pStyle w:val="BodyText"/>
        <w:jc w:val="both"/>
        <w:rPr>
          <w:sz w:val="28"/>
          <w:szCs w:val="28"/>
        </w:rPr>
      </w:pPr>
      <w:r w:rsidRPr="002F240B">
        <w:rPr>
          <w:sz w:val="28"/>
          <w:szCs w:val="28"/>
        </w:rPr>
        <w:t>The programme’s broader value lies in its capacity to revise its own expectations. Selection sometimes replaces accumulation; robust pooling does not establish selective attention; better precision allocation does not solve consolidation; interval geometry does not guarantee diversity; and a two-step factorization does not prove two physiological sleep stages inevitable. Keeping these conclusions visible produces a stronger account of intelligence than treating every technical success as confirmation of a single architecture.</w:t>
      </w:r>
    </w:p>
    <w:p w14:paraId="60974E05" w14:textId="77777777" w:rsidR="002166D3" w:rsidRPr="002F240B" w:rsidRDefault="00000000" w:rsidP="00C02A33">
      <w:pPr>
        <w:pStyle w:val="BodyText"/>
        <w:jc w:val="both"/>
        <w:rPr>
          <w:sz w:val="28"/>
          <w:szCs w:val="28"/>
        </w:rPr>
      </w:pPr>
      <w:r w:rsidRPr="002F240B">
        <w:rPr>
          <w:sz w:val="28"/>
          <w:szCs w:val="28"/>
        </w:rPr>
        <w:t>An intelligent system need not know everything before acting. It should, where feasible, preserve the distinction between what it has established, what it assumes, and what it has chosen to risk. The corresponding research programme should do the same. This is the sense in which certification can serve a fallible intelligence: it gives limited commitments a precise defense while leaving the larger project of inquiry open.</w:t>
      </w:r>
    </w:p>
    <w:p w14:paraId="27990144" w14:textId="77777777" w:rsidR="002166D3" w:rsidRDefault="00000000" w:rsidP="00C02A33">
      <w:pPr>
        <w:pStyle w:val="Heading1"/>
        <w:pageBreakBefore/>
        <w:jc w:val="both"/>
      </w:pPr>
      <w:bookmarkStart w:id="27" w:name="references"/>
      <w:bookmarkEnd w:id="26"/>
      <w:r>
        <w:lastRenderedPageBreak/>
        <w:t>References</w:t>
      </w:r>
    </w:p>
    <w:p w14:paraId="33D25350" w14:textId="1DE2CD31" w:rsidR="002166D3" w:rsidRDefault="00000000" w:rsidP="00C02A33">
      <w:pPr>
        <w:pStyle w:val="FirstParagraph"/>
        <w:keepLines/>
        <w:spacing w:after="140" w:line="240" w:lineRule="auto"/>
        <w:jc w:val="both"/>
      </w:pPr>
      <w:r>
        <w:rPr>
          <w:sz w:val="21"/>
        </w:rPr>
        <w:t xml:space="preserve">[1] Ghosh, D. P. (2026). </w:t>
      </w:r>
      <w:r>
        <w:rPr>
          <w:i/>
          <w:iCs/>
          <w:sz w:val="21"/>
        </w:rPr>
        <w:t>Log Interval Networks for Evidence Accumulation and Certified Decisions</w:t>
      </w:r>
      <w:r>
        <w:rPr>
          <w:sz w:val="21"/>
        </w:rPr>
        <w:t>. P1 of the log interval network programme. Research manuscript, 4 October.</w:t>
      </w:r>
      <w:r w:rsidR="006241D5">
        <w:rPr>
          <w:sz w:val="21"/>
        </w:rPr>
        <w:t xml:space="preserve"> </w:t>
      </w:r>
      <w:r w:rsidR="006241D5" w:rsidRPr="006241D5">
        <w:rPr>
          <w:sz w:val="21"/>
        </w:rPr>
        <w:t>https://doi.org/10.13140/RG.2.2.20745.40806</w:t>
      </w:r>
    </w:p>
    <w:p w14:paraId="26D2F416" w14:textId="72EC8F43" w:rsidR="002166D3" w:rsidRDefault="00000000" w:rsidP="00C02A33">
      <w:pPr>
        <w:pStyle w:val="BodyText"/>
        <w:keepLines/>
        <w:spacing w:after="140" w:line="240" w:lineRule="auto"/>
        <w:jc w:val="both"/>
      </w:pPr>
      <w:r>
        <w:rPr>
          <w:sz w:val="21"/>
        </w:rPr>
        <w:t xml:space="preserve">[2] Ghosh, D. P. (2026). </w:t>
      </w:r>
      <w:r>
        <w:rPr>
          <w:i/>
          <w:iCs/>
          <w:sz w:val="21"/>
        </w:rPr>
        <w:t>Positive Kronecker Attention with Dependency Control</w:t>
      </w:r>
      <w:r>
        <w:rPr>
          <w:sz w:val="21"/>
        </w:rPr>
        <w:t>. P2 of the log interval network programme. Research manuscript, 5 October.</w:t>
      </w:r>
      <w:r w:rsidR="006241D5">
        <w:rPr>
          <w:sz w:val="21"/>
        </w:rPr>
        <w:t xml:space="preserve"> </w:t>
      </w:r>
      <w:r w:rsidR="006241D5" w:rsidRPr="006241D5">
        <w:rPr>
          <w:sz w:val="21"/>
        </w:rPr>
        <w:t>https://doi.org/10.13140/RG.2.2.13300.51841</w:t>
      </w:r>
    </w:p>
    <w:p w14:paraId="05EAC989" w14:textId="4AEBF488" w:rsidR="002166D3" w:rsidRDefault="00000000" w:rsidP="00C02A33">
      <w:pPr>
        <w:pStyle w:val="BodyText"/>
        <w:keepLines/>
        <w:spacing w:after="140" w:line="240" w:lineRule="auto"/>
        <w:jc w:val="both"/>
      </w:pPr>
      <w:r>
        <w:rPr>
          <w:sz w:val="21"/>
        </w:rPr>
        <w:t xml:space="preserve">[3] Ghosh, D. P. (2026). </w:t>
      </w:r>
      <w:r>
        <w:rPr>
          <w:i/>
          <w:iCs/>
          <w:sz w:val="21"/>
        </w:rPr>
        <w:t>Sleep That Knows What It Keeps: Consolidation and Certified Precision for a Positive Kronecker Memory</w:t>
      </w:r>
      <w:r>
        <w:rPr>
          <w:sz w:val="21"/>
        </w:rPr>
        <w:t>. P3 of the log interval network programme. Research manuscript, 5 October.</w:t>
      </w:r>
      <w:r w:rsidR="006241D5">
        <w:rPr>
          <w:sz w:val="21"/>
        </w:rPr>
        <w:t xml:space="preserve"> </w:t>
      </w:r>
      <w:r w:rsidR="006241D5" w:rsidRPr="006241D5">
        <w:rPr>
          <w:sz w:val="21"/>
        </w:rPr>
        <w:t>https://doi.org/10.13140/RG.2.2.21851.32806</w:t>
      </w:r>
    </w:p>
    <w:p w14:paraId="1B424292" w14:textId="3FA5631E" w:rsidR="002166D3" w:rsidRDefault="00000000" w:rsidP="00C02A33">
      <w:pPr>
        <w:pStyle w:val="BodyText"/>
        <w:keepLines/>
        <w:spacing w:after="140" w:line="240" w:lineRule="auto"/>
        <w:jc w:val="both"/>
      </w:pPr>
      <w:r>
        <w:rPr>
          <w:sz w:val="21"/>
        </w:rPr>
        <w:t xml:space="preserve">[4] Ghosh, D. P. (2026). </w:t>
      </w:r>
      <w:r>
        <w:rPr>
          <w:i/>
          <w:iCs/>
          <w:sz w:val="21"/>
        </w:rPr>
        <w:t>A Brake That Acts When Action Ranges Overlap: Interval Salience, the Hyperdirect Pathway and Reward Rate</w:t>
      </w:r>
      <w:r>
        <w:rPr>
          <w:sz w:val="21"/>
        </w:rPr>
        <w:t>. P4 of the log interval network programme. Research manuscript, 11 October.</w:t>
      </w:r>
      <w:r w:rsidR="006241D5">
        <w:rPr>
          <w:sz w:val="21"/>
        </w:rPr>
        <w:t xml:space="preserve"> </w:t>
      </w:r>
      <w:r w:rsidR="006241D5" w:rsidRPr="006241D5">
        <w:rPr>
          <w:sz w:val="21"/>
        </w:rPr>
        <w:t>https://doi.org/10.13140/RG.2.2.13580.68483</w:t>
      </w:r>
    </w:p>
    <w:p w14:paraId="58009E8C" w14:textId="5F16ED20" w:rsidR="002166D3" w:rsidRDefault="00000000" w:rsidP="00C02A33">
      <w:pPr>
        <w:pStyle w:val="BodyText"/>
        <w:keepLines/>
        <w:spacing w:after="140" w:line="240" w:lineRule="auto"/>
        <w:jc w:val="both"/>
      </w:pPr>
      <w:r>
        <w:rPr>
          <w:sz w:val="21"/>
        </w:rPr>
        <w:t xml:space="preserve">[5] Ghosh, D. P. (2026). </w:t>
      </w:r>
      <w:r>
        <w:rPr>
          <w:i/>
          <w:iCs/>
          <w:sz w:val="21"/>
        </w:rPr>
        <w:t>What KP LNN Computes: Selection Accumulation and Certified Pruning</w:t>
      </w:r>
      <w:r>
        <w:rPr>
          <w:sz w:val="21"/>
        </w:rPr>
        <w:t>. N1 of the log interval network programme. Research paper, 12 October.</w:t>
      </w:r>
      <w:r w:rsidR="006241D5">
        <w:rPr>
          <w:sz w:val="21"/>
        </w:rPr>
        <w:t xml:space="preserve"> </w:t>
      </w:r>
      <w:r w:rsidR="006241D5" w:rsidRPr="006241D5">
        <w:rPr>
          <w:sz w:val="21"/>
        </w:rPr>
        <w:t>https://github.com/debiprasadghosh/ResearchOverFlow/tree/main/October2026/IntervalTransformer</w:t>
      </w:r>
    </w:p>
    <w:p w14:paraId="2ACF53F3" w14:textId="5361EE07" w:rsidR="002166D3" w:rsidRDefault="00000000" w:rsidP="00C02A33">
      <w:pPr>
        <w:pStyle w:val="BodyText"/>
        <w:keepLines/>
        <w:spacing w:after="140" w:line="240" w:lineRule="auto"/>
        <w:jc w:val="both"/>
      </w:pPr>
      <w:r>
        <w:rPr>
          <w:sz w:val="21"/>
        </w:rPr>
        <w:t xml:space="preserve">[6] Ghosh, D. P. (2026). </w:t>
      </w:r>
      <w:r>
        <w:rPr>
          <w:i/>
          <w:iCs/>
          <w:sz w:val="21"/>
        </w:rPr>
        <w:t>Two-stage Sleep Is Inevitable for Consolidation of Product Memory: Testing a Conditional Necessity Claim with Kronecker Projection and Retained Residuals</w:t>
      </w:r>
      <w:r>
        <w:rPr>
          <w:sz w:val="21"/>
        </w:rPr>
        <w:t>. Research manuscript, 10 October.</w:t>
      </w:r>
      <w:r w:rsidR="006241D5">
        <w:rPr>
          <w:sz w:val="21"/>
        </w:rPr>
        <w:t xml:space="preserve"> </w:t>
      </w:r>
      <w:r w:rsidR="006241D5" w:rsidRPr="006241D5">
        <w:rPr>
          <w:sz w:val="21"/>
        </w:rPr>
        <w:t>https://github.com/debiprasadghosh/ResearchOverFlow/tree/main/October2026/TwoStagesForProductSleep</w:t>
      </w:r>
    </w:p>
    <w:p w14:paraId="6ED46B1D" w14:textId="27ECCD15" w:rsidR="002166D3" w:rsidRDefault="00000000" w:rsidP="00C02A33">
      <w:pPr>
        <w:pStyle w:val="BodyText"/>
        <w:keepLines/>
        <w:spacing w:after="140" w:line="240" w:lineRule="auto"/>
        <w:jc w:val="both"/>
      </w:pPr>
      <w:r>
        <w:rPr>
          <w:sz w:val="21"/>
        </w:rPr>
        <w:t xml:space="preserve">[7] Ghosh, D. P. (2026). </w:t>
      </w:r>
      <w:r>
        <w:rPr>
          <w:i/>
          <w:iCs/>
          <w:sz w:val="21"/>
        </w:rPr>
        <w:t>When the Species Is a Box: An Interval Diffusion Evolutionary Algorithm, Made Precise and Tested</w:t>
      </w:r>
      <w:r>
        <w:rPr>
          <w:sz w:val="21"/>
        </w:rPr>
        <w:t>. Research manuscript, 11 October.</w:t>
      </w:r>
      <w:r w:rsidR="006241D5">
        <w:rPr>
          <w:sz w:val="21"/>
        </w:rPr>
        <w:t xml:space="preserve"> </w:t>
      </w:r>
      <w:r w:rsidR="006241D5" w:rsidRPr="006241D5">
        <w:rPr>
          <w:sz w:val="21"/>
        </w:rPr>
        <w:t>https://doi.org/10.13140/RG.2.2.25390.27206</w:t>
      </w:r>
    </w:p>
    <w:p w14:paraId="661E2F91" w14:textId="03668094" w:rsidR="002166D3" w:rsidRDefault="00000000" w:rsidP="00C02A33">
      <w:pPr>
        <w:pStyle w:val="BodyText"/>
        <w:keepLines/>
        <w:spacing w:after="140" w:line="240" w:lineRule="auto"/>
        <w:jc w:val="both"/>
      </w:pPr>
      <w:r>
        <w:rPr>
          <w:sz w:val="21"/>
        </w:rPr>
        <w:t xml:space="preserve">[8] Ghosh, D. P. (2026). </w:t>
      </w:r>
      <w:r>
        <w:rPr>
          <w:i/>
          <w:iCs/>
          <w:sz w:val="21"/>
        </w:rPr>
        <w:t>INDIA Interval Noise Diffusion Implicit Algorithm: Noise Covers Gaussian Error Bounds and Transport Curvature</w:t>
      </w:r>
      <w:r>
        <w:rPr>
          <w:sz w:val="21"/>
        </w:rPr>
        <w:t>. Mathematical research paper.</w:t>
      </w:r>
      <w:r w:rsidR="006241D5">
        <w:rPr>
          <w:sz w:val="21"/>
        </w:rPr>
        <w:t xml:space="preserve"> </w:t>
      </w:r>
      <w:r w:rsidR="006241D5" w:rsidRPr="006241D5">
        <w:rPr>
          <w:sz w:val="21"/>
        </w:rPr>
        <w:t>https://doi.org/10.13140/RG.2.2.19242.99523</w:t>
      </w:r>
    </w:p>
    <w:p w14:paraId="2F13CD94" w14:textId="69C3AC85" w:rsidR="002166D3" w:rsidRDefault="00000000" w:rsidP="00C02A33">
      <w:pPr>
        <w:pStyle w:val="BodyText"/>
        <w:keepLines/>
        <w:spacing w:after="140" w:line="240" w:lineRule="auto"/>
        <w:jc w:val="both"/>
      </w:pPr>
      <w:r>
        <w:rPr>
          <w:sz w:val="21"/>
        </w:rPr>
        <w:t xml:space="preserve">[9] Ghosh, D. P. (2026). </w:t>
      </w:r>
      <w:r>
        <w:rPr>
          <w:i/>
          <w:iCs/>
          <w:sz w:val="21"/>
        </w:rPr>
        <w:t>Optimal Robust Covers of INDIA using IDEA: Exact Certificates and Asymptotic Minimax Theory</w:t>
      </w:r>
      <w:r>
        <w:rPr>
          <w:sz w:val="21"/>
        </w:rPr>
        <w:t>. Mathematical research paper.</w:t>
      </w:r>
      <w:r w:rsidR="006241D5">
        <w:rPr>
          <w:sz w:val="21"/>
        </w:rPr>
        <w:t xml:space="preserve"> </w:t>
      </w:r>
      <w:r w:rsidR="006241D5" w:rsidRPr="006241D5">
        <w:rPr>
          <w:sz w:val="21"/>
        </w:rPr>
        <w:t>https://github.com/debiprasadghosh/ResearchOverFlow/tree/main/October2026/IDEASpeciesIsABox</w:t>
      </w:r>
    </w:p>
    <w:p w14:paraId="25C282EE" w14:textId="77777777" w:rsidR="002166D3" w:rsidRDefault="00000000" w:rsidP="00C02A33">
      <w:pPr>
        <w:pStyle w:val="BodyText"/>
        <w:keepLines/>
        <w:spacing w:after="140" w:line="240" w:lineRule="auto"/>
        <w:jc w:val="both"/>
      </w:pPr>
      <w:r>
        <w:rPr>
          <w:sz w:val="21"/>
        </w:rPr>
        <w:t xml:space="preserve">[10] Peirce, C. S. (1877). The fixation of belief. </w:t>
      </w:r>
      <w:r>
        <w:rPr>
          <w:i/>
          <w:iCs/>
          <w:sz w:val="21"/>
        </w:rPr>
        <w:t>Popular Science Monthly</w:t>
      </w:r>
      <w:r>
        <w:rPr>
          <w:sz w:val="21"/>
        </w:rPr>
        <w:t>, 12, 1–15. https://www.peirce.org/writings/p107.html</w:t>
      </w:r>
    </w:p>
    <w:p w14:paraId="3225A7F9" w14:textId="77777777" w:rsidR="002166D3" w:rsidRDefault="00000000" w:rsidP="00C02A33">
      <w:pPr>
        <w:pStyle w:val="BodyText"/>
        <w:keepLines/>
        <w:spacing w:after="140" w:line="240" w:lineRule="auto"/>
        <w:jc w:val="both"/>
      </w:pPr>
      <w:r>
        <w:rPr>
          <w:sz w:val="21"/>
        </w:rPr>
        <w:t xml:space="preserve">[11] Simon, H. A. (1955). A behavioral model of rational choice. </w:t>
      </w:r>
      <w:r>
        <w:rPr>
          <w:i/>
          <w:iCs/>
          <w:sz w:val="21"/>
        </w:rPr>
        <w:t>The Quarterly Journal of Economics</w:t>
      </w:r>
      <w:r>
        <w:rPr>
          <w:sz w:val="21"/>
        </w:rPr>
        <w:t>, 69(1), 99–118. https://doi.org/10.2307/1884852</w:t>
      </w:r>
    </w:p>
    <w:p w14:paraId="69A9C82E" w14:textId="77777777" w:rsidR="002166D3" w:rsidRDefault="00000000" w:rsidP="00C02A33">
      <w:pPr>
        <w:pStyle w:val="BodyText"/>
        <w:keepLines/>
        <w:spacing w:after="140" w:line="240" w:lineRule="auto"/>
        <w:jc w:val="both"/>
      </w:pPr>
      <w:r>
        <w:rPr>
          <w:sz w:val="21"/>
        </w:rPr>
        <w:t xml:space="preserve">[12] Gilboa, I., and Schmeidler, D. (1989). Maxmin expected utility with non-unique prior. </w:t>
      </w:r>
      <w:r>
        <w:rPr>
          <w:i/>
          <w:iCs/>
          <w:sz w:val="21"/>
        </w:rPr>
        <w:t>Journal of Mathematical Economics</w:t>
      </w:r>
      <w:r>
        <w:rPr>
          <w:sz w:val="21"/>
        </w:rPr>
        <w:t>, 18(2), 141–153. https://doi.org/10.1016/0304-4068(89)90018-9</w:t>
      </w:r>
      <w:bookmarkEnd w:id="27"/>
    </w:p>
    <w:sectPr w:rsidR="002166D3">
      <w:headerReference w:type="default" r:id="rId8"/>
      <w:footerReference w:type="default" r:id="rId9"/>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C121D" w14:textId="77777777" w:rsidR="009416E8" w:rsidRDefault="009416E8">
      <w:pPr>
        <w:spacing w:after="0" w:line="240" w:lineRule="auto"/>
      </w:pPr>
      <w:r>
        <w:separator/>
      </w:r>
    </w:p>
  </w:endnote>
  <w:endnote w:type="continuationSeparator" w:id="0">
    <w:p w14:paraId="3C4BF9EF" w14:textId="77777777" w:rsidR="009416E8" w:rsidRDefault="00941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252C" w14:textId="00FFCCF3" w:rsidR="002166D3" w:rsidRDefault="00000000">
    <w:pPr>
      <w:jc w:val="right"/>
    </w:pPr>
    <w:r>
      <w:rPr>
        <w:rFonts w:ascii="Arial" w:hAnsi="Arial"/>
        <w:sz w:val="16"/>
      </w:rPr>
      <w:t xml:space="preserve">Debi Prasad Ghosh · </w:t>
    </w:r>
    <w:r>
      <w:fldChar w:fldCharType="begin"/>
    </w:r>
    <w:r>
      <w:instrText>PAGE</w:instrText>
    </w:r>
    <w:r>
      <w:fldChar w:fldCharType="separate"/>
    </w:r>
    <w:r w:rsidR="00C02A3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2DB6" w14:textId="77777777" w:rsidR="009416E8" w:rsidRDefault="009416E8">
      <w:r>
        <w:separator/>
      </w:r>
    </w:p>
  </w:footnote>
  <w:footnote w:type="continuationSeparator" w:id="0">
    <w:p w14:paraId="447E9298" w14:textId="77777777" w:rsidR="009416E8" w:rsidRDefault="00941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B2F6" w14:textId="77777777" w:rsidR="002166D3" w:rsidRDefault="00000000">
    <w:pPr>
      <w:spacing w:after="0"/>
    </w:pPr>
    <w:r>
      <w:rPr>
        <w:rFonts w:ascii="Arial" w:hAnsi="Arial"/>
        <w:sz w:val="16"/>
      </w:rPr>
      <w:t>A Philosophy of Certified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B098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71225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66D3"/>
    <w:rsid w:val="002166D3"/>
    <w:rsid w:val="002F240B"/>
    <w:rsid w:val="002F402E"/>
    <w:rsid w:val="00517238"/>
    <w:rsid w:val="006241D5"/>
    <w:rsid w:val="006B7BB7"/>
    <w:rsid w:val="00823AF4"/>
    <w:rsid w:val="009416E8"/>
    <w:rsid w:val="00C02A33"/>
    <w:rsid w:val="00C36525"/>
    <w:rsid w:val="00C9295A"/>
    <w:rsid w:val="00EC6CA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41AA"/>
  <w15:docId w15:val="{81A73CC9-4D8B-4BBC-8AC3-99116033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4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6"/>
      <w:szCs w:val="36"/>
    </w:rPr>
  </w:style>
  <w:style w:type="paragraph" w:styleId="Subtitle">
    <w:name w:val="Subtitle"/>
    <w:basedOn w:val="Title"/>
    <w:next w:val="BodyText"/>
    <w:qFormat/>
    <w:rPr>
      <w:rFonts w:ascii="Arial" w:eastAsia="Arial" w:hAnsi="Arial" w:cs="Arial"/>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Header">
    <w:name w:val="header"/>
    <w:basedOn w:val="Normal"/>
    <w:link w:val="HeaderChar"/>
    <w:rsid w:val="00C02A33"/>
    <w:pPr>
      <w:tabs>
        <w:tab w:val="center" w:pos="4513"/>
        <w:tab w:val="right" w:pos="9026"/>
      </w:tabs>
      <w:spacing w:after="0" w:line="240" w:lineRule="auto"/>
    </w:pPr>
  </w:style>
  <w:style w:type="character" w:customStyle="1" w:styleId="HeaderChar">
    <w:name w:val="Header Char"/>
    <w:basedOn w:val="DefaultParagraphFont"/>
    <w:link w:val="Header"/>
    <w:rsid w:val="00C02A33"/>
    <w:rPr>
      <w:rFonts w:ascii="Times New Roman" w:eastAsia="Times New Roman" w:hAnsi="Times New Roman" w:cs="Times New Roman"/>
      <w:color w:val="000000"/>
      <w:sz w:val="23"/>
    </w:rPr>
  </w:style>
  <w:style w:type="paragraph" w:styleId="Footer">
    <w:name w:val="footer"/>
    <w:basedOn w:val="Normal"/>
    <w:link w:val="FooterChar"/>
    <w:rsid w:val="00C02A33"/>
    <w:pPr>
      <w:tabs>
        <w:tab w:val="center" w:pos="4513"/>
        <w:tab w:val="right" w:pos="9026"/>
      </w:tabs>
      <w:spacing w:after="0" w:line="240" w:lineRule="auto"/>
    </w:pPr>
  </w:style>
  <w:style w:type="character" w:customStyle="1" w:styleId="FooterChar">
    <w:name w:val="Footer Char"/>
    <w:basedOn w:val="DefaultParagraphFont"/>
    <w:link w:val="Footer"/>
    <w:rsid w:val="00C02A33"/>
    <w:rPr>
      <w:rFonts w:ascii="Times New Roman" w:eastAsia="Times New Roman" w:hAnsi="Times New Roman" w:cs="Times New Roman"/>
      <w:color w:val="000000"/>
      <w:sz w:val="23"/>
    </w:rPr>
  </w:style>
  <w:style w:type="character" w:styleId="UnresolvedMention">
    <w:name w:val="Unresolved Mention"/>
    <w:basedOn w:val="DefaultParagraphFont"/>
    <w:uiPriority w:val="99"/>
    <w:semiHidden/>
    <w:unhideWhenUsed/>
    <w:rsid w:val="00517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3140/RG.2.2.32795.840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14</Pages>
  <Words>6791</Words>
  <Characters>38712</Characters>
  <Application>Microsoft Office Word</Application>
  <DocSecurity>0</DocSecurity>
  <Lines>322</Lines>
  <Paragraphs>90</Paragraphs>
  <ScaleCrop>false</ScaleCrop>
  <Company/>
  <LinksUpToDate>false</LinksUpToDate>
  <CharactersWithSpaces>45413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Philosophy of Certified Intelligence</dc:title>
  <dc:subject>Evidence Memory and Action Under Explicit Uncertainty</dc:subject>
  <dc:creator>Debi Prasad Ghosh</dc:creator>
  <cp:keywords>philosophy of artificial intelligence; epistemic warrant; memory; certification; uncertainty</cp:keywords>
  <dc:description/>
  <cp:lastModifiedBy>Debiprasad Ghosh</cp:lastModifiedBy>
  <cp:revision>9</cp:revision>
  <cp:lastPrinted>2026-10-13T05:28:00Z</cp:lastPrinted>
  <dcterms:created xsi:type="dcterms:W3CDTF">2026-10-12T14:06:00Z</dcterms:created>
  <dcterms:modified xsi:type="dcterms:W3CDTF">2026-10-13T05:31:00Z</dcterms:modified>
</cp:coreProperties>
</file>