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9DE23" w14:textId="77777777" w:rsidR="00CF1D86" w:rsidRPr="00FD7249" w:rsidRDefault="00000000" w:rsidP="00B9683A">
      <w:pPr>
        <w:pStyle w:val="Title"/>
        <w:jc w:val="center"/>
        <w:rPr>
          <w:sz w:val="64"/>
          <w:szCs w:val="64"/>
        </w:rPr>
      </w:pPr>
      <w:r w:rsidRPr="00FD7249">
        <w:rPr>
          <w:sz w:val="64"/>
          <w:szCs w:val="64"/>
        </w:rPr>
        <w:t>My Post-Transformer AI Philosophy</w:t>
      </w:r>
    </w:p>
    <w:p w14:paraId="732C7752" w14:textId="647F7310" w:rsidR="003B7694" w:rsidRPr="003B7694" w:rsidRDefault="00000000" w:rsidP="003B7694">
      <w:pPr>
        <w:pStyle w:val="Subtitle"/>
        <w:jc w:val="center"/>
        <w:rPr>
          <w:sz w:val="28"/>
          <w:szCs w:val="28"/>
        </w:rPr>
      </w:pPr>
      <w:r w:rsidRPr="00D2109D">
        <w:rPr>
          <w:sz w:val="28"/>
          <w:szCs w:val="28"/>
        </w:rPr>
        <w:t>Toward intelligence that can remember, compose, revise, and justify</w:t>
      </w:r>
    </w:p>
    <w:p w14:paraId="77C13D6E" w14:textId="31FA39D8" w:rsidR="00CF1D86" w:rsidRDefault="00000000" w:rsidP="00B9683A">
      <w:pPr>
        <w:spacing w:after="280"/>
        <w:jc w:val="center"/>
      </w:pPr>
      <w:r>
        <w:rPr>
          <w:b/>
          <w:sz w:val="20"/>
        </w:rPr>
        <w:t>Debi Prasad Ghosh</w:t>
      </w:r>
      <w:r>
        <w:rPr>
          <w:sz w:val="20"/>
        </w:rPr>
        <w:br/>
        <w:t>Founder &amp; Principal Engineer, Debias Parametric Guru</w:t>
      </w:r>
      <w:r>
        <w:rPr>
          <w:sz w:val="20"/>
        </w:rPr>
        <w:br/>
        <w:t>6 October 2026</w:t>
      </w:r>
      <w:r w:rsidR="00802542">
        <w:rPr>
          <w:sz w:val="20"/>
        </w:rPr>
        <w:t xml:space="preserve">, </w:t>
      </w:r>
      <w:hyperlink r:id="rId8" w:history="1">
        <w:r w:rsidR="00802542" w:rsidRPr="004E5D2A">
          <w:rPr>
            <w:rStyle w:val="Hyperlink"/>
            <w:sz w:val="20"/>
          </w:rPr>
          <w:t>https://doi.org/10.13140/RG.2.2.30857.61286</w:t>
        </w:r>
      </w:hyperlink>
      <w:r w:rsidR="00802542">
        <w:rPr>
          <w:sz w:val="20"/>
        </w:rPr>
        <w:t xml:space="preserve"> </w:t>
      </w:r>
    </w:p>
    <w:p w14:paraId="4B5E8AB7" w14:textId="77777777" w:rsidR="00CF1D86" w:rsidRPr="00532F07" w:rsidRDefault="00000000" w:rsidP="00B9683A">
      <w:pPr>
        <w:jc w:val="both"/>
        <w:rPr>
          <w:sz w:val="24"/>
          <w:szCs w:val="24"/>
        </w:rPr>
      </w:pPr>
      <w:r w:rsidRPr="00532F07">
        <w:rPr>
          <w:sz w:val="24"/>
          <w:szCs w:val="24"/>
        </w:rPr>
        <w:t>I approach artificial intelligence as an engineer. A structural drawing becomes useful when its geometry, assumptions, interfaces, and consequences can be examined together. A calculation becomes actionable when someone can explain what it establishes and where its authority ends. These habits shape my central question about AI: what would an intelligent system need to retain, reconcile, and justify before we could depend on it?</w:t>
      </w:r>
    </w:p>
    <w:p w14:paraId="04FC5BBC" w14:textId="77777777" w:rsidR="00CF1D86" w:rsidRPr="00532F07" w:rsidRDefault="00000000" w:rsidP="00B9683A">
      <w:pPr>
        <w:jc w:val="both"/>
        <w:rPr>
          <w:sz w:val="24"/>
          <w:szCs w:val="24"/>
        </w:rPr>
      </w:pPr>
      <w:r w:rsidRPr="00532F07">
        <w:rPr>
          <w:sz w:val="24"/>
          <w:szCs w:val="24"/>
        </w:rPr>
        <w:t>The Transformer made access to contextual information extraordinarily effective. In an autoregressive Transformer, attention can consult representations of the tokens already processed, often through a key–value cache. That is a powerful form of working state. My interest now is how a system can learn beyond the immediate episode, assemble knowledge stored in different places, revise its interpretation, and preserve the evidence needed for consequential decisions.</w:t>
      </w:r>
      <w:r w:rsidRPr="00532F07">
        <w:rPr>
          <w:color w:val="576B77"/>
          <w:sz w:val="18"/>
          <w:szCs w:val="24"/>
          <w:vertAlign w:val="superscript"/>
        </w:rPr>
        <w:t xml:space="preserve"> [1]</w:t>
      </w:r>
    </w:p>
    <w:p w14:paraId="6057F930" w14:textId="77777777" w:rsidR="00CF1D86" w:rsidRPr="00532F07" w:rsidRDefault="00000000" w:rsidP="00B9683A">
      <w:pPr>
        <w:jc w:val="both"/>
        <w:rPr>
          <w:sz w:val="24"/>
          <w:szCs w:val="24"/>
        </w:rPr>
      </w:pPr>
      <w:r w:rsidRPr="00532F07">
        <w:rPr>
          <w:sz w:val="24"/>
          <w:szCs w:val="24"/>
        </w:rPr>
        <w:t>I use “post-Transformer” to name this change in the object of design. Attention can remain wherever it serves the task. The larger architecture must decide what counts as a state, what may become durable knowledge, how different states can be composed, and which changes preserve the system’s obligations. This is a research programme whose mathematical results, controlled experiments, and architectural hypotheses must retain their separate status.</w:t>
      </w:r>
      <w:r w:rsidRPr="00532F07">
        <w:rPr>
          <w:color w:val="576B77"/>
          <w:sz w:val="18"/>
          <w:szCs w:val="24"/>
          <w:vertAlign w:val="superscript"/>
        </w:rPr>
        <w:t xml:space="preserve"> [2]</w:t>
      </w:r>
    </w:p>
    <w:p w14:paraId="29FF81A0" w14:textId="77777777" w:rsidR="00CF1D86" w:rsidRPr="00532F07" w:rsidRDefault="00000000" w:rsidP="00B9683A">
      <w:pPr>
        <w:jc w:val="both"/>
        <w:rPr>
          <w:sz w:val="24"/>
          <w:szCs w:val="24"/>
        </w:rPr>
      </w:pPr>
      <w:r w:rsidRPr="00532F07">
        <w:rPr>
          <w:sz w:val="24"/>
          <w:szCs w:val="24"/>
        </w:rPr>
        <w:t>My first commitment is that long-term memory should reduce the history required by present thought. An experienced engineer applies a familiar check without replaying every project through which the check was learned. The current problem supplies its measurements and unresolved questions; consolidated knowledge supplies reusable structure. I want an AI memory system to earn its name through the active history it makes dispensable.</w:t>
      </w:r>
      <w:r w:rsidRPr="00532F07">
        <w:rPr>
          <w:color w:val="576B77"/>
          <w:sz w:val="18"/>
          <w:szCs w:val="24"/>
          <w:vertAlign w:val="superscript"/>
        </w:rPr>
        <w:t xml:space="preserve"> [1]</w:t>
      </w:r>
    </w:p>
    <w:p w14:paraId="4A1CB323" w14:textId="77777777" w:rsidR="00CF1D86" w:rsidRPr="00532F07" w:rsidRDefault="00000000" w:rsidP="00B9683A">
      <w:pPr>
        <w:jc w:val="both"/>
        <w:rPr>
          <w:sz w:val="24"/>
          <w:szCs w:val="24"/>
        </w:rPr>
      </w:pPr>
      <w:r w:rsidRPr="00532F07">
        <w:rPr>
          <w:sz w:val="24"/>
          <w:szCs w:val="24"/>
        </w:rPr>
        <w:t>This is the meaning of The Purpose of Long-term Memory is Context-Free Short-term Memory. “Context-free” is relative to a task and an error tolerance: a bounded working window, together with selective recall, should preserve the relevant decisions available from a much longer history. In my proposed implementation, memory stores short trajectories addressed by leading cues, and compatible occurrences can be consolidated subject to a functional distortion test. A randomly initialized repertoire provides capacity before training; experience must still supply its evidential content.</w:t>
      </w:r>
      <w:r w:rsidRPr="00532F07">
        <w:rPr>
          <w:color w:val="576B77"/>
          <w:sz w:val="18"/>
          <w:szCs w:val="24"/>
          <w:vertAlign w:val="superscript"/>
        </w:rPr>
        <w:t xml:space="preserve"> [1]</w:t>
      </w:r>
    </w:p>
    <w:p w14:paraId="4A1121A7" w14:textId="77777777" w:rsidR="00CF1D86" w:rsidRPr="00532F07" w:rsidRDefault="00000000" w:rsidP="00B9683A">
      <w:pPr>
        <w:jc w:val="both"/>
        <w:rPr>
          <w:sz w:val="24"/>
          <w:szCs w:val="24"/>
        </w:rPr>
      </w:pPr>
      <w:r w:rsidRPr="00532F07">
        <w:rPr>
          <w:sz w:val="24"/>
          <w:szCs w:val="24"/>
        </w:rPr>
        <w:t>A durable memory also needs different kinds of persistence. Reusable rules, the current state of a particular entity, and the evidence supporting or challenging a conclusion serve different purposes. Hierarchical Predictive Memory separates these objects and proposes typed, question-conditioned decision heads alongside a generator. Such a system should report an answer at the resolution its evidence supports. Ageing evidence may justify a broader answer, and a contradiction may require reopening an earlier interpretation.</w:t>
      </w:r>
      <w:r w:rsidRPr="00532F07">
        <w:rPr>
          <w:color w:val="576B77"/>
          <w:sz w:val="18"/>
          <w:szCs w:val="24"/>
          <w:vertAlign w:val="superscript"/>
        </w:rPr>
        <w:t xml:space="preserve"> [3]</w:t>
      </w:r>
    </w:p>
    <w:p w14:paraId="0E44D8A4" w14:textId="77777777" w:rsidR="00CF1D86" w:rsidRPr="00532F07" w:rsidRDefault="00000000" w:rsidP="00B9683A">
      <w:pPr>
        <w:jc w:val="both"/>
        <w:rPr>
          <w:sz w:val="24"/>
          <w:szCs w:val="24"/>
        </w:rPr>
      </w:pPr>
      <w:r w:rsidRPr="00532F07">
        <w:rPr>
          <w:sz w:val="24"/>
          <w:szCs w:val="24"/>
        </w:rPr>
        <w:lastRenderedPageBreak/>
        <w:t>The value of a memory cannot always be priced when it is written. Consider two independent fair bits observed at different times, with a later question asking for their parity. Before the second bit arrives, the first bit alone does not improve prediction of the final parity. After the second arrives, it becomes indispensable. A perfectly calibrated assessment of present usefulness can therefore discard information needed by a future question. Memory admission must account for possible future conditioning, within a stated task family.</w:t>
      </w:r>
      <w:r w:rsidRPr="00532F07">
        <w:rPr>
          <w:color w:val="576B77"/>
          <w:sz w:val="18"/>
          <w:szCs w:val="24"/>
          <w:vertAlign w:val="superscript"/>
        </w:rPr>
        <w:t xml:space="preserve"> [3]</w:t>
      </w:r>
    </w:p>
    <w:p w14:paraId="0237BE4F" w14:textId="77777777" w:rsidR="00CF1D86" w:rsidRPr="00532F07" w:rsidRDefault="00000000" w:rsidP="00B9683A">
      <w:pPr>
        <w:jc w:val="both"/>
        <w:rPr>
          <w:sz w:val="24"/>
          <w:szCs w:val="24"/>
        </w:rPr>
      </w:pPr>
      <w:r w:rsidRPr="00532F07">
        <w:rPr>
          <w:sz w:val="24"/>
          <w:szCs w:val="24"/>
        </w:rPr>
        <w:t>The controller that makes these decisions belongs inside the resource budget. PRNGed Pre-trained Titans separates a seed-regenerable substrate from writable experience: a seed can regenerate a fixed operator, but cannot recreate an acquired fact whose records have been deleted. Its sequel shows how, in a specified linear setting, exact interference statistics can require twice the scalars of the dense base removed at equal precision. A compact memory mechanism can have an expensive admission mechanism. Storage, routing, readout, interference control, and provenance all count.</w:t>
      </w:r>
      <w:r w:rsidRPr="00532F07">
        <w:rPr>
          <w:color w:val="576B77"/>
          <w:sz w:val="18"/>
          <w:szCs w:val="24"/>
          <w:vertAlign w:val="superscript"/>
        </w:rPr>
        <w:t xml:space="preserve"> [4, 5]</w:t>
      </w:r>
    </w:p>
    <w:p w14:paraId="2F8C8F0D" w14:textId="77777777" w:rsidR="00CF1D86" w:rsidRPr="00532F07" w:rsidRDefault="00000000" w:rsidP="00B9683A">
      <w:pPr>
        <w:jc w:val="both"/>
        <w:rPr>
          <w:sz w:val="24"/>
          <w:szCs w:val="24"/>
        </w:rPr>
      </w:pPr>
      <w:r w:rsidRPr="00532F07">
        <w:rPr>
          <w:sz w:val="24"/>
          <w:szCs w:val="24"/>
        </w:rPr>
        <w:t>This leads to my interest in sleep consolidation and logarithmic interval networks. Fast adaptation and durable structure should have different update regimes. During an active episode, a system can learn through temporary adapters or working state. During an offline phase, it can test which changes deserve incorporation into a slower store. Calling that phase “sleep” specifies an architectural role; the actual consolidation rule must show what it absorbs and what it leaves behind.</w:t>
      </w:r>
      <w:r w:rsidRPr="00532F07">
        <w:rPr>
          <w:color w:val="576B77"/>
          <w:sz w:val="18"/>
          <w:szCs w:val="24"/>
          <w:vertAlign w:val="superscript"/>
        </w:rPr>
        <w:t xml:space="preserve"> [6]</w:t>
      </w:r>
    </w:p>
    <w:p w14:paraId="3E58C1F6" w14:textId="77777777" w:rsidR="00CF1D86" w:rsidRPr="00532F07" w:rsidRDefault="00000000" w:rsidP="00B9683A">
      <w:pPr>
        <w:jc w:val="both"/>
        <w:rPr>
          <w:sz w:val="24"/>
          <w:szCs w:val="24"/>
        </w:rPr>
      </w:pPr>
      <w:r w:rsidRPr="00532F07">
        <w:rPr>
          <w:sz w:val="24"/>
          <w:szCs w:val="24"/>
        </w:rPr>
        <w:t>The number system is part of this design. Logarithmic storage turns multiplication of positive quantities into addition of their logarithms. Kronecker factors can represent particular structured operators compactly. Intervals on stored log weights can then make the consequences of limited precision examinable. Exact decision tests require the stated model structure and correct treatment of shared factors. Algebraic convenience alone establishes neither a speed advantage on hardware nor preservation of a learned capability.</w:t>
      </w:r>
      <w:r w:rsidRPr="00532F07">
        <w:rPr>
          <w:color w:val="576B77"/>
          <w:sz w:val="18"/>
          <w:szCs w:val="24"/>
          <w:vertAlign w:val="superscript"/>
        </w:rPr>
        <w:t xml:space="preserve"> [6]</w:t>
      </w:r>
    </w:p>
    <w:p w14:paraId="6E15DBD9" w14:textId="77777777" w:rsidR="00CF1D86" w:rsidRPr="00532F07" w:rsidRDefault="00000000" w:rsidP="00B9683A">
      <w:pPr>
        <w:jc w:val="both"/>
        <w:rPr>
          <w:sz w:val="24"/>
          <w:szCs w:val="24"/>
        </w:rPr>
      </w:pPr>
      <w:r w:rsidRPr="00532F07">
        <w:rPr>
          <w:sz w:val="24"/>
          <w:szCs w:val="24"/>
        </w:rPr>
        <w:t>Sleep That Knows What It Keeps makes the distinction concrete. Its reported experiments support certificate-guided precision allocation at the registered memory budget in the tested positive Kronecker memory, while several consolidation claims fail. A learned change that the slow store does not absorb remains a residual: deleting the adapter does not make that residual harmless. Furthermore, a certificate that a decision survives quantization can preserve a wrong decision. Retention, correctness, and the cost of obtaining a certificate need separate measurements.</w:t>
      </w:r>
      <w:r w:rsidRPr="00532F07">
        <w:rPr>
          <w:color w:val="576B77"/>
          <w:sz w:val="18"/>
          <w:szCs w:val="24"/>
          <w:vertAlign w:val="superscript"/>
        </w:rPr>
        <w:t xml:space="preserve"> [6]</w:t>
      </w:r>
    </w:p>
    <w:p w14:paraId="579FF9BC" w14:textId="77777777" w:rsidR="00CF1D86" w:rsidRPr="00532F07" w:rsidRDefault="00000000" w:rsidP="00B9683A">
      <w:pPr>
        <w:jc w:val="both"/>
        <w:rPr>
          <w:sz w:val="24"/>
          <w:szCs w:val="24"/>
        </w:rPr>
      </w:pPr>
      <w:r w:rsidRPr="00532F07">
        <w:rPr>
          <w:sz w:val="24"/>
          <w:szCs w:val="24"/>
        </w:rPr>
        <w:t>I want continual learning to face the same scrutiny. My synaptic weight-history work began with a simple intuition: preserve several timescales of a weight’s past. Analysis then showed that fixed linear fusion under constant-step stochastic gradient descent can be exactly equivalent to multi-timescale momentum. Nonlinear processing of individual weight–input contributions can change the transfer function, but that does not establish retention. In the reported toy setting, the stronger retention came from a moving-teacher objective rather than the standalone history banks tested. The mechanism deserves credit only for what the comparison isolates.</w:t>
      </w:r>
      <w:r w:rsidRPr="00532F07">
        <w:rPr>
          <w:color w:val="576B77"/>
          <w:sz w:val="18"/>
          <w:szCs w:val="24"/>
          <w:vertAlign w:val="superscript"/>
        </w:rPr>
        <w:t xml:space="preserve"> [7]</w:t>
      </w:r>
    </w:p>
    <w:p w14:paraId="2F3C7C56" w14:textId="77777777" w:rsidR="00CF1D86" w:rsidRPr="00532F07" w:rsidRDefault="00000000" w:rsidP="00B9683A">
      <w:pPr>
        <w:jc w:val="both"/>
        <w:rPr>
          <w:sz w:val="24"/>
          <w:szCs w:val="24"/>
        </w:rPr>
      </w:pPr>
      <w:r w:rsidRPr="00532F07">
        <w:rPr>
          <w:sz w:val="24"/>
          <w:szCs w:val="24"/>
        </w:rPr>
        <w:t xml:space="preserve">Once knowledge is stored in separate pieces, memory becomes a composition problem. Two retrieved objects can each be relevant while disagreeing about their shared entity, boundary, or revision. They can also agree while jointly omitting the information needed to answer the </w:t>
      </w:r>
      <w:r w:rsidRPr="00532F07">
        <w:rPr>
          <w:sz w:val="24"/>
          <w:szCs w:val="24"/>
        </w:rPr>
        <w:lastRenderedPageBreak/>
        <w:t>question. SheafKV organizes three checks: compatibility on overlaps, existence of a finer realization, and preservation of the task readout. Success at one check cannot substitute for success at the others.</w:t>
      </w:r>
      <w:r w:rsidRPr="00532F07">
        <w:rPr>
          <w:color w:val="576B77"/>
          <w:sz w:val="18"/>
          <w:szCs w:val="24"/>
          <w:vertAlign w:val="superscript"/>
        </w:rPr>
        <w:t xml:space="preserve"> [8]</w:t>
      </w:r>
    </w:p>
    <w:p w14:paraId="3E7ABD51" w14:textId="77777777" w:rsidR="00CF1D86" w:rsidRPr="00532F07" w:rsidRDefault="00000000" w:rsidP="00B9683A">
      <w:pPr>
        <w:jc w:val="both"/>
        <w:rPr>
          <w:sz w:val="24"/>
          <w:szCs w:val="24"/>
        </w:rPr>
      </w:pPr>
      <w:r w:rsidRPr="00532F07">
        <w:rPr>
          <w:sz w:val="24"/>
          <w:szCs w:val="24"/>
        </w:rPr>
        <w:t>This is why I am interested in sheaves: they make local representations and their interface obligations explicit. The useful question is what the maps constrain and what an observed failure means. A zero lifting obstruction says that a completion exists under the specified model; it does not establish uniqueness, task fidelity, or physical correctness. Likewise, counting cycles is insufficient to diagnose the relevant obstruction. Topology earns a place in the architecture when the chosen relations do measurable work.</w:t>
      </w:r>
      <w:r w:rsidRPr="00532F07">
        <w:rPr>
          <w:color w:val="576B77"/>
          <w:sz w:val="18"/>
          <w:szCs w:val="24"/>
          <w:vertAlign w:val="superscript"/>
        </w:rPr>
        <w:t xml:space="preserve"> [8, 9]</w:t>
      </w:r>
    </w:p>
    <w:p w14:paraId="05BDB09C" w14:textId="77777777" w:rsidR="00CF1D86" w:rsidRPr="00532F07" w:rsidRDefault="00000000" w:rsidP="00B9683A">
      <w:pPr>
        <w:jc w:val="both"/>
        <w:rPr>
          <w:sz w:val="24"/>
          <w:szCs w:val="24"/>
        </w:rPr>
      </w:pPr>
      <w:r w:rsidRPr="00532F07">
        <w:rPr>
          <w:sz w:val="24"/>
          <w:szCs w:val="24"/>
        </w:rPr>
        <w:t>Composing learned abilities needs a similar audit. Geometry and Identifiability of Compositional Neural Editing shows why agreement between two edit orders does not identify a general composition rule. Well-conditioned coordinates and small local interactions constrain only part of the problem. The interface must retain the context needed for later combinations, and tests must examine the resulting task outputs. A convincing geometry still owes an account of what the learner can distinguish.</w:t>
      </w:r>
      <w:r w:rsidRPr="00532F07">
        <w:rPr>
          <w:color w:val="576B77"/>
          <w:sz w:val="18"/>
          <w:szCs w:val="24"/>
          <w:vertAlign w:val="superscript"/>
        </w:rPr>
        <w:t xml:space="preserve"> [19]</w:t>
      </w:r>
    </w:p>
    <w:p w14:paraId="592CFE87" w14:textId="77777777" w:rsidR="00CF1D86" w:rsidRPr="00532F07" w:rsidRDefault="00000000" w:rsidP="00B9683A">
      <w:pPr>
        <w:jc w:val="both"/>
        <w:rPr>
          <w:sz w:val="24"/>
          <w:szCs w:val="24"/>
        </w:rPr>
      </w:pPr>
      <w:r w:rsidRPr="00532F07">
        <w:rPr>
          <w:sz w:val="24"/>
          <w:szCs w:val="24"/>
        </w:rPr>
        <w:t>Structural drawing intelligence gives this philosophy a practical setting. A drawing’s lines become grids, members, joints, assemblies, and a proposed structural system through successive interpretation. My CAD framework separates aggregation upward, consistency checks downward, and completion under an explicit template. The same empty bay may represent a missing member in one interpretation and an intentional expansion joint in another. The system must examine the interpretation that licenses a completion before presenting the completion as an answer.</w:t>
      </w:r>
      <w:r w:rsidRPr="00532F07">
        <w:rPr>
          <w:color w:val="576B77"/>
          <w:sz w:val="18"/>
          <w:szCs w:val="24"/>
          <w:vertAlign w:val="superscript"/>
        </w:rPr>
        <w:t xml:space="preserve"> [10, 11]</w:t>
      </w:r>
    </w:p>
    <w:p w14:paraId="2E2D612D" w14:textId="77777777" w:rsidR="00CF1D86" w:rsidRPr="00532F07" w:rsidRDefault="00000000" w:rsidP="00B9683A">
      <w:pPr>
        <w:jc w:val="both"/>
        <w:rPr>
          <w:sz w:val="24"/>
          <w:szCs w:val="24"/>
        </w:rPr>
      </w:pPr>
      <w:r w:rsidRPr="00532F07">
        <w:rPr>
          <w:sz w:val="24"/>
          <w:szCs w:val="24"/>
        </w:rPr>
        <w:t>Across engineering disciplines, the interface becomes even more important. Structural, mechanical, piping, and electrical models may each be internally coherent while their combined requirements conflict. Pairwise clearance checks do not establish joint feasibility. A useful construction-world model needs discipline-specific meaning, shared interface tests, and a defensible account of revisions. Its unit of understanding is an engineering relationship with conditions and provenance.</w:t>
      </w:r>
      <w:r w:rsidRPr="00532F07">
        <w:rPr>
          <w:color w:val="576B77"/>
          <w:sz w:val="18"/>
          <w:szCs w:val="24"/>
          <w:vertAlign w:val="superscript"/>
        </w:rPr>
        <w:t xml:space="preserve"> [12]</w:t>
      </w:r>
    </w:p>
    <w:p w14:paraId="1DF5D6EA" w14:textId="77777777" w:rsidR="00CF1D86" w:rsidRPr="00532F07" w:rsidRDefault="00000000" w:rsidP="00B9683A">
      <w:pPr>
        <w:jc w:val="both"/>
        <w:rPr>
          <w:sz w:val="24"/>
          <w:szCs w:val="24"/>
        </w:rPr>
      </w:pPr>
      <w:r w:rsidRPr="00532F07">
        <w:rPr>
          <w:sz w:val="24"/>
          <w:szCs w:val="24"/>
        </w:rPr>
        <w:t>Efficient computation remains essential. The Sheaf Already Inside the Solver proposes retaining a rich semantic project model while compiling the numerical view needed for a particular analysis. A solver can operate on flat arrays and sparse matrices, with retained maps returning results to engineering entities. This also reveals a subtle audit failure: a compatibility test can be silent because its inputs were constructed to satisfy it. A useful check needs evidence through which the claimed failure could actually appear.</w:t>
      </w:r>
      <w:r w:rsidRPr="00532F07">
        <w:rPr>
          <w:color w:val="576B77"/>
          <w:sz w:val="18"/>
          <w:szCs w:val="24"/>
          <w:vertAlign w:val="superscript"/>
        </w:rPr>
        <w:t xml:space="preserve"> [13]</w:t>
      </w:r>
    </w:p>
    <w:p w14:paraId="7B428122" w14:textId="77777777" w:rsidR="00CF1D86" w:rsidRPr="00532F07" w:rsidRDefault="00000000" w:rsidP="00B9683A">
      <w:pPr>
        <w:jc w:val="both"/>
        <w:rPr>
          <w:sz w:val="24"/>
          <w:szCs w:val="24"/>
        </w:rPr>
      </w:pPr>
      <w:r w:rsidRPr="00532F07">
        <w:rPr>
          <w:sz w:val="24"/>
          <w:szCs w:val="24"/>
        </w:rPr>
        <w:t>Forgetting is the next obligation. Every compressed state identifies some histories that were previously different. I want those identifications to become inspectable. Forgetting Is a Subgroup makes this explicit within a structured memory subsystem: a subgroup specifies which compositional routes the memory treats as equivalent, and a coset register retains the remaining distinctions. Larger subgroups give coarser policies. This turns memory granularity into an object that can be compared and changed under declared task risk.</w:t>
      </w:r>
      <w:r w:rsidRPr="00532F07">
        <w:rPr>
          <w:color w:val="576B77"/>
          <w:sz w:val="18"/>
          <w:szCs w:val="24"/>
          <w:vertAlign w:val="superscript"/>
        </w:rPr>
        <w:t xml:space="preserve"> [14]</w:t>
      </w:r>
    </w:p>
    <w:p w14:paraId="4160E30C" w14:textId="77777777" w:rsidR="00CF1D86" w:rsidRPr="00532F07" w:rsidRDefault="00000000" w:rsidP="00B9683A">
      <w:pPr>
        <w:jc w:val="both"/>
        <w:rPr>
          <w:sz w:val="24"/>
          <w:szCs w:val="24"/>
        </w:rPr>
      </w:pPr>
      <w:r w:rsidRPr="00532F07">
        <w:rPr>
          <w:sz w:val="24"/>
          <w:szCs w:val="24"/>
        </w:rPr>
        <w:t xml:space="preserve">The paper’s negative result matters as much as its construction. Under its stated finite-cover assumptions, refinement preserves an inherited lifting obstruction. Adding branches cannot repair the same inconsistent interpretation. A finer representation earns its value when it </w:t>
      </w:r>
      <w:r w:rsidRPr="00532F07">
        <w:rPr>
          <w:sz w:val="24"/>
          <w:szCs w:val="24"/>
        </w:rPr>
        <w:lastRenderedPageBreak/>
        <w:t>supports a genuinely different section. The engineering analogue is a revision that supersedes an earlier model while retaining a record of why the earlier model was rejected.</w:t>
      </w:r>
      <w:r w:rsidRPr="00532F07">
        <w:rPr>
          <w:color w:val="576B77"/>
          <w:sz w:val="18"/>
          <w:szCs w:val="24"/>
          <w:vertAlign w:val="superscript"/>
        </w:rPr>
        <w:t xml:space="preserve"> [14]</w:t>
      </w:r>
    </w:p>
    <w:p w14:paraId="3CF31A34" w14:textId="77777777" w:rsidR="00CF1D86" w:rsidRPr="00532F07" w:rsidRDefault="00000000" w:rsidP="00B9683A">
      <w:pPr>
        <w:jc w:val="both"/>
        <w:rPr>
          <w:sz w:val="24"/>
          <w:szCs w:val="24"/>
        </w:rPr>
      </w:pPr>
      <w:r w:rsidRPr="00532F07">
        <w:rPr>
          <w:sz w:val="24"/>
          <w:szCs w:val="24"/>
        </w:rPr>
        <w:t>Forgetting evidence requires another test. Defensible Forgetting asks for the least retained provenance that still supports the current certification state. The order-theoretic result states precise conditions for such a canonical least support to exist. Two incomparable sufficient derivations can violate those conditions. When they do, the system must expose the ambiguity, retain more, or use an explicit selection policy. It has not earned a uniquely necessary history merely by producing a shorter summary.</w:t>
      </w:r>
      <w:r w:rsidRPr="00532F07">
        <w:rPr>
          <w:color w:val="576B77"/>
          <w:sz w:val="18"/>
          <w:szCs w:val="24"/>
          <w:vertAlign w:val="superscript"/>
        </w:rPr>
        <w:t xml:space="preserve"> [15]</w:t>
      </w:r>
    </w:p>
    <w:p w14:paraId="5541045F" w14:textId="77777777" w:rsidR="00CF1D86" w:rsidRPr="00532F07" w:rsidRDefault="00000000" w:rsidP="00B9683A">
      <w:pPr>
        <w:jc w:val="both"/>
        <w:rPr>
          <w:sz w:val="24"/>
          <w:szCs w:val="24"/>
        </w:rPr>
      </w:pPr>
      <w:r w:rsidRPr="00532F07">
        <w:rPr>
          <w:sz w:val="24"/>
          <w:szCs w:val="24"/>
        </w:rPr>
        <w:t>These commitments shape my Construction-AGI work. I distinguish generation, availability, certification, and release. A generated design is a candidate. Availability makes its assumptions, provenance, and intended use inspectable. Certification checks the declared obligations. Release permits it to govern a downstream action under accountable responsibility. Moving through these states must be an explicit operation in the architecture.</w:t>
      </w:r>
    </w:p>
    <w:p w14:paraId="3A51954A" w14:textId="77777777" w:rsidR="00CF1D86" w:rsidRPr="00532F07" w:rsidRDefault="00000000" w:rsidP="00B9683A">
      <w:pPr>
        <w:jc w:val="both"/>
        <w:rPr>
          <w:sz w:val="24"/>
          <w:szCs w:val="24"/>
        </w:rPr>
      </w:pPr>
      <w:r w:rsidRPr="00532F07">
        <w:rPr>
          <w:sz w:val="24"/>
          <w:szCs w:val="24"/>
        </w:rPr>
        <w:t>My proposed Artificial Thalamus provides shared identity and routing across specialist systems, while their private content and evaluative roles remain distinct. Predictive certification asks whether a proposal can work within its validity regime. Constitutional certification asks whether it should govern the intended action. Contradictions need escalation, exceptions need accumulation, and released claims need traceable witnesses. Human professional responsibility remains above the machine’s internal verdict.</w:t>
      </w:r>
    </w:p>
    <w:p w14:paraId="66D91D7C" w14:textId="77777777" w:rsidR="00CF1D86" w:rsidRPr="00532F07" w:rsidRDefault="00000000" w:rsidP="00B9683A">
      <w:pPr>
        <w:jc w:val="both"/>
        <w:rPr>
          <w:sz w:val="24"/>
          <w:szCs w:val="24"/>
        </w:rPr>
      </w:pPr>
      <w:r w:rsidRPr="00532F07">
        <w:rPr>
          <w:sz w:val="24"/>
          <w:szCs w:val="24"/>
        </w:rPr>
        <w:t>Neuroscience helps me generate architectural questions. Rapid acquisition, slower consolidation, selective routing, modulation, and inhibition suggest useful divisions of labour. My cortical-sheaf proposal gives one such idea a rejectable form: independently calibrated feature-specific interface maps should predict unseen perturbations better than a matched scalar-coupling model. If that comparison fails, the biological interpretation must change. A functional analogy acquires scientific authority through discriminating evidence.</w:t>
      </w:r>
      <w:r w:rsidRPr="00532F07">
        <w:rPr>
          <w:color w:val="576B77"/>
          <w:sz w:val="18"/>
          <w:szCs w:val="24"/>
          <w:vertAlign w:val="superscript"/>
        </w:rPr>
        <w:t xml:space="preserve"> [16]</w:t>
      </w:r>
    </w:p>
    <w:p w14:paraId="324D0393" w14:textId="77777777" w:rsidR="00CF1D86" w:rsidRPr="00532F07" w:rsidRDefault="00000000" w:rsidP="00B9683A">
      <w:pPr>
        <w:jc w:val="both"/>
        <w:rPr>
          <w:sz w:val="24"/>
          <w:szCs w:val="24"/>
        </w:rPr>
      </w:pPr>
      <w:r w:rsidRPr="00532F07">
        <w:rPr>
          <w:sz w:val="24"/>
          <w:szCs w:val="24"/>
        </w:rPr>
        <w:t>The same requirement applies to higher mathematics. Coherence That Cannot Be Compiled Away asks when an elaborate representation earns an architectural role. If its extra structure can be eliminated while preserving the task interface at comparable cost, naming that structure supplies no demonstrated advantage. Efficient compilation is welcome; a claimed successor must identify what useful obligation, resource saving, or generalization ability the simplified alternative loses.</w:t>
      </w:r>
      <w:r w:rsidRPr="00532F07">
        <w:rPr>
          <w:color w:val="576B77"/>
          <w:sz w:val="18"/>
          <w:szCs w:val="24"/>
          <w:vertAlign w:val="superscript"/>
        </w:rPr>
        <w:t xml:space="preserve"> [2]</w:t>
      </w:r>
    </w:p>
    <w:p w14:paraId="4F8EFCF6" w14:textId="77777777" w:rsidR="00CF1D86" w:rsidRPr="00532F07" w:rsidRDefault="00000000" w:rsidP="00B9683A">
      <w:pPr>
        <w:jc w:val="both"/>
        <w:rPr>
          <w:sz w:val="24"/>
          <w:szCs w:val="24"/>
        </w:rPr>
      </w:pPr>
      <w:r w:rsidRPr="00532F07">
        <w:rPr>
          <w:sz w:val="24"/>
          <w:szCs w:val="24"/>
        </w:rPr>
        <w:t>This criterion clarifies the progression I am exploring. Autoregressive generation operates on a prefix. Masked diffusion makes partial states explicit and permits generation orders beyond one fixed chain. Typed partial objects can express semantic holes whose completion must meet specified conditions. Higher-coherent models would additionally represent relations between transformations and their witnesses. Each step needs a task that makes the additional state consequential, with matched interfaces and budgets for the comparison.</w:t>
      </w:r>
      <w:r w:rsidRPr="00532F07">
        <w:rPr>
          <w:color w:val="576B77"/>
          <w:sz w:val="18"/>
          <w:szCs w:val="24"/>
          <w:vertAlign w:val="superscript"/>
        </w:rPr>
        <w:t xml:space="preserve"> [2]</w:t>
      </w:r>
    </w:p>
    <w:p w14:paraId="3B8B4C0C" w14:textId="77777777" w:rsidR="00CF1D86" w:rsidRPr="00532F07" w:rsidRDefault="00000000" w:rsidP="00B9683A">
      <w:pPr>
        <w:jc w:val="both"/>
        <w:rPr>
          <w:sz w:val="24"/>
          <w:szCs w:val="24"/>
        </w:rPr>
      </w:pPr>
      <w:r w:rsidRPr="00532F07">
        <w:rPr>
          <w:sz w:val="24"/>
          <w:szCs w:val="24"/>
        </w:rPr>
        <w:t xml:space="preserve">My proposed learning ladder follows the same direction. Token-level learning acquires sequential regularities. Function-level learning uses feedback on actions, answers, or computations. Structure-level learning discovers dependencies and reusable programs. Category-level learning would address relationships among structures: translations, compositions, invariants, and the conditions under which these relationships remain </w:t>
      </w:r>
      <w:r w:rsidRPr="00532F07">
        <w:rPr>
          <w:sz w:val="24"/>
          <w:szCs w:val="24"/>
        </w:rPr>
        <w:lastRenderedPageBreak/>
        <w:t>coherent. I treat the last rung as an open programme, whose training objects and optimization rules still need to be specified.</w:t>
      </w:r>
    </w:p>
    <w:p w14:paraId="69F14AAA" w14:textId="77777777" w:rsidR="00CF1D86" w:rsidRPr="00532F07" w:rsidRDefault="00000000" w:rsidP="00B9683A">
      <w:pPr>
        <w:jc w:val="both"/>
        <w:rPr>
          <w:sz w:val="24"/>
          <w:szCs w:val="24"/>
        </w:rPr>
      </w:pPr>
      <w:r w:rsidRPr="00532F07">
        <w:rPr>
          <w:sz w:val="24"/>
          <w:szCs w:val="24"/>
        </w:rPr>
        <w:t>I therefore remain open about the backbone for homotopy learning. Diffusion offers explicit partial states; recurrent systems offer persistent state; evolutionary search offers a way to explore structured alternatives. Which mechanism is suited to a particular coherence task is an empirical and computational question. My interest in number systems asks a related question: can the representation itself support compact inheritance, controlled variation, and examinable change? The genome comparison is a design prompt requiring its own tests.</w:t>
      </w:r>
    </w:p>
    <w:p w14:paraId="68CA4195" w14:textId="77777777" w:rsidR="00CF1D86" w:rsidRPr="00532F07" w:rsidRDefault="00000000" w:rsidP="00B9683A">
      <w:pPr>
        <w:jc w:val="both"/>
        <w:rPr>
          <w:sz w:val="24"/>
          <w:szCs w:val="24"/>
        </w:rPr>
      </w:pPr>
      <w:r w:rsidRPr="00532F07">
        <w:rPr>
          <w:sz w:val="24"/>
          <w:szCs w:val="24"/>
        </w:rPr>
        <w:t>A further distinction appears when a system starts reorganizing the language through which it understands problems. Storage preserves instances. Consolidation extracts reusable information within a representation. Canonicalization can change the representation’s primitives, definitions, and permitted constructions. In mathematics this affects which theorems become natural; in engineering it affects which assemblies, interfaces, and failure modes become visible. The change reaches beyond another update to parameters.</w:t>
      </w:r>
      <w:r w:rsidRPr="00532F07">
        <w:rPr>
          <w:color w:val="576B77"/>
          <w:sz w:val="18"/>
          <w:szCs w:val="24"/>
          <w:vertAlign w:val="superscript"/>
        </w:rPr>
        <w:t xml:space="preserve"> [17]</w:t>
      </w:r>
    </w:p>
    <w:p w14:paraId="3242EB90" w14:textId="77777777" w:rsidR="00CF1D86" w:rsidRPr="00532F07" w:rsidRDefault="00000000" w:rsidP="00B9683A">
      <w:pPr>
        <w:jc w:val="both"/>
        <w:rPr>
          <w:sz w:val="24"/>
          <w:szCs w:val="24"/>
        </w:rPr>
      </w:pPr>
      <w:r w:rsidRPr="00532F07">
        <w:rPr>
          <w:sz w:val="24"/>
          <w:szCs w:val="24"/>
        </w:rPr>
        <w:t>Canonicalization as Causal Identification argues that this creates an evaluation problem. A representation can influence the future questions asked of it, making success on its own induced problem stream insufficient evidence of broader adequacy. A system needs challenges from environments it did not wholly create. Exceptions and cross-environment disagreement should help determine when its language requires revision. Otherwise, increasingly elegant internal organization may conceal an increasingly restricted view of the world.</w:t>
      </w:r>
      <w:r w:rsidRPr="00532F07">
        <w:rPr>
          <w:color w:val="576B77"/>
          <w:sz w:val="18"/>
          <w:szCs w:val="24"/>
          <w:vertAlign w:val="superscript"/>
        </w:rPr>
        <w:t xml:space="preserve"> [17]</w:t>
      </w:r>
    </w:p>
    <w:p w14:paraId="4C53C582" w14:textId="77777777" w:rsidR="00CF1D86" w:rsidRPr="00532F07" w:rsidRDefault="00000000" w:rsidP="00B9683A">
      <w:pPr>
        <w:jc w:val="both"/>
        <w:rPr>
          <w:sz w:val="24"/>
          <w:szCs w:val="24"/>
        </w:rPr>
      </w:pPr>
      <w:r w:rsidRPr="00532F07">
        <w:rPr>
          <w:sz w:val="24"/>
          <w:szCs w:val="24"/>
        </w:rPr>
        <w:t>The discipline must apply to my own proposals. Orbit-Assisted Rain Reconsidered subjects an appealing orbital-reflector idea to a coupled assessment of optical footprint, target dwell time, ocean-surface response, and spacecraft survivability. The rainfall-assistance mechanism fails the examined feasibility test. Keeping that result visible is part of the research. A programme becomes stronger when it can reject a favourite mechanism and preserve the reason for rejection.</w:t>
      </w:r>
      <w:r w:rsidRPr="00532F07">
        <w:rPr>
          <w:color w:val="576B77"/>
          <w:sz w:val="18"/>
          <w:szCs w:val="24"/>
          <w:vertAlign w:val="superscript"/>
        </w:rPr>
        <w:t xml:space="preserve"> [18]</w:t>
      </w:r>
    </w:p>
    <w:p w14:paraId="44CCF008" w14:textId="77777777" w:rsidR="00CF1D86" w:rsidRPr="00532F07" w:rsidRDefault="00000000" w:rsidP="00B9683A">
      <w:pPr>
        <w:jc w:val="both"/>
        <w:rPr>
          <w:sz w:val="24"/>
          <w:szCs w:val="24"/>
        </w:rPr>
      </w:pPr>
      <w:r w:rsidRPr="00532F07">
        <w:rPr>
          <w:sz w:val="24"/>
          <w:szCs w:val="24"/>
        </w:rPr>
        <w:t>“Respect science. Import emotion.” is the motto I bring to this work. Science disciplines what I can claim. Human purposes determine which consequences deserve attention, which exceptions require protection, and which uncertainties demand care. In an engineering system, the cost of losing one rare safety-critical witness can outweigh the convenience of many successful routine summaries. These priorities must enter the objectives, retention rules, and release conditions explicitly.</w:t>
      </w:r>
    </w:p>
    <w:p w14:paraId="05213AA7" w14:textId="77777777" w:rsidR="00CF1D86" w:rsidRPr="00532F07" w:rsidRDefault="00000000" w:rsidP="00B9683A">
      <w:pPr>
        <w:jc w:val="both"/>
        <w:rPr>
          <w:sz w:val="24"/>
          <w:szCs w:val="24"/>
        </w:rPr>
      </w:pPr>
      <w:r w:rsidRPr="00532F07">
        <w:rPr>
          <w:sz w:val="24"/>
          <w:szCs w:val="24"/>
        </w:rPr>
        <w:t>The intelligence I want to build can carry experience into a bounded workspace, assemble knowledge without concealing incompatibility, change its commitments without erasing their history, and preserve the evidence supporting its authority. It can also reveal where its representation stops being adequate. My post-Transformer philosophy is a commitment to making those capabilities concrete enough to build, measure, question, and revise.</w:t>
      </w:r>
    </w:p>
    <w:p w14:paraId="66D3C0AD" w14:textId="77777777" w:rsidR="00CF1D86" w:rsidRPr="00532F07" w:rsidRDefault="00000000" w:rsidP="00B9683A">
      <w:pPr>
        <w:jc w:val="both"/>
        <w:rPr>
          <w:sz w:val="24"/>
          <w:szCs w:val="24"/>
        </w:rPr>
      </w:pPr>
      <w:r w:rsidRPr="00532F07">
        <w:rPr>
          <w:sz w:val="24"/>
          <w:szCs w:val="24"/>
        </w:rPr>
        <w:br w:type="page"/>
      </w:r>
    </w:p>
    <w:p w14:paraId="6493ACE6" w14:textId="77777777" w:rsidR="00CF1D86" w:rsidRDefault="00000000" w:rsidP="00B9683A">
      <w:pPr>
        <w:keepNext/>
        <w:jc w:val="both"/>
      </w:pPr>
      <w:r>
        <w:rPr>
          <w:b/>
          <w:color w:val="183B4D"/>
          <w:sz w:val="30"/>
        </w:rPr>
        <w:lastRenderedPageBreak/>
        <w:t>Source manuscripts</w:t>
      </w:r>
    </w:p>
    <w:p w14:paraId="55B0314C" w14:textId="77777777" w:rsidR="00CF1D86" w:rsidRDefault="00000000" w:rsidP="00B9683A">
      <w:pPr>
        <w:jc w:val="both"/>
      </w:pPr>
      <w:r>
        <w:rPr>
          <w:sz w:val="18"/>
        </w:rPr>
        <w:t xml:space="preserve">ResearchOverFlow repository: </w:t>
      </w:r>
      <w:hyperlink r:id="rId9">
        <w:r w:rsidR="00CF1D86">
          <w:rPr>
            <w:color w:val="285A70"/>
            <w:u w:val="single"/>
          </w:rPr>
          <w:t>github.com/debiprasadghosh/ResearchOverFlow</w:t>
        </w:r>
      </w:hyperlink>
    </w:p>
    <w:p w14:paraId="63602472" w14:textId="77777777" w:rsidR="00CF1D86" w:rsidRDefault="00000000" w:rsidP="00B9683A">
      <w:pPr>
        <w:spacing w:after="140" w:line="240" w:lineRule="auto"/>
        <w:ind w:left="389" w:hanging="389"/>
        <w:jc w:val="both"/>
      </w:pPr>
      <w:r>
        <w:rPr>
          <w:sz w:val="18"/>
        </w:rPr>
        <w:t xml:space="preserve">[1] </w:t>
      </w:r>
      <w:hyperlink r:id="rId10">
        <w:r w:rsidR="00CF1D86">
          <w:rPr>
            <w:color w:val="285A70"/>
            <w:u w:val="single"/>
          </w:rPr>
          <w:t>The Purpose of Long-term Memory is Context-Free Short-term Memory</w:t>
        </w:r>
      </w:hyperlink>
    </w:p>
    <w:p w14:paraId="7A632292" w14:textId="77777777" w:rsidR="00CF1D86" w:rsidRDefault="00000000" w:rsidP="00B9683A">
      <w:pPr>
        <w:spacing w:after="140" w:line="240" w:lineRule="auto"/>
        <w:ind w:left="389" w:hanging="389"/>
        <w:jc w:val="both"/>
      </w:pPr>
      <w:r>
        <w:rPr>
          <w:sz w:val="18"/>
        </w:rPr>
        <w:t xml:space="preserve">[2] </w:t>
      </w:r>
      <w:hyperlink r:id="rId11">
        <w:r w:rsidR="00CF1D86">
          <w:rPr>
            <w:color w:val="285A70"/>
            <w:u w:val="single"/>
          </w:rPr>
          <w:t>Coherence That Cannot Be Compiled Away: A Strictification Criterion for Post-Diffusion Architectures</w:t>
        </w:r>
      </w:hyperlink>
    </w:p>
    <w:p w14:paraId="4832303A" w14:textId="77777777" w:rsidR="00CF1D86" w:rsidRDefault="00000000" w:rsidP="00B9683A">
      <w:pPr>
        <w:spacing w:after="140" w:line="240" w:lineRule="auto"/>
        <w:ind w:left="389" w:hanging="389"/>
        <w:jc w:val="both"/>
      </w:pPr>
      <w:r>
        <w:rPr>
          <w:sz w:val="18"/>
        </w:rPr>
        <w:t xml:space="preserve">[3] </w:t>
      </w:r>
      <w:hyperlink r:id="rId12">
        <w:r w:rsidR="00CF1D86">
          <w:rPr>
            <w:color w:val="285A70"/>
            <w:u w:val="single"/>
          </w:rPr>
          <w:t>Hierarchical Predictive Memory for Generative Artificial Intelligence</w:t>
        </w:r>
      </w:hyperlink>
    </w:p>
    <w:p w14:paraId="4870FE35" w14:textId="77777777" w:rsidR="00CF1D86" w:rsidRDefault="00000000" w:rsidP="00B9683A">
      <w:pPr>
        <w:spacing w:after="140" w:line="240" w:lineRule="auto"/>
        <w:ind w:left="389" w:hanging="389"/>
        <w:jc w:val="both"/>
      </w:pPr>
      <w:r>
        <w:rPr>
          <w:sz w:val="18"/>
        </w:rPr>
        <w:t xml:space="preserve">[4] </w:t>
      </w:r>
      <w:hyperlink r:id="rId13">
        <w:r w:rsidR="00CF1D86">
          <w:rPr>
            <w:color w:val="285A70"/>
            <w:u w:val="single"/>
          </w:rPr>
          <w:t>PRNGed Pre-trained Titans (PPT)</w:t>
        </w:r>
      </w:hyperlink>
    </w:p>
    <w:p w14:paraId="31D508A1" w14:textId="77777777" w:rsidR="00CF1D86" w:rsidRDefault="00000000" w:rsidP="00B9683A">
      <w:pPr>
        <w:spacing w:after="140" w:line="240" w:lineRule="auto"/>
        <w:ind w:left="389" w:hanging="389"/>
        <w:jc w:val="both"/>
      </w:pPr>
      <w:r>
        <w:rPr>
          <w:sz w:val="18"/>
        </w:rPr>
        <w:t xml:space="preserve">[5] </w:t>
      </w:r>
      <w:hyperlink r:id="rId14">
        <w:r w:rsidR="00CF1D86">
          <w:rPr>
            <w:color w:val="285A70"/>
            <w:u w:val="single"/>
          </w:rPr>
          <w:t>The Cost of Deciding What to Remember</w:t>
        </w:r>
      </w:hyperlink>
    </w:p>
    <w:p w14:paraId="54B8C601" w14:textId="10BFDE8C" w:rsidR="00CF1D86" w:rsidRDefault="00000000" w:rsidP="00B9683A">
      <w:pPr>
        <w:spacing w:after="140" w:line="240" w:lineRule="auto"/>
        <w:ind w:left="389" w:hanging="389"/>
        <w:jc w:val="both"/>
      </w:pPr>
      <w:r>
        <w:rPr>
          <w:sz w:val="18"/>
        </w:rPr>
        <w:t xml:space="preserve">[6] </w:t>
      </w:r>
      <w:hyperlink r:id="rId15" w:history="1">
        <w:r w:rsidRPr="000D2851">
          <w:rPr>
            <w:rStyle w:val="Hyperlink"/>
            <w:szCs w:val="28"/>
          </w:rPr>
          <w:t>Sleep That Knows What It Keeps: Consolidation an</w:t>
        </w:r>
        <w:r w:rsidRPr="000D2851">
          <w:rPr>
            <w:rStyle w:val="Hyperlink"/>
            <w:szCs w:val="28"/>
          </w:rPr>
          <w:t>d</w:t>
        </w:r>
        <w:r w:rsidRPr="000D2851">
          <w:rPr>
            <w:rStyle w:val="Hyperlink"/>
            <w:szCs w:val="28"/>
          </w:rPr>
          <w:t xml:space="preserve"> Certified Precision for a Positive Kronecker Memory. </w:t>
        </w:r>
      </w:hyperlink>
      <w:r w:rsidRPr="000D2851">
        <w:rPr>
          <w:szCs w:val="28"/>
        </w:rPr>
        <w:t xml:space="preserve"> </w:t>
      </w:r>
    </w:p>
    <w:p w14:paraId="4F90F312" w14:textId="77777777" w:rsidR="00CF1D86" w:rsidRDefault="00000000" w:rsidP="00B9683A">
      <w:pPr>
        <w:spacing w:after="140" w:line="240" w:lineRule="auto"/>
        <w:ind w:left="389" w:hanging="389"/>
        <w:jc w:val="both"/>
      </w:pPr>
      <w:r>
        <w:rPr>
          <w:sz w:val="18"/>
        </w:rPr>
        <w:t xml:space="preserve">[7] </w:t>
      </w:r>
      <w:hyperlink r:id="rId16">
        <w:r w:rsidR="00CF1D86">
          <w:rPr>
            <w:color w:val="285A70"/>
            <w:u w:val="single"/>
          </w:rPr>
          <w:t>Nonlinear Synaptic Weight Histories and Predictive Consolidation for Continual Learning</w:t>
        </w:r>
      </w:hyperlink>
    </w:p>
    <w:p w14:paraId="06C9EA29" w14:textId="77777777" w:rsidR="00CF1D86" w:rsidRDefault="00000000" w:rsidP="00B9683A">
      <w:pPr>
        <w:spacing w:after="140" w:line="240" w:lineRule="auto"/>
        <w:ind w:left="389" w:hanging="389"/>
        <w:jc w:val="both"/>
      </w:pPr>
      <w:r>
        <w:rPr>
          <w:sz w:val="18"/>
        </w:rPr>
        <w:t xml:space="preserve">[8] </w:t>
      </w:r>
      <w:hyperlink r:id="rId17">
        <w:r w:rsidR="00CF1D86">
          <w:rPr>
            <w:color w:val="285A70"/>
            <w:u w:val="single"/>
          </w:rPr>
          <w:t>SheafKV for Compatible Composition of Stored Transformer Memories</w:t>
        </w:r>
      </w:hyperlink>
    </w:p>
    <w:p w14:paraId="0B28DA99" w14:textId="77777777" w:rsidR="00CF1D86" w:rsidRDefault="00000000" w:rsidP="00B9683A">
      <w:pPr>
        <w:spacing w:after="140" w:line="240" w:lineRule="auto"/>
        <w:ind w:left="389" w:hanging="389"/>
        <w:jc w:val="both"/>
      </w:pPr>
      <w:r>
        <w:rPr>
          <w:sz w:val="18"/>
        </w:rPr>
        <w:t xml:space="preserve">[9] </w:t>
      </w:r>
      <w:hyperlink r:id="rId18">
        <w:r w:rsidR="00CF1D86">
          <w:rPr>
            <w:color w:val="285A70"/>
            <w:u w:val="single"/>
          </w:rPr>
          <w:t>Structural Preconditions for Cellular Sheaf Models of Neural Memory</w:t>
        </w:r>
      </w:hyperlink>
    </w:p>
    <w:p w14:paraId="3956DFCC" w14:textId="77777777" w:rsidR="00CF1D86" w:rsidRDefault="00000000" w:rsidP="00B9683A">
      <w:pPr>
        <w:spacing w:after="140" w:line="240" w:lineRule="auto"/>
        <w:ind w:left="389" w:hanging="389"/>
        <w:jc w:val="both"/>
      </w:pPr>
      <w:r>
        <w:rPr>
          <w:sz w:val="18"/>
        </w:rPr>
        <w:t xml:space="preserve">[10] </w:t>
      </w:r>
      <w:hyperlink r:id="rId19">
        <w:r w:rsidR="00CF1D86">
          <w:rPr>
            <w:color w:val="285A70"/>
            <w:u w:val="single"/>
          </w:rPr>
          <w:t>From CAD Primitives to Structural Meaning</w:t>
        </w:r>
      </w:hyperlink>
    </w:p>
    <w:p w14:paraId="54D46222" w14:textId="77777777" w:rsidR="00CF1D86" w:rsidRDefault="00000000" w:rsidP="00B9683A">
      <w:pPr>
        <w:spacing w:after="140" w:line="240" w:lineRule="auto"/>
        <w:ind w:left="389" w:hanging="389"/>
        <w:jc w:val="both"/>
      </w:pPr>
      <w:r>
        <w:rPr>
          <w:sz w:val="18"/>
        </w:rPr>
        <w:t xml:space="preserve">[11] </w:t>
      </w:r>
      <w:hyperlink r:id="rId20">
        <w:r w:rsidR="00CF1D86">
          <w:rPr>
            <w:color w:val="285A70"/>
            <w:u w:val="single"/>
          </w:rPr>
          <w:t>Short Exact Sequences for Engineering Drawing Intelligence</w:t>
        </w:r>
      </w:hyperlink>
    </w:p>
    <w:p w14:paraId="72C5A810" w14:textId="77777777" w:rsidR="00CF1D86" w:rsidRDefault="00000000" w:rsidP="00B9683A">
      <w:pPr>
        <w:spacing w:after="140" w:line="240" w:lineRule="auto"/>
        <w:ind w:left="389" w:hanging="389"/>
        <w:jc w:val="both"/>
      </w:pPr>
      <w:r>
        <w:rPr>
          <w:sz w:val="18"/>
        </w:rPr>
        <w:t xml:space="preserve">[12] </w:t>
      </w:r>
      <w:hyperlink r:id="rId21">
        <w:r w:rsidR="00CF1D86">
          <w:rPr>
            <w:color w:val="285A70"/>
            <w:u w:val="single"/>
          </w:rPr>
          <w:t>Iso Within, Exact Across</w:t>
        </w:r>
      </w:hyperlink>
    </w:p>
    <w:p w14:paraId="23CD555E" w14:textId="77777777" w:rsidR="00CF1D86" w:rsidRDefault="00000000" w:rsidP="00B9683A">
      <w:pPr>
        <w:spacing w:after="140" w:line="240" w:lineRule="auto"/>
        <w:ind w:left="389" w:hanging="389"/>
        <w:jc w:val="both"/>
      </w:pPr>
      <w:r>
        <w:rPr>
          <w:sz w:val="18"/>
        </w:rPr>
        <w:t xml:space="preserve">[13] </w:t>
      </w:r>
      <w:hyperlink r:id="rId22">
        <w:r w:rsidR="00CF1D86">
          <w:rPr>
            <w:color w:val="285A70"/>
            <w:u w:val="single"/>
          </w:rPr>
          <w:t>The Sheaf Already Inside the Solver</w:t>
        </w:r>
      </w:hyperlink>
    </w:p>
    <w:p w14:paraId="1750ABD3" w14:textId="77777777" w:rsidR="00CF1D86" w:rsidRDefault="00000000" w:rsidP="00B9683A">
      <w:pPr>
        <w:spacing w:after="140" w:line="240" w:lineRule="auto"/>
        <w:ind w:left="389" w:hanging="389"/>
        <w:jc w:val="both"/>
      </w:pPr>
      <w:r>
        <w:rPr>
          <w:sz w:val="18"/>
        </w:rPr>
        <w:t xml:space="preserve">[14] </w:t>
      </w:r>
      <w:hyperlink r:id="rId23">
        <w:r w:rsidR="00CF1D86">
          <w:rPr>
            <w:color w:val="285A70"/>
            <w:u w:val="single"/>
          </w:rPr>
          <w:t>Forgetting Is a Subgroup: Coset Registers and Finite-by-Unipotent Recurrent Memory</w:t>
        </w:r>
      </w:hyperlink>
    </w:p>
    <w:p w14:paraId="0CDC8BBB" w14:textId="77777777" w:rsidR="00CF1D86" w:rsidRDefault="00000000" w:rsidP="00B9683A">
      <w:pPr>
        <w:spacing w:after="140" w:line="240" w:lineRule="auto"/>
        <w:ind w:left="389" w:hanging="389"/>
        <w:jc w:val="both"/>
      </w:pPr>
      <w:r>
        <w:rPr>
          <w:sz w:val="18"/>
        </w:rPr>
        <w:t xml:space="preserve">[15] </w:t>
      </w:r>
      <w:hyperlink r:id="rId24">
        <w:r w:rsidR="00CF1D86">
          <w:rPr>
            <w:color w:val="285A70"/>
            <w:u w:val="single"/>
          </w:rPr>
          <w:t>Defensible Forgetting: Minimal Provenance Under Certification Constraints</w:t>
        </w:r>
      </w:hyperlink>
    </w:p>
    <w:p w14:paraId="03E942C1" w14:textId="77777777" w:rsidR="00CF1D86" w:rsidRDefault="00000000" w:rsidP="00B9683A">
      <w:pPr>
        <w:spacing w:after="140" w:line="240" w:lineRule="auto"/>
        <w:ind w:left="389" w:hanging="389"/>
        <w:jc w:val="both"/>
      </w:pPr>
      <w:r>
        <w:rPr>
          <w:sz w:val="18"/>
        </w:rPr>
        <w:t xml:space="preserve">[16] </w:t>
      </w:r>
      <w:hyperlink r:id="rId25">
        <w:r w:rsidR="00CF1D86">
          <w:rPr>
            <w:color w:val="285A70"/>
            <w:u w:val="single"/>
          </w:rPr>
          <w:t>The Cortical Sheet as a Recurrent Cellular Sheaf: Horizontal Topology and Vertical Algebra</w:t>
        </w:r>
      </w:hyperlink>
    </w:p>
    <w:p w14:paraId="26B293F9" w14:textId="77777777" w:rsidR="00CF1D86" w:rsidRDefault="00000000" w:rsidP="00B9683A">
      <w:pPr>
        <w:spacing w:after="140" w:line="240" w:lineRule="auto"/>
        <w:ind w:left="389" w:hanging="389"/>
        <w:jc w:val="both"/>
      </w:pPr>
      <w:r>
        <w:rPr>
          <w:sz w:val="18"/>
        </w:rPr>
        <w:t xml:space="preserve">[17] </w:t>
      </w:r>
      <w:hyperlink r:id="rId26">
        <w:r w:rsidR="00CF1D86">
          <w:rPr>
            <w:color w:val="285A70"/>
            <w:u w:val="single"/>
          </w:rPr>
          <w:t>Canonicalization as Causal Identification: A Framework for Mathematical AGI Beyond Proof Generation</w:t>
        </w:r>
      </w:hyperlink>
    </w:p>
    <w:p w14:paraId="2BE3713A" w14:textId="77777777" w:rsidR="00CF1D86" w:rsidRDefault="00000000" w:rsidP="00B9683A">
      <w:pPr>
        <w:spacing w:after="140" w:line="240" w:lineRule="auto"/>
        <w:ind w:left="389" w:hanging="389"/>
        <w:jc w:val="both"/>
      </w:pPr>
      <w:r>
        <w:rPr>
          <w:sz w:val="18"/>
        </w:rPr>
        <w:t xml:space="preserve">[18] </w:t>
      </w:r>
      <w:hyperlink r:id="rId27">
        <w:r w:rsidR="00CF1D86">
          <w:rPr>
            <w:color w:val="285A70"/>
            <w:u w:val="single"/>
          </w:rPr>
          <w:t>Orbit-Assisted Rain Reconsidered</w:t>
        </w:r>
      </w:hyperlink>
    </w:p>
    <w:p w14:paraId="4F7B99A2" w14:textId="77777777" w:rsidR="00CF1D86" w:rsidRDefault="00000000" w:rsidP="00B9683A">
      <w:pPr>
        <w:spacing w:after="140" w:line="240" w:lineRule="auto"/>
        <w:ind w:left="389" w:hanging="389"/>
        <w:jc w:val="both"/>
      </w:pPr>
      <w:r>
        <w:rPr>
          <w:sz w:val="18"/>
        </w:rPr>
        <w:t xml:space="preserve">[19] </w:t>
      </w:r>
      <w:hyperlink r:id="rId28">
        <w:r w:rsidR="00CF1D86">
          <w:rPr>
            <w:color w:val="285A70"/>
            <w:u w:val="single"/>
          </w:rPr>
          <w:t>Geometry and Identifiability of Compositional Neural Editing</w:t>
        </w:r>
      </w:hyperlink>
    </w:p>
    <w:sectPr w:rsidR="00CF1D86" w:rsidSect="00034616">
      <w:headerReference w:type="default" r:id="rId29"/>
      <w:footerReference w:type="default" r:id="rId30"/>
      <w:pgSz w:w="11909" w:h="16834"/>
      <w:pgMar w:top="1037" w:right="1181" w:bottom="1037" w:left="1181"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3F381" w14:textId="77777777" w:rsidR="000B6F7A" w:rsidRDefault="000B6F7A">
      <w:pPr>
        <w:spacing w:after="0" w:line="240" w:lineRule="auto"/>
      </w:pPr>
      <w:r>
        <w:separator/>
      </w:r>
    </w:p>
  </w:endnote>
  <w:endnote w:type="continuationSeparator" w:id="0">
    <w:p w14:paraId="6B6A1B52" w14:textId="77777777" w:rsidR="000B6F7A" w:rsidRDefault="000B6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E3D4B" w14:textId="219A8DA4" w:rsidR="00CF1D86" w:rsidRDefault="00000000">
    <w:pPr>
      <w:pStyle w:val="Footer"/>
      <w:tabs>
        <w:tab w:val="right" w:pos="9547"/>
      </w:tabs>
    </w:pPr>
    <w:r>
      <w:rPr>
        <w:rFonts w:ascii="Calibri" w:hAnsi="Calibri"/>
        <w:color w:val="61717B"/>
        <w:sz w:val="16"/>
      </w:rPr>
      <w:t>My Post-Transformer AI Philosophy · 6 October 2026</w:t>
    </w:r>
    <w:r>
      <w:rPr>
        <w:rFonts w:ascii="Calibri" w:hAnsi="Calibri"/>
        <w:color w:val="61717B"/>
        <w:sz w:val="16"/>
      </w:rPr>
      <w:tab/>
    </w:r>
    <w:r>
      <w:fldChar w:fldCharType="begin"/>
    </w:r>
    <w:r>
      <w:instrText>PAGE</w:instrText>
    </w:r>
    <w:r>
      <w:fldChar w:fldCharType="separate"/>
    </w:r>
    <w:r w:rsidR="00B968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88DA1" w14:textId="77777777" w:rsidR="000B6F7A" w:rsidRDefault="000B6F7A">
      <w:pPr>
        <w:spacing w:after="0" w:line="240" w:lineRule="auto"/>
      </w:pPr>
      <w:r>
        <w:separator/>
      </w:r>
    </w:p>
  </w:footnote>
  <w:footnote w:type="continuationSeparator" w:id="0">
    <w:p w14:paraId="4D51602F" w14:textId="77777777" w:rsidR="000B6F7A" w:rsidRDefault="000B6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FFBC" w14:textId="522AE60A" w:rsidR="00CF1D86" w:rsidRDefault="00000000">
    <w:pPr>
      <w:pStyle w:val="Header"/>
      <w:jc w:val="right"/>
    </w:pPr>
    <w:r>
      <w:rPr>
        <w:rFonts w:ascii="Calibri" w:hAnsi="Calibri"/>
        <w:color w:val="61717B"/>
        <w:sz w:val="16"/>
      </w:rPr>
      <w:t>DEBI PRASAD GHOSH | DEFENSIBLE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0216401">
    <w:abstractNumId w:val="8"/>
  </w:num>
  <w:num w:numId="2" w16cid:durableId="1981763440">
    <w:abstractNumId w:val="6"/>
  </w:num>
  <w:num w:numId="3" w16cid:durableId="567812764">
    <w:abstractNumId w:val="5"/>
  </w:num>
  <w:num w:numId="4" w16cid:durableId="733814945">
    <w:abstractNumId w:val="4"/>
  </w:num>
  <w:num w:numId="5" w16cid:durableId="824395300">
    <w:abstractNumId w:val="7"/>
  </w:num>
  <w:num w:numId="6" w16cid:durableId="1388601297">
    <w:abstractNumId w:val="3"/>
  </w:num>
  <w:num w:numId="7" w16cid:durableId="1627154016">
    <w:abstractNumId w:val="2"/>
  </w:num>
  <w:num w:numId="8" w16cid:durableId="91517596">
    <w:abstractNumId w:val="1"/>
  </w:num>
  <w:num w:numId="9" w16cid:durableId="2060393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F7A"/>
    <w:rsid w:val="000D2851"/>
    <w:rsid w:val="0015074B"/>
    <w:rsid w:val="0029639D"/>
    <w:rsid w:val="00326F90"/>
    <w:rsid w:val="003B7694"/>
    <w:rsid w:val="003C3C76"/>
    <w:rsid w:val="004B26E6"/>
    <w:rsid w:val="00532F07"/>
    <w:rsid w:val="007044D5"/>
    <w:rsid w:val="00802542"/>
    <w:rsid w:val="00A17A85"/>
    <w:rsid w:val="00A3763C"/>
    <w:rsid w:val="00AA1D8D"/>
    <w:rsid w:val="00AA5338"/>
    <w:rsid w:val="00B47730"/>
    <w:rsid w:val="00B9683A"/>
    <w:rsid w:val="00CB0664"/>
    <w:rsid w:val="00CF1D86"/>
    <w:rsid w:val="00D2109D"/>
    <w:rsid w:val="00D373BE"/>
    <w:rsid w:val="00FC693F"/>
    <w:rsid w:val="00FD7249"/>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34907"/>
  <w14:defaultImageDpi w14:val="300"/>
  <w15:docId w15:val="{A988348E-2DCA-4FCD-BF73-264A93A73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9" w:lineRule="auto"/>
    </w:pPr>
    <w:rPr>
      <w:rFonts w:ascii="Cambria" w:hAnsi="Cambria"/>
      <w:color w:val="242A3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b/>
      <w:color w:val="183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i/>
      <w:iCs/>
      <w:color w:val="576B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44D5"/>
    <w:rPr>
      <w:color w:val="0000FF" w:themeColor="hyperlink"/>
      <w:u w:val="single"/>
    </w:rPr>
  </w:style>
  <w:style w:type="character" w:styleId="UnresolvedMention">
    <w:name w:val="Unresolved Mention"/>
    <w:basedOn w:val="DefaultParagraphFont"/>
    <w:uiPriority w:val="99"/>
    <w:semiHidden/>
    <w:unhideWhenUsed/>
    <w:rsid w:val="007044D5"/>
    <w:rPr>
      <w:color w:val="605E5C"/>
      <w:shd w:val="clear" w:color="auto" w:fill="E1DFDD"/>
    </w:rPr>
  </w:style>
  <w:style w:type="character" w:styleId="FollowedHyperlink">
    <w:name w:val="FollowedHyperlink"/>
    <w:basedOn w:val="DefaultParagraphFont"/>
    <w:uiPriority w:val="99"/>
    <w:semiHidden/>
    <w:unhideWhenUsed/>
    <w:rsid w:val="007044D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30857.61286" TargetMode="External"/><Relationship Id="rId13" Type="http://schemas.openxmlformats.org/officeDocument/2006/relationships/hyperlink" Target="https://github.com/debiprasadghosh/ResearchOverFlow/blob/main/PPT_Revised_Manuscript.docx" TargetMode="External"/><Relationship Id="rId18" Type="http://schemas.openxmlformats.org/officeDocument/2006/relationships/hyperlink" Target="https://github.com/debiprasadghosh/ResearchOverFlow/blob/main/Structural_Preconditions_for_Sheaf_Neural_Memory.docx" TargetMode="External"/><Relationship Id="rId26" Type="http://schemas.openxmlformats.org/officeDocument/2006/relationships/hyperlink" Target="https://github.com/debiprasadghosh/ResearchOverFlow/blob/main/Canonicalization_as_Causal_Identification_for_Mathematical_AGI.docx" TargetMode="External"/><Relationship Id="rId3" Type="http://schemas.openxmlformats.org/officeDocument/2006/relationships/styles" Target="styles.xml"/><Relationship Id="rId21" Type="http://schemas.openxmlformats.org/officeDocument/2006/relationships/hyperlink" Target="https://github.com/debiprasadghosh/ResearchOverFlow/blob/main/Iso_Within_Exact_Across_Engineering_Integration.docx" TargetMode="External"/><Relationship Id="rId7" Type="http://schemas.openxmlformats.org/officeDocument/2006/relationships/endnotes" Target="endnotes.xml"/><Relationship Id="rId12" Type="http://schemas.openxmlformats.org/officeDocument/2006/relationships/hyperlink" Target="https://github.com/debiprasadghosh/ResearchOverFlow/blob/main/Hierarchical_Predictive_Memory_for_Generative_AI.docx" TargetMode="External"/><Relationship Id="rId17" Type="http://schemas.openxmlformats.org/officeDocument/2006/relationships/hyperlink" Target="https://github.com/debiprasadghosh/ResearchOverFlow/blob/main/SheafKV_Compatible_Memory_Composition.docx" TargetMode="External"/><Relationship Id="rId25" Type="http://schemas.openxmlformats.org/officeDocument/2006/relationships/hyperlink" Target="https://github.com/debiprasadghosh/ResearchOverFlow/blob/main/Cortical_Sheet_Recurrent_Cellular_Sheaf.docx" TargetMode="External"/><Relationship Id="rId2" Type="http://schemas.openxmlformats.org/officeDocument/2006/relationships/numbering" Target="numbering.xml"/><Relationship Id="rId16" Type="http://schemas.openxmlformats.org/officeDocument/2006/relationships/hyperlink" Target="https://github.com/debiprasadghosh/ResearchOverFlow/blob/main/SSRI_Paper_I_Nonlinear_Synaptic_Weight_Histories_and_Predictive_Consolidation.docx" TargetMode="External"/><Relationship Id="rId20" Type="http://schemas.openxmlformats.org/officeDocument/2006/relationships/hyperlink" Target="https://github.com/debiprasadghosh/ResearchOverFlow/blob/main/Short_Exact_Sequences_for_Engineering_Drawing_Intelligence.docx"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ebiprasadghosh/ResearchOverFlow/blob/main/Coherence_That_Cannot_Be_Compiled_Away.docx" TargetMode="External"/><Relationship Id="rId24" Type="http://schemas.openxmlformats.org/officeDocument/2006/relationships/hyperlink" Target="https://github.com/debiprasadghosh/ResearchOverFlow/blob/main/Paper_A_Defensible_Forgetting.docx"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debiprasadghosh/ResearchOverFlow/blob/main/IntervalTransformers_Paper_V_P3_Sleep_That_Knows_What_It_Keeps.docx" TargetMode="External"/><Relationship Id="rId23" Type="http://schemas.openxmlformats.org/officeDocument/2006/relationships/hyperlink" Target="https://github.com/debiprasadghosh/ResearchOverFlow/blob/main/Forgetting_Is_a_Subgroup_Final.docx" TargetMode="External"/><Relationship Id="rId28" Type="http://schemas.openxmlformats.org/officeDocument/2006/relationships/hyperlink" Target="https://github.com/debiprasadghosh/ResearchOverFlow/blob/main/Geometry_and_Identifiability_of_Compositional_Neural_Editing.docx" TargetMode="External"/><Relationship Id="rId10" Type="http://schemas.openxmlformats.org/officeDocument/2006/relationships/hyperlink" Target="https://github.com/debiprasadghosh/ResearchOverFlow/blob/main/The_Purpose_of_Long-term_Memory_is_Context-Free_Short-term_Memory.docx" TargetMode="External"/><Relationship Id="rId19" Type="http://schemas.openxmlformats.org/officeDocument/2006/relationships/hyperlink" Target="https://github.com/debiprasadghosh/ResearchOverFlow/blob/main/From_CAD_Primitives_to_Structural_Meaning.docx"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ebiprasadghosh/ResearchOverFlow/" TargetMode="External"/><Relationship Id="rId14" Type="http://schemas.openxmlformats.org/officeDocument/2006/relationships/hyperlink" Target="https://github.com/debiprasadghosh/ResearchOverFlow/blob/main/PPT_Sequel_Budgeted_Memory_Admission.docx" TargetMode="External"/><Relationship Id="rId22" Type="http://schemas.openxmlformats.org/officeDocument/2006/relationships/hyperlink" Target="https://github.com/debiprasadghosh/ResearchOverFlow/blob/main/The_Sheaf_Already_Inside_the_Solver_Engineering_Paper.docx" TargetMode="External"/><Relationship Id="rId27" Type="http://schemas.openxmlformats.org/officeDocument/2006/relationships/hyperlink" Target="https://github.com/debiprasadghosh/ResearchOverFlow/blob/main/OAR_Falsifiability_First_Paper.docx"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3184</Words>
  <Characters>18150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Post-Transformer AI Philosophy</dc:title>
  <dc:subject>Toward intelligence that can remember, compose, revise, and justify</dc:subject>
  <dc:creator>Debi Prasad Ghosh</dc:creator>
  <cp:keywords>Defensible intelligence; post-Transformer; memory; Construction-AGI; consolidation; sheaves; certification</cp:keywords>
  <dc:description>First-person synthesis with manuscript source references. Prepared 6 October 2026.</dc:description>
  <cp:lastModifiedBy>Debiprasad Ghosh</cp:lastModifiedBy>
  <cp:revision>12</cp:revision>
  <cp:lastPrinted>2026-10-06T10:13:00Z</cp:lastPrinted>
  <dcterms:created xsi:type="dcterms:W3CDTF">2013-12-23T23:15:00Z</dcterms:created>
  <dcterms:modified xsi:type="dcterms:W3CDTF">2026-10-06T10:22:00Z</dcterms:modified>
  <cp:category/>
</cp:coreProperties>
</file>