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89D34" w14:textId="77777777" w:rsidR="00D84A52" w:rsidRPr="00643755" w:rsidRDefault="00000000">
      <w:pPr>
        <w:pStyle w:val="Title"/>
        <w:rPr>
          <w:rFonts w:hint="eastAsia"/>
          <w:sz w:val="88"/>
          <w:szCs w:val="44"/>
        </w:rPr>
      </w:pPr>
      <w:r w:rsidRPr="00643755">
        <w:rPr>
          <w:sz w:val="88"/>
          <w:szCs w:val="44"/>
        </w:rPr>
        <w:t>Objectives as Modalities</w:t>
      </w:r>
    </w:p>
    <w:p w14:paraId="4213CC4D" w14:textId="77777777" w:rsidR="00D84A52" w:rsidRPr="00643755" w:rsidRDefault="00000000">
      <w:pPr>
        <w:pStyle w:val="Subtitle"/>
        <w:rPr>
          <w:rFonts w:hint="eastAsia"/>
          <w:color w:val="00B0F0"/>
          <w:sz w:val="28"/>
          <w:szCs w:val="28"/>
        </w:rPr>
      </w:pPr>
      <w:r w:rsidRPr="00643755">
        <w:rPr>
          <w:color w:val="00B0F0"/>
          <w:sz w:val="28"/>
          <w:szCs w:val="28"/>
        </w:rPr>
        <w:t>Multi objective ADE with rigorous fusion and engineering harnesses</w:t>
      </w:r>
    </w:p>
    <w:p w14:paraId="0C917BD8" w14:textId="77777777" w:rsidR="00D84A52" w:rsidRDefault="00000000">
      <w:pPr>
        <w:pStyle w:val="Author"/>
        <w:keepLines/>
        <w:rPr>
          <w:rFonts w:hint="eastAsia"/>
        </w:rPr>
      </w:pPr>
      <w:r>
        <w:t>Debi Prasad Ghosh</w:t>
      </w:r>
      <w:r>
        <w:br/>
        <w:t>Founder and Principal Engineer</w:t>
      </w:r>
      <w:r>
        <w:br/>
        <w:t>Debias Parametric Guru, Kolkata, India</w:t>
      </w:r>
    </w:p>
    <w:p w14:paraId="4448C717" w14:textId="77777777" w:rsidR="00D84A52" w:rsidRDefault="00000000">
      <w:pPr>
        <w:pStyle w:val="Date1"/>
        <w:rPr>
          <w:rFonts w:hint="eastAsia"/>
        </w:rPr>
      </w:pPr>
      <w:r>
        <w:t>Revised 30 October 2026</w:t>
      </w:r>
    </w:p>
    <w:p w14:paraId="370A8AFB" w14:textId="77777777" w:rsidR="00D84A52" w:rsidRDefault="00000000">
      <w:pPr>
        <w:pStyle w:val="Heading1"/>
        <w:spacing w:before="240"/>
        <w:rPr>
          <w:rFonts w:hint="eastAsia"/>
        </w:rPr>
      </w:pPr>
      <w:bookmarkStart w:id="0" w:name="abstract"/>
      <w:r>
        <w:t>Abstract</w:t>
      </w:r>
    </w:p>
    <w:p w14:paraId="2A829FEB" w14:textId="77777777" w:rsidR="00D84A52" w:rsidRDefault="00000000">
      <w:pPr>
        <w:pStyle w:val="FirstParagraph"/>
        <w:rPr>
          <w:rFonts w:hint="eastAsia"/>
        </w:rPr>
      </w:pPr>
      <w:r>
        <w:t>Multi-objective Autoregressive Diffusion Evolution (ADE) can share one evaluation archive while assigning each objective a separate retrieval channel. The fusion rule determines the mathematical target. This paper distinguishes a Gibbs target for a weighted sum, a weighted Chebyshev target, a mixture of normalized component targets, and archive ranks used to guide proposals. We prove the associated Pareto statements, derive query-dependent mixture gates, and show how objective scales alter both effective preferences and inverse temperature. A defensive sampling law and recorded observation probabilities make a shared archive consistent for fixed preferences; a uniform law covers data-selected preferences on a declared bounded family. A frozen finite reference rank admits concentration under any deterministic divergent inverse temperature schedule when its rank-zero region has positive reference mass. Evaluation schedules, missing responses, variable metrics, and transferred prompts receive explicit probability contracts. We prove monotonicity of IGD+ for a growing archive and give a counterexample for ordinary IGD after nondominated pruning. New checks verify the fusion identities and demonstrate preference reuse against independent quadrature. Earlier ADE benchmark summaries are retained as reported results. Validated interval computation in C# certifies the mixture gates, the Chebyshev reachability points (by interval branch and bound) and the reference curve for preference reuse. A 200-seed rerun shows that the reported single-archive error is typical. A new sharp bound, tanh(βη/2), replaces the conservative total-variation bound for perturbed responses and is attained. Recent neural recordings and behavioral modeling support functional comparisons involving separate attribute coding, sequential integration, and uncertainty, without identifying objective preferences with sensory reliability. An engineering harness keeps model weights fixed while prompts, tools, memory, workspace, runtime state, evaluation, and verification coordinate construction design. The resulting framework separates the optimization preference, the sampling law, the measurement model, and the decision to release a verified design.</w:t>
      </w:r>
    </w:p>
    <w:p w14:paraId="703DC0F3" w14:textId="77777777" w:rsidR="00D84A52" w:rsidRDefault="00000000">
      <w:pPr>
        <w:pStyle w:val="BodyText"/>
        <w:rPr>
          <w:rFonts w:hint="eastAsia"/>
        </w:rPr>
      </w:pPr>
      <w:r>
        <w:rPr>
          <w:b/>
          <w:bCs/>
        </w:rPr>
        <w:t>Keywords:</w:t>
      </w:r>
      <w:r>
        <w:t xml:space="preserve"> multi-objective optimization; ADE; Chebyshev scalarization; mixture evidence; Pareto dominance; adaptive importance sampling; neuroscience; AI harness; construction engineering.</w:t>
      </w:r>
    </w:p>
    <w:p w14:paraId="0C202E87" w14:textId="77777777" w:rsidR="00D84A52" w:rsidRDefault="00000000">
      <w:pPr>
        <w:pStyle w:val="Heading1"/>
        <w:rPr>
          <w:rFonts w:hint="eastAsia"/>
        </w:rPr>
      </w:pPr>
      <w:bookmarkStart w:id="1" w:name="introduction"/>
      <w:bookmarkEnd w:id="0"/>
      <w:r>
        <w:t>1 Introduction</w:t>
      </w:r>
    </w:p>
    <w:p w14:paraId="49A5BB72" w14:textId="77777777" w:rsidR="00D84A52" w:rsidRDefault="00000000">
      <w:pPr>
        <w:pStyle w:val="FirstParagraph"/>
        <w:rPr>
          <w:rFonts w:hint="eastAsia"/>
        </w:rPr>
      </w:pPr>
      <w:r>
        <w:t>An engineering design is rarely judged by one response. A conveyor gallery may need low cost, low embodied carbon, acceptable deflection, adequate fatigue resistance, and manageable fabrication. Some quantities define preferences among acceptable designs. Others define mandatory constraints. A search system must retain these distinctions when it combines its evaluations.</w:t>
      </w:r>
    </w:p>
    <w:p w14:paraId="7614EC69" w14:textId="77777777" w:rsidR="00D84A52" w:rsidRDefault="00000000">
      <w:pPr>
        <w:pStyle w:val="BodyText"/>
        <w:rPr>
          <w:rFonts w:hint="eastAsia"/>
        </w:rPr>
      </w:pPr>
      <w:r>
        <w:t xml:space="preserve">Autoregressive Diffusion Evolution builds each numerical proposal using earlier evaluated states. Its diffusion-style retrieval can be written as attention whose logits include an objective-dependent bias. Diffusion Evolution [1] and multimodal sequence models [2] motivate the analogy in the title: one archive can be read through several objective channels, then fused. Here modality denotes a </w:t>
      </w:r>
      <w:r>
        <w:lastRenderedPageBreak/>
        <w:t>computational channel for an objective or evaluator; a cost objective is not literally a sensory modality.</w:t>
      </w:r>
    </w:p>
    <w:p w14:paraId="1BBE7CD8" w14:textId="77777777" w:rsidR="00D84A52" w:rsidRDefault="00000000">
      <w:pPr>
        <w:pStyle w:val="BodyText"/>
        <w:rPr>
          <w:rFonts w:hint="eastAsia"/>
        </w:rPr>
      </w:pPr>
      <w:r>
        <w:t>The useful question is which target a fusion rule represents. Adding objective biases produces a different distribution from mixing separately normalized heads. A dominance rank is another object again: it depends on the comparison archive and generally changes as records arrive. The analysis below states these objects separately and gives their implementation contracts. The surrounding ADE research collection provides the engineering context [3].</w:t>
      </w:r>
    </w:p>
    <w:p w14:paraId="75C83851" w14:textId="77777777" w:rsidR="00D84A52" w:rsidRDefault="00000000">
      <w:pPr>
        <w:pStyle w:val="BodyText"/>
        <w:rPr>
          <w:rFonts w:hint="eastAsia"/>
        </w:rPr>
      </w:pPr>
      <w:r>
        <w:t>The paper also examines the analogy’s biological and architectural limits. Recent neuroscience offers evidence for separate and integrated attribute representations, context-sensitive uncertainty, and sequential combination. These findings motivate testable design choices, not an assertion that cortex implements Pareto sorting or a Gibbs optimizer. An AI harness supplies the executable setting in which known numerical proposals, observations, and verification can be coordinated around a fixed language model.</w:t>
      </w:r>
    </w:p>
    <w:p w14:paraId="1D257111" w14:textId="77777777" w:rsidR="00D84A52" w:rsidRDefault="00000000">
      <w:pPr>
        <w:pStyle w:val="Heading1"/>
        <w:rPr>
          <w:rFonts w:hint="eastAsia"/>
        </w:rPr>
      </w:pPr>
      <w:bookmarkStart w:id="2" w:name="Xa28f725ae71d594fd05da1b1720f71fddd43606"/>
      <w:bookmarkEnd w:id="1"/>
      <w:r>
        <w:t>2 Objectives constraints and calibrated preferences</w:t>
      </w:r>
    </w:p>
    <w:p w14:paraId="406F538C" w14:textId="77777777" w:rsidR="00D84A52" w:rsidRDefault="00000000">
      <w:pPr>
        <w:pStyle w:val="Heading2"/>
        <w:rPr>
          <w:rFonts w:hint="eastAsia"/>
        </w:rPr>
      </w:pPr>
      <w:bookmarkStart w:id="3" w:name="domain-and-efficiency"/>
      <w:r>
        <w:t>2.1 Domain and efficiency</w:t>
      </w:r>
    </w:p>
    <w:p w14:paraId="09E4E872" w14:textId="77777777" w:rsidR="00D84A52" w:rsidRDefault="00000000">
      <w:pPr>
        <w:pStyle w:val="FirstParagraph"/>
        <w:rPr>
          <w:rFonts w:hint="eastAsia"/>
        </w:rPr>
      </w:pPr>
      <w:r>
        <w:t xml:space="preserve">Let </w:t>
      </w:r>
      <m:oMath>
        <m:r>
          <m:rPr>
            <m:scr m:val="script"/>
            <m:sty m:val="p"/>
          </m:rPr>
          <w:rPr>
            <w:rFonts w:ascii="Cambria Math" w:hAnsi="Cambria Math"/>
          </w:rPr>
          <m:t>X</m:t>
        </m:r>
      </m:oMath>
      <w:r>
        <w:t xml:space="preserve"> be a standard Borel design space, </w:t>
      </w:r>
      <m:oMath>
        <m:r>
          <m:rPr>
            <m:scr m:val="script"/>
            <m:sty m:val="p"/>
          </m:rPr>
          <w:rPr>
            <w:rFonts w:ascii="Cambria Math" w:hAnsi="Cambria Math"/>
          </w:rPr>
          <m:t>C⊆X</m:t>
        </m:r>
      </m:oMath>
      <w:r>
        <w:t xml:space="preserve"> a measurable feasible set, and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t xml:space="preserve"> a vector of measurable minimized objectives. For objective vectors </w:t>
      </w:r>
      <m:oMath>
        <m:r>
          <w:rPr>
            <w:rFonts w:ascii="Cambria Math" w:hAnsi="Cambria Math"/>
          </w:rPr>
          <m:t>u</m:t>
        </m:r>
        <m:r>
          <m:rPr>
            <m:sty m:val="p"/>
          </m:rPr>
          <w:rPr>
            <w:rFonts w:ascii="Cambria Math" w:hAnsi="Cambria Math"/>
          </w:rPr>
          <m:t>,</m:t>
        </m:r>
        <m:r>
          <w:rPr>
            <w:rFonts w:ascii="Cambria Math" w:hAnsi="Cambria Math"/>
          </w:rPr>
          <m:t>v</m:t>
        </m:r>
      </m:oMath>
      <w:r>
        <w:t xml:space="preserve">, write </w:t>
      </w:r>
      <m:oMath>
        <m:r>
          <w:rPr>
            <w:rFonts w:ascii="Cambria Math" w:hAnsi="Cambria Math"/>
          </w:rPr>
          <m:t>u</m:t>
        </m:r>
        <m:r>
          <m:rPr>
            <m:sty m:val="p"/>
          </m:rPr>
          <w:rPr>
            <w:rFonts w:ascii="Cambria Math" w:hAnsi="Cambria Math"/>
          </w:rPr>
          <m:t>≺</m:t>
        </m:r>
        <m:r>
          <w:rPr>
            <w:rFonts w:ascii="Cambria Math" w:hAnsi="Cambria Math"/>
          </w:rPr>
          <m:t>v</m:t>
        </m:r>
      </m:oMath>
      <w:r>
        <w:t xml:space="preserve"> when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w:t>
      </w:r>
      <m:oMath>
        <m:r>
          <w:rPr>
            <w:rFonts w:ascii="Cambria Math" w:hAnsi="Cambria Math"/>
          </w:rPr>
          <m:t>j</m:t>
        </m:r>
      </m:oMath>
      <w:r>
        <w:t xml:space="preserve"> and at least one inequality is strict. A feasible design is Pareto efficient if no feasible design dominates it, and weakly efficient if no feasible design strictly improves every coordinate. Neither definition refers to the probability of sampling that design.</w:t>
      </w:r>
    </w:p>
    <w:p w14:paraId="2DB614F0" w14:textId="77777777" w:rsidR="00D84A52" w:rsidRDefault="00000000">
      <w:pPr>
        <w:pStyle w:val="BodyText"/>
        <w:keepNext/>
        <w:rPr>
          <w:rFonts w:hint="eastAsia"/>
        </w:rPr>
      </w:pPr>
      <w:r>
        <w:t xml:space="preserve">A probability measure </w:t>
      </w:r>
      <m:oMath>
        <m:r>
          <w:rPr>
            <w:rFonts w:ascii="Cambria Math" w:hAnsi="Cambria Math"/>
          </w:rPr>
          <m:t>μ</m:t>
        </m:r>
      </m:oMath>
      <w:r>
        <w:t xml:space="preserve"> specifies the reference design law. It can contain continuous coordinates, categorical choices, and atoms. Choose fixed offsets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positive physical scales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and define</w:t>
      </w:r>
    </w:p>
    <w:p w14:paraId="3D4E0584"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m:rPr>
              <m:nor/>
            </m:rPr>
            <m:t>    </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(1)</m:t>
          </m:r>
        </m:oMath>
      </m:oMathPara>
    </w:p>
    <w:p w14:paraId="753679FB" w14:textId="77777777" w:rsidR="00D84A52" w:rsidRDefault="00000000">
      <w:pPr>
        <w:pStyle w:val="FirstParagraph"/>
        <w:rPr>
          <w:rFonts w:hint="eastAsia"/>
        </w:rPr>
      </w:pPr>
      <w:r>
        <w:t xml:space="preserve">When using bounded exponential weights, choose known lower bounds so that the relevant losses are nonnegative, or subtract a fixed known lower bound from each scalar loss. The scale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converts physical units into a declared tradeoff. It is not a measurement standard deviation unless a separate statistical model justifies that interpretation.</w:t>
      </w:r>
    </w:p>
    <w:p w14:paraId="45F29B01" w14:textId="77777777" w:rsidR="00D84A52" w:rsidRDefault="00000000">
      <w:pPr>
        <w:pStyle w:val="BodyText"/>
        <w:rPr>
          <w:rFonts w:hint="eastAsia"/>
        </w:rPr>
      </w:pPr>
      <w:r>
        <w:t xml:space="preserve">Hard constraints can be imposed by restricting the reference to </w:t>
      </w:r>
      <m:oMath>
        <m:r>
          <m:rPr>
            <m:scr m:val="script"/>
            <m:sty m:val="p"/>
          </m:rPr>
          <w:rPr>
            <w:rFonts w:ascii="Cambria Math" w:hAnsi="Cambria Math"/>
          </w:rPr>
          <m:t>C</m:t>
        </m:r>
      </m:oMath>
      <w:r>
        <w:t xml:space="preserve">, when that conditional reference exists, or by multiplying the unnormalized target by </w:t>
      </w:r>
      <m:oMath>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oMath>
      <w:r>
        <w:t>. A finite penalty produces a soft preference for fewer violations; it does not guarantee engineering feasibility. Posterior means and fused head outputs require a fresh feasibility check because averaging feasible discrete or nonlinear designs can leave the feasible set.</w:t>
      </w:r>
    </w:p>
    <w:p w14:paraId="073142EB" w14:textId="77777777" w:rsidR="00D84A52" w:rsidRDefault="00000000">
      <w:pPr>
        <w:pStyle w:val="Heading2"/>
        <w:rPr>
          <w:rFonts w:hint="eastAsia"/>
        </w:rPr>
      </w:pPr>
      <w:bookmarkStart w:id="4" w:name="X90d5236ac4f71016e380c34ba735599c0d71ef0"/>
      <w:bookmarkEnd w:id="3"/>
      <w:r>
        <w:t>2.2 Four objects that must not share one weight</w:t>
      </w:r>
    </w:p>
    <w:p w14:paraId="07E0E4C7" w14:textId="77777777" w:rsidR="00D84A52" w:rsidRDefault="00000000">
      <w:pPr>
        <w:pStyle w:val="FirstParagraph"/>
        <w:rPr>
          <w:rFonts w:hint="eastAsia"/>
        </w:rPr>
      </w:pPr>
      <w:r>
        <w:t xml:space="preserve">The preference </w:t>
      </w:r>
      <m:oMath>
        <m:r>
          <w:rPr>
            <w:rFonts w:ascii="Cambria Math" w:hAnsi="Cambria Math"/>
          </w:rPr>
          <m:t>λ</m:t>
        </m:r>
      </m:oMath>
      <w:r>
        <w:t xml:space="preserve"> describes how objectives are valued. The inverse temperature </w:t>
      </w:r>
      <m:oMath>
        <m:r>
          <w:rPr>
            <w:rFonts w:ascii="Cambria Math" w:hAnsi="Cambria Math"/>
          </w:rPr>
          <m:t>β</m:t>
        </m:r>
      </m:oMath>
      <w:r>
        <w:t xml:space="preserve"> describes the strength of that preference relative to the reference measure. The proposal law describes how candidates are actually generated. A measurement model describes how uncertain responses or parameters produce observations. Their parameters may interact in a controller, but their meanings remain distinct.</w:t>
      </w:r>
    </w:p>
    <w:p w14:paraId="59B54AA2" w14:textId="77777777" w:rsidR="00D84A52" w:rsidRDefault="00000000">
      <w:pPr>
        <w:pStyle w:val="BodyText"/>
        <w:keepNext/>
        <w:rPr>
          <w:rFonts w:hint="eastAsia"/>
        </w:rPr>
      </w:pPr>
      <w:r>
        <w:lastRenderedPageBreak/>
        <w:t xml:space="preserve">For a measurable scalar loss </w:t>
      </w:r>
      <m:oMath>
        <m:r>
          <w:rPr>
            <w:rFonts w:ascii="Cambria Math" w:hAnsi="Cambria Math"/>
          </w:rPr>
          <m:t>S</m:t>
        </m:r>
      </m:oMath>
      <w:r>
        <w:t>, the Gibbs preference target is</w:t>
      </w:r>
    </w:p>
    <w:p w14:paraId="1AFD065D"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β</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dx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m:rPr>
              <m:nor/>
            </m:rPr>
            <m:t>    </m:t>
          </m:r>
          <m:r>
            <w:rPr>
              <w:rFonts w:ascii="Cambria Math" w:hAnsi="Cambria Math"/>
            </w:rPr>
            <m:t>dμ</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m:t>
          </m:r>
          <m:r>
            <m:rPr>
              <m:nor/>
            </m:rPr>
            <m:t>    (2)</m:t>
          </m:r>
        </m:oMath>
      </m:oMathPara>
    </w:p>
    <w:p w14:paraId="77E9EBA2" w14:textId="77777777" w:rsidR="00D84A52" w:rsidRDefault="00000000">
      <w:pPr>
        <w:pStyle w:val="FirstParagraph"/>
        <w:rPr>
          <w:rFonts w:hint="eastAsia"/>
        </w:rPr>
      </w:pPr>
      <w:r>
        <w:t xml:space="preserve">Assume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S</m:t>
            </m:r>
          </m:sub>
        </m:sSub>
        <m:r>
          <m:rPr>
            <m:sty m:val="p"/>
          </m:rPr>
          <w:rPr>
            <w:rFonts w:ascii="Cambria Math" w:hAnsi="Cambria Math"/>
          </w:rPr>
          <m:t>&lt;∞</m:t>
        </m:r>
      </m:oMath>
      <w:r>
        <w:t>. This is a generalized-Bayes loss tilt [4]. It is not automatically a likelihood for measured physical data, a probability of code compliance, or a posterior over material uncertainty. Those require their own observation and uncertainty models.</w:t>
      </w:r>
    </w:p>
    <w:p w14:paraId="64019B7D" w14:textId="77777777" w:rsidR="00D84A52" w:rsidRDefault="00000000">
      <w:pPr>
        <w:pStyle w:val="Caption"/>
        <w:keepNext/>
        <w:rPr>
          <w:rFonts w:hint="eastAsia"/>
        </w:rPr>
      </w:pPr>
      <w:r>
        <w:t>Table 1. Fusion rules and the objects they define.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032"/>
        <w:gridCol w:w="4104"/>
      </w:tblGrid>
      <w:tr w:rsidR="00D84A52" w14:paraId="683E8381" w14:textId="77777777">
        <w:trPr>
          <w:cantSplit/>
          <w:tblHeader/>
          <w:jc w:val="center"/>
        </w:trPr>
        <w:tc>
          <w:tcPr>
            <w:tcW w:w="1800" w:type="dxa"/>
            <w:shd w:val="clear" w:color="auto" w:fill="EAEAEA"/>
            <w:tcMar>
              <w:top w:w="80" w:type="dxa"/>
              <w:left w:w="85" w:type="dxa"/>
              <w:bottom w:w="80" w:type="dxa"/>
              <w:right w:w="85" w:type="dxa"/>
            </w:tcMar>
            <w:vAlign w:val="center"/>
          </w:tcPr>
          <w:p w14:paraId="2CB6EB25" w14:textId="77777777" w:rsidR="00D84A52" w:rsidRDefault="00000000">
            <w:pPr>
              <w:keepNext/>
              <w:keepLines/>
              <w:spacing w:after="0" w:line="247" w:lineRule="auto"/>
              <w:jc w:val="left"/>
              <w:rPr>
                <w:rFonts w:hint="eastAsia"/>
              </w:rPr>
            </w:pPr>
            <w:r>
              <w:rPr>
                <w:b/>
                <w:sz w:val="21"/>
              </w:rPr>
              <w:t>Rule</w:t>
            </w:r>
          </w:p>
        </w:tc>
        <w:tc>
          <w:tcPr>
            <w:tcW w:w="4032" w:type="dxa"/>
            <w:shd w:val="clear" w:color="auto" w:fill="EAEAEA"/>
            <w:tcMar>
              <w:top w:w="80" w:type="dxa"/>
              <w:left w:w="85" w:type="dxa"/>
              <w:bottom w:w="80" w:type="dxa"/>
              <w:right w:w="85" w:type="dxa"/>
            </w:tcMar>
            <w:vAlign w:val="center"/>
          </w:tcPr>
          <w:p w14:paraId="0067B107" w14:textId="77777777" w:rsidR="00D84A52" w:rsidRDefault="00000000">
            <w:pPr>
              <w:keepNext/>
              <w:keepLines/>
              <w:spacing w:after="0" w:line="247" w:lineRule="auto"/>
              <w:jc w:val="left"/>
              <w:rPr>
                <w:rFonts w:hint="eastAsia"/>
              </w:rPr>
            </w:pPr>
            <w:r>
              <w:rPr>
                <w:b/>
                <w:sz w:val="21"/>
              </w:rPr>
              <w:t>Mathematical object</w:t>
            </w:r>
          </w:p>
        </w:tc>
        <w:tc>
          <w:tcPr>
            <w:tcW w:w="4104" w:type="dxa"/>
            <w:shd w:val="clear" w:color="auto" w:fill="EAEAEA"/>
            <w:tcMar>
              <w:top w:w="80" w:type="dxa"/>
              <w:left w:w="85" w:type="dxa"/>
              <w:bottom w:w="80" w:type="dxa"/>
              <w:right w:w="85" w:type="dxa"/>
            </w:tcMar>
            <w:vAlign w:val="center"/>
          </w:tcPr>
          <w:p w14:paraId="24FF1111" w14:textId="77777777" w:rsidR="00D84A52" w:rsidRDefault="00000000">
            <w:pPr>
              <w:keepNext/>
              <w:keepLines/>
              <w:spacing w:after="0" w:line="247" w:lineRule="auto"/>
              <w:jc w:val="left"/>
              <w:rPr>
                <w:rFonts w:hint="eastAsia"/>
              </w:rPr>
            </w:pPr>
            <w:r>
              <w:rPr>
                <w:b/>
                <w:sz w:val="21"/>
              </w:rPr>
              <w:t>Interpretation</w:t>
            </w:r>
          </w:p>
        </w:tc>
      </w:tr>
      <w:tr w:rsidR="00D84A52" w14:paraId="483EF296" w14:textId="77777777">
        <w:trPr>
          <w:cantSplit/>
          <w:jc w:val="center"/>
        </w:trPr>
        <w:tc>
          <w:tcPr>
            <w:tcW w:w="1800" w:type="dxa"/>
            <w:shd w:val="clear" w:color="auto" w:fill="FFFFFF"/>
            <w:tcMar>
              <w:top w:w="80" w:type="dxa"/>
              <w:left w:w="85" w:type="dxa"/>
              <w:bottom w:w="80" w:type="dxa"/>
              <w:right w:w="85" w:type="dxa"/>
            </w:tcMar>
            <w:vAlign w:val="center"/>
          </w:tcPr>
          <w:p w14:paraId="4147DB48" w14:textId="77777777" w:rsidR="00D84A52" w:rsidRDefault="00000000">
            <w:pPr>
              <w:keepNext/>
              <w:keepLines/>
              <w:spacing w:after="0" w:line="247" w:lineRule="auto"/>
              <w:jc w:val="left"/>
              <w:rPr>
                <w:rFonts w:hint="eastAsia"/>
              </w:rPr>
            </w:pPr>
            <w:r>
              <w:rPr>
                <w:sz w:val="21"/>
              </w:rPr>
              <w:t>Early fusion</w:t>
            </w:r>
          </w:p>
        </w:tc>
        <w:tc>
          <w:tcPr>
            <w:tcW w:w="4032" w:type="dxa"/>
            <w:shd w:val="clear" w:color="auto" w:fill="FFFFFF"/>
            <w:tcMar>
              <w:top w:w="80" w:type="dxa"/>
              <w:left w:w="85" w:type="dxa"/>
              <w:bottom w:w="80" w:type="dxa"/>
              <w:right w:w="85" w:type="dxa"/>
            </w:tcMar>
            <w:vAlign w:val="center"/>
          </w:tcPr>
          <w:p w14:paraId="7CB436D0" w14:textId="77777777" w:rsidR="00D84A52"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m:oMathPara>
          </w:p>
        </w:tc>
        <w:tc>
          <w:tcPr>
            <w:tcW w:w="4104" w:type="dxa"/>
            <w:shd w:val="clear" w:color="auto" w:fill="FFFFFF"/>
            <w:tcMar>
              <w:top w:w="80" w:type="dxa"/>
              <w:left w:w="85" w:type="dxa"/>
              <w:bottom w:w="80" w:type="dxa"/>
              <w:right w:w="85" w:type="dxa"/>
            </w:tcMar>
            <w:vAlign w:val="center"/>
          </w:tcPr>
          <w:p w14:paraId="28A7CBB7" w14:textId="77777777" w:rsidR="00D84A52" w:rsidRDefault="00000000">
            <w:pPr>
              <w:keepNext/>
              <w:keepLines/>
              <w:spacing w:after="0" w:line="247" w:lineRule="auto"/>
              <w:jc w:val="left"/>
              <w:rPr>
                <w:rFonts w:hint="eastAsia"/>
              </w:rPr>
            </w:pPr>
            <w:r>
              <w:rPr>
                <w:sz w:val="21"/>
              </w:rPr>
              <w:t>One joint preference over all objectives</w:t>
            </w:r>
          </w:p>
        </w:tc>
      </w:tr>
      <w:tr w:rsidR="00D84A52" w14:paraId="0119528C" w14:textId="77777777">
        <w:trPr>
          <w:cantSplit/>
          <w:jc w:val="center"/>
        </w:trPr>
        <w:tc>
          <w:tcPr>
            <w:tcW w:w="1800" w:type="dxa"/>
            <w:shd w:val="clear" w:color="auto" w:fill="FFFFFF"/>
            <w:tcMar>
              <w:top w:w="80" w:type="dxa"/>
              <w:left w:w="85" w:type="dxa"/>
              <w:bottom w:w="80" w:type="dxa"/>
              <w:right w:w="85" w:type="dxa"/>
            </w:tcMar>
            <w:vAlign w:val="center"/>
          </w:tcPr>
          <w:p w14:paraId="31ED4CCB" w14:textId="77777777" w:rsidR="00D84A52" w:rsidRDefault="00000000">
            <w:pPr>
              <w:keepNext/>
              <w:keepLines/>
              <w:spacing w:after="0" w:line="247" w:lineRule="auto"/>
              <w:jc w:val="left"/>
              <w:rPr>
                <w:rFonts w:hint="eastAsia"/>
              </w:rPr>
            </w:pPr>
            <w:r>
              <w:rPr>
                <w:sz w:val="21"/>
              </w:rPr>
              <w:t>Chebyshev fusion</w:t>
            </w:r>
          </w:p>
        </w:tc>
        <w:tc>
          <w:tcPr>
            <w:tcW w:w="4032" w:type="dxa"/>
            <w:shd w:val="clear" w:color="auto" w:fill="FFFFFF"/>
            <w:tcMar>
              <w:top w:w="80" w:type="dxa"/>
              <w:left w:w="85" w:type="dxa"/>
              <w:bottom w:w="80" w:type="dxa"/>
              <w:right w:w="85" w:type="dxa"/>
            </w:tcMar>
            <w:vAlign w:val="center"/>
          </w:tcPr>
          <w:p w14:paraId="77A7DB96" w14:textId="77777777" w:rsidR="00D84A52"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T</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tc>
        <w:tc>
          <w:tcPr>
            <w:tcW w:w="4104" w:type="dxa"/>
            <w:shd w:val="clear" w:color="auto" w:fill="FFFFFF"/>
            <w:tcMar>
              <w:top w:w="80" w:type="dxa"/>
              <w:left w:w="85" w:type="dxa"/>
              <w:bottom w:w="80" w:type="dxa"/>
              <w:right w:w="85" w:type="dxa"/>
            </w:tcMar>
            <w:vAlign w:val="center"/>
          </w:tcPr>
          <w:p w14:paraId="7DA01382" w14:textId="77777777" w:rsidR="00D84A52" w:rsidRDefault="00000000">
            <w:pPr>
              <w:keepNext/>
              <w:keepLines/>
              <w:spacing w:after="0" w:line="247" w:lineRule="auto"/>
              <w:jc w:val="left"/>
              <w:rPr>
                <w:rFonts w:hint="eastAsia"/>
              </w:rPr>
            </w:pPr>
            <w:r>
              <w:rPr>
                <w:sz w:val="21"/>
              </w:rPr>
              <w:t>Preference for the largest weighted shortfall</w:t>
            </w:r>
          </w:p>
        </w:tc>
      </w:tr>
      <w:tr w:rsidR="00D84A52" w14:paraId="1939AEB2" w14:textId="77777777">
        <w:trPr>
          <w:cantSplit/>
          <w:jc w:val="center"/>
        </w:trPr>
        <w:tc>
          <w:tcPr>
            <w:tcW w:w="1800" w:type="dxa"/>
            <w:shd w:val="clear" w:color="auto" w:fill="FFFFFF"/>
            <w:tcMar>
              <w:top w:w="80" w:type="dxa"/>
              <w:left w:w="85" w:type="dxa"/>
              <w:bottom w:w="80" w:type="dxa"/>
              <w:right w:w="85" w:type="dxa"/>
            </w:tcMar>
            <w:vAlign w:val="center"/>
          </w:tcPr>
          <w:p w14:paraId="43808320" w14:textId="77777777" w:rsidR="00D84A52" w:rsidRDefault="00000000">
            <w:pPr>
              <w:keepNext/>
              <w:keepLines/>
              <w:spacing w:after="0" w:line="247" w:lineRule="auto"/>
              <w:jc w:val="left"/>
              <w:rPr>
                <w:rFonts w:hint="eastAsia"/>
              </w:rPr>
            </w:pPr>
            <w:r>
              <w:rPr>
                <w:sz w:val="21"/>
              </w:rPr>
              <w:t>Late fusion</w:t>
            </w:r>
          </w:p>
        </w:tc>
        <w:tc>
          <w:tcPr>
            <w:tcW w:w="4032" w:type="dxa"/>
            <w:shd w:val="clear" w:color="auto" w:fill="FFFFFF"/>
            <w:tcMar>
              <w:top w:w="80" w:type="dxa"/>
              <w:left w:w="85" w:type="dxa"/>
              <w:bottom w:w="80" w:type="dxa"/>
              <w:right w:w="85" w:type="dxa"/>
            </w:tcMar>
            <w:vAlign w:val="center"/>
          </w:tcPr>
          <w:p w14:paraId="34333A4B" w14:textId="77777777" w:rsidR="00D84A52"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π</m:t>
                    </m:r>
                  </m:e>
                  <m:sub>
                    <m:r>
                      <m:rPr>
                        <m:sty m:val="p"/>
                      </m:rPr>
                      <w:rPr>
                        <w:rFonts w:ascii="Cambria Math" w:hAnsi="Cambria Math"/>
                      </w: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m:oMathPara>
          </w:p>
        </w:tc>
        <w:tc>
          <w:tcPr>
            <w:tcW w:w="4104" w:type="dxa"/>
            <w:shd w:val="clear" w:color="auto" w:fill="FFFFFF"/>
            <w:tcMar>
              <w:top w:w="80" w:type="dxa"/>
              <w:left w:w="85" w:type="dxa"/>
              <w:bottom w:w="80" w:type="dxa"/>
              <w:right w:w="85" w:type="dxa"/>
            </w:tcMar>
            <w:vAlign w:val="center"/>
          </w:tcPr>
          <w:p w14:paraId="2C50221E" w14:textId="77777777" w:rsidR="00D84A52" w:rsidRDefault="00000000">
            <w:pPr>
              <w:keepNext/>
              <w:keepLines/>
              <w:spacing w:after="0" w:line="247" w:lineRule="auto"/>
              <w:jc w:val="left"/>
              <w:rPr>
                <w:rFonts w:hint="eastAsia"/>
              </w:rPr>
            </w:pPr>
            <w:r>
              <w:rPr>
                <w:sz w:val="21"/>
              </w:rPr>
              <w:t>Mixture of separately normalized targets</w:t>
            </w:r>
          </w:p>
        </w:tc>
      </w:tr>
      <w:tr w:rsidR="00D84A52" w14:paraId="778BD812" w14:textId="77777777">
        <w:trPr>
          <w:cantSplit/>
          <w:jc w:val="center"/>
        </w:trPr>
        <w:tc>
          <w:tcPr>
            <w:tcW w:w="1800" w:type="dxa"/>
            <w:shd w:val="clear" w:color="auto" w:fill="FFFFFF"/>
            <w:tcMar>
              <w:top w:w="80" w:type="dxa"/>
              <w:left w:w="85" w:type="dxa"/>
              <w:bottom w:w="80" w:type="dxa"/>
              <w:right w:w="85" w:type="dxa"/>
            </w:tcMar>
            <w:vAlign w:val="center"/>
          </w:tcPr>
          <w:p w14:paraId="54EF9551" w14:textId="77777777" w:rsidR="00D84A52" w:rsidRDefault="00000000">
            <w:pPr>
              <w:keepNext/>
              <w:keepLines/>
              <w:spacing w:after="0" w:line="247" w:lineRule="auto"/>
              <w:jc w:val="left"/>
              <w:rPr>
                <w:rFonts w:hint="eastAsia"/>
              </w:rPr>
            </w:pPr>
            <w:r>
              <w:rPr>
                <w:sz w:val="21"/>
              </w:rPr>
              <w:t>Current archive rank</w:t>
            </w:r>
          </w:p>
        </w:tc>
        <w:tc>
          <w:tcPr>
            <w:tcW w:w="4032" w:type="dxa"/>
            <w:shd w:val="clear" w:color="auto" w:fill="FFFFFF"/>
            <w:tcMar>
              <w:top w:w="80" w:type="dxa"/>
              <w:left w:w="85" w:type="dxa"/>
              <w:bottom w:w="80" w:type="dxa"/>
              <w:right w:w="85" w:type="dxa"/>
            </w:tcMar>
            <w:vAlign w:val="center"/>
          </w:tcPr>
          <w:p w14:paraId="0640162D" w14:textId="77777777" w:rsidR="00D84A52"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N</m:t>
                        </m:r>
                      </m:sub>
                    </m:sSub>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tc>
        <w:tc>
          <w:tcPr>
            <w:tcW w:w="4104" w:type="dxa"/>
            <w:shd w:val="clear" w:color="auto" w:fill="FFFFFF"/>
            <w:tcMar>
              <w:top w:w="80" w:type="dxa"/>
              <w:left w:w="85" w:type="dxa"/>
              <w:bottom w:w="80" w:type="dxa"/>
              <w:right w:w="85" w:type="dxa"/>
            </w:tcMar>
            <w:vAlign w:val="center"/>
          </w:tcPr>
          <w:p w14:paraId="639F7657" w14:textId="77777777" w:rsidR="00D84A52" w:rsidRDefault="00000000">
            <w:pPr>
              <w:keepNext/>
              <w:keepLines/>
              <w:spacing w:after="0" w:line="247" w:lineRule="auto"/>
              <w:jc w:val="left"/>
              <w:rPr>
                <w:rFonts w:hint="eastAsia"/>
              </w:rPr>
            </w:pPr>
            <w:r>
              <w:rPr>
                <w:sz w:val="21"/>
              </w:rPr>
              <w:t>Adaptive proposal signal</w:t>
            </w:r>
          </w:p>
        </w:tc>
      </w:tr>
      <w:tr w:rsidR="00D84A52" w14:paraId="5D402C34" w14:textId="77777777">
        <w:trPr>
          <w:cantSplit/>
          <w:jc w:val="center"/>
        </w:trPr>
        <w:tc>
          <w:tcPr>
            <w:tcW w:w="1800" w:type="dxa"/>
            <w:shd w:val="clear" w:color="auto" w:fill="FFFFFF"/>
            <w:tcMar>
              <w:top w:w="80" w:type="dxa"/>
              <w:left w:w="85" w:type="dxa"/>
              <w:bottom w:w="80" w:type="dxa"/>
              <w:right w:w="85" w:type="dxa"/>
            </w:tcMar>
            <w:vAlign w:val="center"/>
          </w:tcPr>
          <w:p w14:paraId="4AED1D07" w14:textId="77777777" w:rsidR="00D84A52" w:rsidRDefault="00000000">
            <w:pPr>
              <w:keepLines/>
              <w:spacing w:after="0" w:line="247" w:lineRule="auto"/>
              <w:jc w:val="left"/>
              <w:rPr>
                <w:rFonts w:hint="eastAsia"/>
              </w:rPr>
            </w:pPr>
            <w:r>
              <w:rPr>
                <w:sz w:val="21"/>
              </w:rPr>
              <w:t>Frozen reference rank</w:t>
            </w:r>
          </w:p>
        </w:tc>
        <w:tc>
          <w:tcPr>
            <w:tcW w:w="4032" w:type="dxa"/>
            <w:shd w:val="clear" w:color="auto" w:fill="FFFFFF"/>
            <w:tcMar>
              <w:top w:w="80" w:type="dxa"/>
              <w:left w:w="85" w:type="dxa"/>
              <w:bottom w:w="80" w:type="dxa"/>
              <w:right w:w="85" w:type="dxa"/>
            </w:tcMar>
            <w:vAlign w:val="center"/>
          </w:tcPr>
          <w:p w14:paraId="057F845E" w14:textId="77777777" w:rsidR="00D84A52" w:rsidRDefault="00000000">
            <w:pPr>
              <w:keepLines/>
              <w:spacing w:after="0" w:line="247" w:lineRule="auto"/>
              <w:jc w:val="left"/>
              <w:rPr>
                <w:rFonts w:hint="eastAsia"/>
              </w:rPr>
            </w:pP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w:r>
              <w:rPr>
                <w:sz w:val="21"/>
              </w:rPr>
              <w:t xml:space="preserve"> with fixed </w:t>
            </w:r>
            <m:oMath>
              <m:r>
                <w:rPr>
                  <w:rFonts w:ascii="Cambria Math" w:hAnsi="Cambria Math"/>
                </w:rPr>
                <m:t>A</m:t>
              </m:r>
            </m:oMath>
          </w:p>
        </w:tc>
        <w:tc>
          <w:tcPr>
            <w:tcW w:w="4104" w:type="dxa"/>
            <w:shd w:val="clear" w:color="auto" w:fill="FFFFFF"/>
            <w:tcMar>
              <w:top w:w="80" w:type="dxa"/>
              <w:left w:w="85" w:type="dxa"/>
              <w:bottom w:w="80" w:type="dxa"/>
              <w:right w:w="85" w:type="dxa"/>
            </w:tcMar>
            <w:vAlign w:val="center"/>
          </w:tcPr>
          <w:p w14:paraId="0805B011" w14:textId="77777777" w:rsidR="00D84A52" w:rsidRDefault="00000000">
            <w:pPr>
              <w:keepLines/>
              <w:spacing w:after="0" w:line="247" w:lineRule="auto"/>
              <w:jc w:val="left"/>
              <w:rPr>
                <w:rFonts w:hint="eastAsia"/>
              </w:rPr>
            </w:pPr>
            <w:r>
              <w:rPr>
                <w:sz w:val="21"/>
              </w:rPr>
              <w:t>A fixed finite-level preference loss</w:t>
            </w:r>
          </w:p>
        </w:tc>
      </w:tr>
    </w:tbl>
    <w:p w14:paraId="01ECB14B" w14:textId="77777777" w:rsidR="00D84A52" w:rsidRDefault="00000000">
      <w:pPr>
        <w:pStyle w:val="Heading1"/>
        <w:rPr>
          <w:rFonts w:hint="eastAsia"/>
        </w:rPr>
      </w:pPr>
      <w:bookmarkStart w:id="5" w:name="scalar-fusion-and-pareto-reachability"/>
      <w:bookmarkEnd w:id="2"/>
      <w:bookmarkEnd w:id="4"/>
      <w:r>
        <w:t>3 Scalar fusion and Pareto reachability</w:t>
      </w:r>
    </w:p>
    <w:p w14:paraId="705A3B06" w14:textId="77777777" w:rsidR="00D84A52" w:rsidRDefault="00000000">
      <w:pPr>
        <w:pStyle w:val="Heading2"/>
        <w:rPr>
          <w:rFonts w:hint="eastAsia"/>
        </w:rPr>
      </w:pPr>
      <w:bookmarkStart w:id="6" w:name="weighted-sums-and-low-temperature"/>
      <w:r>
        <w:t>3.1 Weighted sums and low temperature</w:t>
      </w:r>
    </w:p>
    <w:p w14:paraId="50973889" w14:textId="77777777" w:rsidR="00D84A52" w:rsidRDefault="00000000">
      <w:pPr>
        <w:pStyle w:val="FirstParagraph"/>
        <w:keepNext/>
        <w:rPr>
          <w:rFonts w:hint="eastAsia"/>
        </w:rPr>
      </w:pPr>
      <w:r>
        <w:t xml:space="preserve">For early fusion, substituting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into (2) gives</w:t>
      </w:r>
    </w:p>
    <w:p w14:paraId="5460CB24"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sub>
          </m:sSub>
          <m:d>
            <m:dPr>
              <m:ctrlPr>
                <w:rPr>
                  <w:rFonts w:ascii="Cambria Math" w:hAnsi="Cambria Math"/>
                </w:rPr>
              </m:ctrlPr>
            </m:dPr>
            <m:e>
              <m:r>
                <w:rPr>
                  <w:rFonts w:ascii="Cambria Math" w:hAnsi="Cambria Math"/>
                </w:rPr>
                <m:t>dx</m:t>
              </m:r>
            </m:e>
          </m:d>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sup>
                  </m:sSup>
                </m:e>
              </m:nary>
            </m:e>
          </m:d>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(3)</m:t>
          </m:r>
        </m:oMath>
      </m:oMathPara>
    </w:p>
    <w:p w14:paraId="205E0915" w14:textId="77777777" w:rsidR="00D84A52" w:rsidRDefault="00000000">
      <w:pPr>
        <w:pStyle w:val="FirstParagraph"/>
        <w:rPr>
          <w:rFonts w:hint="eastAsia"/>
        </w:rPr>
      </w:pPr>
      <w:r>
        <w:t>The factors express objective preferences. Their multiplication requires no independence assumption because (3) defines a loss tilt. If they were claimed to be likelihoods of separate measured data streams, multiplying them would instead require the appropriate conditional joint model. The reference measure appears once; multiplying full prior-bearing densities without correcting their repeated priors gives a different target.</w:t>
      </w:r>
    </w:p>
    <w:p w14:paraId="528F3EC6" w14:textId="77777777" w:rsidR="00D84A52" w:rsidRDefault="00000000">
      <w:pPr>
        <w:pStyle w:val="BodyText"/>
        <w:keepLines/>
        <w:rPr>
          <w:rFonts w:hint="eastAsia"/>
        </w:rPr>
      </w:pPr>
      <w:r>
        <w:rPr>
          <w:b/>
          <w:bCs/>
        </w:rPr>
        <w:t>Proposition 1 — Weighted-sum efficiency.</w:t>
      </w:r>
      <w:r>
        <w:t xml:space="preserve"> If every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every attained minimizer of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is Pareto efficient. With nonnegative weights, zero-weight objectives can permit dominated minimizers.</w:t>
      </w:r>
    </w:p>
    <w:p w14:paraId="5C680B18" w14:textId="77777777" w:rsidR="00D84A52" w:rsidRDefault="00000000">
      <w:pPr>
        <w:pStyle w:val="BodyText"/>
        <w:rPr>
          <w:rFonts w:hint="eastAsia"/>
        </w:rPr>
      </w:pPr>
      <w:r>
        <w:rPr>
          <w:b/>
          <w:bCs/>
        </w:rPr>
        <w:t>Proof.</w:t>
      </w:r>
      <w:r>
        <w:t xml:space="preserve"> A dominating feasible vector weakly decreases every term and strictly decreases at least one term with positive weight. It would strictly decrease the sum, contradicting minimality. For the zero-weight case,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tie under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although the latter dominates the former. </w:t>
      </w:r>
      <m:oMath>
        <m:r>
          <m:rPr>
            <m:sty m:val="p"/>
          </m:rPr>
          <w:rPr>
            <w:rFonts w:ascii="Cambria Math" w:hAnsi="Cambria Math"/>
          </w:rPr>
          <m:t>▫</m:t>
        </m:r>
      </m:oMath>
    </w:p>
    <w:p w14:paraId="1E7E7768" w14:textId="77777777" w:rsidR="00D84A52" w:rsidRDefault="00000000">
      <w:pPr>
        <w:pStyle w:val="BodyText"/>
        <w:rPr>
          <w:rFonts w:hint="eastAsia"/>
        </w:rPr>
      </w:pPr>
      <w:r>
        <w:t xml:space="preserve">On the concave objective front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w:t>
      </w:r>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xml:space="preserve">, positive weights give the strictly concave function </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Its minimum is at an endpoint; both endpoints can minimize at a tie. Weighted sums therefore do not recover every interior efficient vector of this front as scalar </w:t>
      </w:r>
      <w:r>
        <w:lastRenderedPageBreak/>
        <w:t>minimizers [5]. This is a statement about scalar minimizers, not a universal prediction for finite ADE trajectories.</w:t>
      </w:r>
    </w:p>
    <w:p w14:paraId="74B78288" w14:textId="77777777" w:rsidR="00D84A52" w:rsidRDefault="00000000">
      <w:pPr>
        <w:pStyle w:val="BodyText"/>
        <w:keepLines/>
        <w:rPr>
          <w:rFonts w:hint="eastAsia"/>
        </w:rPr>
      </w:pPr>
      <w:r>
        <w:rPr>
          <w:b/>
          <w:bCs/>
        </w:rPr>
        <w:t>Lemma 1 — Concentration requires accessible neighborhoods.</w:t>
      </w:r>
      <w:r>
        <w:t xml:space="preserve"> Let </w:t>
      </w:r>
      <m:oMath>
        <m:r>
          <m:rPr>
            <m:scr m:val="script"/>
            <m:sty m:val="p"/>
          </m:rPr>
          <w:rPr>
            <w:rFonts w:ascii="Cambria Math" w:hAnsi="Cambria Math"/>
          </w:rPr>
          <m:t>X</m:t>
        </m:r>
      </m:oMath>
      <w:r>
        <w:t xml:space="preserve"> be compact, </w:t>
      </w:r>
      <m:oMath>
        <m:r>
          <w:rPr>
            <w:rFonts w:ascii="Cambria Math" w:hAnsi="Cambria Math"/>
          </w:rPr>
          <m:t>S</m:t>
        </m:r>
      </m:oMath>
      <w:r>
        <w:t xml:space="preserve"> continuous, and </w:t>
      </w:r>
      <m:oMath>
        <m:r>
          <w:rPr>
            <w:rFonts w:ascii="Cambria Math" w:hAnsi="Cambria Math"/>
          </w:rPr>
          <m:t>μ</m:t>
        </m:r>
      </m:oMath>
      <w:r>
        <w:t xml:space="preserve"> have full topological support. Then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oMath>
      <w:r>
        <w:t xml:space="preserve"> concentrates in every neighborhood of </w:t>
      </w:r>
      <m:oMath>
        <m:r>
          <m:rPr>
            <m:sty m:val="p"/>
          </m:rPr>
          <w:rPr>
            <w:rFonts w:ascii="Cambria Math" w:hAnsi="Cambria Math"/>
          </w:rPr>
          <m:t>argmin</m:t>
        </m:r>
        <m:r>
          <w:rPr>
            <w:rFonts w:ascii="Cambria Math" w:hAnsi="Cambria Math"/>
          </w:rPr>
          <m:t>S</m:t>
        </m:r>
      </m:oMath>
      <w:r>
        <w:t xml:space="preserve"> as </w:t>
      </w:r>
      <m:oMath>
        <m:r>
          <w:rPr>
            <w:rFonts w:ascii="Cambria Math" w:hAnsi="Cambria Math"/>
          </w:rPr>
          <m:t>β</m:t>
        </m:r>
        <m:r>
          <m:rPr>
            <m:sty m:val="p"/>
          </m:rPr>
          <w:rPr>
            <w:rFonts w:ascii="Cambria Math" w:hAnsi="Cambria Math"/>
          </w:rPr>
          <m:t>→∞</m:t>
        </m:r>
      </m:oMath>
      <w:r>
        <w:t>.</w:t>
      </w:r>
    </w:p>
    <w:p w14:paraId="3F178CA0" w14:textId="77777777" w:rsidR="00D84A52" w:rsidRDefault="00000000">
      <w:pPr>
        <w:pStyle w:val="BodyText"/>
        <w:rPr>
          <w:rFonts w:hint="eastAsia"/>
        </w:rPr>
      </w:pPr>
      <w:r>
        <w:rPr>
          <w:b/>
          <w:bCs/>
        </w:rPr>
        <w:t>Proof.</w:t>
      </w:r>
      <w:r>
        <w:t xml:space="preserve"> The complement of such a neighborhood has loss at least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g</m:t>
        </m:r>
      </m:oMath>
      <w:r>
        <w:t xml:space="preserve"> for some </w:t>
      </w:r>
      <m:oMath>
        <m:r>
          <w:rPr>
            <w:rFonts w:ascii="Cambria Math" w:hAnsi="Cambria Math"/>
          </w:rPr>
          <m:t>g</m:t>
        </m:r>
        <m:r>
          <m:rPr>
            <m:sty m:val="p"/>
          </m:rPr>
          <w:rPr>
            <w:rFonts w:ascii="Cambria Math" w:hAnsi="Cambria Math"/>
          </w:rPr>
          <m:t>&gt;</m:t>
        </m:r>
        <m:r>
          <w:rPr>
            <w:rFonts w:ascii="Cambria Math" w:hAnsi="Cambria Math"/>
          </w:rPr>
          <m:t>0</m:t>
        </m:r>
      </m:oMath>
      <w:r>
        <w:t xml:space="preserve">. A sufficiently small neighborhood of a minimizer has positive reference mass </w:t>
      </w:r>
      <m:oMath>
        <m:r>
          <w:rPr>
            <w:rFonts w:ascii="Cambria Math" w:hAnsi="Cambria Math"/>
          </w:rPr>
          <m:t>c</m:t>
        </m:r>
      </m:oMath>
      <w:r>
        <w:t xml:space="preserve"> and loss at most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2</m:t>
        </m:r>
      </m:oMath>
      <w:r>
        <w:t xml:space="preserve">. The target probability of the complement is at most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βg</m:t>
            </m:r>
            <m:r>
              <m:rPr>
                <m:sty m:val="p"/>
              </m:rPr>
              <w:rPr>
                <w:rFonts w:ascii="Cambria Math" w:hAnsi="Cambria Math"/>
              </w:rPr>
              <m:t>/</m:t>
            </m:r>
            <m:r>
              <w:rPr>
                <w:rFonts w:ascii="Cambria Math" w:hAnsi="Cambria Math"/>
              </w:rPr>
              <m:t>2</m:t>
            </m:r>
          </m:sup>
        </m:sSup>
      </m:oMath>
      <w:r>
        <w:t xml:space="preserve">. </w:t>
      </w:r>
      <m:oMath>
        <m:r>
          <m:rPr>
            <m:sty m:val="p"/>
          </m:rPr>
          <w:rPr>
            <w:rFonts w:ascii="Cambria Math" w:hAnsi="Cambria Math"/>
          </w:rPr>
          <m:t>▫</m:t>
        </m:r>
      </m:oMath>
    </w:p>
    <w:p w14:paraId="057A9B4A" w14:textId="77777777" w:rsidR="00D84A52" w:rsidRDefault="00000000">
      <w:pPr>
        <w:pStyle w:val="BodyText"/>
        <w:rPr>
          <w:rFonts w:hint="eastAsia"/>
        </w:rPr>
      </w:pPr>
      <w:r>
        <w:t>Full support can be weakened to positive reference mass in arbitrarily good sublevel sets, with the corresponding isolation condition. If the reference excludes all neighborhoods of an efficient point, changing inverse temperature cannot recover that point. Boundary minima do not need nondegenerate interior Hessians for this elementary concentration statement.</w:t>
      </w:r>
    </w:p>
    <w:p w14:paraId="4BA40C19" w14:textId="77777777" w:rsidR="00D84A52" w:rsidRDefault="00000000">
      <w:pPr>
        <w:pStyle w:val="Heading2"/>
        <w:rPr>
          <w:rFonts w:hint="eastAsia"/>
        </w:rPr>
      </w:pPr>
      <w:bookmarkStart w:id="7" w:name="chebyshev-preferences"/>
      <w:bookmarkEnd w:id="6"/>
      <w:r>
        <w:t>3.2 Chebyshev preferences</w:t>
      </w:r>
    </w:p>
    <w:p w14:paraId="6F70E6FB" w14:textId="77777777" w:rsidR="00D84A52" w:rsidRDefault="00000000">
      <w:pPr>
        <w:pStyle w:val="FirstParagraph"/>
        <w:rPr>
          <w:rFonts w:hint="eastAsia"/>
        </w:rPr>
      </w:pPr>
      <w:r>
        <w:t xml:space="preserve">Fix a reference vector </w:t>
      </w:r>
      <m:oMath>
        <m:r>
          <w:rPr>
            <w:rFonts w:ascii="Cambria Math" w:hAnsi="Cambria Math"/>
          </w:rPr>
          <m:t>z</m:t>
        </m:r>
      </m:oMath>
      <w:r>
        <w:t xml:space="preserve"> in the normalized objective coordinates and define </w:t>
      </w:r>
      <m:oMath>
        <m:sSub>
          <m:sSubPr>
            <m:ctrlPr>
              <w:rPr>
                <w:rFonts w:ascii="Cambria Math" w:hAnsi="Cambria Math"/>
              </w:rPr>
            </m:ctrlPr>
          </m:sSubPr>
          <m:e>
            <m:r>
              <w:rPr>
                <w:rFonts w:ascii="Cambria Math" w:hAnsi="Cambria Math"/>
              </w:rPr>
              <m:t>T</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A sufficient global utopian condition is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inf</m:t>
            </m:r>
          </m:e>
          <m:sub>
            <m:r>
              <w:rPr>
                <w:rFonts w:ascii="Cambria Math" w:hAnsi="Cambria Math"/>
              </w:rPr>
              <m:t>x</m:t>
            </m:r>
            <m:r>
              <m:rPr>
                <m:scr m:val="script"/>
                <m:sty m:val="p"/>
              </m:rP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oMath>
      <w:r>
        <w:t xml:space="preserve"> for every coordinate. The following reachability result only needs a strictly positive gap to the particular efficient vector being targeted.</w:t>
      </w:r>
    </w:p>
    <w:p w14:paraId="595A2B76" w14:textId="77777777" w:rsidR="00D84A52" w:rsidRDefault="00000000">
      <w:pPr>
        <w:pStyle w:val="BodyText"/>
        <w:keepNext/>
        <w:keepLines/>
        <w:rPr>
          <w:rFonts w:hint="eastAsia"/>
        </w:rPr>
      </w:pPr>
      <w:r>
        <w:rPr>
          <w:b/>
          <w:bCs/>
        </w:rPr>
        <w:t>Theorem 1 — Chebyshev efficiency and reachability.</w:t>
      </w:r>
      <w:r>
        <w:t xml:space="preserve"> With strictly positive weights, every attained minimizer of </w:t>
      </w:r>
      <m:oMath>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is weakly efficient. Let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be an attained Pareto-efficient vector and assume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&lt;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oMath>
      <w:r>
        <w:t xml:space="preserve"> for every </w:t>
      </w:r>
      <m:oMath>
        <m:r>
          <w:rPr>
            <w:rFonts w:ascii="Cambria Math" w:hAnsi="Cambria Math"/>
          </w:rPr>
          <m:t>j</m:t>
        </m:r>
      </m:oMath>
      <w:r>
        <w:t>. Choose</w:t>
      </w:r>
    </w:p>
    <w:p w14:paraId="73422681"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e>
                <m:sup>
                  <m:r>
                    <m:rPr>
                      <m:sty m:val="p"/>
                    </m:rPr>
                    <w:rPr>
                      <w:rFonts w:ascii="Cambria Math" w:hAnsi="Cambria Math"/>
                    </w:rPr>
                    <m:t>-</m:t>
                  </m:r>
                  <m:r>
                    <w:rPr>
                      <w:rFonts w:ascii="Cambria Math" w:hAnsi="Cambria Math"/>
                    </w:rPr>
                    <m:t>1</m:t>
                  </m:r>
                </m:sup>
              </m:sSup>
            </m:num>
            <m:den>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m:rPr>
                                  <m:scr m:val="script"/>
                                  <m:sty m:val="p"/>
                                </m:rPr>
                                <w:rPr>
                                  <w:rFonts w:ascii="Cambria Math" w:hAnsi="Cambria Math"/>
                                </w:rPr>
                                <m:t>l</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e>
                      </m:d>
                    </m:e>
                    <m:sup>
                      <m:r>
                        <m:rPr>
                          <m:sty m:val="p"/>
                        </m:rPr>
                        <w:rPr>
                          <w:rFonts w:ascii="Cambria Math" w:hAnsi="Cambria Math"/>
                        </w:rPr>
                        <m:t>-</m:t>
                      </m:r>
                      <m:r>
                        <w:rPr>
                          <w:rFonts w:ascii="Cambria Math" w:hAnsi="Cambria Math"/>
                        </w:rPr>
                        <m:t>1</m:t>
                      </m:r>
                    </m:sup>
                  </m:sSup>
                </m:e>
              </m:nary>
            </m:den>
          </m:f>
          <m:r>
            <m:rPr>
              <m:sty m:val="p"/>
            </m:rPr>
            <w:rPr>
              <w:rFonts w:ascii="Cambria Math" w:hAnsi="Cambria Math"/>
            </w:rPr>
            <m:t>.</m:t>
          </m:r>
          <m:r>
            <m:rPr>
              <m:nor/>
            </m:rPr>
            <m:t>    (4)</m:t>
          </m:r>
        </m:oMath>
      </m:oMathPara>
    </w:p>
    <w:p w14:paraId="4BCC1E7F" w14:textId="77777777" w:rsidR="00D84A52" w:rsidRDefault="00000000">
      <w:pPr>
        <w:pStyle w:val="FirstParagraph"/>
        <w:rPr>
          <w:rFonts w:hint="eastAsia"/>
        </w:rPr>
      </w:pPr>
      <w:r>
        <w:t xml:space="preserve">Then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minimizes </w:t>
      </w:r>
      <m:oMath>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and every minimizer has objective vector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Several designs may share that vector.</w:t>
      </w:r>
    </w:p>
    <w:p w14:paraId="70BABCE2" w14:textId="77777777" w:rsidR="00D84A52" w:rsidRDefault="00000000">
      <w:pPr>
        <w:pStyle w:val="BodyText"/>
        <w:rPr>
          <w:rFonts w:hint="eastAsia"/>
        </w:rPr>
      </w:pPr>
      <w:r>
        <w:rPr>
          <w:b/>
          <w:bCs/>
        </w:rPr>
        <w:t>Proof.</w:t>
      </w:r>
      <w:r>
        <w:t xml:space="preserve"> A strict improvement in all objectives strictly decreases every weighted term and hence the maximum, proving weak efficiency. Under (4), </w:t>
      </w:r>
      <m:oMath>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oMath>
      <w:r>
        <w:t xml:space="preserve"> for all </w:t>
      </w:r>
      <m:oMath>
        <m:r>
          <w:rPr>
            <w:rFonts w:ascii="Cambria Math" w:hAnsi="Cambria Math"/>
          </w:rPr>
          <m:t>j</m:t>
        </m:r>
      </m:oMath>
      <w:r>
        <w:t xml:space="preserve">. Any vector with scalar value at most </w:t>
      </w:r>
      <m:oMath>
        <m:r>
          <w:rPr>
            <w:rFonts w:ascii="Cambria Math" w:hAnsi="Cambria Math"/>
          </w:rPr>
          <m:t>c</m:t>
        </m:r>
      </m:oMath>
      <w:r>
        <w:t xml:space="preserve"> satisfies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oMath>
      <w:r>
        <w:t xml:space="preserve"> for all </w:t>
      </w:r>
      <m:oMath>
        <m:r>
          <w:rPr>
            <w:rFonts w:ascii="Cambria Math" w:hAnsi="Cambria Math"/>
          </w:rPr>
          <m:t>j</m:t>
        </m:r>
      </m:oMath>
      <w:r>
        <w:t xml:space="preserve">; efficiency forces equality in every coordinate. A value strictly below </w:t>
      </w:r>
      <m:oMath>
        <m:r>
          <w:rPr>
            <w:rFonts w:ascii="Cambria Math" w:hAnsi="Cambria Math"/>
          </w:rPr>
          <m:t>c</m:t>
        </m:r>
      </m:oMath>
      <w:r>
        <w:t xml:space="preserve"> would strictly dominate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which is impossible. </w:t>
      </w:r>
      <m:oMath>
        <m:r>
          <m:rPr>
            <m:sty m:val="p"/>
          </m:rPr>
          <w:rPr>
            <w:rFonts w:ascii="Cambria Math" w:hAnsi="Cambria Math"/>
          </w:rPr>
          <m:t>▫</m:t>
        </m:r>
      </m:oMath>
    </w:p>
    <w:p w14:paraId="46ED26A2" w14:textId="77777777" w:rsidR="00D84A52" w:rsidRDefault="00000000">
      <w:pPr>
        <w:pStyle w:val="BodyText"/>
        <w:rPr>
          <w:rFonts w:hint="eastAsia"/>
        </w:rPr>
      </w:pPr>
      <w:r>
        <w:t xml:space="preserve">Weak efficiency in the first conclusion cannot be replaced by efficiency without more conditions. The feasible vectors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both minimize </w:t>
      </w:r>
      <m:oMath>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1</m:t>
            </m:r>
          </m:e>
        </m:d>
      </m:oMath>
      <w:r>
        <w:t xml:space="preserve">, with value 2, although the second is dominated. An augmented term </w:t>
      </w:r>
      <m:oMath>
        <m:r>
          <w:rPr>
            <w:rFonts w:ascii="Cambria Math" w:hAnsi="Cambria Math"/>
          </w:rPr>
          <m:t>ρ</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with </w:t>
      </w:r>
      <m:oMath>
        <m:r>
          <w:rPr>
            <w:rFonts w:ascii="Cambria Math" w:hAnsi="Cambria Math"/>
          </w:rPr>
          <m:t>ρ</m:t>
        </m:r>
        <m:r>
          <m:rPr>
            <m:sty m:val="p"/>
          </m:rPr>
          <w:rPr>
            <w:rFonts w:ascii="Cambria Math" w:hAnsi="Cambria Math"/>
          </w:rPr>
          <m:t>&gt;</m:t>
        </m:r>
        <m:r>
          <w:rPr>
            <w:rFonts w:ascii="Cambria Math" w:hAnsi="Cambria Math"/>
          </w:rPr>
          <m:t>0</m:t>
        </m:r>
      </m:oMath>
      <w:r>
        <w:t xml:space="preserve"> makes the scalarization strictly increasing in each coordinate and removes dominated minimizers. A fixed augmentation can change which efficient vector minimizes it; the exact inverse-gap construction (4) is not automatically preserved.</w:t>
      </w:r>
    </w:p>
    <w:p w14:paraId="12EFEA7F" w14:textId="77777777" w:rsidR="00D84A52" w:rsidRDefault="00000000">
      <w:pPr>
        <w:pStyle w:val="BodyText"/>
        <w:rPr>
          <w:rFonts w:hint="eastAsia"/>
        </w:rPr>
      </w:pPr>
      <w:r>
        <w:t>An ideal point estimated from current archive minima is not a fixed utopian reference. Some inverse gaps may vanish, and the estimate can change as records arrive. Such a reference may still guide proposals, but it does not support a claim about one fixed target unless its value is frozen and recorded.</w:t>
      </w:r>
    </w:p>
    <w:p w14:paraId="1903D538" w14:textId="77777777" w:rsidR="00D84A52" w:rsidRDefault="00000000">
      <w:pPr>
        <w:pStyle w:val="Heading2"/>
        <w:rPr>
          <w:rFonts w:hint="eastAsia"/>
        </w:rPr>
      </w:pPr>
      <w:bookmarkStart w:id="8" w:name="Xed234680c4f798862b0edbcee1c45d229b6e18c"/>
      <w:bookmarkEnd w:id="7"/>
      <w:r>
        <w:lastRenderedPageBreak/>
        <w:t>3.3 Normalization changes preferences and inverse temperature</w:t>
      </w:r>
    </w:p>
    <w:p w14:paraId="431778F8" w14:textId="77777777" w:rsidR="00D84A52" w:rsidRDefault="00000000">
      <w:pPr>
        <w:pStyle w:val="FirstParagraph"/>
        <w:keepNext/>
        <w:rPr>
          <w:rFonts w:hint="eastAsia"/>
        </w:rPr>
      </w:pPr>
      <w:r>
        <w:t xml:space="preserve">Set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C</m:t>
            </m:r>
          </m:e>
        </m:d>
      </m:oMath>
      <w:r>
        <w:t>. Then</w:t>
      </w:r>
    </w:p>
    <w:p w14:paraId="7688A1B3" w14:textId="77777777" w:rsidR="00D84A52" w:rsidRDefault="00000000">
      <w:pPr>
        <w:pStyle w:val="BodyText"/>
        <w:keepLines/>
        <w:spacing w:before="60" w:after="120"/>
        <w:jc w:val="center"/>
        <w:rPr>
          <w:rFonts w:hint="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m:rPr>
              <m:nor/>
            </m:rPr>
            <m:t>    (5)</m:t>
          </m:r>
        </m:oMath>
      </m:oMathPara>
    </w:p>
    <w:p w14:paraId="72B04789" w14:textId="77777777" w:rsidR="00D84A52" w:rsidRDefault="00000000">
      <w:pPr>
        <w:pStyle w:val="FirstParagraph"/>
        <w:keepNext/>
        <w:rPr>
          <w:rFonts w:hint="eastAsia"/>
        </w:rPr>
      </w:pPr>
      <w:r>
        <w:t xml:space="preserve">For Chebyshev fusion, write the raw-unit reference as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j</m:t>
            </m:r>
          </m:sub>
        </m:sSub>
      </m:oMath>
      <w:r>
        <w:t>. The identical factoring gives</w:t>
      </w:r>
    </w:p>
    <w:p w14:paraId="6FB5482E" w14:textId="77777777" w:rsidR="00D84A52" w:rsidRDefault="00000000">
      <w:pPr>
        <w:pStyle w:val="BodyText"/>
        <w:keepLines/>
        <w:spacing w:before="60" w:after="120"/>
        <w:jc w:val="center"/>
        <w:rPr>
          <w:rFonts w:hint="eastAsia"/>
        </w:rPr>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C</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r>
            <m:rPr>
              <m:nor/>
            </m:rPr>
            <m:t>    (6)</m:t>
          </m:r>
        </m:oMath>
      </m:oMathPara>
    </w:p>
    <w:p w14:paraId="189EFED4" w14:textId="77777777" w:rsidR="00D84A52" w:rsidRDefault="00000000">
      <w:pPr>
        <w:pStyle w:val="FirstParagraph"/>
        <w:rPr>
          <w:rFonts w:hint="eastAsia"/>
        </w:rPr>
      </w:pPr>
      <w:r>
        <w:t xml:space="preserve">Thus expressing the same scalarization in raw units requires both the effective preference </w:t>
      </w:r>
      <m:oMath>
        <m:r>
          <w:rPr>
            <w:rFonts w:ascii="Cambria Math" w:hAnsi="Cambria Math"/>
          </w:rPr>
          <m:t>λ</m:t>
        </m:r>
        <m:r>
          <m:rPr>
            <m:sty m:val="p"/>
          </m:rPr>
          <w:rPr>
            <w:rFonts w:ascii="Cambria Math" w:hAnsi="Cambria Math"/>
          </w:rPr>
          <m:t>'</m:t>
        </m:r>
      </m:oMath>
      <w:r>
        <w:t xml:space="preserve"> and inverse temperature </w:t>
      </w:r>
      <m:oMath>
        <m:r>
          <w:rPr>
            <w:rFonts w:ascii="Cambria Math" w:hAnsi="Cambria Math"/>
          </w:rPr>
          <m:t>β</m:t>
        </m:r>
        <m:r>
          <m:rPr>
            <m:sty m:val="p"/>
          </m:rPr>
          <w:rPr>
            <w:rFonts w:ascii="Cambria Math" w:hAnsi="Cambria Math"/>
          </w:rPr>
          <m:t>'=</m:t>
        </m:r>
        <m:r>
          <w:rPr>
            <w:rFonts w:ascii="Cambria Math" w:hAnsi="Cambria Math"/>
          </w:rPr>
          <m:t>βC</m:t>
        </m:r>
      </m:oMath>
      <w:r>
        <w:t xml:space="preserve">. Dropping </w:t>
      </w:r>
      <m:oMath>
        <m:r>
          <w:rPr>
            <w:rFonts w:ascii="Cambria Math" w:hAnsi="Cambria Math"/>
          </w:rPr>
          <m:t>C</m:t>
        </m:r>
      </m:oMath>
      <w:r>
        <w:t xml:space="preserve"> changes the density even when the scalar minimizer is unchanged. Altering a Chebyshev offset without transforming its reference changes its geometry as well.</w:t>
      </w:r>
    </w:p>
    <w:p w14:paraId="26A2D712" w14:textId="77777777" w:rsidR="00D84A52" w:rsidRDefault="00000000">
      <w:pPr>
        <w:pStyle w:val="BodyText"/>
        <w:rPr>
          <w:rFonts w:hint="eastAsia"/>
        </w:rPr>
      </w:pPr>
      <w:r>
        <w:t xml:space="preserve">For nominal weights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and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8.2</m:t>
            </m:r>
          </m:e>
        </m:d>
      </m:oMath>
      <w:r>
        <w:t xml:space="preserve">,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0.891304</m:t>
            </m:r>
            <m:r>
              <m:rPr>
                <m:sty m:val="p"/>
              </m:rPr>
              <w:rPr>
                <w:rFonts w:ascii="Cambria Math" w:hAnsi="Cambria Math"/>
              </w:rPr>
              <m:t>,</m:t>
            </m:r>
            <m:r>
              <w:rPr>
                <w:rFonts w:ascii="Cambria Math" w:hAnsi="Cambria Math"/>
              </w:rPr>
              <m:t>0.108696</m:t>
            </m:r>
          </m:e>
        </m:d>
      </m:oMath>
      <w:r>
        <w:t xml:space="preserve"> and </w:t>
      </w:r>
      <m:oMath>
        <m:r>
          <w:rPr>
            <w:rFonts w:ascii="Cambria Math" w:hAnsi="Cambria Math"/>
          </w:rPr>
          <m:t>C</m:t>
        </m:r>
        <m:r>
          <m:rPr>
            <m:sty m:val="p"/>
          </m:rPr>
          <w:rPr>
            <w:rFonts w:ascii="Cambria Math" w:hAnsi="Cambria Math"/>
          </w:rPr>
          <m:t>=</m:t>
        </m:r>
        <m:r>
          <w:rPr>
            <w:rFonts w:ascii="Cambria Math" w:hAnsi="Cambria Math"/>
          </w:rPr>
          <m:t>0.560976</m:t>
        </m:r>
      </m:oMath>
      <w:r>
        <w:t>. The second objective has much less influence in raw units than the nominal weights suggest. Data-dependent min–max ranges can therefore move preferences and inverse temperature simultaneously. Fixed engineering units or declared calibration phases make this change explicit.</w:t>
      </w:r>
    </w:p>
    <w:p w14:paraId="50218F07" w14:textId="77777777" w:rsidR="00D84A52" w:rsidRDefault="00000000">
      <w:pPr>
        <w:pStyle w:val="BodyText"/>
        <w:keepNext/>
        <w:keepLines/>
        <w:rPr>
          <w:rFonts w:hint="eastAsia"/>
        </w:rPr>
      </w:pPr>
      <w:r>
        <w:rPr>
          <w:b/>
          <w:bCs/>
        </w:rPr>
        <w:t>Proposition 2 — A finite-archive tail bound with its reference specified.</w:t>
      </w:r>
      <w:r>
        <w:t xml:space="preserve"> Let a two-objective archive have normalized coordinates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Choose a nondominated archive vector </w:t>
      </w:r>
      <m:oMath>
        <m:r>
          <w:rPr>
            <w:rFonts w:ascii="Cambria Math" w:hAnsi="Cambria Math"/>
          </w:rPr>
          <m:t>p</m:t>
        </m:r>
      </m:oMath>
      <w:r>
        <w:t xml:space="preserve"> with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suppose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For positive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any weighted-sum minimizer over the archive obeys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e>
        </m:d>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The same bound holds for the Chebyshev maximum with zero reference. For an arbitrary reference </w:t>
      </w:r>
      <m:oMath>
        <m:r>
          <w:rPr>
            <w:rFonts w:ascii="Cambria Math" w:hAnsi="Cambria Math"/>
          </w:rPr>
          <m:t>z</m:t>
        </m:r>
      </m:oMath>
      <w:r>
        <w:t>, the Chebyshev bound becomes</w:t>
      </w:r>
    </w:p>
    <w:p w14:paraId="3278CFF1"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sSub>
                    <m:sSubPr>
                      <m:ctrlPr>
                        <w:rPr>
                          <w:rFonts w:ascii="Cambria Math" w:hAnsi="Cambria Math"/>
                        </w:rPr>
                      </m:ctrlPr>
                    </m:sSubPr>
                    <m:e>
                      <m:r>
                        <w:rPr>
                          <w:rFonts w:ascii="Cambria Math" w:hAnsi="Cambria Math"/>
                        </w:rPr>
                        <m:t>λ</m:t>
                      </m:r>
                    </m:e>
                    <m:sub>
                      <m:r>
                        <w:rPr>
                          <w:rFonts w:ascii="Cambria Math" w:hAnsi="Cambria Math"/>
                        </w:rPr>
                        <m:t>1</m:t>
                      </m:r>
                    </m:sub>
                  </m:sSub>
                </m:den>
              </m:f>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r>
            <m:rPr>
              <m:sty m:val="p"/>
            </m:rPr>
            <w:rPr>
              <w:rFonts w:ascii="Cambria Math" w:hAnsi="Cambria Math"/>
            </w:rPr>
            <m:t>.</m:t>
          </m:r>
          <m:r>
            <m:rPr>
              <m:nor/>
            </m:rPr>
            <m:t>    (7)</m:t>
          </m:r>
        </m:oMath>
      </m:oMathPara>
    </w:p>
    <w:p w14:paraId="5FCE2691" w14:textId="77777777" w:rsidR="00D84A52" w:rsidRDefault="00000000">
      <w:pPr>
        <w:pStyle w:val="FirstParagraph"/>
        <w:rPr>
          <w:rFonts w:hint="eastAsia"/>
        </w:rPr>
      </w:pPr>
      <w:r>
        <w:rPr>
          <w:b/>
          <w:bCs/>
        </w:rPr>
        <w:t>Proof.</w:t>
      </w:r>
      <w:r>
        <w:t xml:space="preserve"> Evaluate each scalarization at </w:t>
      </w:r>
      <m:oMath>
        <m:r>
          <w:rPr>
            <w:rFonts w:ascii="Cambria Math" w:hAnsi="Cambria Math"/>
          </w:rPr>
          <m:t>p</m:t>
        </m:r>
      </m:oMath>
      <w:r>
        <w:t xml:space="preserve"> to upper-bound its minimum. For the sum, nonnegativity gives a lower bound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For the maximum, use </w:t>
      </w:r>
      <m:oMath>
        <m:sSub>
          <m:sSubPr>
            <m:ctrlPr>
              <w:rPr>
                <w:rFonts w:ascii="Cambria Math" w:hAnsi="Cambria Math"/>
              </w:rPr>
            </m:ctrlPr>
          </m:sSubPr>
          <m:e>
            <m:r>
              <w:rPr>
                <w:rFonts w:ascii="Cambria Math" w:hAnsi="Cambria Math"/>
              </w:rPr>
              <m:t>λ</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oMath>
      <w:r>
        <w:t xml:space="preserve"> and rearrange. </w:t>
      </w:r>
      <m:oMath>
        <m:r>
          <m:rPr>
            <m:sty m:val="p"/>
          </m:rPr>
          <w:rPr>
            <w:rFonts w:ascii="Cambria Math" w:hAnsi="Cambria Math"/>
          </w:rPr>
          <m:t>▫</m:t>
        </m:r>
      </m:oMath>
    </w:p>
    <w:p w14:paraId="02AA769A" w14:textId="77777777" w:rsidR="00D84A52" w:rsidRDefault="00000000">
      <w:pPr>
        <w:pStyle w:val="BodyText"/>
        <w:rPr>
          <w:rFonts w:hint="eastAsia"/>
        </w:rPr>
      </w:pPr>
      <w:r>
        <w:t xml:space="preserve">Using the second-coordinate range of the entire first front for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is valid here: an archive vector minimizing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has a nondominated representative with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0</m:t>
        </m:r>
      </m:oMath>
      <w:r>
        <w:t>. The result concerns minimizers over a finite archive, not every subsequently generated candidate or a continuous target expectation.</w:t>
      </w:r>
    </w:p>
    <w:p w14:paraId="609490F7" w14:textId="77777777" w:rsidR="00D84A52" w:rsidRDefault="00000000">
      <w:pPr>
        <w:pStyle w:val="Heading1"/>
        <w:rPr>
          <w:rFonts w:hint="eastAsia"/>
        </w:rPr>
      </w:pPr>
      <w:bookmarkStart w:id="9" w:name="mixture-fusion-and-evidence-gates"/>
      <w:bookmarkEnd w:id="5"/>
      <w:bookmarkEnd w:id="8"/>
      <w:r>
        <w:t>4 Mixture fusion and evidence gates</w:t>
      </w:r>
    </w:p>
    <w:p w14:paraId="3E8A3537" w14:textId="77777777" w:rsidR="00D84A52" w:rsidRDefault="00000000">
      <w:pPr>
        <w:pStyle w:val="Heading2"/>
        <w:rPr>
          <w:rFonts w:hint="eastAsia"/>
        </w:rPr>
      </w:pPr>
      <w:bookmarkStart w:id="10" w:name="the-exact-posterior-mixture"/>
      <w:r>
        <w:t>4.1 The exact posterior mixture</w:t>
      </w:r>
    </w:p>
    <w:p w14:paraId="57285586" w14:textId="77777777" w:rsidR="00D84A52"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sup>
        </m:sSup>
        <m:r>
          <w:rPr>
            <w:rFonts w:ascii="Cambria Math" w:hAnsi="Cambria Math"/>
          </w:rPr>
          <m:t>μ</m:t>
        </m:r>
      </m:oMath>
      <w:r>
        <w:t xml:space="preserve"> be normalized component targets, and let </w:t>
      </w:r>
      <m:oMath>
        <m:sSub>
          <m:sSubPr>
            <m:ctrlPr>
              <w:rPr>
                <w:rFonts w:ascii="Cambria Math" w:hAnsi="Cambria Math"/>
              </w:rPr>
            </m:ctrlPr>
          </m:sSubPr>
          <m:e>
            <m:r>
              <w:rPr>
                <w:rFonts w:ascii="Cambria Math" w:hAnsi="Cambria Math"/>
              </w:rPr>
              <m:t>π</m:t>
            </m:r>
          </m:e>
          <m:sub>
            <m:r>
              <m:rPr>
                <m:sty m:val="p"/>
              </m:rPr>
              <w:rPr>
                <w:rFonts w:ascii="Cambria Math" w:hAnsi="Cambria Math"/>
              </w: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Introduce a common observation kernel </w:t>
      </w:r>
      <m:oMath>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positive on the relevant support. For Euclidean design states a useful choice is </w:t>
      </w: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e>
        </m:d>
      </m:oMath>
      <w:r>
        <w:t xml:space="preserve">,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Assume the kernel-weighted first moments exist. Define</w:t>
      </w:r>
    </w:p>
    <w:p w14:paraId="4165C7A7"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num>
            <m:den>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den>
          </m:f>
          <m:r>
            <m:rPr>
              <m:sty m:val="p"/>
            </m:rPr>
            <w:rPr>
              <w:rFonts w:ascii="Cambria Math" w:hAnsi="Cambria Math"/>
            </w:rPr>
            <m:t>.</m:t>
          </m:r>
          <m:r>
            <m:rPr>
              <m:nor/>
            </m:rPr>
            <m:t>    (8)</m:t>
          </m:r>
        </m:oMath>
      </m:oMathPara>
    </w:p>
    <w:p w14:paraId="78A92090" w14:textId="77777777" w:rsidR="00D84A52" w:rsidRDefault="00000000">
      <w:pPr>
        <w:pStyle w:val="FirstParagraph"/>
        <w:keepNext/>
        <w:keepLines/>
        <w:rPr>
          <w:rFonts w:hint="eastAsia"/>
        </w:rPr>
      </w:pPr>
      <w:r>
        <w:rPr>
          <w:b/>
          <w:bCs/>
        </w:rPr>
        <w:lastRenderedPageBreak/>
        <w:t>Theorem 2 — Evidence-gated mixture retrieval.</w:t>
      </w:r>
      <w:r>
        <w:t xml:space="preserve"> The conditional mean for the mixture is</w:t>
      </w:r>
    </w:p>
    <w:p w14:paraId="0B533EC9"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mix</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num>
            <m:den>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λ</m:t>
                      </m:r>
                    </m:e>
                    <m:sub>
                      <m:r>
                        <m:rPr>
                          <m:scr m:val="script"/>
                          <m:sty m:val="p"/>
                        </m:rPr>
                        <w:rPr>
                          <w:rFonts w:ascii="Cambria Math" w:hAnsi="Cambria Math"/>
                        </w:rPr>
                        <m:t>l</m:t>
                      </m:r>
                    </m:sub>
                  </m:sSub>
                </m:e>
              </m:nary>
              <m:sSub>
                <m:sSubPr>
                  <m:ctrlPr>
                    <w:rPr>
                      <w:rFonts w:ascii="Cambria Math" w:hAnsi="Cambria Math"/>
                    </w:rPr>
                  </m:ctrlPr>
                </m:sSubPr>
                <m:e>
                  <m:r>
                    <w:rPr>
                      <w:rFonts w:ascii="Cambria Math" w:hAnsi="Cambria Math"/>
                    </w:rPr>
                    <m:t>L</m:t>
                  </m:r>
                </m:e>
                <m:sub>
                  <m:r>
                    <m:rPr>
                      <m:scr m:val="script"/>
                      <m:sty m:val="p"/>
                    </m:rPr>
                    <w:rPr>
                      <w:rFonts w:ascii="Cambria Math" w:hAnsi="Cambria Math"/>
                    </w:rPr>
                    <m:t>l</m:t>
                  </m:r>
                </m:sub>
              </m:sSub>
              <m:d>
                <m:dPr>
                  <m:ctrlPr>
                    <w:rPr>
                      <w:rFonts w:ascii="Cambria Math" w:hAnsi="Cambria Math"/>
                    </w:rPr>
                  </m:ctrlPr>
                </m:dPr>
                <m:e>
                  <m:r>
                    <w:rPr>
                      <w:rFonts w:ascii="Cambria Math" w:hAnsi="Cambria Math"/>
                    </w:rPr>
                    <m:t>q</m:t>
                  </m:r>
                </m:e>
              </m:d>
            </m:den>
          </m:f>
          <m:r>
            <m:rPr>
              <m:sty m:val="p"/>
            </m:rPr>
            <w:rPr>
              <w:rFonts w:ascii="Cambria Math" w:hAnsi="Cambria Math"/>
            </w:rPr>
            <m:t>.</m:t>
          </m:r>
          <m:r>
            <m:rPr>
              <m:nor/>
            </m:rPr>
            <m:t>    (9)</m:t>
          </m:r>
        </m:oMath>
      </m:oMathPara>
    </w:p>
    <w:p w14:paraId="139C4BE9" w14:textId="77777777" w:rsidR="00D84A52" w:rsidRDefault="00000000">
      <w:pPr>
        <w:pStyle w:val="FirstParagraph"/>
        <w:rPr>
          <w:rFonts w:hint="eastAsia"/>
        </w:rPr>
      </w:pPr>
      <w:r>
        <w:rPr>
          <w:b/>
          <w:bCs/>
        </w:rPr>
        <w:t>Proof.</w:t>
      </w:r>
      <w:r>
        <w:t xml:space="preserve"> Introduce the mixture label </w:t>
      </w:r>
      <m:oMath>
        <m:r>
          <w:rPr>
            <w:rFonts w:ascii="Cambria Math" w:hAnsi="Cambria Math"/>
          </w:rPr>
          <m:t>H</m:t>
        </m:r>
      </m:oMath>
      <w:r>
        <w:t xml:space="preserve"> with probability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Bayes’ rule gives </w:t>
      </w:r>
      <m:oMath>
        <m:r>
          <m:rPr>
            <m:sty m:val="p"/>
          </m:rPr>
          <w:rPr>
            <w:rFonts w:ascii="Cambria Math" w:hAnsi="Cambria Math"/>
          </w:rPr>
          <m:t>Pr</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d>
          <m:dPr>
            <m:ctrlPr>
              <w:rPr>
                <w:rFonts w:ascii="Cambria Math" w:hAnsi="Cambria Math"/>
              </w:rPr>
            </m:ctrlPr>
          </m:dPr>
          <m:e>
            <m:r>
              <w:rPr>
                <w:rFonts w:ascii="Cambria Math" w:hAnsi="Cambria Math"/>
              </w:rPr>
              <m:t>q</m:t>
            </m:r>
          </m:e>
        </m:d>
      </m:oMath>
      <w:r>
        <w:t xml:space="preserve">. Conditional expectation over that label gives (9); equivalently expand the mixture numerator and denominator directly. </w:t>
      </w:r>
      <m:oMath>
        <m:r>
          <m:rPr>
            <m:sty m:val="p"/>
          </m:rPr>
          <w:rPr>
            <w:rFonts w:ascii="Cambria Math" w:hAnsi="Cambria Math"/>
          </w:rPr>
          <m:t>▫</m:t>
        </m:r>
      </m:oMath>
    </w:p>
    <w:p w14:paraId="6E18E788" w14:textId="77777777" w:rsidR="00D84A52" w:rsidRDefault="00000000">
      <w:pPr>
        <w:pStyle w:val="BodyText"/>
        <w:rPr>
          <w:rFonts w:hint="eastAsia"/>
        </w:rPr>
      </w:pPr>
      <w:r>
        <w:t xml:space="preserve">Fixed gates </w:t>
      </w:r>
      <m:oMath>
        <m:sSub>
          <m:sSubPr>
            <m:ctrlPr>
              <w:rPr>
                <w:rFonts w:ascii="Cambria Math" w:hAnsi="Cambria Math"/>
              </w:rPr>
            </m:ctrlPr>
          </m:sSubPr>
          <m:e>
            <m:r>
              <w:rPr>
                <w:rFonts w:ascii="Cambria Math" w:hAnsi="Cambria Math"/>
              </w:rPr>
              <m:t>γ</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equal these posterior label probabilities precisely when the evidences are equal across all positive-weight components. In a pure-noise observation model the evidence is independent of the component. In other cases, even unequal gates can accidentally yield the same output if head means coincide or cancel. Therefore equal evidence is the exact condition for equality of the gates, not a necessary condition for equality of a particular fused mean.</w:t>
      </w:r>
    </w:p>
    <w:p w14:paraId="4C774DF5" w14:textId="77777777" w:rsidR="00D84A52" w:rsidRDefault="00000000">
      <w:pPr>
        <w:pStyle w:val="BodyText"/>
        <w:rPr>
          <w:rFonts w:hint="eastAsia"/>
        </w:rPr>
      </w:pPr>
      <w:r>
        <w:t xml:space="preserve">The unnormalized sum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sup>
        </m:sSup>
        <m:r>
          <w:rPr>
            <w:rFonts w:ascii="Cambria Math" w:hAnsi="Cambria Math"/>
          </w:rPr>
          <m:t>μ</m:t>
        </m:r>
      </m:oMath>
      <w:r>
        <w:t xml:space="preserve"> defines another target. Its normalized mixture coefficients are </w:t>
      </w:r>
      <m:oMath>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λ</m:t>
                </m:r>
              </m:e>
              <m:sub>
                <m:r>
                  <m:rPr>
                    <m:scr m:val="script"/>
                    <m:sty m:val="p"/>
                  </m:rPr>
                  <w:rPr>
                    <w:rFonts w:ascii="Cambria Math" w:hAnsi="Cambria Math"/>
                  </w:rPr>
                  <m:t>l</m:t>
                </m:r>
              </m:sub>
            </m:sSub>
          </m:e>
        </m:nary>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oMath>
      <w:r>
        <w:t xml:space="preserve">, rather than the declared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Component evidence must be computed after component normalization if (9) is the intended target.</w:t>
      </w:r>
    </w:p>
    <w:p w14:paraId="17F68C18" w14:textId="77777777" w:rsidR="00D84A52" w:rsidRDefault="00000000">
      <w:pPr>
        <w:pStyle w:val="BodyText"/>
        <w:rPr>
          <w:rFonts w:hint="eastAsia"/>
        </w:rPr>
      </w:pPr>
      <w:r>
        <w:t>Adding a constant to one component loss leaves its normalized target and (9) unchanged. The same operation changes an unnormalized-sum mixture’s effective coefficients. This invariance provides a useful numerical diagnostic for a normalized-mixture implementation.</w:t>
      </w:r>
    </w:p>
    <w:p w14:paraId="68693142" w14:textId="77777777" w:rsidR="00D84A52" w:rsidRDefault="00000000">
      <w:pPr>
        <w:pStyle w:val="Heading2"/>
        <w:rPr>
          <w:rFonts w:hint="eastAsia"/>
        </w:rPr>
      </w:pPr>
      <w:bookmarkStart w:id="11" w:name="the-archive-formula"/>
      <w:bookmarkEnd w:id="10"/>
      <w:r>
        <w:t>4.2 The archive formula</w:t>
      </w:r>
    </w:p>
    <w:p w14:paraId="2693A830" w14:textId="77777777" w:rsidR="00D84A52" w:rsidRDefault="00000000">
      <w:pPr>
        <w:pStyle w:val="FirstParagraph"/>
        <w:keepNext/>
        <w:rPr>
          <w:rFonts w:hint="eastAsia"/>
        </w:rPr>
      </w:pPr>
      <w:r>
        <w:t xml:space="preserve">Suppose archive record </w:t>
      </w:r>
      <m:oMath>
        <m:r>
          <w:rPr>
            <w:rFonts w:ascii="Cambria Math" w:hAnsi="Cambria Math"/>
          </w:rPr>
          <m:t>i</m:t>
        </m:r>
      </m:oMath>
      <w:r>
        <w:t xml:space="preserve"> has a sampling and observation correction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oMath>
      <w:r>
        <w:t xml:space="preserve">. Define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Then the finite-archive quantities are</w:t>
      </w:r>
    </w:p>
    <w:p w14:paraId="09A812E8"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(10)</m:t>
          </m:r>
        </m:oMath>
      </m:oMathPara>
    </w:p>
    <w:p w14:paraId="0FE9FD1D" w14:textId="77777777" w:rsidR="00D84A52" w:rsidRDefault="00000000">
      <w:pPr>
        <w:pStyle w:val="FirstParagraph"/>
        <w:rPr>
          <w:rFonts w:hint="eastAsia"/>
        </w:rPr>
      </w:pPr>
      <w:r>
        <w:t xml:space="preserve">Use these evidences in (9). All denominators must be positive; an unsupported component is an estimation failure requiring a declared response, not a silent zero-valued head. In log space, evidence is the difference of two log-sum-exp normalizers. The denominator in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j</m:t>
            </m:r>
          </m:sub>
        </m:sSub>
      </m:oMath>
      <w:r>
        <w:t xml:space="preserve"> is essential. It separates a mixture of normalized component targets from a sum of unnormalized losses.</w:t>
      </w:r>
    </w:p>
    <w:p w14:paraId="1EA0092B" w14:textId="77777777" w:rsidR="00D84A52" w:rsidRDefault="00000000">
      <w:pPr>
        <w:pStyle w:val="BodyText"/>
        <w:rPr>
          <w:rFonts w:hint="eastAsia"/>
        </w:rPr>
      </w:pPr>
      <w:r>
        <w:t xml:space="preserve">For the isotropic Gaussian kernel, each head’s scores contain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up to a query-only term. The value vectors are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This is the precise attention identity behind the channel analogy. It does not establish that the entire autoregressive search trajectory is an exact sampler from the stated target.</w:t>
      </w:r>
    </w:p>
    <w:p w14:paraId="7C8C82F8" w14:textId="77777777" w:rsidR="00D84A52" w:rsidRDefault="00000000">
      <w:pPr>
        <w:pStyle w:val="Heading2"/>
        <w:rPr>
          <w:rFonts w:hint="eastAsia"/>
        </w:rPr>
      </w:pPr>
      <w:bookmarkStart w:id="12" w:name="X198dd23de3b0625120958735e2cfb2b1909fcc3"/>
      <w:bookmarkEnd w:id="11"/>
      <w:r>
        <w:t>4.3 Variable metrics and normalizing constants</w:t>
      </w:r>
    </w:p>
    <w:p w14:paraId="358967D2" w14:textId="77777777" w:rsidR="00D84A52" w:rsidRDefault="00000000">
      <w:pPr>
        <w:pStyle w:val="FirstParagraph"/>
        <w:keepNext/>
        <w:rPr>
          <w:rFonts w:hint="eastAsia"/>
        </w:rPr>
      </w:pPr>
      <w:r>
        <w:t xml:space="preserve">For positive coordinate weights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let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D</m:t>
                </m:r>
              </m:sub>
            </m:sSub>
          </m:e>
        </m:d>
      </m:oMath>
      <w:r>
        <w:t>. The anisotropic Gaussian kernel is</w:t>
      </w:r>
    </w:p>
    <w:p w14:paraId="7360A35A"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r>
                <m:rPr>
                  <m:sty m:val="p"/>
                </m:rPr>
                <w:rPr>
                  <w:rFonts w:ascii="Cambria Math" w:hAnsi="Cambria Math"/>
                </w:rPr>
                <m:t>,</m:t>
              </m:r>
              <m:r>
                <w:rPr>
                  <w:rFonts w:ascii="Cambria Math" w:hAnsi="Cambria Math"/>
                </w:rPr>
                <m:t>w</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D</m:t>
                      </m:r>
                    </m:e>
                    <m:sub>
                      <m:r>
                        <w:rPr>
                          <w:rFonts w:ascii="Cambria Math" w:hAnsi="Cambria Math"/>
                        </w:rPr>
                        <m:t>w</m:t>
                      </m:r>
                    </m:sub>
                  </m:sSub>
                </m:e>
              </m:rad>
            </m:num>
            <m:den>
              <m:sSup>
                <m:sSupPr>
                  <m:ctrlPr>
                    <w:rPr>
                      <w:rFonts w:ascii="Cambria Math" w:hAnsi="Cambria Math"/>
                    </w:rPr>
                  </m:ctrlPr>
                </m:sSupPr>
                <m:e>
                  <m:r>
                    <m:rPr>
                      <m:sty m:val="p"/>
                    </m:rPr>
                    <w:rPr>
                      <w:rFonts w:ascii="Cambria Math" w:hAnsi="Cambria Math"/>
                    </w:rPr>
                    <m:t>[</m:t>
                  </m:r>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e>
                <m:sup>
                  <m:r>
                    <w:rPr>
                      <w:rFonts w:ascii="Cambria Math" w:hAnsi="Cambria Math"/>
                    </w:rPr>
                    <m:t>D</m:t>
                  </m:r>
                  <m:r>
                    <m:rPr>
                      <m:sty m:val="p"/>
                    </m:rPr>
                    <w:rPr>
                      <w:rFonts w:ascii="Cambria Math" w:hAnsi="Cambria Math"/>
                    </w:rPr>
                    <m:t>/</m:t>
                  </m:r>
                  <m:r>
                    <w:rPr>
                      <w:rFonts w:ascii="Cambria Math" w:hAnsi="Cambria Math"/>
                    </w:rPr>
                    <m:t>2</m:t>
                  </m:r>
                </m:sup>
              </m:sSup>
            </m:den>
          </m:f>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e>
                  </m:d>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D</m:t>
                  </m:r>
                </m:e>
                <m:sub>
                  <m:r>
                    <w:rPr>
                      <w:rFonts w:ascii="Cambria Math" w:hAnsi="Cambria Math"/>
                    </w:rPr>
                    <m:t>w</m:t>
                  </m:r>
                </m:sub>
              </m:sSub>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e>
              </m:d>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(11)</m:t>
          </m:r>
        </m:oMath>
      </m:oMathPara>
    </w:p>
    <w:p w14:paraId="5D679926" w14:textId="77777777" w:rsidR="00D84A52" w:rsidRDefault="00000000">
      <w:pPr>
        <w:pStyle w:val="FirstParagraph"/>
        <w:rPr>
          <w:rFonts w:hint="eastAsia"/>
        </w:rPr>
      </w:pPr>
      <w:r>
        <w:t xml:space="preserve">Its determinant factor cancels within a head, and in mixture gates if exactly the same metric is used for every component. It does not cancel when component kernels have different metrics. In that case the model is explicitly </w:t>
      </w:r>
      <m:oMath>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d>
      </m:oMath>
      <w:r>
        <w:t>, and the corresponding component-specific normalized likelihood must enter each evidence. Omitting its determinant changes the gates.</w:t>
      </w:r>
    </w:p>
    <w:p w14:paraId="6A6B1E8B" w14:textId="77777777" w:rsidR="00D84A52" w:rsidRDefault="00000000">
      <w:pPr>
        <w:pStyle w:val="BodyText"/>
        <w:rPr>
          <w:rFonts w:hint="eastAsia"/>
        </w:rPr>
      </w:pPr>
      <w:r>
        <w:lastRenderedPageBreak/>
        <w:t>The proposal covariance need not equal this observation covariance. The proposal generates candidates; the kernel defines the retrieval question. Importance correction uses the actual proposal law, whichever covariance it has. Making both covariances equal is an implementation choice, not a condition for importance-sampling validity.</w:t>
      </w:r>
    </w:p>
    <w:p w14:paraId="2A7FAF3C" w14:textId="77777777" w:rsidR="00D84A52" w:rsidRDefault="00000000">
      <w:pPr>
        <w:pStyle w:val="Heading1"/>
        <w:rPr>
          <w:rFonts w:hint="eastAsia"/>
        </w:rPr>
      </w:pPr>
      <w:bookmarkStart w:id="13" w:name="ranks-and-a-frozen-reference-target"/>
      <w:bookmarkEnd w:id="9"/>
      <w:bookmarkEnd w:id="12"/>
      <w:r>
        <w:t>5 Ranks and a frozen reference target</w:t>
      </w:r>
    </w:p>
    <w:p w14:paraId="7F726A7C" w14:textId="77777777" w:rsidR="00D84A52" w:rsidRDefault="00000000">
      <w:pPr>
        <w:pStyle w:val="Heading2"/>
        <w:rPr>
          <w:rFonts w:hint="eastAsia"/>
        </w:rPr>
      </w:pPr>
      <w:bookmarkStart w:id="14" w:name="current-archive-ranks"/>
      <w:r>
        <w:t>5.1 Current archive ranks</w:t>
      </w:r>
    </w:p>
    <w:p w14:paraId="636C0125" w14:textId="77777777" w:rsidR="00D84A52" w:rsidRDefault="00000000">
      <w:pPr>
        <w:pStyle w:val="FirstParagraph"/>
        <w:rPr>
          <w:rFonts w:hint="eastAsia"/>
        </w:rPr>
      </w:pPr>
      <w:r>
        <w:t xml:space="preserve">Nondominated sorting assigns rank zero to the nondominated records, removes them, and repeats on the remainder [6]. A current-archive bias such as </w:t>
      </w:r>
      <m:oMath>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e>
        </m:d>
      </m:oMath>
      <w:r>
        <w:t xml:space="preserve"> is invariant under strictly increasing coordinate transformations of the objectives. The pairwise order and all fronts are preserved. Bit-identical search trajectories additionally require the same random stream, tie handling, and all other operations to depend on the objectives only through these ranks. Floating-point overflow or objective-dependent side rules can defeat that implementation property.</w:t>
      </w:r>
    </w:p>
    <w:p w14:paraId="4174CA13" w14:textId="77777777" w:rsidR="00D84A52" w:rsidRDefault="00000000">
      <w:pPr>
        <w:pStyle w:val="BodyText"/>
        <w:rPr>
          <w:rFonts w:hint="eastAsia"/>
        </w:rPr>
      </w:pPr>
      <w:r>
        <w:t xml:space="preserve">The rank is generally not additive across objectives. For the vectors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r>
          <m:rPr>
            <m:sty m:val="p"/>
          </m:rPr>
          <w:rPr>
            <w:rFonts w:ascii="Cambria Math" w:hAnsi="Cambria Math"/>
          </w:rPr>
          <m:t>,</m:t>
        </m:r>
        <m:d>
          <m:dPr>
            <m:ctrlPr>
              <w:rPr>
                <w:rFonts w:ascii="Cambria Math" w:hAnsi="Cambria Math"/>
              </w:rPr>
            </m:ctrlPr>
          </m:dPr>
          <m:e>
            <m:r>
              <w:rPr>
                <w:rFonts w:ascii="Cambria Math" w:hAnsi="Cambria Math"/>
              </w:rPr>
              <m:t>0.7</m:t>
            </m:r>
            <m:r>
              <m:rPr>
                <m:sty m:val="p"/>
              </m:rPr>
              <w:rPr>
                <w:rFonts w:ascii="Cambria Math" w:hAnsi="Cambria Math"/>
              </w:rPr>
              <m:t>,</m:t>
            </m:r>
            <m:r>
              <w:rPr>
                <w:rFonts w:ascii="Cambria Math" w:hAnsi="Cambria Math"/>
              </w:rPr>
              <m:t>0.7</m:t>
            </m:r>
          </m:e>
        </m:d>
      </m:oMath>
      <w:r>
        <w:t xml:space="preserve">, the ranks are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Any representation </w:t>
      </w:r>
      <m:oMath>
        <m:r>
          <w:rPr>
            <w:rFonts w:ascii="Cambria Math" w:hAnsi="Cambria Math"/>
          </w:rPr>
          <m:t>r</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v</m:t>
            </m:r>
          </m:e>
        </m:d>
      </m:oMath>
      <w:r>
        <w:t xml:space="preserve"> would satisfy the rectangle identity </w:t>
      </w:r>
      <m:oMath>
        <m:r>
          <w:rPr>
            <w:rFonts w:ascii="Cambria Math" w:hAnsi="Cambria Math"/>
          </w:rPr>
          <m:t>r</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here the two sides are 3 and 2. This provides an explicit nonseparability witness.</w:t>
      </w:r>
    </w:p>
    <w:p w14:paraId="38790861" w14:textId="77777777" w:rsidR="00D84A52" w:rsidRDefault="00000000">
      <w:pPr>
        <w:pStyle w:val="BodyText"/>
        <w:rPr>
          <w:rFonts w:hint="eastAsia"/>
        </w:rPr>
      </w:pPr>
      <w:r>
        <w:t>Rank-zero records maximize a pure rank bias but need not maximize the full attention logit, which also depends on distance and any sampling correction. Moreover, both ranks and the normalization by maximum rank change as the archive grows. They are valid proposal signals, but do not define a single fixed population loss.</w:t>
      </w:r>
    </w:p>
    <w:p w14:paraId="16434409" w14:textId="77777777" w:rsidR="00D84A52" w:rsidRDefault="00000000">
      <w:pPr>
        <w:pStyle w:val="Heading2"/>
        <w:rPr>
          <w:rFonts w:hint="eastAsia"/>
        </w:rPr>
      </w:pPr>
      <w:bookmarkStart w:id="15" w:name="X482b95033360e04044ca67b7eb87db8ab370bd8"/>
      <w:bookmarkEnd w:id="14"/>
      <w:r>
        <w:t>5.2 A finite-level loss with a fixed reference</w:t>
      </w:r>
    </w:p>
    <w:p w14:paraId="2D95DC18" w14:textId="77777777" w:rsidR="00D84A52" w:rsidRDefault="00000000">
      <w:pPr>
        <w:pStyle w:val="FirstParagraph"/>
        <w:keepNext/>
        <w:rPr>
          <w:rFonts w:hint="eastAsia"/>
        </w:rPr>
      </w:pPr>
      <w:r>
        <w:t xml:space="preserve">Fix a finite reference set </w:t>
      </w:r>
      <m:oMath>
        <m:r>
          <w:rPr>
            <w:rFonts w:ascii="Cambria Math" w:hAnsi="Cambria Math"/>
          </w:rPr>
          <m:t>A</m:t>
        </m:r>
      </m:oMath>
      <w:r>
        <w:t xml:space="preserve"> in objective space. Define </w:t>
      </w: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v</m:t>
            </m:r>
          </m:e>
        </m:d>
      </m:oMath>
      <w:r>
        <w:t xml:space="preserve"> as the maximum number of reference points in a strict dominance chain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v</m:t>
        </m:r>
      </m:oMath>
      <w:r>
        <w:t xml:space="preserve">, or zero if no reference point dominates </w:t>
      </w:r>
      <m:oMath>
        <m:r>
          <w:rPr>
            <w:rFonts w:ascii="Cambria Math" w:hAnsi="Cambria Math"/>
          </w:rPr>
          <m:t>v</m:t>
        </m:r>
      </m:oMath>
      <w:r>
        <w:t xml:space="preserve">. This is a measurable integer-valued function taking values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Let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r>
          <m:rPr>
            <m:sty m:val="p"/>
          </m:rPr>
          <w:rPr>
            <w:rFonts w:ascii="Cambria Math" w:hAnsi="Cambria Math"/>
          </w:rPr>
          <m:t>}</m:t>
        </m:r>
      </m:oMath>
      <w:r>
        <w:t xml:space="preserve">. If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the fixed target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sup>
        </m:sSup>
        <m:r>
          <w:rPr>
            <w:rFonts w:ascii="Cambria Math" w:hAnsi="Cambria Math"/>
          </w:rPr>
          <m:t>μ</m:t>
        </m:r>
        <m:d>
          <m:dPr>
            <m:ctrlPr>
              <w:rPr>
                <w:rFonts w:ascii="Cambria Math" w:hAnsi="Cambria Math"/>
              </w:rPr>
            </m:ctrlPr>
          </m:dPr>
          <m:e>
            <m:r>
              <w:rPr>
                <w:rFonts w:ascii="Cambria Math" w:hAnsi="Cambria Math"/>
              </w:rPr>
              <m:t>dx</m:t>
            </m:r>
          </m:e>
        </m:d>
      </m:oMath>
      <w:r>
        <w:t xml:space="preserve"> satisfies</w:t>
      </w:r>
    </w:p>
    <w:p w14:paraId="692961DA"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den>
              </m:f>
            </m:e>
          </m:d>
          <m:r>
            <m:rPr>
              <m:sty m:val="p"/>
            </m:rPr>
            <w:rPr>
              <w:rFonts w:ascii="Cambria Math" w:hAnsi="Cambria Math"/>
            </w:rPr>
            <m:t>.</m:t>
          </m:r>
          <m:r>
            <m:rPr>
              <m:nor/>
            </m:rPr>
            <m:t>    (12)</m:t>
          </m:r>
        </m:oMath>
      </m:oMathPara>
    </w:p>
    <w:p w14:paraId="739BDFEE" w14:textId="77777777" w:rsidR="00D84A52" w:rsidRDefault="00000000">
      <w:pPr>
        <w:pStyle w:val="FirstParagraph"/>
        <w:rPr>
          <w:rFonts w:hint="eastAsia"/>
        </w:rPr>
      </w:pPr>
      <w:r>
        <w:t xml:space="preserve">The numerator outside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and the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Designs in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need only be undominated by the chosen reference. They can be globally dominated by feasible designs absent from it. If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m:t>
        </m:r>
        <m:r>
          <w:rPr>
            <w:rFonts w:ascii="Cambria Math" w:hAnsi="Cambria Math"/>
          </w:rPr>
          <m:t>0</m:t>
        </m:r>
      </m:oMath>
      <w:r>
        <w:t>, (12) has no meaning; the relevant lowest positive-mass rank must be analyzed instead.</w:t>
      </w:r>
    </w:p>
    <w:p w14:paraId="3DEA9157" w14:textId="77777777" w:rsidR="00D84A52" w:rsidRDefault="00000000">
      <w:pPr>
        <w:pStyle w:val="BodyText"/>
        <w:rPr>
          <w:rFonts w:hint="eastAsia"/>
        </w:rPr>
      </w:pPr>
      <w:r>
        <w:t xml:space="preserve">The integer gap and positive rank-zero mass also lead to a useful archive result in Section 6: unlike a smooth isolated-minimum target with shrinking low-loss mass, a frozen-rank target needs no cooling-rate restriction to concentrate its corrected archive on </w:t>
      </w:r>
      <m:oMath>
        <m:sSub>
          <m:sSubPr>
            <m:ctrlPr>
              <w:rPr>
                <w:rFonts w:ascii="Cambria Math" w:hAnsi="Cambria Math"/>
              </w:rPr>
            </m:ctrlPr>
          </m:sSubPr>
          <m:e>
            <m:r>
              <w:rPr>
                <w:rFonts w:ascii="Cambria Math" w:hAnsi="Cambria Math"/>
              </w:rPr>
              <m:t>M</m:t>
            </m:r>
          </m:e>
          <m:sub>
            <m:r>
              <w:rPr>
                <w:rFonts w:ascii="Cambria Math" w:hAnsi="Cambria Math"/>
              </w:rPr>
              <m:t>A</m:t>
            </m:r>
          </m:sub>
        </m:sSub>
      </m:oMath>
      <w:r>
        <w:t>.</w:t>
      </w:r>
    </w:p>
    <w:p w14:paraId="6AD69563" w14:textId="77777777" w:rsidR="00D84A52" w:rsidRDefault="00000000">
      <w:pPr>
        <w:pStyle w:val="Heading1"/>
        <w:rPr>
          <w:rFonts w:hint="eastAsia"/>
        </w:rPr>
      </w:pPr>
      <w:bookmarkStart w:id="16" w:name="X45bd8e2e2283036533b553672816cd3b9fa10c1"/>
      <w:bookmarkEnd w:id="13"/>
      <w:bookmarkEnd w:id="15"/>
      <w:r>
        <w:t>6 One archive for a declared preference family</w:t>
      </w:r>
    </w:p>
    <w:p w14:paraId="452DEE8D" w14:textId="77777777" w:rsidR="00D84A52" w:rsidRDefault="00000000">
      <w:pPr>
        <w:pStyle w:val="Heading2"/>
        <w:rPr>
          <w:rFonts w:hint="eastAsia"/>
        </w:rPr>
      </w:pPr>
      <w:bookmarkStart w:id="17" w:name="sampling-and-observation-contract"/>
      <w:r>
        <w:t>6.1 Sampling and observation contract</w:t>
      </w:r>
    </w:p>
    <w:p w14:paraId="0E256D2B" w14:textId="77777777" w:rsidR="00D84A52" w:rsidRDefault="00000000">
      <w:pPr>
        <w:pStyle w:val="FirstParagraph"/>
        <w:rPr>
          <w:rFonts w:hint="eastAsia"/>
        </w:rPr>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include every earlier state, response, observation decision, and auxiliary random variable. Choose a predictable proposal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satisfying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εμ</m:t>
        </m:r>
      </m:oMath>
      <w:r>
        <w:t xml:space="preserve"> as measures, with fixed </w:t>
      </w:r>
      <m:oMath>
        <m:r>
          <w:rPr>
            <w:rFonts w:ascii="Cambria Math" w:hAnsi="Cambria Math"/>
          </w:rPr>
          <m:t>ε</m:t>
        </m:r>
        <m:r>
          <m:rPr>
            <m:sty m:val="p"/>
          </m:rPr>
          <w:rPr>
            <w:rFonts w:ascii="Cambria Math" w:hAnsi="Cambria Math"/>
          </w:rPr>
          <m:t>&gt;</m:t>
        </m:r>
        <m:r>
          <w:rPr>
            <w:rFonts w:ascii="Cambria Math" w:hAnsi="Cambria Math"/>
          </w:rPr>
          <m:t>0</m:t>
        </m:r>
      </m:oMath>
      <w:r>
        <w:t xml:space="preserve">, and draw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lastRenderedPageBreak/>
        <w:t xml:space="preserve">conditionally on the past. The derivative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exists and obeys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almost surely under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ordinary common-reference densities it is </w:t>
      </w: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for mixed laws it must account for atoms.</w:t>
      </w:r>
    </w:p>
    <w:p w14:paraId="4CD9CB35" w14:textId="77777777" w:rsidR="00D84A52" w:rsidRDefault="00000000">
      <w:pPr>
        <w:pStyle w:val="BodyText"/>
        <w:keepNext/>
        <w:rPr>
          <w:rFonts w:hint="eastAsia"/>
        </w:rPr>
      </w:pPr>
      <w:r>
        <w:t xml:space="preserve">Before the expensive response, choose a predictable inclusion function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and draw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with conditional success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Included records contain the exact compatible objective vector. Set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assigning zero directly to a skipped record. For a fixed nonnegative scalar loss </w:t>
      </w:r>
      <m:oMath>
        <m:r>
          <w:rPr>
            <w:rFonts w:ascii="Cambria Math" w:hAnsi="Cambria Math"/>
          </w:rPr>
          <m:t>S</m:t>
        </m:r>
      </m:oMath>
      <w:r>
        <w:t xml:space="preserve">, use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Then</w:t>
      </w:r>
    </w:p>
    <w:p w14:paraId="5A55A01F" w14:textId="77777777" w:rsidR="00D84A52"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m:rPr>
              <m:nor/>
            </m:rPr>
            <m:t>    </m:t>
          </m:r>
          <m:r>
            <w:rPr>
              <w:rFonts w:ascii="Cambria Math" w:hAnsi="Cambria Math"/>
            </w:rPr>
            <m:t>dμ</m:t>
          </m:r>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r>
            <m:rPr>
              <m:nor/>
            </m:rPr>
            <m:t>    (13)</m:t>
          </m:r>
        </m:oMath>
      </m:oMathPara>
    </w:p>
    <w:p w14:paraId="21ECA65F" w14:textId="77777777" w:rsidR="00D84A52" w:rsidRDefault="00000000">
      <w:pPr>
        <w:pStyle w:val="FirstParagraph"/>
        <w:rPr>
          <w:rFonts w:hint="eastAsia"/>
        </w:rPr>
      </w:pPr>
      <w:r>
        <w:t>The conditional identity follows by integrating inclusion and then sampling. Defensive mixtures provide the required domination [7]. The shared record stores the response vector and the original generating law, rather than one permanent preference weight.</w:t>
      </w:r>
    </w:p>
    <w:p w14:paraId="0EB74D93" w14:textId="77777777" w:rsidR="00D84A52" w:rsidRDefault="00000000">
      <w:pPr>
        <w:pStyle w:val="BodyText"/>
        <w:keepLines/>
        <w:rPr>
          <w:rFonts w:hint="eastAsia"/>
        </w:rPr>
      </w:pPr>
      <w:r>
        <w:rPr>
          <w:b/>
          <w:bCs/>
        </w:rPr>
        <w:t>Theorem 3 — Fixed preference consistency.</w:t>
      </w:r>
      <w:r>
        <w:t xml:space="preserve"> Under (13), for every fixed </w:t>
      </w:r>
      <m:oMath>
        <m:r>
          <w:rPr>
            <w:rFonts w:ascii="Cambria Math" w:hAnsi="Cambria Math"/>
          </w:rPr>
          <m:t>S</m:t>
        </m:r>
      </m:oMath>
      <w:r>
        <w:t xml:space="preserve"> and bounded measurable </w:t>
      </w:r>
      <m:oMath>
        <m:r>
          <w:rPr>
            <w:rFonts w:ascii="Cambria Math" w:hAnsi="Cambria Math"/>
          </w:rPr>
          <m:t>h</m:t>
        </m:r>
      </m:oMath>
      <w:r>
        <w:t xml:space="preserve">, the self-normalized ratio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S</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S</m:t>
            </m:r>
          </m:e>
        </m:d>
      </m:oMath>
      <w:r>
        <w:t xml:space="preserve"> converges almost surely to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S</m:t>
            </m:r>
          </m:sub>
        </m:sSub>
        <m:r>
          <w:rPr>
            <w:rFonts w:ascii="Cambria Math" w:hAnsi="Cambria Math"/>
          </w:rPr>
          <m:t>h</m:t>
        </m:r>
      </m:oMath>
      <w:r>
        <w:t>. The denominator is eventually positive. Any finite list of fixed scalarizations satisfies these conclusions simultaneously.</w:t>
      </w:r>
    </w:p>
    <w:p w14:paraId="2927C9AF" w14:textId="77777777" w:rsidR="00D84A52" w:rsidRDefault="00000000">
      <w:pPr>
        <w:pStyle w:val="BodyText"/>
        <w:rPr>
          <w:rFonts w:hint="eastAsia"/>
        </w:rPr>
      </w:pPr>
      <w:r>
        <w:rPr>
          <w:b/>
          <w:bCs/>
        </w:rPr>
        <w:t>Proof.</w:t>
      </w:r>
      <w:r>
        <w:t xml:space="preserve"> The numerator and denominator, centered at their conditional expectations in (13), are sums of bounded martingale differences. Their averages converge almost surely by a martingale concentration bound and Borel–Cantelli. Divide by the positive limiting normalizer. A finite intersection preserves probability one. </w:t>
      </w:r>
      <m:oMath>
        <m:r>
          <m:rPr>
            <m:sty m:val="p"/>
          </m:rPr>
          <w:rPr>
            <w:rFonts w:ascii="Cambria Math" w:hAnsi="Cambria Math"/>
          </w:rPr>
          <m:t>▫</m:t>
        </m:r>
      </m:oMath>
    </w:p>
    <w:p w14:paraId="76710AC6" w14:textId="77777777" w:rsidR="00D84A52" w:rsidRDefault="00000000">
      <w:pPr>
        <w:pStyle w:val="BodyText"/>
        <w:rPr>
          <w:rFonts w:hint="eastAsia"/>
        </w:rPr>
      </w:pPr>
      <w:r>
        <w:t>The unnormalized averages are unbiased at each fixed sample size. Their ratio generally is not. One cannot claim an unbiased estimate after choosing a preference from the same archive merely by applying (13), since the chosen preference is then not fixed before the records. A uniform result addresses consistency for such selection.</w:t>
      </w:r>
    </w:p>
    <w:p w14:paraId="69B743B7" w14:textId="77777777" w:rsidR="00D84A52" w:rsidRDefault="00000000">
      <w:pPr>
        <w:pStyle w:val="Heading2"/>
        <w:rPr>
          <w:rFonts w:hint="eastAsia"/>
        </w:rPr>
      </w:pPr>
      <w:bookmarkStart w:id="18" w:name="uniform-preference-reuse"/>
      <w:bookmarkEnd w:id="17"/>
      <w:r>
        <w:t>6.2 Uniform preference reuse</w:t>
      </w:r>
    </w:p>
    <w:p w14:paraId="36ADB200" w14:textId="77777777" w:rsidR="00D84A52" w:rsidRDefault="00000000">
      <w:pPr>
        <w:pStyle w:val="FirstParagraph"/>
        <w:keepLines/>
        <w:rPr>
          <w:rFonts w:hint="eastAsia"/>
        </w:rPr>
      </w:pPr>
      <w:r>
        <w:rPr>
          <w:b/>
          <w:bCs/>
        </w:rPr>
        <w:t>Theorem 4 — Uniform law for a bounded preference family.</w:t>
      </w:r>
      <w:r>
        <w:t xml:space="preserve"> Assume (13), fixed normalized objectives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M</m:t>
        </m:r>
      </m:oMath>
      <w:r>
        <w:t xml:space="preserve">, and bounded </w:t>
      </w:r>
      <m:oMath>
        <m:r>
          <w:rPr>
            <w:rFonts w:ascii="Cambria Math" w:hAnsi="Cambria Math"/>
          </w:rPr>
          <m:t>h</m:t>
        </m:r>
      </m:oMath>
      <w:r>
        <w:t xml:space="preserve">. Let </w:t>
      </w:r>
      <m:oMath>
        <m:r>
          <w:rPr>
            <w:rFonts w:ascii="Cambria Math" w:hAnsi="Cambria Math"/>
          </w:rPr>
          <m:t>λ</m:t>
        </m:r>
      </m:oMath>
      <w:r>
        <w:t xml:space="preserve"> range over the full simplex and </w:t>
      </w:r>
      <m:oMath>
        <m:r>
          <w:rPr>
            <w:rFonts w:ascii="Cambria Math" w:hAnsi="Cambria Math"/>
          </w:rPr>
          <m:t>β</m:t>
        </m:r>
      </m:oMath>
      <w:r>
        <w:t xml:space="preserve"> over a fixed compact interval </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oMath>
      <w:r>
        <w:t xml:space="preserve">. For either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or </w:t>
      </w:r>
      <m:oMath>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with fixed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oMath>
      <w:r>
        <w:t>, the corrected ratios converge uniformly almost surely to their corresponding target expectations. This includes an archive-selected preference and inverse temperature within the specified family.</w:t>
      </w:r>
    </w:p>
    <w:p w14:paraId="409280C4" w14:textId="77777777" w:rsidR="00D84A52" w:rsidRDefault="00000000">
      <w:pPr>
        <w:pStyle w:val="BodyText"/>
        <w:rPr>
          <w:rFonts w:hint="eastAsia"/>
        </w:rPr>
      </w:pPr>
      <w:r>
        <w:rPr>
          <w:b/>
          <w:bCs/>
        </w:rPr>
        <w:t>Proof.</w:t>
      </w:r>
      <w:r>
        <w:t xml:space="preserve"> The scalar losses are uniformly bounded and Lipschitz in </w:t>
      </w:r>
      <m:oMath>
        <m:r>
          <w:rPr>
            <w:rFonts w:ascii="Cambria Math" w:hAnsi="Cambria Math"/>
          </w:rPr>
          <m:t>λ</m:t>
        </m:r>
      </m:oMath>
      <w:r>
        <w:t xml:space="preserve">, including the maximum’s nondifferentiable points. Their exponential tilts are uniformly bounded and Lipschitz in </w:t>
      </w:r>
      <m:oMath>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β</m:t>
            </m:r>
          </m:e>
        </m:d>
      </m:oMath>
      <w:r>
        <w:t xml:space="preserve">. Multiplication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B</m:t>
        </m:r>
      </m:oMath>
      <w:r>
        <w:t xml:space="preserve"> gives a common deterministic envelope and Lipschitz constant. Apply the fixed-parameter martingale strong law on a countable dense grid and extend by finite nets. Target normalizers have a uniform positive lower bound because all losses and inverse temperatures are bounded. Division preserves uniform convergence. </w:t>
      </w:r>
      <m:oMath>
        <m:r>
          <m:rPr>
            <m:sty m:val="p"/>
          </m:rPr>
          <w:rPr>
            <w:rFonts w:ascii="Cambria Math" w:hAnsi="Cambria Math"/>
          </w:rPr>
          <m:t>▫</m:t>
        </m:r>
      </m:oMath>
    </w:p>
    <w:p w14:paraId="4F62C614" w14:textId="77777777" w:rsidR="00D84A52" w:rsidRDefault="00000000">
      <w:pPr>
        <w:pStyle w:val="BodyText"/>
        <w:rPr>
          <w:rFonts w:hint="eastAsia"/>
        </w:rPr>
      </w:pPr>
      <w:r>
        <w:t xml:space="preserve">This theorem is a sufficient condition, not a claim that responses in every engineering domain are bounded. Unbounded response families need their own envelopes, often obtainable with strictly positive preference weights and positive inverse temperatures. Compact query sets and closed layer intervals inside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can similarly extend (10) for Gaussian kernels. No uniform finite-sample confidence interval, arbitrary divergent inverse temperature choice, or guarantee for every future unbounded loss family follows from Theorem 4.</w:t>
      </w:r>
    </w:p>
    <w:p w14:paraId="1B55D62B" w14:textId="77777777" w:rsidR="00D84A52" w:rsidRDefault="00000000">
      <w:pPr>
        <w:pStyle w:val="BodyText"/>
        <w:keepLines/>
        <w:rPr>
          <w:rFonts w:hint="eastAsia"/>
        </w:rPr>
      </w:pPr>
      <w:r>
        <w:rPr>
          <w:b/>
          <w:bCs/>
        </w:rPr>
        <w:lastRenderedPageBreak/>
        <w:t>Theorem 5 — Frozen-rank concentration at any deterministic cooling rate.</w:t>
      </w:r>
      <w:r>
        <w:t xml:space="preserve"> Under (13), fix </w:t>
      </w:r>
      <m:oMath>
        <m:r>
          <w:rPr>
            <w:rFonts w:ascii="Cambria Math" w:hAnsi="Cambria Math"/>
          </w:rPr>
          <m:t>A</m:t>
        </m:r>
      </m:oMath>
      <w:r>
        <w:t xml:space="preserve"> and assume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For every deterministic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the corrected archive using the frozen rank at inverse temperature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converges, against every fixed bounded measurable </w:t>
      </w:r>
      <m:oMath>
        <m:r>
          <w:rPr>
            <w:rFonts w:ascii="Cambria Math" w:hAnsi="Cambria Math"/>
          </w:rPr>
          <m:t>h</m:t>
        </m:r>
      </m:oMath>
      <w:r>
        <w:t xml:space="preserve">, to </w:t>
      </w:r>
      <m:oMath>
        <m:r>
          <w:rPr>
            <w:rFonts w:ascii="Cambria Math" w:hAnsi="Cambria Math"/>
          </w:rPr>
          <m:t>μ</m:t>
        </m:r>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almost surely. In particular, its mass outside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tends to zero.</w:t>
      </w:r>
    </w:p>
    <w:p w14:paraId="4705EE7C" w14:textId="77777777" w:rsidR="00D84A52" w:rsidRDefault="00000000">
      <w:pPr>
        <w:pStyle w:val="BodyText"/>
        <w:rPr>
          <w:rFonts w:hint="eastAsia"/>
        </w:rPr>
      </w:pPr>
      <w:r>
        <w:rPr>
          <w:b/>
          <w:bCs/>
        </w:rPr>
        <w:t>Proof.</w:t>
      </w:r>
      <w:r>
        <w:t xml:space="preserve"> For each rank </w:t>
      </w:r>
      <m:oMath>
        <m:r>
          <w:rPr>
            <w:rFonts w:ascii="Cambria Math" w:hAnsi="Cambria Math"/>
          </w:rPr>
          <m:t>k</m:t>
        </m:r>
      </m:oMath>
      <w:r>
        <w:t xml:space="preserve">, the averages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1</m:t>
            </m:r>
          </m:e>
          <m: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r>
              <m:rPr>
                <m:sty m:val="p"/>
              </m:rPr>
              <w:rPr>
                <w:rFonts w:ascii="Cambria Math" w:hAnsi="Cambria Math"/>
              </w:rPr>
              <m:t>=</m:t>
            </m:r>
            <m:r>
              <w:rPr>
                <w:rFonts w:ascii="Cambria Math" w:hAnsi="Cambria Math"/>
              </w:rPr>
              <m:t>k</m:t>
            </m:r>
            <m:r>
              <m:rPr>
                <m:sty m:val="p"/>
              </m:rPr>
              <w:rPr>
                <w:rFonts w:ascii="Cambria Math" w:hAnsi="Cambria Math"/>
              </w:rPr>
              <m:t>}</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converge almost surely to the corresponding reference integrals. There are only finitely many ranks. In the reweighted numerator, all </w:t>
      </w:r>
      <m:oMath>
        <m:r>
          <w:rPr>
            <w:rFonts w:ascii="Cambria Math" w:hAnsi="Cambria Math"/>
          </w:rPr>
          <m:t>k</m:t>
        </m:r>
        <m:r>
          <m:rPr>
            <m:sty m:val="p"/>
          </m:rPr>
          <w:rPr>
            <w:rFonts w:ascii="Cambria Math" w:hAnsi="Cambria Math"/>
          </w:rPr>
          <m:t>≥</m:t>
        </m:r>
        <m:r>
          <w:rPr>
            <w:rFonts w:ascii="Cambria Math" w:hAnsi="Cambria Math"/>
          </w:rPr>
          <m:t>1</m:t>
        </m:r>
      </m:oMath>
      <w:r>
        <w:t xml:space="preserve"> terms vanish as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the denominator’s rank-zero average tends to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Their ratio gives the result. </w:t>
      </w:r>
      <m:oMath>
        <m:r>
          <m:rPr>
            <m:sty m:val="p"/>
          </m:rPr>
          <w:rPr>
            <w:rFonts w:ascii="Cambria Math" w:hAnsi="Cambria Math"/>
          </w:rPr>
          <m:t>▫</m:t>
        </m:r>
      </m:oMath>
    </w:p>
    <w:p w14:paraId="499AF419" w14:textId="77777777" w:rsidR="00D84A52" w:rsidRDefault="00000000">
      <w:pPr>
        <w:pStyle w:val="Heading2"/>
        <w:rPr>
          <w:rFonts w:hint="eastAsia"/>
        </w:rPr>
      </w:pPr>
      <w:bookmarkStart w:id="19" w:name="masks-and-transferred-prompts"/>
      <w:bookmarkEnd w:id="18"/>
      <w:r>
        <w:t>6.3 Masks and transferred prompts</w:t>
      </w:r>
    </w:p>
    <w:p w14:paraId="58932FE2" w14:textId="77777777" w:rsidR="00D84A52" w:rsidRDefault="00000000">
      <w:pPr>
        <w:pStyle w:val="FirstParagraph"/>
        <w:rPr>
          <w:rFonts w:hint="eastAsia"/>
        </w:rPr>
      </w:pPr>
      <w:r>
        <w:t xml:space="preserve">A missing objective is unknown, not zero. A complete-vector dominance comparison or scalar loss requires the relevant responses. For randomized complete evaluation,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 (13) is the joint probability that the complete required vector is available. Separate marginal inclusion probabilities cannot be multiplied unless their conditional independence is justified. Unbiased marginal response estimators do not remain unbiased after exponentiation or taking a maximum.</w:t>
      </w:r>
    </w:p>
    <w:p w14:paraId="21A0D1E9" w14:textId="77777777" w:rsidR="00D84A52" w:rsidRDefault="00000000">
      <w:pPr>
        <w:pStyle w:val="BodyText"/>
        <w:rPr>
          <w:rFonts w:hint="eastAsia"/>
        </w:rPr>
      </w:pPr>
      <w:r>
        <w:t xml:space="preserve">Re-evaluating a transferred design under target objectives corrects its response semantics, but does not make the selected design a fresh draw from </w:t>
      </w:r>
      <m:oMath>
        <m:r>
          <w:rPr>
            <w:rFonts w:ascii="Cambria Math" w:hAnsi="Cambria Math"/>
          </w:rPr>
          <m:t>μ</m:t>
        </m:r>
      </m:oMath>
      <w:r>
        <w:t>. A nondominated subset filtered from a source archive generally has an unknown selection law. Such points can guide proposals and serve as verified incumbents without entering the corrected estimator. Alternatively, retain a valid generating and selection law that dominates the target, or sample a new known defensive mixture around the transferred points. With a nonatomic reference, the deterministic atom branch of such a mixture has zero integration weight, while its reference branch supports the target. If the reference has mass at the atom, its derivative there can instead be positive.</w:t>
      </w:r>
    </w:p>
    <w:p w14:paraId="31A1A532" w14:textId="77777777" w:rsidR="00D84A52" w:rsidRDefault="00000000">
      <w:pPr>
        <w:pStyle w:val="Heading1"/>
        <w:rPr>
          <w:rFonts w:hint="eastAsia"/>
        </w:rPr>
      </w:pPr>
      <w:bookmarkStart w:id="20" w:name="evaluation-economy-with-explicit-laws"/>
      <w:bookmarkEnd w:id="16"/>
      <w:bookmarkEnd w:id="19"/>
      <w:r>
        <w:t>7 Evaluation economy with explicit laws</w:t>
      </w:r>
    </w:p>
    <w:p w14:paraId="214B48EE" w14:textId="77777777" w:rsidR="00D84A52" w:rsidRDefault="00000000">
      <w:pPr>
        <w:pStyle w:val="Heading2"/>
        <w:rPr>
          <w:rFonts w:hint="eastAsia"/>
        </w:rPr>
      </w:pPr>
      <w:bookmarkStart w:id="21" w:name="scheduled-observations"/>
      <w:r>
        <w:t>7.1 Scheduled observations</w:t>
      </w:r>
    </w:p>
    <w:p w14:paraId="60399D2A" w14:textId="77777777" w:rsidR="00D84A52" w:rsidRDefault="00000000">
      <w:pPr>
        <w:pStyle w:val="FirstParagraph"/>
        <w:rPr>
          <w:rFonts w:hint="eastAsia"/>
        </w:rPr>
      </w:pPr>
      <w:r>
        <w:t>EmoDM learns diffusion-based multi-objective search from solved tasks and introduces variable relevance and transfer mechanisms [8]. The ADE design considered here borrows the ideas of selected evaluation stages, relevance-weighted retrieval, and source prompts. These devices do not reproduce EmoDM’s trained model.</w:t>
      </w:r>
    </w:p>
    <w:p w14:paraId="1D4F31C5" w14:textId="77777777" w:rsidR="00D84A52" w:rsidRDefault="00000000">
      <w:pPr>
        <w:pStyle w:val="BodyText"/>
        <w:keepNext/>
        <w:rPr>
          <w:rFonts w:hint="eastAsia"/>
        </w:rPr>
      </w:pPr>
      <w:r>
        <w:t xml:space="preserve">For a schedule with </w:t>
      </w:r>
      <m:oMath>
        <m:r>
          <w:rPr>
            <w:rFonts w:ascii="Cambria Math" w:hAnsi="Cambria Math"/>
          </w:rPr>
          <m:t>T</m:t>
        </m:r>
      </m:oMath>
      <w:r>
        <w:t xml:space="preserve"> reverse stages, select intermediate indices </w:t>
      </w:r>
      <m:oMath>
        <m:r>
          <m:rPr>
            <m:scr m:val="script"/>
            <m:sty m:val="p"/>
          </m:rPr>
          <w:rPr>
            <w:rFonts w:ascii="Cambria Math" w:hAnsi="Cambria Math"/>
          </w:rPr>
          <m:t>E={</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&lt;</m:t>
        </m:r>
        <m:r>
          <w:rPr>
            <w:rFonts w:ascii="Cambria Math" w:hAnsi="Cambria Math"/>
          </w:rPr>
          <m:t>T</m:t>
        </m:r>
        <m:r>
          <m:rPr>
            <m:sty m:val="p"/>
          </m:rPr>
          <w:rPr>
            <w:rFonts w:ascii="Cambria Math" w:hAnsi="Cambria Math"/>
          </w:rPr>
          <m:t>}</m:t>
        </m:r>
      </m:oMath>
      <w:r>
        <w:t xml:space="preserve"> and the output. With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evaluations and </w:t>
      </w:r>
      <m:oMath>
        <m:r>
          <w:rPr>
            <w:rFonts w:ascii="Cambria Math" w:hAnsi="Cambria Math"/>
          </w:rPr>
          <m:t>K</m:t>
        </m:r>
      </m:oMath>
      <w:r>
        <w:t xml:space="preserve"> complete candidates, the evaluation count is exactly</w:t>
      </w:r>
    </w:p>
    <w:p w14:paraId="0235206C"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eval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m:t>
          </m:r>
          <m:d>
            <m:dPr>
              <m:ctrlPr>
                <w:rPr>
                  <w:rFonts w:ascii="Cambria Math" w:hAnsi="Cambria Math"/>
                </w:rPr>
              </m:ctrlPr>
            </m:dPr>
            <m:e>
              <m:r>
                <m:rPr>
                  <m:scr m:val="script"/>
                  <m:sty m:val="p"/>
                </m:rPr>
                <w:rPr>
                  <w:rFonts w:ascii="Cambria Math" w:hAnsi="Cambria Math"/>
                </w:rPr>
                <m:t>|E|+</m:t>
              </m:r>
              <m:r>
                <w:rPr>
                  <w:rFonts w:ascii="Cambria Math" w:hAnsi="Cambria Math"/>
                </w:rPr>
                <m:t>1</m:t>
              </m:r>
            </m:e>
          </m:d>
          <m:r>
            <m:rPr>
              <m:sty m:val="p"/>
            </m:rPr>
            <w:rPr>
              <w:rFonts w:ascii="Cambria Math" w:hAnsi="Cambria Math"/>
            </w:rPr>
            <m:t>.</m:t>
          </m:r>
          <m:r>
            <m:rPr>
              <m:nor/>
            </m:rPr>
            <m:t>    (14)</m:t>
          </m:r>
        </m:oMath>
      </m:oMathPara>
    </w:p>
    <w:p w14:paraId="4B297825" w14:textId="77777777" w:rsidR="00D84A52" w:rsidRDefault="00000000">
      <w:pPr>
        <w:pStyle w:val="FirstParagraph"/>
        <w:rPr>
          <w:rFonts w:hint="eastAsia"/>
        </w:rPr>
      </w:pPr>
      <w:r>
        <w:t xml:space="preserve">At </w:t>
      </w:r>
      <m:oMath>
        <m:r>
          <w:rPr>
            <w:rFonts w:ascii="Cambria Math" w:hAnsi="Cambria Math"/>
          </w:rPr>
          <m:t>T</m:t>
        </m:r>
        <m:r>
          <m:rPr>
            <m:sty m:val="p"/>
          </m:rPr>
          <w:rPr>
            <w:rFonts w:ascii="Cambria Math" w:hAnsi="Cambria Math"/>
          </w:rPr>
          <m:t>=</m:t>
        </m:r>
        <m:r>
          <w:rPr>
            <w:rFonts w:ascii="Cambria Math" w:hAnsi="Cambria Math"/>
          </w:rPr>
          <m:t>16</m:t>
        </m:r>
      </m:oMath>
      <w:r>
        <w:t xml:space="preserve">, the intermediate indices are 1, 2, 4, and 8, giving five evaluations per candidate. With a cosine schedule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T</m:t>
                </m:r>
              </m:e>
            </m:d>
          </m:e>
        </m:d>
        <m:r>
          <m:rPr>
            <m:sty m:val="p"/>
          </m:rPr>
          <w:rPr>
            <w:rFonts w:ascii="Cambria Math" w:hAnsi="Cambria Math"/>
          </w:rPr>
          <m:t>/</m:t>
        </m:r>
        <m:r>
          <w:rPr>
            <w:rFonts w:ascii="Cambria Math" w:hAnsi="Cambria Math"/>
          </w:rPr>
          <m:t>2</m:t>
        </m:r>
      </m:oMath>
      <w:r>
        <w:t xml:space="preserve">, the noise standard deviation is </w:t>
      </w:r>
      <m:oMath>
        <m:r>
          <m:rPr>
            <m:sty m:val="p"/>
          </m:rPr>
          <w:rPr>
            <w:rFonts w:ascii="Cambria Math" w:hAnsi="Cambria Math"/>
          </w:rPr>
          <m:t>sin</m:t>
        </m:r>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2T</m:t>
            </m:r>
          </m:e>
        </m:d>
      </m:oMath>
      <w:r>
        <w:t xml:space="preserve">; it is approximately geometric at dyadic indices when </w:t>
      </w:r>
      <m:oMath>
        <m:r>
          <w:rPr>
            <w:rFonts w:ascii="Cambria Math" w:hAnsi="Cambria Math"/>
          </w:rPr>
          <m:t>t</m:t>
        </m:r>
        <m:r>
          <m:rPr>
            <m:sty m:val="p"/>
          </m:rPr>
          <w:rPr>
            <w:rFonts w:ascii="Cambria Math" w:hAnsi="Cambria Math"/>
          </w:rPr>
          <m:t>/</m:t>
        </m:r>
        <m:r>
          <w:rPr>
            <w:rFonts w:ascii="Cambria Math" w:hAnsi="Cambria Math"/>
          </w:rPr>
          <m:t>T</m:t>
        </m:r>
      </m:oMath>
      <w:r>
        <w:t xml:space="preserve"> is small. This motivates the spacing but proves no optimality. Exact endpoints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are degenerate observation limits; software clipping creates an approximate schedule that must be recorded.</w:t>
      </w:r>
    </w:p>
    <w:p w14:paraId="10F30408" w14:textId="77777777" w:rsidR="00D84A52" w:rsidRDefault="00000000">
      <w:pPr>
        <w:pStyle w:val="BodyText"/>
        <w:rPr>
          <w:rFonts w:hint="eastAsia"/>
        </w:rPr>
      </w:pPr>
      <w:r>
        <w:t xml:space="preserve">Deterministically omitting stages gives zero inclusion probabilities there and does not satisfy the all-attempt observation floor in (13). A valid alternative is to enumerate only eligible, newly sampled evaluation states and apply (13) to that sequence. The conditioning history includes every unevaluated intermediate state used to generate the next eligible one. Each eligible state’s recorded law must be the actual one-step law that produced it, with its required defensive domination. Fully </w:t>
      </w:r>
      <w:r>
        <w:lastRenderedPageBreak/>
        <w:t>observed eligible states then have inclusion probability one. Reusing a previous output as a new trajectory’s initial state is not a fresh sampling event.</w:t>
      </w:r>
    </w:p>
    <w:p w14:paraId="55EE5031" w14:textId="77777777" w:rsidR="00D84A52" w:rsidRDefault="00000000">
      <w:pPr>
        <w:pStyle w:val="BodyText"/>
        <w:rPr>
          <w:rFonts w:hint="eastAsia"/>
        </w:rPr>
      </w:pPr>
      <w:r>
        <w:t>If instead every stage is an eligible attempt and a promising-state filter chooses which responses to obtain, retain its positive randomized inclusion probability. Adaptive skipping without overlap requires a different target or an additional correction argument. Schedules can be compared at equal solver-evaluation budgets, but proposal computation, elapsed time, caching, and source training costs should also be reported.</w:t>
      </w:r>
    </w:p>
    <w:p w14:paraId="328744DD" w14:textId="77777777" w:rsidR="00D84A52" w:rsidRDefault="00000000">
      <w:pPr>
        <w:pStyle w:val="Heading2"/>
        <w:rPr>
          <w:rFonts w:hint="eastAsia"/>
        </w:rPr>
      </w:pPr>
      <w:bookmarkStart w:id="22" w:name="variable-relevance"/>
      <w:bookmarkEnd w:id="21"/>
      <w:r>
        <w:t>7.2 Variable relevance</w:t>
      </w:r>
    </w:p>
    <w:p w14:paraId="0A699CB1" w14:textId="77777777" w:rsidR="00D84A52" w:rsidRDefault="00000000">
      <w:pPr>
        <w:pStyle w:val="FirstParagraph"/>
        <w:rPr>
          <w:rFonts w:hint="eastAsia"/>
        </w:rPr>
      </w:pPr>
      <w:r>
        <w:t>Mutual-information estimates can set the coordinate weights in (11). Population mutual information is invariant under invertible changes of either variable, whereas an eight-bin histogram estimator with data-dependent bins need not preserve that invariance. Association in an adaptively selected archive is not an intervention-based sensitivity measure. Inactive dimensions can acquire positive estimated relevance from finite data or selection effects.</w:t>
      </w:r>
    </w:p>
    <w:p w14:paraId="10ACF3F1" w14:textId="77777777" w:rsidR="00D84A52" w:rsidRDefault="00000000">
      <w:pPr>
        <w:pStyle w:val="BodyText"/>
        <w:rPr>
          <w:rFonts w:hint="eastAsia"/>
        </w:rPr>
      </w:pPr>
      <w:r>
        <w:t>Keep positive lower and upper bounds on all metric eigenvalues so that the kernel remains a nondegenerate Gaussian and its numerical conditioning is controlled. Re-estimating the metric from past data is a predictable retrieval choice. If it also changes the proposal, the actual changed proposal law must be recorded. A sparse approximation that sets weights exactly to zero ceases to define a full-dimensional Gaussian density of the stated form.</w:t>
      </w:r>
    </w:p>
    <w:p w14:paraId="56171C85" w14:textId="77777777" w:rsidR="00D84A52" w:rsidRDefault="00000000">
      <w:pPr>
        <w:pStyle w:val="Heading2"/>
        <w:rPr>
          <w:rFonts w:hint="eastAsia"/>
        </w:rPr>
      </w:pPr>
      <w:bookmarkStart w:id="23" w:name="a-precise-warm-start-coverage-bound"/>
      <w:bookmarkEnd w:id="22"/>
      <w:r>
        <w:t>7.3 A precise warm-start coverage bound</w:t>
      </w:r>
    </w:p>
    <w:p w14:paraId="4FAE0E74" w14:textId="77777777" w:rsidR="00D84A52" w:rsidRDefault="00000000">
      <w:pPr>
        <w:pStyle w:val="FirstParagraph"/>
        <w:keepNext/>
        <w:keepLines/>
        <w:rPr>
          <w:rFonts w:hint="eastAsia"/>
        </w:rPr>
      </w:pPr>
      <w:r>
        <w:rPr>
          <w:b/>
          <w:bCs/>
        </w:rPr>
        <w:t>Proposition 3 — Coverage of a target front.</w:t>
      </w:r>
      <w:r>
        <w:t xml:space="preserve"> Let </w:t>
      </w:r>
      <m:oMath>
        <m:r>
          <w:rPr>
            <w:rFonts w:ascii="Cambria Math" w:hAnsi="Cambria Math"/>
          </w:rPr>
          <m:t>P</m:t>
        </m:r>
      </m:oMath>
      <w:r>
        <w:t xml:space="preserve"> be a set of target Pareto designs, and let a transferred prompt </w:t>
      </w:r>
      <m:oMath>
        <m:r>
          <w:rPr>
            <w:rFonts w:ascii="Cambria Math" w:hAnsi="Cambria Math"/>
          </w:rPr>
          <m:t>Q</m:t>
        </m:r>
        <m:r>
          <m:rPr>
            <m:scr m:val="script"/>
            <m:sty m:val="p"/>
          </m:rPr>
          <w:rPr>
            <w:rFonts w:ascii="Cambria Math" w:hAnsi="Cambria Math"/>
          </w:rPr>
          <m:t>⊂C</m:t>
        </m:r>
      </m:oMath>
      <w:r>
        <w:t xml:space="preserve"> be evaluated under the target objectives. Suppose every </w:t>
      </w:r>
      <m:oMath>
        <m:r>
          <w:rPr>
            <w:rFonts w:ascii="Cambria Math" w:hAnsi="Cambria Math"/>
          </w:rPr>
          <m:t>x</m:t>
        </m:r>
        <m:r>
          <m:rPr>
            <m:sty m:val="p"/>
          </m:rPr>
          <w:rPr>
            <w:rFonts w:ascii="Cambria Math" w:hAnsi="Cambria Math"/>
          </w:rPr>
          <m:t>∈</m:t>
        </m:r>
        <m:r>
          <w:rPr>
            <w:rFonts w:ascii="Cambria Math" w:hAnsi="Cambria Math"/>
          </w:rPr>
          <m:t>P</m:t>
        </m:r>
      </m:oMath>
      <w:r>
        <w:t xml:space="preserve"> has some </w:t>
      </w:r>
      <m:oMath>
        <m:r>
          <w:rPr>
            <w:rFonts w:ascii="Cambria Math" w:hAnsi="Cambria Math"/>
          </w:rPr>
          <m:t>q</m:t>
        </m:r>
        <m:r>
          <m:rPr>
            <m:sty m:val="p"/>
          </m:rPr>
          <w:rPr>
            <w:rFonts w:ascii="Cambria Math" w:hAnsi="Cambria Math"/>
          </w:rPr>
          <m:t>∈</m:t>
        </m:r>
        <m:r>
          <w:rPr>
            <w:rFonts w:ascii="Cambria Math" w:hAnsi="Cambria Math"/>
          </w:rPr>
          <m:t>Q</m:t>
        </m:r>
      </m:oMath>
      <w:r>
        <w:t xml:space="preserve"> with design distance at most </w:t>
      </w:r>
      <m:oMath>
        <m:r>
          <w:rPr>
            <w:rFonts w:ascii="Cambria Math" w:hAnsi="Cambria Math"/>
          </w:rPr>
          <m:t>r</m:t>
        </m:r>
      </m:oMath>
      <w:r>
        <w:t xml:space="preserve">. Assume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r</m:t>
            </m:r>
          </m:e>
        </m:d>
      </m:oMath>
      <w:r>
        <w:t xml:space="preserve"> for these pairs. Then, for any probability measure </w:t>
      </w:r>
      <m:oMath>
        <m:r>
          <w:rPr>
            <w:rFonts w:ascii="Cambria Math" w:hAnsi="Cambria Math"/>
          </w:rPr>
          <m:t>ξ</m:t>
        </m:r>
      </m:oMath>
      <w:r>
        <w:t xml:space="preserve"> on the objective front generated by </w:t>
      </w:r>
      <m:oMath>
        <m:r>
          <w:rPr>
            <w:rFonts w:ascii="Cambria Math" w:hAnsi="Cambria Math"/>
          </w:rPr>
          <m:t>P</m:t>
        </m:r>
      </m:oMath>
      <w:r>
        <w:t>,</w:t>
      </w:r>
    </w:p>
    <w:p w14:paraId="636D66CF" w14:textId="77777777" w:rsidR="00D84A52"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q</m:t>
              </m:r>
              <m:r>
                <m:rPr>
                  <m:sty m:val="p"/>
                </m:rPr>
                <w:rPr>
                  <w:rFonts w:ascii="Cambria Math" w:hAnsi="Cambria Math"/>
                </w:rPr>
                <m:t>∈</m:t>
              </m:r>
              <m:r>
                <w:rPr>
                  <w:rFonts w:ascii="Cambria Math" w:hAnsi="Cambria Math"/>
                </w:rPr>
                <m:t>Q</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v</m:t>
                  </m:r>
                </m:e>
              </m:d>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nor/>
            </m:rPr>
            <m:t>    </m:t>
          </m:r>
          <m:r>
            <w:rPr>
              <w:rFonts w:ascii="Cambria Math" w:hAnsi="Cambria Math"/>
            </w:rPr>
            <m:t>ξ</m:t>
          </m:r>
          <m:d>
            <m:dPr>
              <m:ctrlPr>
                <w:rPr>
                  <w:rFonts w:ascii="Cambria Math" w:hAnsi="Cambria Math"/>
                </w:rPr>
              </m:ctrlPr>
            </m:dPr>
            <m:e>
              <m:r>
                <w:rPr>
                  <w:rFonts w:ascii="Cambria Math" w:hAnsi="Cambria Math"/>
                </w:rPr>
                <m:t>dv</m:t>
              </m:r>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r</m:t>
              </m:r>
            </m:e>
          </m:d>
          <m:r>
            <m:rPr>
              <m:sty m:val="p"/>
            </m:rPr>
            <w:rPr>
              <w:rFonts w:ascii="Cambria Math" w:hAnsi="Cambria Math"/>
            </w:rPr>
            <m:t>.</m:t>
          </m:r>
          <m:r>
            <m:rPr>
              <m:nor/>
            </m:rPr>
            <m:t>    (15)</m:t>
          </m:r>
        </m:oMath>
      </m:oMathPara>
    </w:p>
    <w:p w14:paraId="770DF7E6" w14:textId="77777777" w:rsidR="00D84A52" w:rsidRDefault="00000000">
      <w:pPr>
        <w:pStyle w:val="FirstParagraph"/>
        <w:rPr>
          <w:rFonts w:hint="eastAsia"/>
        </w:rPr>
      </w:pPr>
      <w:r>
        <w:rPr>
          <w:b/>
          <w:bCs/>
        </w:rPr>
        <w:t>Proof.</w:t>
      </w:r>
      <w:r>
        <w:t xml:space="preserve"> For </w:t>
      </w:r>
      <m:oMath>
        <m:r>
          <w:rPr>
            <w:rFonts w:ascii="Cambria Math" w:hAnsi="Cambria Math"/>
          </w:rPr>
          <m:t>v</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choose the corresponding </w:t>
      </w:r>
      <m:oMath>
        <m:r>
          <w:rPr>
            <w:rFonts w:ascii="Cambria Math" w:hAnsi="Cambria Math"/>
          </w:rPr>
          <m:t>q</m:t>
        </m:r>
      </m:oMath>
      <w:r>
        <w:t xml:space="preserve">. The positive-part norm is no larger than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so the pointwise distance and its integral are bounded by </w:t>
      </w:r>
      <m:oMath>
        <m:r>
          <w:rPr>
            <w:rFonts w:ascii="Cambria Math" w:hAnsi="Cambria Math"/>
          </w:rPr>
          <m:t>ω</m:t>
        </m:r>
        <m:d>
          <m:dPr>
            <m:ctrlPr>
              <w:rPr>
                <w:rFonts w:ascii="Cambria Math" w:hAnsi="Cambria Math"/>
              </w:rPr>
            </m:ctrlPr>
          </m:dPr>
          <m:e>
            <m:r>
              <w:rPr>
                <w:rFonts w:ascii="Cambria Math" w:hAnsi="Cambria Math"/>
              </w:rPr>
              <m:t>r</m:t>
            </m:r>
          </m:e>
        </m:d>
      </m:oMath>
      <w:r>
        <w:t xml:space="preserve">. </w:t>
      </w:r>
      <m:oMath>
        <m:r>
          <m:rPr>
            <m:sty m:val="p"/>
          </m:rPr>
          <w:rPr>
            <w:rFonts w:ascii="Cambria Math" w:hAnsi="Cambria Math"/>
          </w:rPr>
          <m:t>▫</m:t>
        </m:r>
      </m:oMath>
    </w:p>
    <w:p w14:paraId="6DEC378D" w14:textId="77777777" w:rsidR="00D84A52" w:rsidRDefault="00000000">
      <w:pPr>
        <w:pStyle w:val="BodyText"/>
        <w:rPr>
          <w:rFonts w:hint="eastAsia"/>
        </w:rPr>
      </w:pPr>
      <w:r>
        <w:t>The modulus must use the declared objective-space norm and units. Shared labels or similar source objective values do not establish design-space coverage of the target front. Charge target re-evaluations and report source acquisition cost separately. Coverage of a finite prompt and validity of its importance weights remain different requirements.</w:t>
      </w:r>
    </w:p>
    <w:p w14:paraId="1A1C05F3" w14:textId="77777777" w:rsidR="00D84A52" w:rsidRDefault="00000000">
      <w:pPr>
        <w:pStyle w:val="Heading1"/>
        <w:rPr>
          <w:rFonts w:hint="eastAsia"/>
        </w:rPr>
      </w:pPr>
      <w:bookmarkStart w:id="24" w:name="metrics-and-computational-cost"/>
      <w:bookmarkEnd w:id="20"/>
      <w:bookmarkEnd w:id="23"/>
      <w:r>
        <w:t>8 Metrics and computational cost</w:t>
      </w:r>
    </w:p>
    <w:p w14:paraId="401CFA24" w14:textId="77777777" w:rsidR="00D84A52" w:rsidRDefault="00000000">
      <w:pPr>
        <w:pStyle w:val="Heading2"/>
        <w:rPr>
          <w:rFonts w:hint="eastAsia"/>
        </w:rPr>
      </w:pPr>
      <w:bookmarkStart w:id="25" w:name="what-improves-monotonically"/>
      <w:r>
        <w:t>8.1 What improves monotonically</w:t>
      </w:r>
    </w:p>
    <w:p w14:paraId="32B52021" w14:textId="77777777" w:rsidR="00D84A52" w:rsidRDefault="00000000">
      <w:pPr>
        <w:pStyle w:val="FirstParagraph"/>
        <w:keepNext/>
        <w:rPr>
          <w:rFonts w:hint="eastAsia"/>
        </w:rPr>
      </w:pPr>
      <w:r>
        <w:t xml:space="preserve">For a nonempty finite objective archive </w:t>
      </w:r>
      <m:oMath>
        <m:r>
          <w:rPr>
            <w:rFonts w:ascii="Cambria Math" w:hAnsi="Cambria Math"/>
          </w:rPr>
          <m:t>B</m:t>
        </m:r>
      </m:oMath>
      <w:r>
        <w:t xml:space="preserve"> and fixed reference front measure </w:t>
      </w:r>
      <m:oMath>
        <m:r>
          <w:rPr>
            <w:rFonts w:ascii="Cambria Math" w:hAnsi="Cambria Math"/>
          </w:rPr>
          <m:t>ξ</m:t>
        </m:r>
      </m:oMath>
      <w:r>
        <w:t>, define</w:t>
      </w:r>
    </w:p>
    <w:p w14:paraId="699E5ECA" w14:textId="77777777" w:rsidR="00D84A52"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b</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e>
            <m:sub>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m:rPr>
              <m:nor/>
            </m:rPr>
            <m:t>    </m:t>
          </m:r>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B</m:t>
              </m:r>
            </m:e>
          </m:d>
          <m:r>
            <m:rPr>
              <m:nor/>
            </m:rPr>
            <m:t>    </m:t>
          </m:r>
          <m:r>
            <w:rPr>
              <w:rFonts w:ascii="Cambria Math" w:hAnsi="Cambria Math"/>
            </w:rPr>
            <m:t>ξ</m:t>
          </m:r>
          <m:d>
            <m:dPr>
              <m:ctrlPr>
                <w:rPr>
                  <w:rFonts w:ascii="Cambria Math" w:hAnsi="Cambria Math"/>
                </w:rPr>
              </m:ctrlPr>
            </m:dPr>
            <m:e>
              <m:r>
                <w:rPr>
                  <w:rFonts w:ascii="Cambria Math" w:hAnsi="Cambria Math"/>
                </w:rPr>
                <m:t>dv</m:t>
              </m:r>
            </m:e>
          </m:d>
          <m:r>
            <m:rPr>
              <m:sty m:val="p"/>
            </m:rPr>
            <w:rPr>
              <w:rFonts w:ascii="Cambria Math" w:hAnsi="Cambria Math"/>
            </w:rPr>
            <m:t>.</m:t>
          </m:r>
          <m:r>
            <m:rPr>
              <m:nor/>
            </m:rPr>
            <m:t>    (16)</m:t>
          </m:r>
        </m:oMath>
      </m:oMathPara>
    </w:p>
    <w:p w14:paraId="7BA74C30" w14:textId="77777777" w:rsidR="00D84A52" w:rsidRDefault="00000000">
      <w:pPr>
        <w:pStyle w:val="FirstParagraph"/>
        <w:rPr>
          <w:rFonts w:hint="eastAsia"/>
        </w:rPr>
      </w:pPr>
      <w:r>
        <w:t>Finite reference sets use their declared weights, often uniform. The definition follows the modified distance of Ishibuchi and colleagues [9]. Its direction is important: positive components are those in which the archive point is worse than the reference point for minimization.</w:t>
      </w:r>
    </w:p>
    <w:p w14:paraId="5C22C15A" w14:textId="77777777" w:rsidR="00D84A52" w:rsidRDefault="00000000">
      <w:pPr>
        <w:pStyle w:val="BodyText"/>
        <w:keepLines/>
        <w:rPr>
          <w:rFonts w:hint="eastAsia"/>
        </w:rPr>
      </w:pPr>
      <w:r>
        <w:rPr>
          <w:b/>
          <w:bCs/>
        </w:rPr>
        <w:t>Theorem 6 — Archive monotonicity and safe pruning.</w:t>
      </w:r>
      <w:r>
        <w:t xml:space="preserve"> If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then </w:t>
      </w: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B</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B</m:t>
            </m:r>
          </m:e>
        </m:d>
      </m:oMath>
      <w:r>
        <w:t>. Replacing a finite archive by its nondominated subset leaves IGD+ unchanged.</w:t>
      </w:r>
    </w:p>
    <w:p w14:paraId="3C607389" w14:textId="77777777" w:rsidR="00D84A52" w:rsidRDefault="00000000">
      <w:pPr>
        <w:pStyle w:val="BodyText"/>
        <w:rPr>
          <w:rFonts w:hint="eastAsia"/>
        </w:rPr>
      </w:pPr>
      <w:r>
        <w:rPr>
          <w:b/>
          <w:bCs/>
        </w:rPr>
        <w:lastRenderedPageBreak/>
        <w:t>Proof.</w:t>
      </w:r>
      <w:r>
        <w:t xml:space="preserve"> Enlarging the set can only decrease each minimum. If </w:t>
      </w:r>
      <m:oMath>
        <m:r>
          <w:rPr>
            <w:rFonts w:ascii="Cambria Math" w:hAnsi="Cambria Math"/>
          </w:rPr>
          <m:t>b</m:t>
        </m:r>
        <m:r>
          <m:rPr>
            <m:sty m:val="p"/>
          </m:rPr>
          <w:rPr>
            <w:rFonts w:ascii="Cambria Math" w:hAnsi="Cambria Math"/>
          </w:rPr>
          <m:t>'≺</m:t>
        </m:r>
        <m:r>
          <w:rPr>
            <w:rFonts w:ascii="Cambria Math" w:hAnsi="Cambria Math"/>
          </w:rPr>
          <m:t>b</m:t>
        </m:r>
      </m:oMath>
      <w:r>
        <w:t xml:space="preserve">, then </w:t>
      </w:r>
      <m:oMath>
        <m:sSub>
          <m:sSubPr>
            <m:ctrlPr>
              <w:rPr>
                <w:rFonts w:ascii="Cambria Math" w:hAnsi="Cambria Math"/>
              </w:rPr>
            </m:ctrlPr>
          </m:sSub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e>
          <m:sub>
            <m:r>
              <m:rPr>
                <m:sty m:val="p"/>
              </m:rPr>
              <w:rPr>
                <w:rFonts w:ascii="Cambria Math" w:hAnsi="Cambria Math"/>
              </w:rPr>
              <m:t>+</m:t>
            </m:r>
          </m:sub>
        </m:sSub>
      </m:oMath>
      <w:r>
        <w:t xml:space="preserve"> coordinatewise and its norm is no larger. Every dominated point in a finite set has a nondominated point no worse than it, so pruning preserves all minima. </w:t>
      </w:r>
      <m:oMath>
        <m:r>
          <m:rPr>
            <m:sty m:val="p"/>
          </m:rPr>
          <w:rPr>
            <w:rFonts w:ascii="Cambria Math" w:hAnsi="Cambria Math"/>
          </w:rPr>
          <m:t>▫</m:t>
        </m:r>
      </m:oMath>
    </w:p>
    <w:p w14:paraId="5B3D2071" w14:textId="77777777" w:rsidR="00D84A52" w:rsidRDefault="00000000">
      <w:pPr>
        <w:pStyle w:val="BodyText"/>
        <w:rPr>
          <w:rFonts w:hint="eastAsia"/>
        </w:rPr>
      </w:pPr>
      <w:r>
        <w:t xml:space="preserve">Ordinary IGD computed on the full growing archive is also nonincreasing. Ordinary IGD computed after nondominated pruning can increase because an improving point can remove another point that was Euclidean-close to a reference vector. With reference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an archive containing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1.1</m:t>
            </m:r>
          </m:e>
        </m:d>
      </m:oMath>
      <w:r>
        <w:t xml:space="preserve"> has IGD 0.1. Add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1.05</m:t>
            </m:r>
          </m:e>
        </m:d>
      </m:oMath>
      <w:r>
        <w:t xml:space="preserve">, which dominates the old point. The pruned IGD becomes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e>
        </m:rad>
        <m:r>
          <m:rPr>
            <m:sty m:val="p"/>
          </m:rPr>
          <w:rPr>
            <w:rFonts w:ascii="Cambria Math" w:hAnsi="Cambria Math"/>
          </w:rPr>
          <m:t>≈</m:t>
        </m:r>
        <m:r>
          <w:rPr>
            <w:rFonts w:ascii="Cambria Math" w:hAnsi="Cambria Math"/>
          </w:rPr>
          <m:t>1.001249</m:t>
        </m:r>
      </m:oMath>
      <w:r>
        <w:t>, while IGD+ improves from 0.1 to 0.05.</w:t>
      </w:r>
    </w:p>
    <w:p w14:paraId="53126870" w14:textId="77777777" w:rsidR="00D84A52" w:rsidRDefault="00000000">
      <w:pPr>
        <w:pStyle w:val="BodyText"/>
        <w:rPr>
          <w:rFonts w:hint="eastAsia"/>
        </w:rPr>
      </w:pPr>
      <w:r>
        <w:t>Hypervolume with a fixed reference point is nondecreasing for a growing archive and is unchanged by removing dominated points. It remains sensitive to units and the chosen reference. Neither a monotonically improving metric nor a Pareto archive proves engineering feasibility, coverage of an unknown true front, or reliable target expectation estimates. Changing the reference set or scales during monitoring breaks the stated monotonic comparison.</w:t>
      </w:r>
    </w:p>
    <w:p w14:paraId="043D8548" w14:textId="77777777" w:rsidR="00D84A52" w:rsidRDefault="00000000">
      <w:pPr>
        <w:pStyle w:val="Heading2"/>
        <w:rPr>
          <w:rFonts w:hint="eastAsia"/>
        </w:rPr>
      </w:pPr>
      <w:bookmarkStart w:id="26" w:name="arithmetic-and-memory"/>
      <w:bookmarkEnd w:id="25"/>
      <w:r>
        <w:t>8.2 Arithmetic and memory</w:t>
      </w:r>
    </w:p>
    <w:p w14:paraId="472EC08C" w14:textId="77777777" w:rsidR="00D84A52" w:rsidRDefault="00000000">
      <w:pPr>
        <w:pStyle w:val="FirstParagraph"/>
        <w:rPr>
          <w:rFonts w:hint="eastAsia"/>
        </w:rPr>
      </w:pPr>
      <w:r>
        <w:t xml:space="preserve">A packed payload with </w:t>
      </w:r>
      <m:oMath>
        <m:r>
          <w:rPr>
            <w:rFonts w:ascii="Cambria Math" w:hAnsi="Cambria Math"/>
          </w:rPr>
          <m:t>D</m:t>
        </m:r>
      </m:oMath>
      <w:r>
        <w:t xml:space="preserve"> binary64 state entries, </w:t>
      </w:r>
      <m:oMath>
        <m:r>
          <w:rPr>
            <w:rFonts w:ascii="Cambria Math" w:hAnsi="Cambria Math"/>
          </w:rPr>
          <m:t>m</m:t>
        </m:r>
      </m:oMath>
      <w:r>
        <w:t xml:space="preserve"> binary64 responses, a binary64 log sampling derivative, a binary64 inclusion probability, and an </w:t>
      </w:r>
      <m:oMath>
        <m:r>
          <w:rPr>
            <w:rFonts w:ascii="Cambria Math" w:hAnsi="Cambria Math"/>
          </w:rPr>
          <m:t>m</m:t>
        </m:r>
      </m:oMath>
      <w:r>
        <w:t xml:space="preserve">-bit availability mask uses </w:t>
      </w:r>
      <m:oMath>
        <m:r>
          <w:rPr>
            <w:rFonts w:ascii="Cambria Math" w:hAnsi="Cambria Math"/>
          </w:rPr>
          <m:t>8</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bytes per record. This is a lower-level payload count, excluding identifiers, law tags, versions, alignment, indexing, and language-runtime overhead. It is 113 bytes for </w:t>
      </w:r>
      <m:oMath>
        <m:r>
          <w:rPr>
            <w:rFonts w:ascii="Cambria Math" w:hAnsi="Cambria Math"/>
          </w:rPr>
          <m:t>D</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oMath>
      <w:r>
        <w:t xml:space="preserve">, or 135,600 bytes for 1,200 records. At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it is approximately 805.7 MB in decimal units before overhead.</w:t>
      </w:r>
    </w:p>
    <w:p w14:paraId="679D86D6" w14:textId="77777777" w:rsidR="00D84A52" w:rsidRDefault="00000000">
      <w:pPr>
        <w:pStyle w:val="BodyText"/>
        <w:rPr>
          <w:rFonts w:hint="eastAsia"/>
        </w:rPr>
      </w:pPr>
      <w:r>
        <w:t xml:space="preserve">Dense state retrieval costs order </w:t>
      </w:r>
      <m:oMath>
        <m:r>
          <w:rPr>
            <w:rFonts w:ascii="Cambria Math" w:hAnsi="Cambria Math"/>
          </w:rPr>
          <m:t>TND</m:t>
        </m:r>
      </m:oMath>
      <w:r>
        <w:t xml:space="preserve"> multiply-adds per head per candidate, or order </w:t>
      </w:r>
      <m:oMath>
        <m:r>
          <w:rPr>
            <w:rFonts w:ascii="Cambria Math" w:hAnsi="Cambria Math"/>
          </w:rPr>
          <m:t>HTND</m:t>
        </m:r>
      </m:oMath>
      <w:r>
        <w:t xml:space="preserve"> for </w:t>
      </w:r>
      <m:oMath>
        <m:r>
          <w:rPr>
            <w:rFonts w:ascii="Cambria Math" w:hAnsi="Cambria Math"/>
          </w:rPr>
          <m:t>H</m:t>
        </m:r>
      </m:oMath>
      <w:r>
        <w:t xml:space="preserve"> separately evaluated heads. Some geometric computations can be shared. A pairwise dominance graph supports sorting in order </w:t>
      </w:r>
      <m:oMath>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time and up to order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storage; repeated rescanning to peel fronts can have cubic worst-case time. Incremental maintenance may help, but does not guarantee a small update in every configuration. At many objectives a large fraction of points may be mutually nondominated, so rank alone supplies little discrimination. Diversity, feasibility, and preference-conditioned retrieval then need explicit treatment.</w:t>
      </w:r>
    </w:p>
    <w:p w14:paraId="214AA0A0" w14:textId="77777777" w:rsidR="00D84A52" w:rsidRDefault="00000000">
      <w:pPr>
        <w:pStyle w:val="Heading1"/>
        <w:rPr>
          <w:rFonts w:hint="eastAsia"/>
        </w:rPr>
      </w:pPr>
      <w:bookmarkStart w:id="27" w:name="X30231ffbd864670d7269c603222e4d4152ccbe0"/>
      <w:bookmarkEnd w:id="24"/>
      <w:bookmarkEnd w:id="26"/>
      <w:r>
        <w:t>9 New numerical checks and earlier benchmark summaries</w:t>
      </w:r>
    </w:p>
    <w:p w14:paraId="4700EEA5" w14:textId="77777777" w:rsidR="00D84A52" w:rsidRDefault="00000000">
      <w:pPr>
        <w:pStyle w:val="Heading2"/>
        <w:rPr>
          <w:rFonts w:hint="eastAsia"/>
        </w:rPr>
      </w:pPr>
      <w:bookmarkStart w:id="28" w:name="exact-fusion-checks"/>
      <w:r>
        <w:t>9.1 Exact fusion checks</w:t>
      </w:r>
    </w:p>
    <w:p w14:paraId="09D00597" w14:textId="77777777" w:rsidR="00D84A52" w:rsidRDefault="00000000">
      <w:pPr>
        <w:pStyle w:val="FirstParagraph"/>
        <w:rPr>
          <w:rFonts w:hint="eastAsia"/>
        </w:rPr>
      </w:pPr>
      <w:r>
        <w:t>The new checks use Python 3.12.14, NumPy 2.3.5, SciPy 1.17.0, and the default NumPy generator with seed 20261017. They exercise the kernel in Appendix B and independent analytic or quadrature comparisons. They do not rerun the earlier full ADE optimizer. Sections 9.4–9.6 add validated interval computation in C# and symbolic verification.</w:t>
      </w:r>
    </w:p>
    <w:p w14:paraId="0C731693" w14:textId="77777777" w:rsidR="00D84A52" w:rsidRDefault="00000000">
      <w:pPr>
        <w:pStyle w:val="BodyText"/>
        <w:rPr>
          <w:rFonts w:hint="eastAsia"/>
        </w:rPr>
      </w:pPr>
      <w:r>
        <w:t xml:space="preserve">For (9), take equally weighted component targets </w:t>
      </w:r>
      <m:oMath>
        <m:r>
          <w:rPr>
            <w:rFonts w:ascii="Cambria Math" w:hAnsi="Cambria Math"/>
          </w:rPr>
          <m:t>N</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0.05</m:t>
            </m:r>
          </m:e>
        </m:d>
      </m:oMath>
      <w:r>
        <w:t xml:space="preserve"> and </w:t>
      </w:r>
      <m:oMath>
        <m:r>
          <w:rPr>
            <w:rFonts w:ascii="Cambria Math" w:hAnsi="Cambria Math"/>
          </w:rPr>
          <m:t>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m:t>
            </m:r>
          </m:e>
        </m:d>
      </m:oMath>
      <w:r>
        <w:t xml:space="preserve">, Gaussian observation parameter </w:t>
      </w:r>
      <m:oMath>
        <m:r>
          <w:rPr>
            <w:rFonts w:ascii="Cambria Math" w:hAnsi="Cambria Math"/>
          </w:rPr>
          <m:t>a</m:t>
        </m:r>
        <m:r>
          <m:rPr>
            <m:sty m:val="p"/>
          </m:rPr>
          <w:rPr>
            <w:rFonts w:ascii="Cambria Math" w:hAnsi="Cambria Math"/>
          </w:rPr>
          <m:t>=</m:t>
        </m:r>
        <m:r>
          <w:rPr>
            <w:rFonts w:ascii="Cambria Math" w:hAnsi="Cambria Math"/>
          </w:rPr>
          <m:t>0.5</m:t>
        </m:r>
      </m:oMath>
      <w:r>
        <w:t xml:space="preserve">, and query </w:t>
      </w:r>
      <m:oMath>
        <m:r>
          <w:rPr>
            <w:rFonts w:ascii="Cambria Math" w:hAnsi="Cambria Math"/>
          </w:rPr>
          <m:t>q</m:t>
        </m:r>
        <m:r>
          <m:rPr>
            <m:sty m:val="p"/>
          </m:rPr>
          <w:rPr>
            <w:rFonts w:ascii="Cambria Math" w:hAnsi="Cambria Math"/>
          </w:rPr>
          <m:t>=</m:t>
        </m:r>
        <m:r>
          <w:rPr>
            <w:rFonts w:ascii="Cambria Math" w:hAnsi="Cambria Math"/>
          </w:rPr>
          <m:t>0.4</m:t>
        </m:r>
      </m:oMath>
      <w:r>
        <w:t xml:space="preserve">. The component evidence is </w:t>
      </w:r>
      <m:oMath>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xml:space="preserve"> and its conditional mean is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xml:space="preserve">. Direct quadrature on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independently integrates the mixture numerator and denominator.</w:t>
      </w:r>
    </w:p>
    <w:p w14:paraId="3635B907" w14:textId="77777777" w:rsidR="00D84A52" w:rsidRDefault="00000000">
      <w:pPr>
        <w:pStyle w:val="Caption"/>
        <w:keepNext/>
        <w:rPr>
          <w:rFonts w:hint="eastAsia"/>
        </w:rPr>
      </w:pPr>
      <w:r>
        <w:t>Table 2. Fresh numerical checks of the mathematical statements.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4176"/>
        <w:gridCol w:w="3384"/>
      </w:tblGrid>
      <w:tr w:rsidR="00D84A52" w14:paraId="31747421" w14:textId="77777777">
        <w:trPr>
          <w:cantSplit/>
          <w:tblHeader/>
          <w:jc w:val="center"/>
        </w:trPr>
        <w:tc>
          <w:tcPr>
            <w:tcW w:w="2376" w:type="dxa"/>
            <w:shd w:val="clear" w:color="auto" w:fill="EAEAEA"/>
            <w:tcMar>
              <w:top w:w="80" w:type="dxa"/>
              <w:left w:w="85" w:type="dxa"/>
              <w:bottom w:w="80" w:type="dxa"/>
              <w:right w:w="85" w:type="dxa"/>
            </w:tcMar>
            <w:vAlign w:val="center"/>
          </w:tcPr>
          <w:p w14:paraId="46082127" w14:textId="77777777" w:rsidR="00D84A52" w:rsidRDefault="00000000">
            <w:pPr>
              <w:keepNext/>
              <w:keepLines/>
              <w:spacing w:after="0" w:line="247" w:lineRule="auto"/>
              <w:jc w:val="left"/>
              <w:rPr>
                <w:rFonts w:hint="eastAsia"/>
              </w:rPr>
            </w:pPr>
            <w:r>
              <w:rPr>
                <w:b/>
                <w:sz w:val="21"/>
              </w:rPr>
              <w:t>Check</w:t>
            </w:r>
          </w:p>
        </w:tc>
        <w:tc>
          <w:tcPr>
            <w:tcW w:w="4176" w:type="dxa"/>
            <w:shd w:val="clear" w:color="auto" w:fill="EAEAEA"/>
            <w:tcMar>
              <w:top w:w="80" w:type="dxa"/>
              <w:left w:w="85" w:type="dxa"/>
              <w:bottom w:w="80" w:type="dxa"/>
              <w:right w:w="85" w:type="dxa"/>
            </w:tcMar>
            <w:vAlign w:val="center"/>
          </w:tcPr>
          <w:p w14:paraId="40ECA651" w14:textId="77777777" w:rsidR="00D84A52" w:rsidRDefault="00000000">
            <w:pPr>
              <w:keepNext/>
              <w:keepLines/>
              <w:spacing w:after="0" w:line="247" w:lineRule="auto"/>
              <w:jc w:val="left"/>
              <w:rPr>
                <w:rFonts w:hint="eastAsia"/>
              </w:rPr>
            </w:pPr>
            <w:r>
              <w:rPr>
                <w:b/>
                <w:sz w:val="21"/>
              </w:rPr>
              <w:t>Independently specified comparison</w:t>
            </w:r>
          </w:p>
        </w:tc>
        <w:tc>
          <w:tcPr>
            <w:tcW w:w="3384" w:type="dxa"/>
            <w:shd w:val="clear" w:color="auto" w:fill="EAEAEA"/>
            <w:tcMar>
              <w:top w:w="80" w:type="dxa"/>
              <w:left w:w="85" w:type="dxa"/>
              <w:bottom w:w="80" w:type="dxa"/>
              <w:right w:w="85" w:type="dxa"/>
            </w:tcMar>
            <w:vAlign w:val="center"/>
          </w:tcPr>
          <w:p w14:paraId="51B54066" w14:textId="77777777" w:rsidR="00D84A52" w:rsidRDefault="00000000">
            <w:pPr>
              <w:keepNext/>
              <w:keepLines/>
              <w:spacing w:after="0" w:line="247" w:lineRule="auto"/>
              <w:jc w:val="left"/>
              <w:rPr>
                <w:rFonts w:hint="eastAsia"/>
              </w:rPr>
            </w:pPr>
            <w:r>
              <w:rPr>
                <w:b/>
                <w:sz w:val="21"/>
              </w:rPr>
              <w:t>Result</w:t>
            </w:r>
          </w:p>
        </w:tc>
      </w:tr>
      <w:tr w:rsidR="00D84A52" w14:paraId="0FC4ADAD" w14:textId="77777777">
        <w:trPr>
          <w:cantSplit/>
          <w:jc w:val="center"/>
        </w:trPr>
        <w:tc>
          <w:tcPr>
            <w:tcW w:w="2376" w:type="dxa"/>
            <w:shd w:val="clear" w:color="auto" w:fill="FFFFFF"/>
            <w:tcMar>
              <w:top w:w="80" w:type="dxa"/>
              <w:left w:w="85" w:type="dxa"/>
              <w:bottom w:w="80" w:type="dxa"/>
              <w:right w:w="85" w:type="dxa"/>
            </w:tcMar>
            <w:vAlign w:val="center"/>
          </w:tcPr>
          <w:p w14:paraId="5B97DF1E" w14:textId="77777777" w:rsidR="00D84A52" w:rsidRDefault="00000000">
            <w:pPr>
              <w:keepLines/>
              <w:spacing w:after="0" w:line="247" w:lineRule="auto"/>
              <w:jc w:val="left"/>
              <w:rPr>
                <w:rFonts w:hint="eastAsia"/>
              </w:rPr>
            </w:pPr>
            <w:r>
              <w:rPr>
                <w:sz w:val="21"/>
              </w:rPr>
              <w:t>Gaussian mixture gate</w:t>
            </w:r>
          </w:p>
        </w:tc>
        <w:tc>
          <w:tcPr>
            <w:tcW w:w="4176" w:type="dxa"/>
            <w:shd w:val="clear" w:color="auto" w:fill="FFFFFF"/>
            <w:tcMar>
              <w:top w:w="80" w:type="dxa"/>
              <w:left w:w="85" w:type="dxa"/>
              <w:bottom w:w="80" w:type="dxa"/>
              <w:right w:w="85" w:type="dxa"/>
            </w:tcMar>
            <w:vAlign w:val="center"/>
          </w:tcPr>
          <w:p w14:paraId="6C576686" w14:textId="77777777" w:rsidR="00D84A52" w:rsidRDefault="00000000">
            <w:pPr>
              <w:keepLines/>
              <w:spacing w:after="0" w:line="247" w:lineRule="auto"/>
              <w:jc w:val="left"/>
              <w:rPr>
                <w:rFonts w:hint="eastAsia"/>
              </w:rPr>
            </w:pPr>
            <w:r>
              <w:rPr>
                <w:sz w:val="21"/>
              </w:rPr>
              <w:t>Analytic conditional mean and direct quadrature</w:t>
            </w:r>
          </w:p>
        </w:tc>
        <w:tc>
          <w:tcPr>
            <w:tcW w:w="3384" w:type="dxa"/>
            <w:shd w:val="clear" w:color="auto" w:fill="FFFFFF"/>
            <w:tcMar>
              <w:top w:w="80" w:type="dxa"/>
              <w:left w:w="85" w:type="dxa"/>
              <w:bottom w:w="80" w:type="dxa"/>
              <w:right w:w="85" w:type="dxa"/>
            </w:tcMar>
            <w:vAlign w:val="center"/>
          </w:tcPr>
          <w:p w14:paraId="700520B5" w14:textId="77777777" w:rsidR="00D84A52" w:rsidRDefault="00000000">
            <w:pPr>
              <w:keepLines/>
              <w:spacing w:after="0" w:line="247" w:lineRule="auto"/>
              <w:jc w:val="left"/>
              <w:rPr>
                <w:rFonts w:hint="eastAsia"/>
              </w:rPr>
            </w:pPr>
            <w:r>
              <w:rPr>
                <w:sz w:val="21"/>
              </w:rPr>
              <w:t>Gated mean 0.35002427; fixed-gate mean −0.03510754</w:t>
            </w:r>
          </w:p>
        </w:tc>
      </w:tr>
      <w:tr w:rsidR="00D84A52" w14:paraId="4C4FA2E2" w14:textId="77777777">
        <w:trPr>
          <w:cantSplit/>
          <w:jc w:val="center"/>
        </w:trPr>
        <w:tc>
          <w:tcPr>
            <w:tcW w:w="2376" w:type="dxa"/>
            <w:shd w:val="clear" w:color="auto" w:fill="FFFFFF"/>
            <w:tcMar>
              <w:top w:w="80" w:type="dxa"/>
              <w:left w:w="85" w:type="dxa"/>
              <w:bottom w:w="80" w:type="dxa"/>
              <w:right w:w="85" w:type="dxa"/>
            </w:tcMar>
            <w:vAlign w:val="center"/>
          </w:tcPr>
          <w:p w14:paraId="07478B4F" w14:textId="77777777" w:rsidR="00D84A52" w:rsidRDefault="00000000">
            <w:pPr>
              <w:keepLines/>
              <w:spacing w:after="0" w:line="247" w:lineRule="auto"/>
              <w:jc w:val="left"/>
              <w:rPr>
                <w:rFonts w:hint="eastAsia"/>
              </w:rPr>
            </w:pPr>
            <w:r>
              <w:rPr>
                <w:sz w:val="21"/>
              </w:rPr>
              <w:lastRenderedPageBreak/>
              <w:t>Finite-grid mixture kernel</w:t>
            </w:r>
          </w:p>
        </w:tc>
        <w:tc>
          <w:tcPr>
            <w:tcW w:w="4176" w:type="dxa"/>
            <w:shd w:val="clear" w:color="auto" w:fill="FFFFFF"/>
            <w:tcMar>
              <w:top w:w="80" w:type="dxa"/>
              <w:left w:w="85" w:type="dxa"/>
              <w:bottom w:w="80" w:type="dxa"/>
              <w:right w:w="85" w:type="dxa"/>
            </w:tcMar>
            <w:vAlign w:val="center"/>
          </w:tcPr>
          <w:p w14:paraId="5EB817C9" w14:textId="77777777" w:rsidR="00D84A52" w:rsidRDefault="00000000">
            <w:pPr>
              <w:keepLines/>
              <w:spacing w:after="0" w:line="247" w:lineRule="auto"/>
              <w:jc w:val="left"/>
              <w:rPr>
                <w:rFonts w:hint="eastAsia"/>
              </w:rPr>
            </w:pPr>
            <w:r>
              <w:rPr>
                <w:sz w:val="21"/>
              </w:rPr>
              <w:t xml:space="preserve">64,001 grid points on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oMath>
            <w:r>
              <w:rPr>
                <w:sz w:val="21"/>
              </w:rPr>
              <w:t xml:space="preserve"> versus analytic mean</w:t>
            </w:r>
          </w:p>
        </w:tc>
        <w:tc>
          <w:tcPr>
            <w:tcW w:w="3384" w:type="dxa"/>
            <w:shd w:val="clear" w:color="auto" w:fill="FFFFFF"/>
            <w:tcMar>
              <w:top w:w="80" w:type="dxa"/>
              <w:left w:w="85" w:type="dxa"/>
              <w:bottom w:w="80" w:type="dxa"/>
              <w:right w:w="85" w:type="dxa"/>
            </w:tcMar>
            <w:vAlign w:val="center"/>
          </w:tcPr>
          <w:p w14:paraId="57755BCD" w14:textId="77777777" w:rsidR="00D84A52" w:rsidRDefault="00000000">
            <w:pPr>
              <w:keepLines/>
              <w:spacing w:after="0" w:line="247" w:lineRule="auto"/>
              <w:jc w:val="left"/>
              <w:rPr>
                <w:rFonts w:hint="eastAsia"/>
              </w:rPr>
            </w:pPr>
            <w:r>
              <w:rPr>
                <w:sz w:val="21"/>
              </w:rPr>
              <w:t xml:space="preserve">Absolute difference below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r w:rsidR="00D84A52" w14:paraId="546FDBC2" w14:textId="77777777">
        <w:trPr>
          <w:cantSplit/>
          <w:jc w:val="center"/>
        </w:trPr>
        <w:tc>
          <w:tcPr>
            <w:tcW w:w="2376" w:type="dxa"/>
            <w:shd w:val="clear" w:color="auto" w:fill="FFFFFF"/>
            <w:tcMar>
              <w:top w:w="80" w:type="dxa"/>
              <w:left w:w="85" w:type="dxa"/>
              <w:bottom w:w="80" w:type="dxa"/>
              <w:right w:w="85" w:type="dxa"/>
            </w:tcMar>
            <w:vAlign w:val="center"/>
          </w:tcPr>
          <w:p w14:paraId="2628A905" w14:textId="77777777" w:rsidR="00D84A52" w:rsidRDefault="00000000">
            <w:pPr>
              <w:keepLines/>
              <w:spacing w:after="0" w:line="247" w:lineRule="auto"/>
              <w:jc w:val="left"/>
              <w:rPr>
                <w:rFonts w:hint="eastAsia"/>
              </w:rPr>
            </w:pPr>
            <w:r>
              <w:rPr>
                <w:sz w:val="21"/>
              </w:rPr>
              <w:t>Component constant shifts</w:t>
            </w:r>
          </w:p>
        </w:tc>
        <w:tc>
          <w:tcPr>
            <w:tcW w:w="4176" w:type="dxa"/>
            <w:shd w:val="clear" w:color="auto" w:fill="FFFFFF"/>
            <w:tcMar>
              <w:top w:w="80" w:type="dxa"/>
              <w:left w:w="85" w:type="dxa"/>
              <w:bottom w:w="80" w:type="dxa"/>
              <w:right w:w="85" w:type="dxa"/>
            </w:tcMar>
            <w:vAlign w:val="center"/>
          </w:tcPr>
          <w:p w14:paraId="00E8F465" w14:textId="77777777" w:rsidR="00D84A52" w:rsidRDefault="00000000">
            <w:pPr>
              <w:keepLines/>
              <w:spacing w:after="0" w:line="247" w:lineRule="auto"/>
              <w:jc w:val="left"/>
              <w:rPr>
                <w:rFonts w:hint="eastAsia"/>
              </w:rPr>
            </w:pPr>
            <w:r>
              <w:rPr>
                <w:sz w:val="21"/>
              </w:rPr>
              <w:t>Add 100 and −50 to the two log-weight rows</w:t>
            </w:r>
          </w:p>
        </w:tc>
        <w:tc>
          <w:tcPr>
            <w:tcW w:w="3384" w:type="dxa"/>
            <w:shd w:val="clear" w:color="auto" w:fill="FFFFFF"/>
            <w:tcMar>
              <w:top w:w="80" w:type="dxa"/>
              <w:left w:w="85" w:type="dxa"/>
              <w:bottom w:w="80" w:type="dxa"/>
              <w:right w:w="85" w:type="dxa"/>
            </w:tcMar>
            <w:vAlign w:val="center"/>
          </w:tcPr>
          <w:p w14:paraId="03F4766D" w14:textId="77777777" w:rsidR="00D84A52" w:rsidRDefault="00000000">
            <w:pPr>
              <w:keepLines/>
              <w:spacing w:after="0" w:line="247" w:lineRule="auto"/>
              <w:jc w:val="left"/>
              <w:rPr>
                <w:rFonts w:hint="eastAsia"/>
              </w:rPr>
            </w:pPr>
            <w:r>
              <w:rPr>
                <w:sz w:val="21"/>
              </w:rPr>
              <w:t xml:space="preserve">Fused mean change below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r w:rsidR="00D84A52" w14:paraId="552CE4C5" w14:textId="77777777">
        <w:trPr>
          <w:cantSplit/>
          <w:jc w:val="center"/>
        </w:trPr>
        <w:tc>
          <w:tcPr>
            <w:tcW w:w="2376" w:type="dxa"/>
            <w:shd w:val="clear" w:color="auto" w:fill="FFFFFF"/>
            <w:tcMar>
              <w:top w:w="80" w:type="dxa"/>
              <w:left w:w="85" w:type="dxa"/>
              <w:bottom w:w="80" w:type="dxa"/>
              <w:right w:w="85" w:type="dxa"/>
            </w:tcMar>
            <w:vAlign w:val="center"/>
          </w:tcPr>
          <w:p w14:paraId="624E9499" w14:textId="77777777" w:rsidR="00D84A52" w:rsidRDefault="00000000">
            <w:pPr>
              <w:keepLines/>
              <w:spacing w:after="0" w:line="247" w:lineRule="auto"/>
              <w:jc w:val="left"/>
              <w:rPr>
                <w:rFonts w:hint="eastAsia"/>
              </w:rPr>
            </w:pPr>
            <w:r>
              <w:rPr>
                <w:sz w:val="21"/>
              </w:rPr>
              <w:t>Chebyshev reachability</w:t>
            </w:r>
          </w:p>
        </w:tc>
        <w:tc>
          <w:tcPr>
            <w:tcW w:w="4176" w:type="dxa"/>
            <w:shd w:val="clear" w:color="auto" w:fill="FFFFFF"/>
            <w:tcMar>
              <w:top w:w="80" w:type="dxa"/>
              <w:left w:w="85" w:type="dxa"/>
              <w:bottom w:w="80" w:type="dxa"/>
              <w:right w:w="85" w:type="dxa"/>
            </w:tcMar>
            <w:vAlign w:val="center"/>
          </w:tcPr>
          <w:p w14:paraId="7BA79A7A" w14:textId="77777777" w:rsidR="00D84A52" w:rsidRDefault="00000000">
            <w:pPr>
              <w:keepLines/>
              <w:spacing w:after="0" w:line="247" w:lineRule="auto"/>
              <w:jc w:val="left"/>
              <w:rPr>
                <w:rFonts w:hint="eastAsia"/>
              </w:rPr>
            </w:pPr>
            <w:r>
              <w:rPr>
                <w:sz w:val="21"/>
              </w:rPr>
              <w:t xml:space="preserve">10,001 points on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rPr>
                <w:sz w:val="21"/>
              </w:rPr>
              <w:t xml:space="preserve">; (4) for </w:t>
            </w:r>
            <m:oMath>
              <m:r>
                <w:rPr>
                  <w:rFonts w:ascii="Cambria Math" w:hAnsi="Cambria Math"/>
                </w:rPr>
                <m:t>u</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0.75</m:t>
              </m:r>
            </m:oMath>
          </w:p>
        </w:tc>
        <w:tc>
          <w:tcPr>
            <w:tcW w:w="3384" w:type="dxa"/>
            <w:shd w:val="clear" w:color="auto" w:fill="FFFFFF"/>
            <w:tcMar>
              <w:top w:w="80" w:type="dxa"/>
              <w:left w:w="85" w:type="dxa"/>
              <w:bottom w:w="80" w:type="dxa"/>
              <w:right w:w="85" w:type="dxa"/>
            </w:tcMar>
            <w:vAlign w:val="center"/>
          </w:tcPr>
          <w:p w14:paraId="67DE45E9" w14:textId="77777777" w:rsidR="00D84A52" w:rsidRDefault="00000000">
            <w:pPr>
              <w:keepLines/>
              <w:spacing w:after="0" w:line="247" w:lineRule="auto"/>
              <w:jc w:val="left"/>
              <w:rPr>
                <w:rFonts w:hint="eastAsia"/>
              </w:rPr>
            </w:pPr>
            <w:r>
              <w:rPr>
                <w:sz w:val="21"/>
              </w:rPr>
              <w:t>Recovered each grid target exactly</w:t>
            </w:r>
          </w:p>
        </w:tc>
      </w:tr>
      <w:tr w:rsidR="00D84A52" w14:paraId="097F1C36" w14:textId="77777777">
        <w:trPr>
          <w:cantSplit/>
          <w:jc w:val="center"/>
        </w:trPr>
        <w:tc>
          <w:tcPr>
            <w:tcW w:w="2376" w:type="dxa"/>
            <w:shd w:val="clear" w:color="auto" w:fill="FFFFFF"/>
            <w:tcMar>
              <w:top w:w="80" w:type="dxa"/>
              <w:left w:w="85" w:type="dxa"/>
              <w:bottom w:w="80" w:type="dxa"/>
              <w:right w:w="85" w:type="dxa"/>
            </w:tcMar>
            <w:vAlign w:val="center"/>
          </w:tcPr>
          <w:p w14:paraId="36512D56" w14:textId="77777777" w:rsidR="00D84A52" w:rsidRDefault="00000000">
            <w:pPr>
              <w:keepLines/>
              <w:spacing w:after="0" w:line="247" w:lineRule="auto"/>
              <w:jc w:val="left"/>
              <w:rPr>
                <w:rFonts w:hint="eastAsia"/>
              </w:rPr>
            </w:pPr>
            <w:r>
              <w:rPr>
                <w:sz w:val="21"/>
              </w:rPr>
              <w:t>Rank rectangle</w:t>
            </w:r>
          </w:p>
        </w:tc>
        <w:tc>
          <w:tcPr>
            <w:tcW w:w="4176" w:type="dxa"/>
            <w:shd w:val="clear" w:color="auto" w:fill="FFFFFF"/>
            <w:tcMar>
              <w:top w:w="80" w:type="dxa"/>
              <w:left w:w="85" w:type="dxa"/>
              <w:bottom w:w="80" w:type="dxa"/>
              <w:right w:w="85" w:type="dxa"/>
            </w:tcMar>
            <w:vAlign w:val="center"/>
          </w:tcPr>
          <w:p w14:paraId="634518ED" w14:textId="77777777" w:rsidR="00D84A52" w:rsidRDefault="00000000">
            <w:pPr>
              <w:keepLines/>
              <w:spacing w:after="0" w:line="247" w:lineRule="auto"/>
              <w:jc w:val="left"/>
              <w:rPr>
                <w:rFonts w:hint="eastAsia"/>
              </w:rPr>
            </w:pPr>
            <w:r>
              <w:rPr>
                <w:sz w:val="21"/>
              </w:rPr>
              <w:t>Six vectors in Section 5.1</w:t>
            </w:r>
          </w:p>
        </w:tc>
        <w:tc>
          <w:tcPr>
            <w:tcW w:w="3384" w:type="dxa"/>
            <w:shd w:val="clear" w:color="auto" w:fill="FFFFFF"/>
            <w:tcMar>
              <w:top w:w="80" w:type="dxa"/>
              <w:left w:w="85" w:type="dxa"/>
              <w:bottom w:w="80" w:type="dxa"/>
              <w:right w:w="85" w:type="dxa"/>
            </w:tcMar>
            <w:vAlign w:val="center"/>
          </w:tcPr>
          <w:p w14:paraId="6CDA3062" w14:textId="77777777" w:rsidR="00D84A52" w:rsidRDefault="00000000">
            <w:pPr>
              <w:keepLines/>
              <w:spacing w:after="0" w:line="247" w:lineRule="auto"/>
              <w:jc w:val="left"/>
              <w:rPr>
                <w:rFonts w:hint="eastAsia"/>
              </w:rPr>
            </w:pPr>
            <w:r>
              <w:rPr>
                <w:sz w:val="21"/>
              </w:rPr>
              <w:t xml:space="preserve">Ranks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rPr>
                <w:sz w:val="21"/>
              </w:rPr>
              <w:t>; rectangle values 3 and 2</w:t>
            </w:r>
          </w:p>
        </w:tc>
      </w:tr>
      <w:tr w:rsidR="00D84A52" w14:paraId="7CD2D61B" w14:textId="77777777">
        <w:trPr>
          <w:cantSplit/>
          <w:jc w:val="center"/>
        </w:trPr>
        <w:tc>
          <w:tcPr>
            <w:tcW w:w="2376" w:type="dxa"/>
            <w:shd w:val="clear" w:color="auto" w:fill="FFFFFF"/>
            <w:tcMar>
              <w:top w:w="80" w:type="dxa"/>
              <w:left w:w="85" w:type="dxa"/>
              <w:bottom w:w="80" w:type="dxa"/>
              <w:right w:w="85" w:type="dxa"/>
            </w:tcMar>
            <w:vAlign w:val="center"/>
          </w:tcPr>
          <w:p w14:paraId="6C69F9CA" w14:textId="77777777" w:rsidR="00D84A52" w:rsidRDefault="00000000">
            <w:pPr>
              <w:keepLines/>
              <w:spacing w:after="0" w:line="247" w:lineRule="auto"/>
              <w:jc w:val="left"/>
              <w:rPr>
                <w:rFonts w:hint="eastAsia"/>
              </w:rPr>
            </w:pPr>
            <w:r>
              <w:rPr>
                <w:sz w:val="21"/>
              </w:rPr>
              <w:t>Metric counterexample</w:t>
            </w:r>
          </w:p>
        </w:tc>
        <w:tc>
          <w:tcPr>
            <w:tcW w:w="4176" w:type="dxa"/>
            <w:shd w:val="clear" w:color="auto" w:fill="FFFFFF"/>
            <w:tcMar>
              <w:top w:w="80" w:type="dxa"/>
              <w:left w:w="85" w:type="dxa"/>
              <w:bottom w:w="80" w:type="dxa"/>
              <w:right w:w="85" w:type="dxa"/>
            </w:tcMar>
            <w:vAlign w:val="center"/>
          </w:tcPr>
          <w:p w14:paraId="38A0A0BC" w14:textId="77777777" w:rsidR="00D84A52" w:rsidRDefault="00000000">
            <w:pPr>
              <w:keepLines/>
              <w:spacing w:after="0" w:line="247" w:lineRule="auto"/>
              <w:jc w:val="left"/>
              <w:rPr>
                <w:rFonts w:hint="eastAsia"/>
              </w:rPr>
            </w:pPr>
            <w:r>
              <w:rPr>
                <w:sz w:val="21"/>
              </w:rPr>
              <w:t>Two successive archives in Section 8.1</w:t>
            </w:r>
          </w:p>
        </w:tc>
        <w:tc>
          <w:tcPr>
            <w:tcW w:w="3384" w:type="dxa"/>
            <w:shd w:val="clear" w:color="auto" w:fill="FFFFFF"/>
            <w:tcMar>
              <w:top w:w="80" w:type="dxa"/>
              <w:left w:w="85" w:type="dxa"/>
              <w:bottom w:w="80" w:type="dxa"/>
              <w:right w:w="85" w:type="dxa"/>
            </w:tcMar>
            <w:vAlign w:val="center"/>
          </w:tcPr>
          <w:p w14:paraId="05432AEF" w14:textId="77777777" w:rsidR="00D84A52" w:rsidRDefault="00000000">
            <w:pPr>
              <w:keepLines/>
              <w:spacing w:after="0" w:line="247" w:lineRule="auto"/>
              <w:jc w:val="left"/>
              <w:rPr>
                <w:rFonts w:hint="eastAsia"/>
              </w:rPr>
            </w:pPr>
            <w:r>
              <w:rPr>
                <w:sz w:val="21"/>
              </w:rPr>
              <w:t>Pruned IGD 0.1 to 1.001249; IGD+ 0.1 to 0.05</w:t>
            </w:r>
          </w:p>
        </w:tc>
      </w:tr>
    </w:tbl>
    <w:p w14:paraId="3F6CCE5B" w14:textId="77777777" w:rsidR="00D84A52" w:rsidRDefault="00000000">
      <w:pPr>
        <w:pStyle w:val="BodyText"/>
        <w:spacing w:before="140"/>
        <w:rPr>
          <w:rFonts w:hint="eastAsia"/>
        </w:rPr>
      </w:pPr>
      <w:r>
        <w:t xml:space="preserve">The same inverse-gap preferences select weighted-sum front endpoints </w:t>
      </w:r>
      <m:oMath>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At balanced nominal weights, using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8.2</m:t>
            </m:r>
          </m:e>
        </m:d>
      </m:oMath>
      <w:r>
        <w:t xml:space="preserve"> puts the Chebyshev grid minimizer at </w:t>
      </w:r>
      <m:oMath>
        <m:r>
          <w:rPr>
            <w:rFonts w:ascii="Cambria Math" w:hAnsi="Cambria Math"/>
          </w:rPr>
          <m:t>u</m:t>
        </m:r>
        <m:r>
          <m:rPr>
            <m:sty m:val="p"/>
          </m:rPr>
          <w:rPr>
            <w:rFonts w:ascii="Cambria Math" w:hAnsi="Cambria Math"/>
          </w:rPr>
          <m:t>=</m:t>
        </m:r>
        <m:r>
          <w:rPr>
            <w:rFonts w:ascii="Cambria Math" w:hAnsi="Cambria Math"/>
          </w:rPr>
          <m:t>0.1201</m:t>
        </m:r>
      </m:oMath>
      <w:r>
        <w:t xml:space="preserve">, compared with </w:t>
      </w:r>
      <m:oMath>
        <m:r>
          <w:rPr>
            <w:rFonts w:ascii="Cambria Math" w:hAnsi="Cambria Math"/>
          </w:rPr>
          <m:t>u</m:t>
        </m:r>
        <m:r>
          <m:rPr>
            <m:sty m:val="p"/>
          </m:rPr>
          <w:rPr>
            <w:rFonts w:ascii="Cambria Math" w:hAnsi="Cambria Math"/>
          </w:rPr>
          <m:t>=</m:t>
        </m:r>
        <m:r>
          <w:rPr>
            <w:rFonts w:ascii="Cambria Math" w:hAnsi="Cambria Math"/>
          </w:rPr>
          <m:t>0.6180</m:t>
        </m:r>
      </m:oMath>
      <w:r>
        <w:t xml:space="preserve"> under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with zero reference. These are exact finite-grid scalarization comparisons, not simulated ADE convergence results. A separate finite-state check verifies (12) with reference masses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e>
        </m:d>
      </m:oMath>
      <w:r>
        <w:t xml:space="preserve"> at ranks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at </w:t>
      </w:r>
      <m:oMath>
        <m:r>
          <w:rPr>
            <w:rFonts w:ascii="Cambria Math" w:hAnsi="Cambria Math"/>
          </w:rPr>
          <m:t>β</m:t>
        </m:r>
        <m:r>
          <m:rPr>
            <m:sty m:val="p"/>
          </m:rPr>
          <w:rPr>
            <w:rFonts w:ascii="Cambria Math" w:hAnsi="Cambria Math"/>
          </w:rPr>
          <m:t>=</m:t>
        </m:r>
        <m:r>
          <w:rPr>
            <w:rFonts w:ascii="Cambria Math" w:hAnsi="Cambria Math"/>
          </w:rPr>
          <m:t>10</m:t>
        </m:r>
      </m:oMath>
      <w:r>
        <w:t xml:space="preserve"> the outside mass is </w:t>
      </w:r>
      <m:oMath>
        <m:r>
          <w:rPr>
            <w:rFonts w:ascii="Cambria Math" w:hAnsi="Cambria Math"/>
          </w:rPr>
          <m:t>6.81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below the bound </w:t>
      </w:r>
      <m:oMath>
        <m:r>
          <w:rPr>
            <w:rFonts w:ascii="Cambria Math" w:hAnsi="Cambria Math"/>
          </w:rPr>
          <m:t>2.27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p w14:paraId="4C355F56" w14:textId="77777777" w:rsidR="00D84A52" w:rsidRDefault="00000000">
      <w:pPr>
        <w:pStyle w:val="BodyText"/>
        <w:keepNext/>
        <w:jc w:val="center"/>
        <w:rPr>
          <w:rFonts w:hint="eastAsia"/>
        </w:rPr>
      </w:pPr>
      <w:r>
        <w:rPr>
          <w:noProof/>
        </w:rPr>
        <w:drawing>
          <wp:inline distT="0" distB="0" distL="0" distR="0" wp14:anchorId="77F44539" wp14:editId="71109E3B">
            <wp:extent cx="6126480" cy="2387525"/>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fusion.png"/>
                    <pic:cNvPicPr>
                      <a:picLocks noChangeAspect="1" noChangeArrowheads="1"/>
                    </pic:cNvPicPr>
                  </pic:nvPicPr>
                  <pic:blipFill>
                    <a:blip r:embed="rId7"/>
                    <a:stretch>
                      <a:fillRect/>
                    </a:stretch>
                  </pic:blipFill>
                  <pic:spPr bwMode="auto">
                    <a:xfrm>
                      <a:off x="0" y="0"/>
                      <a:ext cx="6126480" cy="2387525"/>
                    </a:xfrm>
                    <a:prstGeom prst="rect">
                      <a:avLst/>
                    </a:prstGeom>
                    <a:noFill/>
                    <a:ln w="9525">
                      <a:noFill/>
                      <a:headEnd/>
                      <a:tailEnd/>
                    </a:ln>
                  </pic:spPr>
                </pic:pic>
              </a:graphicData>
            </a:graphic>
          </wp:inline>
        </w:drawing>
      </w:r>
    </w:p>
    <w:p w14:paraId="36973DC2" w14:textId="77777777" w:rsidR="00D84A52" w:rsidRDefault="00000000">
      <w:pPr>
        <w:pStyle w:val="Caption"/>
        <w:keepLines/>
        <w:rPr>
          <w:rFonts w:hint="eastAsia"/>
        </w:rPr>
      </w:pPr>
      <w:r>
        <w:t>Figure 1. Analytic mixture gates vary with the query, while a fixed gate ignores that evidence. On the concave objective front, the marked interior vectors are recovered by their Chebyshev inverse-gap preferences; positive weighted sums attain their minima at endpoints.</w:t>
      </w:r>
    </w:p>
    <w:p w14:paraId="63291B4F" w14:textId="77777777" w:rsidR="00D84A52" w:rsidRDefault="00000000">
      <w:pPr>
        <w:pStyle w:val="Heading2"/>
        <w:rPr>
          <w:rFonts w:hint="eastAsia"/>
        </w:rPr>
      </w:pPr>
      <w:bookmarkStart w:id="29" w:name="X47eadc8479c6692c8f37ec8d4242818e6a75966"/>
      <w:bookmarkEnd w:id="28"/>
      <w:r>
        <w:t>9.2 Reusing an adaptive selectively observed archive</w:t>
      </w:r>
    </w:p>
    <w:p w14:paraId="3B098BC1" w14:textId="77777777" w:rsidR="00D84A52" w:rsidRDefault="00000000">
      <w:pPr>
        <w:pStyle w:val="FirstParagraph"/>
        <w:rPr>
          <w:rFonts w:hint="eastAsia"/>
        </w:rPr>
      </w:pPr>
      <w:r>
        <w:t xml:space="preserve">Use </w:t>
      </w:r>
      <m:oMath>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uniform reference </w:t>
      </w:r>
      <m:oMath>
        <m:r>
          <w:rPr>
            <w:rFonts w:ascii="Cambria Math" w:hAnsi="Cambria Math"/>
          </w:rPr>
          <m:t>μ</m:t>
        </m:r>
      </m:oMath>
      <w:r>
        <w:t xml:space="preserve">, objectives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inverse temperature 2. Each block of 1,000 candidates is drawn from a defensive mixture of 0.2 times the uniform reference and 0.8 times a normal distribution truncated to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with standard deviation 0.35. The archive check starts its own generator at the stated seed. The first local mean is zero. After a block, update the next mean to the corrected archive’s mean design, clipped to </w:t>
      </w:r>
      <m:oMath>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1.3</m:t>
        </m:r>
        <m:r>
          <m:rPr>
            <m:sty m:val="p"/>
          </m:rPr>
          <w:rPr>
            <w:rFonts w:ascii="Cambria Math" w:hAnsi="Cambria Math"/>
          </w:rPr>
          <m:t>]</m:t>
        </m:r>
      </m:oMath>
      <w:r>
        <w:t>, alternating preference weights 0.9 and 0.1 on the first objective. This makes each block’s proposal depend on earlier observations, with its normalized truncated density available.</w:t>
      </w:r>
    </w:p>
    <w:p w14:paraId="78432DB9" w14:textId="77777777" w:rsidR="00D84A52" w:rsidRDefault="00000000">
      <w:pPr>
        <w:pStyle w:val="BodyText"/>
        <w:rPr>
          <w:rFonts w:hint="eastAsia"/>
        </w:rPr>
      </w:pPr>
      <w:r>
        <w:lastRenderedPageBreak/>
        <w:t xml:space="preserve">Include a response with probability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e>
        </m:d>
      </m:oMath>
      <w:r>
        <w:t xml:space="preserve">. After 100 blocks there are 100,000 attempts and 64,605 included response vectors. Postprocess this single archive at eleven weights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oMath>
      <w:r>
        <w:t xml:space="preserve"> using (13). Independent one-dimensional quadrature supplies the target mean of </w:t>
      </w:r>
      <m:oMath>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for each preference. The maximum absolute error across the eleven preferences is 0.0097197 for corrected estimates and 0.3584110 for uncorrected loss weights on the same observed states. No new objective evaluations are used during this postprocessing. Section 9.5 certifies the quadrature reference and repeats the archive for 200 seeds.</w:t>
      </w:r>
    </w:p>
    <w:p w14:paraId="443DFE67" w14:textId="77777777" w:rsidR="00D84A52" w:rsidRDefault="00000000">
      <w:pPr>
        <w:pStyle w:val="BodyText"/>
        <w:keepNext/>
        <w:jc w:val="center"/>
        <w:rPr>
          <w:rFonts w:hint="eastAsia"/>
        </w:rPr>
      </w:pPr>
      <w:r>
        <w:rPr>
          <w:noProof/>
        </w:rPr>
        <w:drawing>
          <wp:inline distT="0" distB="0" distL="0" distR="0" wp14:anchorId="25932776" wp14:editId="195D8E3F">
            <wp:extent cx="6035040" cy="237744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reuse.png"/>
                    <pic:cNvPicPr>
                      <a:picLocks noChangeAspect="1" noChangeArrowheads="1"/>
                    </pic:cNvPicPr>
                  </pic:nvPicPr>
                  <pic:blipFill>
                    <a:blip r:embed="rId8"/>
                    <a:stretch>
                      <a:fillRect/>
                    </a:stretch>
                  </pic:blipFill>
                  <pic:spPr bwMode="auto">
                    <a:xfrm>
                      <a:off x="0" y="0"/>
                      <a:ext cx="6035040" cy="2377440"/>
                    </a:xfrm>
                    <a:prstGeom prst="rect">
                      <a:avLst/>
                    </a:prstGeom>
                    <a:noFill/>
                    <a:ln w="9525">
                      <a:noFill/>
                      <a:headEnd/>
                      <a:tailEnd/>
                    </a:ln>
                  </pic:spPr>
                </pic:pic>
              </a:graphicData>
            </a:graphic>
          </wp:inline>
        </w:drawing>
      </w:r>
    </w:p>
    <w:p w14:paraId="19559A59" w14:textId="77777777" w:rsidR="00D84A52" w:rsidRDefault="00000000">
      <w:pPr>
        <w:pStyle w:val="Caption"/>
        <w:keepLines/>
        <w:rPr>
          <w:rFonts w:hint="eastAsia"/>
        </w:rPr>
      </w:pPr>
      <w:r>
        <w:t>Figure 2. Preference-dependent target means from independent quadrature and one newly generated adaptive archive. Corrected estimates closely follow the target curve; uncorrected estimates retain the archive’s sampling and observation distortion. This is a single numerical check of preference reuse, not an industrial performance claim.</w:t>
      </w:r>
    </w:p>
    <w:p w14:paraId="040F1583" w14:textId="77777777" w:rsidR="00D84A52" w:rsidRDefault="00000000">
      <w:pPr>
        <w:pStyle w:val="Heading2"/>
        <w:rPr>
          <w:rFonts w:hint="eastAsia"/>
        </w:rPr>
      </w:pPr>
      <w:bookmarkStart w:id="30" w:name="earlier-ade-benchmark-results"/>
      <w:bookmarkEnd w:id="29"/>
      <w:r>
        <w:t>9.3 Earlier ADE benchmark results</w:t>
      </w:r>
    </w:p>
    <w:p w14:paraId="51B8F983" w14:textId="77777777" w:rsidR="00D84A52" w:rsidRDefault="00000000">
      <w:pPr>
        <w:pStyle w:val="FirstParagraph"/>
        <w:rPr>
          <w:rFonts w:hint="eastAsia"/>
        </w:rPr>
      </w:pPr>
      <w:r>
        <w:t xml:space="preserve">The earlier manuscript reports ten-seed runs using latent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sup>
        </m:sSup>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=sigmoid</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Its benchmark variants set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and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e>
        </m:d>
        <m:r>
          <m:rPr>
            <m:sty m:val="p"/>
          </m:rPr>
          <w:rPr>
            <w:rFonts w:ascii="Cambria Math" w:hAnsi="Cambria Math"/>
          </w:rPr>
          <m:t>/</m:t>
        </m:r>
        <m:r>
          <w:rPr>
            <w:rFonts w:ascii="Cambria Math" w:hAnsi="Cambria Math"/>
          </w:rPr>
          <m:t>3</m:t>
        </m:r>
      </m:oMath>
      <w:r>
        <w:t xml:space="preserve">, with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e>
            </m:rad>
          </m:e>
        </m:d>
      </m:oMath>
      <w:r>
        <w:t xml:space="preserve"> for its ZDT1 variant and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g</m:t>
                    </m:r>
                  </m:e>
                </m:d>
              </m:e>
              <m:sup>
                <m:r>
                  <w:rPr>
                    <w:rFonts w:ascii="Cambria Math" w:hAnsi="Cambria Math"/>
                  </w:rPr>
                  <m:t>2</m:t>
                </m:r>
              </m:sup>
            </m:sSup>
          </m:e>
        </m:d>
      </m:oMath>
      <w:r>
        <w:t xml:space="preserve"> for its ZDT2 variant. Coordinates 5–10 are inactive. These are ZDT-inspired reduced-active-variable variants, not the full standard ten-variable definitions [10]. The sigmoid reaches the open cube; the tabulated ideal front lies in its closure.</w:t>
      </w:r>
    </w:p>
    <w:p w14:paraId="4048F5E6" w14:textId="77777777" w:rsidR="00D84A52" w:rsidRDefault="00000000">
      <w:pPr>
        <w:pStyle w:val="BodyText"/>
        <w:rPr>
          <w:rFonts w:hint="eastAsia"/>
        </w:rPr>
      </w:pPr>
      <w:r>
        <w:t xml:space="preserve">The reported settings use 16 stages, a cosine schedule, noise multiplier one, inverse temperature increasing from 3 to 30, 50 prompt evaluations, and a nominal budget of 1,200 evaluations. IGD uses 500 reference-front points, with hypervolume reference </w:t>
      </w:r>
      <m:oMath>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1.1</m:t>
            </m:r>
          </m:e>
        </m:d>
      </m:oMath>
      <w:r>
        <w:t>. Table 3 retains selected summaries from that manuscript [11]. They are not newly replicated by the checks above. Standard errors describe those reported ten-seed results; they do not establish a tuned baseline comparison or causal attribution to one architectural mechanism.</w:t>
      </w:r>
    </w:p>
    <w:p w14:paraId="4A0E5431" w14:textId="77777777" w:rsidR="00D84A52" w:rsidRDefault="00000000">
      <w:pPr>
        <w:pStyle w:val="Caption"/>
        <w:keepNext/>
        <w:rPr>
          <w:rFonts w:hint="eastAsia"/>
        </w:rPr>
      </w:pPr>
      <w:r>
        <w:lastRenderedPageBreak/>
        <w:t>Table 3. Selected earlier reported fusion results, mean IGD ± standard error, ten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2664"/>
        <w:gridCol w:w="2664"/>
      </w:tblGrid>
      <w:tr w:rsidR="00D84A52" w14:paraId="6F606702" w14:textId="77777777">
        <w:trPr>
          <w:cantSplit/>
          <w:tblHeader/>
          <w:jc w:val="center"/>
        </w:trPr>
        <w:tc>
          <w:tcPr>
            <w:tcW w:w="4608" w:type="dxa"/>
            <w:shd w:val="clear" w:color="auto" w:fill="EAEAEA"/>
            <w:tcMar>
              <w:top w:w="80" w:type="dxa"/>
              <w:left w:w="85" w:type="dxa"/>
              <w:bottom w:w="80" w:type="dxa"/>
              <w:right w:w="85" w:type="dxa"/>
            </w:tcMar>
            <w:vAlign w:val="center"/>
          </w:tcPr>
          <w:p w14:paraId="22C0BB43" w14:textId="77777777" w:rsidR="00D84A52" w:rsidRDefault="00000000">
            <w:pPr>
              <w:keepNext/>
              <w:keepLines/>
              <w:spacing w:after="0" w:line="247" w:lineRule="auto"/>
              <w:jc w:val="left"/>
              <w:rPr>
                <w:rFonts w:hint="eastAsia"/>
              </w:rPr>
            </w:pPr>
            <w:r>
              <w:rPr>
                <w:b/>
                <w:sz w:val="21"/>
              </w:rPr>
              <w:t>Fusion or comparison</w:t>
            </w:r>
          </w:p>
        </w:tc>
        <w:tc>
          <w:tcPr>
            <w:tcW w:w="2664" w:type="dxa"/>
            <w:shd w:val="clear" w:color="auto" w:fill="EAEAEA"/>
            <w:tcMar>
              <w:top w:w="80" w:type="dxa"/>
              <w:left w:w="85" w:type="dxa"/>
              <w:bottom w:w="80" w:type="dxa"/>
              <w:right w:w="85" w:type="dxa"/>
            </w:tcMar>
            <w:vAlign w:val="center"/>
          </w:tcPr>
          <w:p w14:paraId="56DCBC8D" w14:textId="77777777" w:rsidR="00D84A52" w:rsidRDefault="00000000">
            <w:pPr>
              <w:keepNext/>
              <w:keepLines/>
              <w:spacing w:after="0" w:line="247" w:lineRule="auto"/>
              <w:jc w:val="right"/>
              <w:rPr>
                <w:rFonts w:hint="eastAsia"/>
              </w:rPr>
            </w:pPr>
            <w:r>
              <w:rPr>
                <w:b/>
                <w:sz w:val="21"/>
              </w:rPr>
              <w:t>ZDT1 variant</w:t>
            </w:r>
          </w:p>
        </w:tc>
        <w:tc>
          <w:tcPr>
            <w:tcW w:w="2664" w:type="dxa"/>
            <w:shd w:val="clear" w:color="auto" w:fill="EAEAEA"/>
            <w:tcMar>
              <w:top w:w="80" w:type="dxa"/>
              <w:left w:w="85" w:type="dxa"/>
              <w:bottom w:w="80" w:type="dxa"/>
              <w:right w:w="85" w:type="dxa"/>
            </w:tcMar>
            <w:vAlign w:val="center"/>
          </w:tcPr>
          <w:p w14:paraId="6D3A4470" w14:textId="77777777" w:rsidR="00D84A52" w:rsidRDefault="00000000">
            <w:pPr>
              <w:keepNext/>
              <w:keepLines/>
              <w:spacing w:after="0" w:line="247" w:lineRule="auto"/>
              <w:jc w:val="right"/>
              <w:rPr>
                <w:rFonts w:hint="eastAsia"/>
              </w:rPr>
            </w:pPr>
            <w:r>
              <w:rPr>
                <w:b/>
                <w:sz w:val="21"/>
              </w:rPr>
              <w:t>ZDT2 variant</w:t>
            </w:r>
          </w:p>
        </w:tc>
      </w:tr>
      <w:tr w:rsidR="00D84A52" w14:paraId="30F71330" w14:textId="77777777">
        <w:trPr>
          <w:cantSplit/>
          <w:jc w:val="center"/>
        </w:trPr>
        <w:tc>
          <w:tcPr>
            <w:tcW w:w="4608" w:type="dxa"/>
            <w:shd w:val="clear" w:color="auto" w:fill="FFFFFF"/>
            <w:tcMar>
              <w:top w:w="80" w:type="dxa"/>
              <w:left w:w="85" w:type="dxa"/>
              <w:bottom w:w="80" w:type="dxa"/>
              <w:right w:w="85" w:type="dxa"/>
            </w:tcMar>
            <w:vAlign w:val="center"/>
          </w:tcPr>
          <w:p w14:paraId="605CAE56" w14:textId="77777777" w:rsidR="00D84A52" w:rsidRDefault="00000000">
            <w:pPr>
              <w:keepNext/>
              <w:keepLines/>
              <w:spacing w:after="0" w:line="247" w:lineRule="auto"/>
              <w:jc w:val="left"/>
              <w:rPr>
                <w:rFonts w:hint="eastAsia"/>
              </w:rPr>
            </w:pPr>
            <w:r>
              <w:rPr>
                <w:sz w:val="21"/>
              </w:rPr>
              <w:t>Early fusion with moving min–max scales</w:t>
            </w:r>
          </w:p>
        </w:tc>
        <w:tc>
          <w:tcPr>
            <w:tcW w:w="2664" w:type="dxa"/>
            <w:shd w:val="clear" w:color="auto" w:fill="FFFFFF"/>
            <w:tcMar>
              <w:top w:w="80" w:type="dxa"/>
              <w:left w:w="85" w:type="dxa"/>
              <w:bottom w:w="80" w:type="dxa"/>
              <w:right w:w="85" w:type="dxa"/>
            </w:tcMar>
            <w:vAlign w:val="center"/>
          </w:tcPr>
          <w:p w14:paraId="5E9907C3" w14:textId="77777777" w:rsidR="00D84A52" w:rsidRDefault="00000000">
            <w:pPr>
              <w:keepNext/>
              <w:keepLines/>
              <w:spacing w:after="0" w:line="247" w:lineRule="auto"/>
              <w:jc w:val="right"/>
              <w:rPr>
                <w:rFonts w:hint="eastAsia"/>
              </w:rPr>
            </w:pPr>
            <m:oMathPara>
              <m:oMath>
                <m:r>
                  <w:rPr>
                    <w:rFonts w:ascii="Cambria Math" w:hAnsi="Cambria Math"/>
                  </w:rPr>
                  <m:t>0.246</m:t>
                </m:r>
                <m:r>
                  <m:rPr>
                    <m:sty m:val="p"/>
                  </m:rPr>
                  <w:rPr>
                    <w:rFonts w:ascii="Cambria Math" w:hAnsi="Cambria Math"/>
                  </w:rPr>
                  <m:t>±</m:t>
                </m:r>
                <m:r>
                  <w:rPr>
                    <w:rFonts w:ascii="Cambria Math" w:hAnsi="Cambria Math"/>
                  </w:rPr>
                  <m:t>0.023</m:t>
                </m:r>
              </m:oMath>
            </m:oMathPara>
          </w:p>
        </w:tc>
        <w:tc>
          <w:tcPr>
            <w:tcW w:w="2664" w:type="dxa"/>
            <w:shd w:val="clear" w:color="auto" w:fill="FFFFFF"/>
            <w:tcMar>
              <w:top w:w="80" w:type="dxa"/>
              <w:left w:w="85" w:type="dxa"/>
              <w:bottom w:w="80" w:type="dxa"/>
              <w:right w:w="85" w:type="dxa"/>
            </w:tcMar>
            <w:vAlign w:val="center"/>
          </w:tcPr>
          <w:p w14:paraId="2FCB9A9C" w14:textId="77777777" w:rsidR="00D84A52" w:rsidRDefault="00000000">
            <w:pPr>
              <w:keepNext/>
              <w:keepLines/>
              <w:spacing w:after="0" w:line="247" w:lineRule="auto"/>
              <w:jc w:val="right"/>
              <w:rPr>
                <w:rFonts w:hint="eastAsia"/>
              </w:rPr>
            </w:pPr>
            <m:oMathPara>
              <m:oMath>
                <m:r>
                  <w:rPr>
                    <w:rFonts w:ascii="Cambria Math" w:hAnsi="Cambria Math"/>
                  </w:rPr>
                  <m:t>0.493</m:t>
                </m:r>
                <m:r>
                  <m:rPr>
                    <m:sty m:val="p"/>
                  </m:rPr>
                  <w:rPr>
                    <w:rFonts w:ascii="Cambria Math" w:hAnsi="Cambria Math"/>
                  </w:rPr>
                  <m:t>±</m:t>
                </m:r>
                <m:r>
                  <w:rPr>
                    <w:rFonts w:ascii="Cambria Math" w:hAnsi="Cambria Math"/>
                  </w:rPr>
                  <m:t>0.057</m:t>
                </m:r>
              </m:oMath>
            </m:oMathPara>
          </w:p>
        </w:tc>
      </w:tr>
      <w:tr w:rsidR="00D84A52" w14:paraId="668C0013" w14:textId="77777777">
        <w:trPr>
          <w:cantSplit/>
          <w:jc w:val="center"/>
        </w:trPr>
        <w:tc>
          <w:tcPr>
            <w:tcW w:w="4608" w:type="dxa"/>
            <w:shd w:val="clear" w:color="auto" w:fill="FFFFFF"/>
            <w:tcMar>
              <w:top w:w="80" w:type="dxa"/>
              <w:left w:w="85" w:type="dxa"/>
              <w:bottom w:w="80" w:type="dxa"/>
              <w:right w:w="85" w:type="dxa"/>
            </w:tcMar>
            <w:vAlign w:val="center"/>
          </w:tcPr>
          <w:p w14:paraId="11A7DAFA" w14:textId="77777777" w:rsidR="00D84A52" w:rsidRDefault="00000000">
            <w:pPr>
              <w:keepNext/>
              <w:keepLines/>
              <w:spacing w:after="0" w:line="247" w:lineRule="auto"/>
              <w:jc w:val="left"/>
              <w:rPr>
                <w:rFonts w:hint="eastAsia"/>
              </w:rPr>
            </w:pPr>
            <w:r>
              <w:rPr>
                <w:sz w:val="21"/>
              </w:rPr>
              <w:t>Late fusion with fixed gates</w:t>
            </w:r>
          </w:p>
        </w:tc>
        <w:tc>
          <w:tcPr>
            <w:tcW w:w="2664" w:type="dxa"/>
            <w:shd w:val="clear" w:color="auto" w:fill="FFFFFF"/>
            <w:tcMar>
              <w:top w:w="80" w:type="dxa"/>
              <w:left w:w="85" w:type="dxa"/>
              <w:bottom w:w="80" w:type="dxa"/>
              <w:right w:w="85" w:type="dxa"/>
            </w:tcMar>
            <w:vAlign w:val="center"/>
          </w:tcPr>
          <w:p w14:paraId="6F8867AF" w14:textId="77777777" w:rsidR="00D84A52" w:rsidRDefault="00000000">
            <w:pPr>
              <w:keepNext/>
              <w:keepLines/>
              <w:spacing w:after="0" w:line="247" w:lineRule="auto"/>
              <w:jc w:val="right"/>
              <w:rPr>
                <w:rFonts w:hint="eastAsia"/>
              </w:rPr>
            </w:pPr>
            <m:oMathPara>
              <m:oMath>
                <m:r>
                  <w:rPr>
                    <w:rFonts w:ascii="Cambria Math" w:hAnsi="Cambria Math"/>
                  </w:rPr>
                  <m:t>0.259</m:t>
                </m:r>
                <m:r>
                  <m:rPr>
                    <m:sty m:val="p"/>
                  </m:rPr>
                  <w:rPr>
                    <w:rFonts w:ascii="Cambria Math" w:hAnsi="Cambria Math"/>
                  </w:rPr>
                  <m:t>±</m:t>
                </m:r>
                <m:r>
                  <w:rPr>
                    <w:rFonts w:ascii="Cambria Math" w:hAnsi="Cambria Math"/>
                  </w:rPr>
                  <m:t>0.018</m:t>
                </m:r>
              </m:oMath>
            </m:oMathPara>
          </w:p>
        </w:tc>
        <w:tc>
          <w:tcPr>
            <w:tcW w:w="2664" w:type="dxa"/>
            <w:shd w:val="clear" w:color="auto" w:fill="FFFFFF"/>
            <w:tcMar>
              <w:top w:w="80" w:type="dxa"/>
              <w:left w:w="85" w:type="dxa"/>
              <w:bottom w:w="80" w:type="dxa"/>
              <w:right w:w="85" w:type="dxa"/>
            </w:tcMar>
            <w:vAlign w:val="center"/>
          </w:tcPr>
          <w:p w14:paraId="5EFE8D9F" w14:textId="77777777" w:rsidR="00D84A52" w:rsidRDefault="00000000">
            <w:pPr>
              <w:keepNext/>
              <w:keepLines/>
              <w:spacing w:after="0" w:line="247" w:lineRule="auto"/>
              <w:jc w:val="right"/>
              <w:rPr>
                <w:rFonts w:hint="eastAsia"/>
              </w:rPr>
            </w:pPr>
            <m:oMathPara>
              <m:oMath>
                <m:r>
                  <w:rPr>
                    <w:rFonts w:ascii="Cambria Math" w:hAnsi="Cambria Math"/>
                  </w:rPr>
                  <m:t>0.452</m:t>
                </m:r>
                <m:r>
                  <m:rPr>
                    <m:sty m:val="p"/>
                  </m:rPr>
                  <w:rPr>
                    <w:rFonts w:ascii="Cambria Math" w:hAnsi="Cambria Math"/>
                  </w:rPr>
                  <m:t>±</m:t>
                </m:r>
                <m:r>
                  <w:rPr>
                    <w:rFonts w:ascii="Cambria Math" w:hAnsi="Cambria Math"/>
                  </w:rPr>
                  <m:t>0.053</m:t>
                </m:r>
              </m:oMath>
            </m:oMathPara>
          </w:p>
        </w:tc>
      </w:tr>
      <w:tr w:rsidR="00D84A52" w14:paraId="003191E3" w14:textId="77777777">
        <w:trPr>
          <w:cantSplit/>
          <w:jc w:val="center"/>
        </w:trPr>
        <w:tc>
          <w:tcPr>
            <w:tcW w:w="4608" w:type="dxa"/>
            <w:shd w:val="clear" w:color="auto" w:fill="FFFFFF"/>
            <w:tcMar>
              <w:top w:w="80" w:type="dxa"/>
              <w:left w:w="85" w:type="dxa"/>
              <w:bottom w:w="80" w:type="dxa"/>
              <w:right w:w="85" w:type="dxa"/>
            </w:tcMar>
            <w:vAlign w:val="center"/>
          </w:tcPr>
          <w:p w14:paraId="23EBC7A6" w14:textId="77777777" w:rsidR="00D84A52" w:rsidRDefault="00000000">
            <w:pPr>
              <w:keepNext/>
              <w:keepLines/>
              <w:spacing w:after="0" w:line="247" w:lineRule="auto"/>
              <w:jc w:val="left"/>
              <w:rPr>
                <w:rFonts w:hint="eastAsia"/>
              </w:rPr>
            </w:pPr>
            <w:r>
              <w:rPr>
                <w:sz w:val="21"/>
              </w:rPr>
              <w:t>Late fusion with evidence gates</w:t>
            </w:r>
          </w:p>
        </w:tc>
        <w:tc>
          <w:tcPr>
            <w:tcW w:w="2664" w:type="dxa"/>
            <w:shd w:val="clear" w:color="auto" w:fill="FFFFFF"/>
            <w:tcMar>
              <w:top w:w="80" w:type="dxa"/>
              <w:left w:w="85" w:type="dxa"/>
              <w:bottom w:w="80" w:type="dxa"/>
              <w:right w:w="85" w:type="dxa"/>
            </w:tcMar>
            <w:vAlign w:val="center"/>
          </w:tcPr>
          <w:p w14:paraId="2756F09D" w14:textId="77777777" w:rsidR="00D84A52" w:rsidRDefault="00000000">
            <w:pPr>
              <w:keepNext/>
              <w:keepLines/>
              <w:spacing w:after="0" w:line="247" w:lineRule="auto"/>
              <w:jc w:val="right"/>
              <w:rPr>
                <w:rFonts w:hint="eastAsia"/>
              </w:rPr>
            </w:pPr>
            <m:oMathPara>
              <m:oMath>
                <m:r>
                  <w:rPr>
                    <w:rFonts w:ascii="Cambria Math" w:hAnsi="Cambria Math"/>
                  </w:rPr>
                  <m:t>0.219</m:t>
                </m:r>
                <m:r>
                  <m:rPr>
                    <m:sty m:val="p"/>
                  </m:rPr>
                  <w:rPr>
                    <w:rFonts w:ascii="Cambria Math" w:hAnsi="Cambria Math"/>
                  </w:rPr>
                  <m:t>±</m:t>
                </m:r>
                <m:r>
                  <w:rPr>
                    <w:rFonts w:ascii="Cambria Math" w:hAnsi="Cambria Math"/>
                  </w:rPr>
                  <m:t>0.008</m:t>
                </m:r>
              </m:oMath>
            </m:oMathPara>
          </w:p>
        </w:tc>
        <w:tc>
          <w:tcPr>
            <w:tcW w:w="2664" w:type="dxa"/>
            <w:shd w:val="clear" w:color="auto" w:fill="FFFFFF"/>
            <w:tcMar>
              <w:top w:w="80" w:type="dxa"/>
              <w:left w:w="85" w:type="dxa"/>
              <w:bottom w:w="80" w:type="dxa"/>
              <w:right w:w="85" w:type="dxa"/>
            </w:tcMar>
            <w:vAlign w:val="center"/>
          </w:tcPr>
          <w:p w14:paraId="4D59918C" w14:textId="77777777" w:rsidR="00D84A52" w:rsidRDefault="00000000">
            <w:pPr>
              <w:keepNext/>
              <w:keepLines/>
              <w:spacing w:after="0" w:line="247" w:lineRule="auto"/>
              <w:jc w:val="right"/>
              <w:rPr>
                <w:rFonts w:hint="eastAsia"/>
              </w:rPr>
            </w:pPr>
            <m:oMathPara>
              <m:oMath>
                <m:r>
                  <w:rPr>
                    <w:rFonts w:ascii="Cambria Math" w:hAnsi="Cambria Math"/>
                  </w:rPr>
                  <m:t>0.333</m:t>
                </m:r>
                <m:r>
                  <m:rPr>
                    <m:sty m:val="p"/>
                  </m:rPr>
                  <w:rPr>
                    <w:rFonts w:ascii="Cambria Math" w:hAnsi="Cambria Math"/>
                  </w:rPr>
                  <m:t>±</m:t>
                </m:r>
                <m:r>
                  <w:rPr>
                    <w:rFonts w:ascii="Cambria Math" w:hAnsi="Cambria Math"/>
                  </w:rPr>
                  <m:t>0.047</m:t>
                </m:r>
              </m:oMath>
            </m:oMathPara>
          </w:p>
        </w:tc>
      </w:tr>
      <w:tr w:rsidR="00D84A52" w14:paraId="25AB79B2" w14:textId="77777777">
        <w:trPr>
          <w:cantSplit/>
          <w:jc w:val="center"/>
        </w:trPr>
        <w:tc>
          <w:tcPr>
            <w:tcW w:w="4608" w:type="dxa"/>
            <w:shd w:val="clear" w:color="auto" w:fill="FFFFFF"/>
            <w:tcMar>
              <w:top w:w="80" w:type="dxa"/>
              <w:left w:w="85" w:type="dxa"/>
              <w:bottom w:w="80" w:type="dxa"/>
              <w:right w:w="85" w:type="dxa"/>
            </w:tcMar>
            <w:vAlign w:val="center"/>
          </w:tcPr>
          <w:p w14:paraId="08B665C5" w14:textId="77777777" w:rsidR="00D84A52" w:rsidRDefault="00000000">
            <w:pPr>
              <w:keepNext/>
              <w:keepLines/>
              <w:spacing w:after="0" w:line="247" w:lineRule="auto"/>
              <w:jc w:val="left"/>
              <w:rPr>
                <w:rFonts w:hint="eastAsia"/>
              </w:rPr>
            </w:pPr>
            <w:r>
              <w:rPr>
                <w:sz w:val="21"/>
              </w:rPr>
              <w:t>Chebyshev with moving min–max scales</w:t>
            </w:r>
          </w:p>
        </w:tc>
        <w:tc>
          <w:tcPr>
            <w:tcW w:w="2664" w:type="dxa"/>
            <w:shd w:val="clear" w:color="auto" w:fill="FFFFFF"/>
            <w:tcMar>
              <w:top w:w="80" w:type="dxa"/>
              <w:left w:w="85" w:type="dxa"/>
              <w:bottom w:w="80" w:type="dxa"/>
              <w:right w:w="85" w:type="dxa"/>
            </w:tcMar>
            <w:vAlign w:val="center"/>
          </w:tcPr>
          <w:p w14:paraId="586AE1CD" w14:textId="77777777" w:rsidR="00D84A52" w:rsidRDefault="00000000">
            <w:pPr>
              <w:keepNext/>
              <w:keepLines/>
              <w:spacing w:after="0" w:line="247" w:lineRule="auto"/>
              <w:jc w:val="right"/>
              <w:rPr>
                <w:rFonts w:hint="eastAsia"/>
              </w:rPr>
            </w:pPr>
            <m:oMathPara>
              <m:oMath>
                <m:r>
                  <w:rPr>
                    <w:rFonts w:ascii="Cambria Math" w:hAnsi="Cambria Math"/>
                  </w:rPr>
                  <m:t>0.262</m:t>
                </m:r>
                <m:r>
                  <m:rPr>
                    <m:sty m:val="p"/>
                  </m:rPr>
                  <w:rPr>
                    <w:rFonts w:ascii="Cambria Math" w:hAnsi="Cambria Math"/>
                  </w:rPr>
                  <m:t>±</m:t>
                </m:r>
                <m:r>
                  <w:rPr>
                    <w:rFonts w:ascii="Cambria Math" w:hAnsi="Cambria Math"/>
                  </w:rPr>
                  <m:t>0.019</m:t>
                </m:r>
              </m:oMath>
            </m:oMathPara>
          </w:p>
        </w:tc>
        <w:tc>
          <w:tcPr>
            <w:tcW w:w="2664" w:type="dxa"/>
            <w:shd w:val="clear" w:color="auto" w:fill="FFFFFF"/>
            <w:tcMar>
              <w:top w:w="80" w:type="dxa"/>
              <w:left w:w="85" w:type="dxa"/>
              <w:bottom w:w="80" w:type="dxa"/>
              <w:right w:w="85" w:type="dxa"/>
            </w:tcMar>
            <w:vAlign w:val="center"/>
          </w:tcPr>
          <w:p w14:paraId="17655646" w14:textId="77777777" w:rsidR="00D84A52" w:rsidRDefault="00000000">
            <w:pPr>
              <w:keepNext/>
              <w:keepLines/>
              <w:spacing w:after="0" w:line="247" w:lineRule="auto"/>
              <w:jc w:val="right"/>
              <w:rPr>
                <w:rFonts w:hint="eastAsia"/>
              </w:rPr>
            </w:pPr>
            <m:oMathPara>
              <m:oMath>
                <m:r>
                  <w:rPr>
                    <w:rFonts w:ascii="Cambria Math" w:hAnsi="Cambria Math"/>
                  </w:rPr>
                  <m:t>0.484</m:t>
                </m:r>
                <m:r>
                  <m:rPr>
                    <m:sty m:val="p"/>
                  </m:rPr>
                  <w:rPr>
                    <w:rFonts w:ascii="Cambria Math" w:hAnsi="Cambria Math"/>
                  </w:rPr>
                  <m:t>±</m:t>
                </m:r>
                <m:r>
                  <w:rPr>
                    <w:rFonts w:ascii="Cambria Math" w:hAnsi="Cambria Math"/>
                  </w:rPr>
                  <m:t>0.050</m:t>
                </m:r>
              </m:oMath>
            </m:oMathPara>
          </w:p>
        </w:tc>
      </w:tr>
      <w:tr w:rsidR="00D84A52" w14:paraId="2662573E" w14:textId="77777777">
        <w:trPr>
          <w:cantSplit/>
          <w:jc w:val="center"/>
        </w:trPr>
        <w:tc>
          <w:tcPr>
            <w:tcW w:w="4608" w:type="dxa"/>
            <w:shd w:val="clear" w:color="auto" w:fill="FFFFFF"/>
            <w:tcMar>
              <w:top w:w="80" w:type="dxa"/>
              <w:left w:w="85" w:type="dxa"/>
              <w:bottom w:w="80" w:type="dxa"/>
              <w:right w:w="85" w:type="dxa"/>
            </w:tcMar>
            <w:vAlign w:val="center"/>
          </w:tcPr>
          <w:p w14:paraId="3E687955" w14:textId="77777777" w:rsidR="00D84A52" w:rsidRDefault="00000000">
            <w:pPr>
              <w:keepNext/>
              <w:keepLines/>
              <w:spacing w:after="0" w:line="247" w:lineRule="auto"/>
              <w:jc w:val="left"/>
              <w:rPr>
                <w:rFonts w:hint="eastAsia"/>
              </w:rPr>
            </w:pPr>
            <w:r>
              <w:rPr>
                <w:sz w:val="21"/>
              </w:rPr>
              <w:t>Chebyshev with frozen scales</w:t>
            </w:r>
          </w:p>
        </w:tc>
        <w:tc>
          <w:tcPr>
            <w:tcW w:w="2664" w:type="dxa"/>
            <w:shd w:val="clear" w:color="auto" w:fill="FFFFFF"/>
            <w:tcMar>
              <w:top w:w="80" w:type="dxa"/>
              <w:left w:w="85" w:type="dxa"/>
              <w:bottom w:w="80" w:type="dxa"/>
              <w:right w:w="85" w:type="dxa"/>
            </w:tcMar>
            <w:vAlign w:val="center"/>
          </w:tcPr>
          <w:p w14:paraId="49037949" w14:textId="77777777" w:rsidR="00D84A52" w:rsidRDefault="00000000">
            <w:pPr>
              <w:keepNext/>
              <w:keepLines/>
              <w:spacing w:after="0" w:line="247" w:lineRule="auto"/>
              <w:jc w:val="right"/>
              <w:rPr>
                <w:rFonts w:hint="eastAsia"/>
              </w:rPr>
            </w:pPr>
            <m:oMathPara>
              <m:oMath>
                <m:r>
                  <w:rPr>
                    <w:rFonts w:ascii="Cambria Math" w:hAnsi="Cambria Math"/>
                  </w:rPr>
                  <m:t>0.102</m:t>
                </m:r>
                <m:r>
                  <m:rPr>
                    <m:sty m:val="p"/>
                  </m:rPr>
                  <w:rPr>
                    <w:rFonts w:ascii="Cambria Math" w:hAnsi="Cambria Math"/>
                  </w:rPr>
                  <m:t>±</m:t>
                </m:r>
                <m:r>
                  <w:rPr>
                    <w:rFonts w:ascii="Cambria Math" w:hAnsi="Cambria Math"/>
                  </w:rPr>
                  <m:t>0.003</m:t>
                </m:r>
              </m:oMath>
            </m:oMathPara>
          </w:p>
        </w:tc>
        <w:tc>
          <w:tcPr>
            <w:tcW w:w="2664" w:type="dxa"/>
            <w:shd w:val="clear" w:color="auto" w:fill="FFFFFF"/>
            <w:tcMar>
              <w:top w:w="80" w:type="dxa"/>
              <w:left w:w="85" w:type="dxa"/>
              <w:bottom w:w="80" w:type="dxa"/>
              <w:right w:w="85" w:type="dxa"/>
            </w:tcMar>
            <w:vAlign w:val="center"/>
          </w:tcPr>
          <w:p w14:paraId="2550C355" w14:textId="77777777" w:rsidR="00D84A52" w:rsidRDefault="00000000">
            <w:pPr>
              <w:keepNext/>
              <w:keepLines/>
              <w:spacing w:after="0" w:line="247" w:lineRule="auto"/>
              <w:jc w:val="right"/>
              <w:rPr>
                <w:rFonts w:hint="eastAsia"/>
              </w:rPr>
            </w:pPr>
            <m:oMathPara>
              <m:oMath>
                <m:r>
                  <w:rPr>
                    <w:rFonts w:ascii="Cambria Math" w:hAnsi="Cambria Math"/>
                  </w:rPr>
                  <m:t>0.118</m:t>
                </m:r>
                <m:r>
                  <m:rPr>
                    <m:sty m:val="p"/>
                  </m:rPr>
                  <w:rPr>
                    <w:rFonts w:ascii="Cambria Math" w:hAnsi="Cambria Math"/>
                  </w:rPr>
                  <m:t>±</m:t>
                </m:r>
                <m:r>
                  <w:rPr>
                    <w:rFonts w:ascii="Cambria Math" w:hAnsi="Cambria Math"/>
                  </w:rPr>
                  <m:t>0.007</m:t>
                </m:r>
              </m:oMath>
            </m:oMathPara>
          </w:p>
        </w:tc>
      </w:tr>
      <w:tr w:rsidR="00D84A52" w14:paraId="1F588738" w14:textId="77777777">
        <w:trPr>
          <w:cantSplit/>
          <w:jc w:val="center"/>
        </w:trPr>
        <w:tc>
          <w:tcPr>
            <w:tcW w:w="4608" w:type="dxa"/>
            <w:shd w:val="clear" w:color="auto" w:fill="FFFFFF"/>
            <w:tcMar>
              <w:top w:w="80" w:type="dxa"/>
              <w:left w:w="85" w:type="dxa"/>
              <w:bottom w:w="80" w:type="dxa"/>
              <w:right w:w="85" w:type="dxa"/>
            </w:tcMar>
            <w:vAlign w:val="center"/>
          </w:tcPr>
          <w:p w14:paraId="25B9A451" w14:textId="77777777" w:rsidR="00D84A52" w:rsidRDefault="00000000">
            <w:pPr>
              <w:keepNext/>
              <w:keepLines/>
              <w:spacing w:after="0" w:line="247" w:lineRule="auto"/>
              <w:jc w:val="left"/>
              <w:rPr>
                <w:rFonts w:hint="eastAsia"/>
              </w:rPr>
            </w:pPr>
            <w:r>
              <w:rPr>
                <w:sz w:val="21"/>
              </w:rPr>
              <w:t>Early fusion with frozen scales</w:t>
            </w:r>
          </w:p>
        </w:tc>
        <w:tc>
          <w:tcPr>
            <w:tcW w:w="2664" w:type="dxa"/>
            <w:shd w:val="clear" w:color="auto" w:fill="FFFFFF"/>
            <w:tcMar>
              <w:top w:w="80" w:type="dxa"/>
              <w:left w:w="85" w:type="dxa"/>
              <w:bottom w:w="80" w:type="dxa"/>
              <w:right w:w="85" w:type="dxa"/>
            </w:tcMar>
            <w:vAlign w:val="center"/>
          </w:tcPr>
          <w:p w14:paraId="5DE17324" w14:textId="77777777" w:rsidR="00D84A52" w:rsidRDefault="00000000">
            <w:pPr>
              <w:keepNext/>
              <w:keepLines/>
              <w:spacing w:after="0" w:line="247" w:lineRule="auto"/>
              <w:jc w:val="right"/>
              <w:rPr>
                <w:rFonts w:hint="eastAsia"/>
              </w:rPr>
            </w:pPr>
            <m:oMathPara>
              <m:oMath>
                <m:r>
                  <w:rPr>
                    <w:rFonts w:ascii="Cambria Math" w:hAnsi="Cambria Math"/>
                  </w:rPr>
                  <m:t>0.092</m:t>
                </m:r>
                <m:r>
                  <m:rPr>
                    <m:sty m:val="p"/>
                  </m:rPr>
                  <w:rPr>
                    <w:rFonts w:ascii="Cambria Math" w:hAnsi="Cambria Math"/>
                  </w:rPr>
                  <m:t>±</m:t>
                </m:r>
                <m:r>
                  <w:rPr>
                    <w:rFonts w:ascii="Cambria Math" w:hAnsi="Cambria Math"/>
                  </w:rPr>
                  <m:t>0.008</m:t>
                </m:r>
              </m:oMath>
            </m:oMathPara>
          </w:p>
        </w:tc>
        <w:tc>
          <w:tcPr>
            <w:tcW w:w="2664" w:type="dxa"/>
            <w:shd w:val="clear" w:color="auto" w:fill="FFFFFF"/>
            <w:tcMar>
              <w:top w:w="80" w:type="dxa"/>
              <w:left w:w="85" w:type="dxa"/>
              <w:bottom w:w="80" w:type="dxa"/>
              <w:right w:w="85" w:type="dxa"/>
            </w:tcMar>
            <w:vAlign w:val="center"/>
          </w:tcPr>
          <w:p w14:paraId="2D0B235E" w14:textId="77777777" w:rsidR="00D84A52" w:rsidRDefault="00000000">
            <w:pPr>
              <w:keepNext/>
              <w:keepLines/>
              <w:spacing w:after="0" w:line="247" w:lineRule="auto"/>
              <w:jc w:val="right"/>
              <w:rPr>
                <w:rFonts w:hint="eastAsia"/>
              </w:rPr>
            </w:pPr>
            <m:oMathPara>
              <m:oMath>
                <m:r>
                  <w:rPr>
                    <w:rFonts w:ascii="Cambria Math" w:hAnsi="Cambria Math"/>
                  </w:rPr>
                  <m:t>0.126</m:t>
                </m:r>
                <m:r>
                  <m:rPr>
                    <m:sty m:val="p"/>
                  </m:rPr>
                  <w:rPr>
                    <w:rFonts w:ascii="Cambria Math" w:hAnsi="Cambria Math"/>
                  </w:rPr>
                  <m:t>±</m:t>
                </m:r>
                <m:r>
                  <w:rPr>
                    <w:rFonts w:ascii="Cambria Math" w:hAnsi="Cambria Math"/>
                  </w:rPr>
                  <m:t>0.010</m:t>
                </m:r>
              </m:oMath>
            </m:oMathPara>
          </w:p>
        </w:tc>
      </w:tr>
      <w:tr w:rsidR="00D84A52" w14:paraId="7E9FB9CA" w14:textId="77777777">
        <w:trPr>
          <w:cantSplit/>
          <w:jc w:val="center"/>
        </w:trPr>
        <w:tc>
          <w:tcPr>
            <w:tcW w:w="4608" w:type="dxa"/>
            <w:shd w:val="clear" w:color="auto" w:fill="FFFFFF"/>
            <w:tcMar>
              <w:top w:w="80" w:type="dxa"/>
              <w:left w:w="85" w:type="dxa"/>
              <w:bottom w:w="80" w:type="dxa"/>
              <w:right w:w="85" w:type="dxa"/>
            </w:tcMar>
            <w:vAlign w:val="center"/>
          </w:tcPr>
          <w:p w14:paraId="2248406B" w14:textId="77777777" w:rsidR="00D84A52" w:rsidRDefault="00000000">
            <w:pPr>
              <w:keepNext/>
              <w:keepLines/>
              <w:spacing w:after="0" w:line="247" w:lineRule="auto"/>
              <w:jc w:val="left"/>
              <w:rPr>
                <w:rFonts w:hint="eastAsia"/>
              </w:rPr>
            </w:pPr>
            <w:r>
              <w:rPr>
                <w:sz w:val="21"/>
              </w:rPr>
              <w:t>Dominance rank</w:t>
            </w:r>
          </w:p>
        </w:tc>
        <w:tc>
          <w:tcPr>
            <w:tcW w:w="2664" w:type="dxa"/>
            <w:shd w:val="clear" w:color="auto" w:fill="FFFFFF"/>
            <w:tcMar>
              <w:top w:w="80" w:type="dxa"/>
              <w:left w:w="85" w:type="dxa"/>
              <w:bottom w:w="80" w:type="dxa"/>
              <w:right w:w="85" w:type="dxa"/>
            </w:tcMar>
            <w:vAlign w:val="center"/>
          </w:tcPr>
          <w:p w14:paraId="48DC10E1" w14:textId="77777777" w:rsidR="00D84A52" w:rsidRDefault="00000000">
            <w:pPr>
              <w:keepNext/>
              <w:keepLines/>
              <w:spacing w:after="0" w:line="247" w:lineRule="auto"/>
              <w:jc w:val="right"/>
              <w:rPr>
                <w:rFonts w:hint="eastAsia"/>
              </w:rPr>
            </w:pPr>
            <m:oMathPara>
              <m:oMath>
                <m:r>
                  <w:rPr>
                    <w:rFonts w:ascii="Cambria Math" w:hAnsi="Cambria Math"/>
                  </w:rPr>
                  <m:t>0.119</m:t>
                </m:r>
                <m:r>
                  <m:rPr>
                    <m:sty m:val="p"/>
                  </m:rPr>
                  <w:rPr>
                    <w:rFonts w:ascii="Cambria Math" w:hAnsi="Cambria Math"/>
                  </w:rPr>
                  <m:t>±</m:t>
                </m:r>
                <m:r>
                  <w:rPr>
                    <w:rFonts w:ascii="Cambria Math" w:hAnsi="Cambria Math"/>
                  </w:rPr>
                  <m:t>0.012</m:t>
                </m:r>
              </m:oMath>
            </m:oMathPara>
          </w:p>
        </w:tc>
        <w:tc>
          <w:tcPr>
            <w:tcW w:w="2664" w:type="dxa"/>
            <w:shd w:val="clear" w:color="auto" w:fill="FFFFFF"/>
            <w:tcMar>
              <w:top w:w="80" w:type="dxa"/>
              <w:left w:w="85" w:type="dxa"/>
              <w:bottom w:w="80" w:type="dxa"/>
              <w:right w:w="85" w:type="dxa"/>
            </w:tcMar>
            <w:vAlign w:val="center"/>
          </w:tcPr>
          <w:p w14:paraId="3D805092" w14:textId="77777777" w:rsidR="00D84A52" w:rsidRDefault="00000000">
            <w:pPr>
              <w:keepNext/>
              <w:keepLines/>
              <w:spacing w:after="0" w:line="247" w:lineRule="auto"/>
              <w:jc w:val="right"/>
              <w:rPr>
                <w:rFonts w:hint="eastAsia"/>
              </w:rPr>
            </w:pPr>
            <m:oMathPara>
              <m:oMath>
                <m:r>
                  <w:rPr>
                    <w:rFonts w:ascii="Cambria Math" w:hAnsi="Cambria Math"/>
                  </w:rPr>
                  <m:t>0.250</m:t>
                </m:r>
                <m:r>
                  <m:rPr>
                    <m:sty m:val="p"/>
                  </m:rPr>
                  <w:rPr>
                    <w:rFonts w:ascii="Cambria Math" w:hAnsi="Cambria Math"/>
                  </w:rPr>
                  <m:t>±</m:t>
                </m:r>
                <m:r>
                  <w:rPr>
                    <w:rFonts w:ascii="Cambria Math" w:hAnsi="Cambria Math"/>
                  </w:rPr>
                  <m:t>0.036</m:t>
                </m:r>
              </m:oMath>
            </m:oMathPara>
          </w:p>
        </w:tc>
      </w:tr>
      <w:tr w:rsidR="00D84A52" w14:paraId="25567B0B" w14:textId="77777777">
        <w:trPr>
          <w:cantSplit/>
          <w:jc w:val="center"/>
        </w:trPr>
        <w:tc>
          <w:tcPr>
            <w:tcW w:w="4608" w:type="dxa"/>
            <w:shd w:val="clear" w:color="auto" w:fill="FFFFFF"/>
            <w:tcMar>
              <w:top w:w="80" w:type="dxa"/>
              <w:left w:w="85" w:type="dxa"/>
              <w:bottom w:w="80" w:type="dxa"/>
              <w:right w:w="85" w:type="dxa"/>
            </w:tcMar>
            <w:vAlign w:val="center"/>
          </w:tcPr>
          <w:p w14:paraId="50A788E5" w14:textId="77777777" w:rsidR="00D84A52" w:rsidRDefault="00000000">
            <w:pPr>
              <w:keepNext/>
              <w:keepLines/>
              <w:spacing w:after="0" w:line="247" w:lineRule="auto"/>
              <w:jc w:val="left"/>
              <w:rPr>
                <w:rFonts w:hint="eastAsia"/>
              </w:rPr>
            </w:pPr>
            <w:r>
              <w:rPr>
                <w:sz w:val="21"/>
              </w:rPr>
              <w:t>Reimplemented NSGA-II</w:t>
            </w:r>
          </w:p>
        </w:tc>
        <w:tc>
          <w:tcPr>
            <w:tcW w:w="2664" w:type="dxa"/>
            <w:shd w:val="clear" w:color="auto" w:fill="FFFFFF"/>
            <w:tcMar>
              <w:top w:w="80" w:type="dxa"/>
              <w:left w:w="85" w:type="dxa"/>
              <w:bottom w:w="80" w:type="dxa"/>
              <w:right w:w="85" w:type="dxa"/>
            </w:tcMar>
            <w:vAlign w:val="center"/>
          </w:tcPr>
          <w:p w14:paraId="463BA59D" w14:textId="77777777" w:rsidR="00D84A52" w:rsidRDefault="00000000">
            <w:pPr>
              <w:keepNext/>
              <w:keepLines/>
              <w:spacing w:after="0" w:line="247" w:lineRule="auto"/>
              <w:jc w:val="right"/>
              <w:rPr>
                <w:rFonts w:hint="eastAsia"/>
              </w:rPr>
            </w:pPr>
            <m:oMathPara>
              <m:oMath>
                <m:r>
                  <w:rPr>
                    <w:rFonts w:ascii="Cambria Math" w:hAnsi="Cambria Math"/>
                  </w:rPr>
                  <m:t>0.225</m:t>
                </m:r>
                <m:r>
                  <m:rPr>
                    <m:sty m:val="p"/>
                  </m:rPr>
                  <w:rPr>
                    <w:rFonts w:ascii="Cambria Math" w:hAnsi="Cambria Math"/>
                  </w:rPr>
                  <m:t>±</m:t>
                </m:r>
                <m:r>
                  <w:rPr>
                    <w:rFonts w:ascii="Cambria Math" w:hAnsi="Cambria Math"/>
                  </w:rPr>
                  <m:t>0.036</m:t>
                </m:r>
              </m:oMath>
            </m:oMathPara>
          </w:p>
        </w:tc>
        <w:tc>
          <w:tcPr>
            <w:tcW w:w="2664" w:type="dxa"/>
            <w:shd w:val="clear" w:color="auto" w:fill="FFFFFF"/>
            <w:tcMar>
              <w:top w:w="80" w:type="dxa"/>
              <w:left w:w="85" w:type="dxa"/>
              <w:bottom w:w="80" w:type="dxa"/>
              <w:right w:w="85" w:type="dxa"/>
            </w:tcMar>
            <w:vAlign w:val="center"/>
          </w:tcPr>
          <w:p w14:paraId="794D4B81" w14:textId="77777777" w:rsidR="00D84A52" w:rsidRDefault="00000000">
            <w:pPr>
              <w:keepNext/>
              <w:keepLines/>
              <w:spacing w:after="0" w:line="247" w:lineRule="auto"/>
              <w:jc w:val="right"/>
              <w:rPr>
                <w:rFonts w:hint="eastAsia"/>
              </w:rPr>
            </w:pPr>
            <m:oMathPara>
              <m:oMath>
                <m:r>
                  <w:rPr>
                    <w:rFonts w:ascii="Cambria Math" w:hAnsi="Cambria Math"/>
                  </w:rPr>
                  <m:t>0.344</m:t>
                </m:r>
                <m:r>
                  <m:rPr>
                    <m:sty m:val="p"/>
                  </m:rPr>
                  <w:rPr>
                    <w:rFonts w:ascii="Cambria Math" w:hAnsi="Cambria Math"/>
                  </w:rPr>
                  <m:t>±</m:t>
                </m:r>
                <m:r>
                  <w:rPr>
                    <w:rFonts w:ascii="Cambria Math" w:hAnsi="Cambria Math"/>
                  </w:rPr>
                  <m:t>0.064</m:t>
                </m:r>
              </m:oMath>
            </m:oMathPara>
          </w:p>
        </w:tc>
      </w:tr>
      <w:tr w:rsidR="00D84A52" w14:paraId="71A97189" w14:textId="77777777">
        <w:trPr>
          <w:cantSplit/>
          <w:jc w:val="center"/>
        </w:trPr>
        <w:tc>
          <w:tcPr>
            <w:tcW w:w="4608" w:type="dxa"/>
            <w:shd w:val="clear" w:color="auto" w:fill="FFFFFF"/>
            <w:tcMar>
              <w:top w:w="80" w:type="dxa"/>
              <w:left w:w="85" w:type="dxa"/>
              <w:bottom w:w="80" w:type="dxa"/>
              <w:right w:w="85" w:type="dxa"/>
            </w:tcMar>
            <w:vAlign w:val="center"/>
          </w:tcPr>
          <w:p w14:paraId="01BB0D1F" w14:textId="77777777" w:rsidR="00D84A52" w:rsidRDefault="00000000">
            <w:pPr>
              <w:keepLines/>
              <w:spacing w:after="0" w:line="247" w:lineRule="auto"/>
              <w:jc w:val="left"/>
              <w:rPr>
                <w:rFonts w:hint="eastAsia"/>
              </w:rPr>
            </w:pPr>
            <w:r>
              <w:rPr>
                <w:sz w:val="21"/>
              </w:rPr>
              <w:t>Random search</w:t>
            </w:r>
          </w:p>
        </w:tc>
        <w:tc>
          <w:tcPr>
            <w:tcW w:w="2664" w:type="dxa"/>
            <w:shd w:val="clear" w:color="auto" w:fill="FFFFFF"/>
            <w:tcMar>
              <w:top w:w="80" w:type="dxa"/>
              <w:left w:w="85" w:type="dxa"/>
              <w:bottom w:w="80" w:type="dxa"/>
              <w:right w:w="85" w:type="dxa"/>
            </w:tcMar>
            <w:vAlign w:val="center"/>
          </w:tcPr>
          <w:p w14:paraId="7FF3139B" w14:textId="77777777" w:rsidR="00D84A52" w:rsidRDefault="00000000">
            <w:pPr>
              <w:keepLines/>
              <w:spacing w:after="0" w:line="247" w:lineRule="auto"/>
              <w:jc w:val="right"/>
              <w:rPr>
                <w:rFonts w:hint="eastAsia"/>
              </w:rPr>
            </w:pPr>
            <m:oMathPara>
              <m:oMath>
                <m:r>
                  <w:rPr>
                    <w:rFonts w:ascii="Cambria Math" w:hAnsi="Cambria Math"/>
                  </w:rPr>
                  <m:t>0.290</m:t>
                </m:r>
                <m:r>
                  <m:rPr>
                    <m:sty m:val="p"/>
                  </m:rPr>
                  <w:rPr>
                    <w:rFonts w:ascii="Cambria Math" w:hAnsi="Cambria Math"/>
                  </w:rPr>
                  <m:t>±</m:t>
                </m:r>
                <m:r>
                  <w:rPr>
                    <w:rFonts w:ascii="Cambria Math" w:hAnsi="Cambria Math"/>
                  </w:rPr>
                  <m:t>0.013</m:t>
                </m:r>
              </m:oMath>
            </m:oMathPara>
          </w:p>
        </w:tc>
        <w:tc>
          <w:tcPr>
            <w:tcW w:w="2664" w:type="dxa"/>
            <w:shd w:val="clear" w:color="auto" w:fill="FFFFFF"/>
            <w:tcMar>
              <w:top w:w="80" w:type="dxa"/>
              <w:left w:w="85" w:type="dxa"/>
              <w:bottom w:w="80" w:type="dxa"/>
              <w:right w:w="85" w:type="dxa"/>
            </w:tcMar>
            <w:vAlign w:val="center"/>
          </w:tcPr>
          <w:p w14:paraId="2B442E1A" w14:textId="77777777" w:rsidR="00D84A52" w:rsidRDefault="00000000">
            <w:pPr>
              <w:keepLines/>
              <w:spacing w:after="0" w:line="247" w:lineRule="auto"/>
              <w:jc w:val="right"/>
              <w:rPr>
                <w:rFonts w:hint="eastAsia"/>
              </w:rPr>
            </w:pPr>
            <m:oMathPara>
              <m:oMath>
                <m:r>
                  <w:rPr>
                    <w:rFonts w:ascii="Cambria Math" w:hAnsi="Cambria Math"/>
                  </w:rPr>
                  <m:t>0.485</m:t>
                </m:r>
                <m:r>
                  <m:rPr>
                    <m:sty m:val="p"/>
                  </m:rPr>
                  <w:rPr>
                    <w:rFonts w:ascii="Cambria Math" w:hAnsi="Cambria Math"/>
                  </w:rPr>
                  <m:t>±</m:t>
                </m:r>
                <m:r>
                  <w:rPr>
                    <w:rFonts w:ascii="Cambria Math" w:hAnsi="Cambria Math"/>
                  </w:rPr>
                  <m:t>0.026</m:t>
                </m:r>
              </m:oMath>
            </m:oMathPara>
          </w:p>
        </w:tc>
      </w:tr>
    </w:tbl>
    <w:p w14:paraId="0C7589A9" w14:textId="77777777" w:rsidR="00D84A52" w:rsidRDefault="00000000">
      <w:pPr>
        <w:pStyle w:val="BodyText"/>
        <w:spacing w:before="140"/>
        <w:rPr>
          <w:rFonts w:hint="eastAsia"/>
        </w:rPr>
      </w:pPr>
      <w:r>
        <w:t xml:space="preserve">The frozen Chebyshev variant uses scales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and reference </w:t>
      </w:r>
      <m:oMath>
        <m:d>
          <m:dPr>
            <m:ctrlPr>
              <w:rPr>
                <w:rFonts w:ascii="Cambria Math" w:hAnsi="Cambria Math"/>
              </w:rPr>
            </m:ctrlPr>
          </m:dPr>
          <m:e>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0.05</m:t>
            </m:r>
          </m:e>
        </m:d>
      </m:oMath>
      <w:r>
        <w:t>. The gated late-fusion row retains moving min–max scales, so it should not be compared as if only its gate differs from a frozen-target method. NSGA-II was reimplemented and untuned for this budget. The table motivates calibration and controlled experiments; it does not establish general superiority of ADE over established multi-objective algorithms.</w:t>
      </w:r>
    </w:p>
    <w:p w14:paraId="142ED9A9" w14:textId="77777777" w:rsidR="00D84A52" w:rsidRDefault="00000000">
      <w:pPr>
        <w:pStyle w:val="BodyText"/>
        <w:rPr>
          <w:rFonts w:hint="eastAsia"/>
        </w:rPr>
      </w:pPr>
      <w:r>
        <w:t>The earlier schedule comparison reports dominance IGD of 0.172 and 0.367 with 71 fully evaluated candidates, versus 0.119 and 0.250 with 230 dyadically evaluated candidates. Those runs consume 1,186 and 1,200 evaluations respectively, according to (14). Output-only evaluation permits 1,150 candidates but reports worse search quality. This is evidence about that implementation and budget, not a theorem favoring one schedule.</w:t>
      </w:r>
    </w:p>
    <w:p w14:paraId="6460E3E3" w14:textId="77777777" w:rsidR="00D84A52" w:rsidRDefault="00000000">
      <w:pPr>
        <w:pStyle w:val="BodyText"/>
        <w:rPr>
          <w:rFonts w:hint="eastAsia"/>
        </w:rPr>
      </w:pPr>
      <w:r>
        <w:t xml:space="preserve">Earlier transfer summaries are also informative. At 400 target evaluations, a ZDT1-to-ZDT2 prompt reports IGD </w:t>
      </w:r>
      <m:oMath>
        <m:r>
          <w:rPr>
            <w:rFonts w:ascii="Cambria Math" w:hAnsi="Cambria Math"/>
          </w:rPr>
          <m:t>0.150</m:t>
        </m:r>
        <m:r>
          <m:rPr>
            <m:sty m:val="p"/>
          </m:rPr>
          <w:rPr>
            <w:rFonts w:ascii="Cambria Math" w:hAnsi="Cambria Math"/>
          </w:rPr>
          <m:t>±</m:t>
        </m:r>
        <m:r>
          <w:rPr>
            <w:rFonts w:ascii="Cambria Math" w:hAnsi="Cambria Math"/>
          </w:rPr>
          <m:t>0.017</m:t>
        </m:r>
      </m:oMath>
      <w:r>
        <w:t xml:space="preserve"> versus </w:t>
      </w:r>
      <m:oMath>
        <m:r>
          <w:rPr>
            <w:rFonts w:ascii="Cambria Math" w:hAnsi="Cambria Math"/>
          </w:rPr>
          <m:t>0.590</m:t>
        </m:r>
        <m:r>
          <m:rPr>
            <m:sty m:val="p"/>
          </m:rPr>
          <w:rPr>
            <w:rFonts w:ascii="Cambria Math" w:hAnsi="Cambria Math"/>
          </w:rPr>
          <m:t>±</m:t>
        </m:r>
        <m:r>
          <w:rPr>
            <w:rFonts w:ascii="Cambria Math" w:hAnsi="Cambria Math"/>
          </w:rPr>
          <m:t>0.076</m:t>
        </m:r>
      </m:oMath>
      <w:r>
        <w:t xml:space="preserve"> for a random prompt. For a shifted target with its active convergence variables centered at 0.7, the transferred prompt reports </w:t>
      </w:r>
      <m:oMath>
        <m:r>
          <w:rPr>
            <w:rFonts w:ascii="Cambria Math" w:hAnsi="Cambria Math"/>
          </w:rPr>
          <m:t>0.416</m:t>
        </m:r>
        <m:r>
          <m:rPr>
            <m:sty m:val="p"/>
          </m:rPr>
          <w:rPr>
            <w:rFonts w:ascii="Cambria Math" w:hAnsi="Cambria Math"/>
          </w:rPr>
          <m:t>±</m:t>
        </m:r>
        <m:r>
          <w:rPr>
            <w:rFonts w:ascii="Cambria Math" w:hAnsi="Cambria Math"/>
          </w:rPr>
          <m:t>0.063</m:t>
        </m:r>
      </m:oMath>
      <w:r>
        <w:t xml:space="preserve"> versus </w:t>
      </w:r>
      <m:oMath>
        <m:r>
          <w:rPr>
            <w:rFonts w:ascii="Cambria Math" w:hAnsi="Cambria Math"/>
          </w:rPr>
          <m:t>0.243</m:t>
        </m:r>
        <m:r>
          <m:rPr>
            <m:sty m:val="p"/>
          </m:rPr>
          <w:rPr>
            <w:rFonts w:ascii="Cambria Math" w:hAnsi="Cambria Math"/>
          </w:rPr>
          <m:t>±</m:t>
        </m:r>
        <m:r>
          <w:rPr>
            <w:rFonts w:ascii="Cambria Math" w:hAnsi="Cambria Math"/>
          </w:rPr>
          <m:t>0.031</m:t>
        </m:r>
      </m:oMath>
      <w:r>
        <w:t>. The latter illustrates why target coverage and re-evaluation matter. A common source family does not itself guarantee useful transfer.</w:t>
      </w:r>
    </w:p>
    <w:p>
      <w:pPr>
        <w:pStyle w:val="Heading2"/>
      </w:pPr>
      <w:r>
        <w:t xml:space="preserve">9.4 Validated interval computation in C#</w:t>
      </w:r>
    </w:p>
    <w:p>
      <w:pPr>
        <w:pStyle w:val="FirstParagraph"/>
      </w:pPr>
      <w:r>
        <w:t xml:space="preserve">This revision adds a newly compiled C# implementation with validated interval arithmetic (Appendix C). Every interval operation rounds its lower endpoint down and its upper endpoint up by one unit in the last place after each correctly rounded IEEE 754 addition, subtraction, multiplication, division and square root. The exponential is widened by four units in the last place. This is a stated assumption about the platform library, not a proved property. Under that assumption, each interval below contains the exact real value it encloses. Floating-point values outside such enclosures are diagnostics. Symbolic statements were checked with SymPy 1.14.0 and mpmath 1.3.0.</w:t>
      </w:r>
    </w:p>
    <w:p>
      <w:pPr>
        <w:pStyle w:val="BodyText"/>
      </w:pPr>
      <w:r>
        <w:t xml:space="preserve">SymPy confirms the exact values behind the arithmetic in Sections 3–8. The scale example has</w:t>
      </w:r>
      <w:r>
        <w:t xml:space="preserve"> </w:t>
      </w:r>
      <m:oMath>
        <m:r>
          <w:rPr>
            <w:rFonts w:ascii="Cambria Math" w:hAnsi="Cambria Math"/>
          </w:rPr>
          <m:t>λ</m:t>
        </m:r>
        <m:r>
          <m:rPr>
            <m:sty m:val="p"/>
          </m:rPr>
          <w:rPr>
            <w:rFonts w:ascii="Cambria Math" w:hAnsi="Cambria Math"/>
          </w:rPr>
          <m:t>′</m:t>
        </m:r>
        <m:r>
          <m:rPr>
            <m:sty m:val="p"/>
          </m:rPr>
          <w:rPr>
            <w:rFonts w:ascii="Cambria Math" w:hAnsi="Cambria Math"/>
          </w:rPr>
          <m:t>=</m:t>
        </m:r>
        <m:d>
          <m:dPr>
            <m:begChr m:val="("/>
            <m:sepChr m:val=""/>
            <m:endChr m:val=")"/>
            <m:grow/>
          </m:dPr>
          <m:e>
            <m:r>
              <w:rPr>
                <w:rFonts w:ascii="Cambria Math" w:hAnsi="Cambria Math"/>
              </w:rPr>
              <m:t>41</m:t>
            </m:r>
            <m:r>
              <m:rPr>
                <m:sty m:val="p"/>
              </m:rPr>
              <w:rPr>
                <w:rFonts w:ascii="Cambria Math" w:hAnsi="Cambria Math"/>
              </w:rPr>
              <m:t>/</m:t>
            </m:r>
            <m:r>
              <w:rPr>
                <w:rFonts w:ascii="Cambria Math" w:hAnsi="Cambria Math"/>
              </w:rPr>
              <m:t>46</m:t>
            </m:r>
            <m:r>
              <m:rPr>
                <m:sty m:val="p"/>
              </m:rPr>
              <w:rPr>
                <w:rFonts w:ascii="Cambria Math" w:hAnsi="Cambria Math"/>
              </w:rPr>
              <m:t>,</m:t>
            </m:r>
            <m:r>
              <w:rPr>
                <w:rFonts w:ascii="Cambria Math" w:hAnsi="Cambria Math"/>
              </w:rPr>
              <m:t> </m:t>
            </m:r>
            <m:r>
              <w:rPr>
                <w:rFonts w:ascii="Cambria Math" w:hAnsi="Cambria Math"/>
              </w:rPr>
              <m:t>5</m:t>
            </m:r>
            <m:r>
              <m:rPr>
                <m:sty m:val="p"/>
              </m:rPr>
              <w:rPr>
                <w:rFonts w:ascii="Cambria Math" w:hAnsi="Cambria Math"/>
              </w:rPr>
              <m:t>/</m:t>
            </m:r>
            <m:r>
              <w:rPr>
                <w:rFonts w:ascii="Cambria Math" w:hAnsi="Cambria Math"/>
              </w:rPr>
              <m:t>46</m:t>
            </m:r>
          </m:e>
        </m:d>
      </m:oMath>
      <w:r>
        <w:t xml:space="preserve"> </w:t>
      </w:r>
      <w:r>
        <w:t xml:space="preserve">and</w:t>
      </w:r>
      <w:r>
        <w:t xml:space="preserve"> </w:t>
      </w:r>
      <m:oMath>
        <m:r>
          <w:rPr>
            <w:rFonts w:ascii="Cambria Math" w:hAnsi="Cambria Math"/>
          </w:rPr>
          <m:t>C</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41</m:t>
        </m:r>
      </m:oMath>
      <w:r>
        <w:t xml:space="preserve">. The six vectors of Section 5.1 have ranks</w:t>
      </w:r>
      <w:r>
        <w:t xml:space="preserve"> </w:t>
      </w:r>
      <m:oMath>
        <m:d>
          <m:dPr>
            <m:begChr m:val="("/>
            <m:sepChr m:val=""/>
            <m:endChr m:val=")"/>
            <m:grow/>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with rectangle sums 3 and 2. The finite check of (12) gives outside mass</w:t>
      </w:r>
      <w:r>
        <w:t xml:space="preserve"> </w:t>
      </w:r>
      <m:oMath>
        <m:r>
          <w:rPr>
            <w:rFonts w:ascii="Cambria Math" w:hAnsi="Cambria Math"/>
          </w:rPr>
          <m:t>6.81004</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5</m:t>
            </m:r>
          </m:sup>
        </m:sSup>
      </m:oMath>
      <w:r>
        <w:t xml:space="preserve"> </w:t>
      </w:r>
      <w:r>
        <w:t xml:space="preserve">against the bound</w:t>
      </w:r>
      <w:r>
        <w:t xml:space="preserve"> </w:t>
      </w:r>
      <m:oMath>
        <m:r>
          <w:rPr>
            <w:rFonts w:ascii="Cambria Math" w:hAnsi="Cambria Math"/>
          </w:rPr>
          <m:t>2.27000</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The pruned IGD is</w:t>
      </w:r>
      <w:r>
        <w:t xml:space="preserve"> </w:t>
      </w:r>
      <m:oMath>
        <m:rad>
          <m:radPr>
            <m:degHide m:val="on"/>
          </m:radPr>
          <m:deg/>
          <m:e>
            <m:r>
              <w:rPr>
                <w:rFonts w:ascii="Cambria Math" w:hAnsi="Cambria Math"/>
              </w:rPr>
              <m:t>1</m:t>
            </m:r>
            <m:r>
              <m:rPr>
                <m:sty m:val="p"/>
              </m:rPr>
              <w:rPr>
                <w:rFonts w:ascii="Cambria Math" w:hAnsi="Cambria Math"/>
              </w:rPr>
              <m:t>+</m:t>
            </m:r>
            <m:sSup>
              <m:e>
                <m:r>
                  <w:rPr>
                    <w:rFonts w:ascii="Cambria Math" w:hAnsi="Cambria Math"/>
                  </w:rPr>
                  <m:t>0.05</m:t>
                </m:r>
              </m:e>
              <m:sup>
                <m:r>
                  <w:rPr>
                    <w:rFonts w:ascii="Cambria Math" w:hAnsi="Cambria Math"/>
                  </w:rPr>
                  <m:t>2</m:t>
                </m:r>
              </m:sup>
            </m:sSup>
          </m:e>
        </m:rad>
        <m:r>
          <m:rPr>
            <m:sty m:val="p"/>
          </m:rPr>
          <w:rPr>
            <w:rFonts w:ascii="Cambria Math" w:hAnsi="Cambria Math"/>
          </w:rPr>
          <m:t>=</m:t>
        </m:r>
        <m:r>
          <w:rPr>
            <w:rFonts w:ascii="Cambria Math" w:hAnsi="Cambria Math"/>
          </w:rPr>
          <m:t>1.001249220</m:t>
        </m:r>
      </m:oMath>
      <w:r>
        <w:t xml:space="preserve">. Equation (14) gives 1,200, 1,186 and 1,200 evaluations for the three reported schedules. The cosine schedule satisfies</w:t>
      </w:r>
      <w:r>
        <w:t xml:space="preserve"> </w:t>
      </w:r>
      <m:oMath>
        <m:r>
          <w:rPr>
            <w:rFonts w:ascii="Cambria Math" w:hAnsi="Cambria Math"/>
          </w:rPr>
          <m:t>1</m:t>
        </m:r>
        <m:r>
          <m:rPr>
            <m:sty m:val="p"/>
          </m:rPr>
          <w:rPr>
            <w:rFonts w:ascii="Cambria Math" w:hAnsi="Cambria Math"/>
          </w:rPr>
          <m:t>−</m:t>
        </m:r>
        <m:sSub>
          <m:e>
            <m:r>
              <w:rPr>
                <w:rFonts w:ascii="Cambria Math" w:hAnsi="Cambria Math"/>
              </w:rPr>
              <m:t>a</m:t>
            </m:r>
          </m:e>
          <m:sub>
            <m:r>
              <w:rPr>
                <w:rFonts w:ascii="Cambria Math" w:hAnsi="Cambria Math"/>
              </w:rPr>
              <m:t>t</m:t>
            </m:r>
          </m:sub>
        </m:sSub>
        <m:r>
          <m:rPr>
            <m:sty m:val="p"/>
          </m:rPr>
          <w:rPr>
            <w:rFonts w:ascii="Cambria Math" w:hAnsi="Cambria Math"/>
          </w:rPr>
          <m:t>=</m:t>
        </m:r>
        <m:sSup>
          <m:e>
            <m:r>
              <m:rPr>
                <m:sty m:val="p"/>
              </m:rPr>
              <w:rPr>
                <w:rFonts w:ascii="Cambria Math" w:hAnsi="Cambria Math"/>
              </w:rPr>
              <m:t>sin</m:t>
            </m:r>
          </m:e>
          <m:sup>
            <m:r>
              <w:rPr>
                <w:rFonts w:ascii="Cambria Math" w:hAnsi="Cambria Math"/>
              </w:rPr>
              <m:t>2</m:t>
            </m:r>
          </m:sup>
        </m:sSup>
        <m:d>
          <m:dPr>
            <m:begChr m:val="("/>
            <m:sepChr m:val=""/>
            <m:endChr m:val=")"/>
            <m:grow/>
          </m:dPr>
          <m:e>
            <m:r>
              <w:rPr>
                <w:rFonts w:ascii="Cambria Math" w:hAnsi="Cambria Math"/>
              </w:rPr>
              <m:t>π</m:t>
            </m:r>
            <m:r>
              <w:rPr>
                <w:rFonts w:ascii="Cambria Math" w:hAnsi="Cambria Math"/>
              </w:rPr>
              <m:t>t</m:t>
            </m:r>
            <m:r>
              <m:rPr>
                <m:sty m:val="p"/>
              </m:rPr>
              <w:rPr>
                <w:rFonts w:ascii="Cambria Math" w:hAnsi="Cambria Math"/>
              </w:rPr>
              <m:t>/</m:t>
            </m:r>
            <m:r>
              <w:rPr>
                <w:rFonts w:ascii="Cambria Math" w:hAnsi="Cambria Math"/>
              </w:rPr>
              <m:t>2</m:t>
            </m:r>
            <m:r>
              <w:rPr>
                <w:rFonts w:ascii="Cambria Math" w:hAnsi="Cambria Math"/>
              </w:rPr>
              <m:t>T</m:t>
            </m:r>
          </m:e>
        </m:d>
      </m:oMath>
      <w:r>
        <w:t xml:space="preserve"> </w:t>
      </w:r>
      <w:r>
        <w:t xml:space="preserve">exactly. The payload formula gives 113 bytes, 135,600 bytes and 805.7 MB.</w:t>
      </w:r>
    </w:p>
    <w:p>
      <w:pPr>
        <w:pStyle w:val="BodyText"/>
      </w:pPr>
      <w:r>
        <w:t xml:space="preserve">For the mixture gate of Section 9.1, the C# code encloses the closed-form evidences and conditional means. The gates are certified as</w:t>
      </w:r>
      <w:r>
        <w:t xml:space="preserve"> </w:t>
      </w:r>
      <m:oMath>
        <m:r>
          <w:rPr>
            <w:rFonts w:ascii="Cambria Math" w:hAnsi="Cambria Math"/>
          </w:rPr>
          <m:t>γ</m:t>
        </m:r>
        <m:r>
          <m:rPr>
            <m:sty m:val="p"/>
          </m:rPr>
          <w:rPr>
            <w:rFonts w:ascii="Cambria Math" w:hAnsi="Cambria Math"/>
          </w:rPr>
          <m:t>=</m:t>
        </m:r>
        <m:d>
          <m:dPr>
            <m:begChr m:val="("/>
            <m:sepChr m:val=""/>
            <m:endChr m:val=")"/>
            <m:grow/>
          </m:dPr>
          <m:e>
            <m:r>
              <w:rPr>
                <w:rFonts w:ascii="Cambria Math" w:hAnsi="Cambria Math"/>
              </w:rPr>
              <m:t>0.2837154719376</m:t>
            </m:r>
            <m:r>
              <m:rPr>
                <m:sty m:val="p"/>
              </m:rPr>
              <w:rPr>
                <w:rFonts w:ascii="Cambria Math" w:hAnsi="Cambria Math"/>
              </w:rPr>
              <m:t>,</m:t>
            </m:r>
            <m:r>
              <w:rPr>
                <w:rFonts w:ascii="Cambria Math" w:hAnsi="Cambria Math"/>
              </w:rPr>
              <m:t> </m:t>
            </m:r>
            <m:r>
              <w:rPr>
                <w:rFonts w:ascii="Cambria Math" w:hAnsi="Cambria Math"/>
              </w:rPr>
              <m:t>0.7162845280624</m:t>
            </m:r>
          </m:e>
        </m:d>
      </m:oMath>
      <w:r>
        <w:t xml:space="preserve">, each to within</w:t>
      </w:r>
      <w:r>
        <w:t xml:space="preserve"> </w:t>
      </w:r>
      <m:oMath>
        <m:r>
          <w:rPr>
            <w:rFonts w:ascii="Cambria Math" w:hAnsi="Cambria Math"/>
          </w:rPr>
          <m:t>3</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15</m:t>
            </m:r>
          </m:sup>
        </m:sSup>
      </m:oMath>
      <w:r>
        <w:t xml:space="preserve">. The gated mean lies in</w:t>
      </w:r>
      <w:r>
        <w:t xml:space="preserve"> </w:t>
      </w:r>
      <m:oMath>
        <m:d>
          <m:dPr>
            <m:begChr m:val="["/>
            <m:sepChr m:val=""/>
            <m:endChr m:val="]"/>
            <m:grow/>
          </m:dPr>
          <m:e>
            <m:r>
              <w:rPr>
                <w:rFonts w:ascii="Cambria Math" w:hAnsi="Cambria Math"/>
              </w:rPr>
              <m:t>0.35002427071052</m:t>
            </m:r>
            <m:r>
              <m:rPr>
                <m:sty m:val="p"/>
              </m:rPr>
              <w:rPr>
                <w:rFonts w:ascii="Cambria Math" w:hAnsi="Cambria Math"/>
              </w:rPr>
              <m:t>,</m:t>
            </m:r>
            <m:r>
              <w:rPr>
                <w:rFonts w:ascii="Cambria Math" w:hAnsi="Cambria Math"/>
              </w:rPr>
              <m:t> </m:t>
            </m:r>
            <m:r>
              <w:rPr>
                <w:rFonts w:ascii="Cambria Math" w:hAnsi="Cambria Math"/>
              </w:rPr>
              <m:t>0.35002427071054</m:t>
            </m:r>
          </m:e>
        </m:d>
      </m:oMath>
      <w:r>
        <w:t xml:space="preserve"> </w:t>
      </w:r>
      <w:r>
        <w:t xml:space="preserve">and the fixed-gate mean in</w:t>
      </w:r>
      <w:r>
        <w:t xml:space="preserve"> </w:t>
      </w:r>
      <m:oMath>
        <m:d>
          <m:dPr>
            <m:begChr m:val="["/>
            <m:sepChr m:val=""/>
            <m:endChr m:val="]"/>
            <m:grow/>
          </m:dPr>
          <m:e>
            <m:r>
              <m:rPr>
                <m:sty m:val="p"/>
              </m:rPr>
              <w:rPr>
                <w:rFonts w:ascii="Cambria Math" w:hAnsi="Cambria Math"/>
              </w:rPr>
              <m:t>−</m:t>
            </m:r>
            <m:r>
              <w:rPr>
                <w:rFonts w:ascii="Cambria Math" w:hAnsi="Cambria Math"/>
              </w:rPr>
              <m:t>0.03510753810491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0.03510753810490</m:t>
            </m:r>
          </m:e>
        </m:d>
      </m:oMath>
      <w:r>
        <w:t xml:space="preserve">. SymPy integrates the mixture numerator and denominator symbolically over the whole real line and obtains the same value to 20 digits. The truncation to</w:t>
      </w:r>
      <w:r>
        <w:t xml:space="preserve"> </w:t>
      </w:r>
      <m:oMath>
        <m:d>
          <m:dPr>
            <m:begChr m:val="["/>
            <m:sepChr m:val=""/>
            <m:endChr m:val="]"/>
            <m:grow/>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oMath>
      <w:r>
        <w:t xml:space="preserve"> </w:t>
      </w:r>
      <w:r>
        <w:t xml:space="preserve">in Section 9.1 is therefore immaterial at the reported precision.</w:t>
      </w:r>
    </w:p>
    <w:p>
      <w:pPr>
        <w:pStyle w:val="BodyText"/>
      </w:pPr>
      <w:r>
        <w:t xml:space="preserve">Interval branch and bound then certifies the minimizers of the scalarizations on the concave front</w:t>
      </w:r>
      <w:r>
        <w:t xml:space="preserve"> </w:t>
      </w:r>
      <m:oMath>
        <m:d>
          <m:dPr>
            <m:begChr m:val="("/>
            <m:sepChr m:val=""/>
            <m:endChr m:val=")"/>
            <m:grow/>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e>
                <m:r>
                  <w:rPr>
                    <w:rFonts w:ascii="Cambria Math" w:hAnsi="Cambria Math"/>
                  </w:rPr>
                  <m:t>u</m:t>
                </m:r>
              </m:e>
              <m:sup>
                <m:r>
                  <w:rPr>
                    <w:rFonts w:ascii="Cambria Math" w:hAnsi="Cambria Math"/>
                  </w:rPr>
                  <m:t>2</m:t>
                </m:r>
              </m:sup>
            </m:sSup>
          </m:e>
        </m:d>
      </m:oMath>
      <w:r>
        <w:t xml:space="preserve"> </w:t>
      </w:r>
      <w:r>
        <w:t xml:space="preserve">with zero reference. A box is discarded when the lower endpoint of its scalar enclosure exceeds a verified upper bound on the minimum. The surviving boxes, of width</w:t>
      </w:r>
      <w:r>
        <w:t xml:space="preserve"> </w:t>
      </w:r>
      <m:oMath>
        <m:sSup>
          <m:e>
            <m:r>
              <w:rPr>
                <w:rFonts w:ascii="Cambria Math" w:hAnsi="Cambria Math"/>
              </w:rPr>
              <m:t>10</m:t>
            </m:r>
          </m:e>
          <m:sup>
            <m:r>
              <m:rPr>
                <m:sty m:val="p"/>
              </m:rPr>
              <w:rPr>
                <w:rFonts w:ascii="Cambria Math" w:hAnsi="Cambria Math"/>
              </w:rPr>
              <m:t>−</m:t>
            </m:r>
            <m:r>
              <w:rPr>
                <w:rFonts w:ascii="Cambria Math" w:hAnsi="Cambria Math"/>
              </w:rPr>
              <m:t>12</m:t>
            </m:r>
          </m:sup>
        </m:sSup>
      </m:oMath>
      <w:r>
        <w:t xml:space="preserve">, contain every minimizer.</w:t>
      </w:r>
    </w:p>
    <w:p>
      <w:pPr>
        <w:pStyle w:val="Caption"/>
        <w:keepNext/>
      </w:pPr>
      <w:r>
        <w:t xml:space="preserve">Table 4. Interval branch-and-bound certificates on the front (u, 1 − u²) with zero reference. The first three weight pairs are the inverse-gap preferences (4) for u = 1/4, 1/2 and 3/4.</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69"/>
        <w:gridCol w:w="1464"/>
        <w:gridCol w:w="837"/>
        <w:gridCol w:w="3347"/>
        <w:gridCol w:w="1883"/>
        <w:gridCol w:w="836"/>
      </w:tblGrid>
      <w:tr>
        <w:trPr>
          <w:cantSplit/>
          <w:tblHeader/>
          <w:jc w:val="center"/>
        </w:trPr>
        <w:tc>
          <w:tcPr>
            <w:tcW w:w="1569"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Scalarization</w:t>
            </w:r>
          </w:p>
        </w:tc>
        <w:tc>
          <w:tcPr>
            <w:tcW w:w="1464"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Weights λ</w:t>
            </w:r>
          </w:p>
        </w:tc>
        <w:tc>
          <w:tcPr>
            <w:tcW w:w="837"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Scales</w:t>
            </w:r>
          </w:p>
        </w:tc>
        <w:tc>
          <w:tcPr>
            <w:tcW w:w="3347"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minimizer set</w:t>
            </w:r>
          </w:p>
        </w:tc>
        <w:tc>
          <w:tcPr>
            <w:tcW w:w="188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Exact minimizer</w:t>
            </w:r>
          </w:p>
        </w:tc>
        <w:tc>
          <w:tcPr>
            <w:tcW w:w="836"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Boxes</w:t>
            </w:r>
          </w:p>
        </w:tc>
      </w:tr>
      <w:tr>
        <w:trPr>
          <w:cantSplit/>
          <w:jc w:val="center"/>
        </w:trPr>
        <w:tc>
          <w:tcPr>
            <w:tcW w:w="156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Chebyshev</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15/19, 4/19</w:t>
            </w:r>
          </w:p>
        </w:tc>
        <w:tc>
          <w:tcPr>
            <w:tcW w:w="83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1, 1</w:t>
            </w:r>
          </w:p>
        </w:tc>
        <w:tc>
          <w:tcPr>
            <w:tcW w:w="334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[0.249999999999, 0.250000000001]</w:t>
            </w:r>
          </w:p>
        </w:tc>
        <w:tc>
          <w:tcPr>
            <w:tcW w:w="18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1/4</w:t>
            </w:r>
          </w:p>
        </w:tc>
        <w:tc>
          <w:tcPr>
            <w:tcW w:w="8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157</w:t>
            </w:r>
          </w:p>
        </w:tc>
      </w:tr>
      <w:tr>
        <w:trPr>
          <w:cantSplit/>
          <w:jc w:val="center"/>
        </w:trPr>
        <w:tc>
          <w:tcPr>
            <w:tcW w:w="156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Weighted sum</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15/19, 4/19</w:t>
            </w:r>
          </w:p>
        </w:tc>
        <w:tc>
          <w:tcPr>
            <w:tcW w:w="83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1, 1</w:t>
            </w:r>
          </w:p>
        </w:tc>
        <w:tc>
          <w:tcPr>
            <w:tcW w:w="334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Within 9.1 × 10⁻¹³ of u = 0</w:t>
            </w:r>
          </w:p>
        </w:tc>
        <w:tc>
          <w:tcPr>
            <w:tcW w:w="18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c>
          <w:tcPr>
            <w:tcW w:w="8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81</w:t>
            </w:r>
          </w:p>
        </w:tc>
      </w:tr>
      <w:tr>
        <w:trPr>
          <w:cantSplit/>
          <w:jc w:val="center"/>
        </w:trPr>
        <w:tc>
          <w:tcPr>
            <w:tcW w:w="156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Chebyshev</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3/5, 2/5</w:t>
            </w:r>
          </w:p>
        </w:tc>
        <w:tc>
          <w:tcPr>
            <w:tcW w:w="83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1, 1</w:t>
            </w:r>
          </w:p>
        </w:tc>
        <w:tc>
          <w:tcPr>
            <w:tcW w:w="334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[0.499999999999, 0.500000000001]</w:t>
            </w:r>
          </w:p>
        </w:tc>
        <w:tc>
          <w:tcPr>
            <w:tcW w:w="18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w:t>
            </w:r>
          </w:p>
        </w:tc>
        <w:tc>
          <w:tcPr>
            <w:tcW w:w="8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159</w:t>
            </w:r>
          </w:p>
        </w:tc>
      </w:tr>
      <w:tr>
        <w:trPr>
          <w:cantSplit/>
          <w:jc w:val="center"/>
        </w:trPr>
        <w:tc>
          <w:tcPr>
            <w:tcW w:w="156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Weighted sum</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3/5, 2/5</w:t>
            </w:r>
          </w:p>
        </w:tc>
        <w:tc>
          <w:tcPr>
            <w:tcW w:w="83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1, 1</w:t>
            </w:r>
          </w:p>
        </w:tc>
        <w:tc>
          <w:tcPr>
            <w:tcW w:w="334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Within 9.1 × 10⁻¹³ of u = 0</w:t>
            </w:r>
          </w:p>
        </w:tc>
        <w:tc>
          <w:tcPr>
            <w:tcW w:w="18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c>
          <w:tcPr>
            <w:tcW w:w="8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83</w:t>
            </w:r>
          </w:p>
        </w:tc>
      </w:tr>
      <w:tr>
        <w:trPr>
          <w:cantSplit/>
          <w:jc w:val="center"/>
        </w:trPr>
        <w:tc>
          <w:tcPr>
            <w:tcW w:w="156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Chebyshev</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7/19, 12/19</w:t>
            </w:r>
          </w:p>
        </w:tc>
        <w:tc>
          <w:tcPr>
            <w:tcW w:w="83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1, 1</w:t>
            </w:r>
          </w:p>
        </w:tc>
        <w:tc>
          <w:tcPr>
            <w:tcW w:w="334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[0.749999999999, 0.750000000001]</w:t>
            </w:r>
          </w:p>
        </w:tc>
        <w:tc>
          <w:tcPr>
            <w:tcW w:w="18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3/4</w:t>
            </w:r>
          </w:p>
        </w:tc>
        <w:tc>
          <w:tcPr>
            <w:tcW w:w="8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157</w:t>
            </w:r>
          </w:p>
        </w:tc>
      </w:tr>
      <w:tr>
        <w:trPr>
          <w:cantSplit/>
          <w:jc w:val="center"/>
        </w:trPr>
        <w:tc>
          <w:tcPr>
            <w:tcW w:w="156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Weighted sum</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7/19, 12/19</w:t>
            </w:r>
          </w:p>
        </w:tc>
        <w:tc>
          <w:tcPr>
            <w:tcW w:w="83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1, 1</w:t>
            </w:r>
          </w:p>
        </w:tc>
        <w:tc>
          <w:tcPr>
            <w:tcW w:w="334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Within 9.1 × 10⁻¹³ of u = 1</w:t>
            </w:r>
          </w:p>
        </w:tc>
        <w:tc>
          <w:tcPr>
            <w:tcW w:w="18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w:t>
            </w:r>
          </w:p>
        </w:tc>
        <w:tc>
          <w:tcPr>
            <w:tcW w:w="8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81</w:t>
            </w:r>
          </w:p>
        </w:tc>
      </w:tr>
      <w:tr>
        <w:trPr>
          <w:cantSplit/>
          <w:jc w:val="center"/>
        </w:trPr>
        <w:tc>
          <w:tcPr>
            <w:tcW w:w="156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Chebyshev</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 1/2</w:t>
            </w:r>
          </w:p>
        </w:tc>
        <w:tc>
          <w:tcPr>
            <w:tcW w:w="83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1, 1</w:t>
            </w:r>
          </w:p>
        </w:tc>
        <w:tc>
          <w:tcPr>
            <w:tcW w:w="334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[0.618033988750, 0.618033988751]</w:t>
            </w:r>
          </w:p>
        </w:tc>
        <w:tc>
          <w:tcPr>
            <w:tcW w:w="18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(√5 − 1)/2</w:t>
            </w:r>
          </w:p>
        </w:tc>
        <w:tc>
          <w:tcPr>
            <w:tcW w:w="8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285</w:t>
            </w:r>
          </w:p>
        </w:tc>
      </w:tr>
      <w:tr>
        <w:trPr>
          <w:cantSplit/>
          <w:jc w:val="center"/>
        </w:trPr>
        <w:tc>
          <w:tcPr>
            <w:tcW w:w="156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Chebyshev</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 1/2</w:t>
            </w:r>
          </w:p>
        </w:tc>
        <w:tc>
          <w:tcPr>
            <w:tcW w:w="83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1, 8.2</w:t>
            </w:r>
          </w:p>
        </w:tc>
        <w:tc>
          <w:tcPr>
            <w:tcW w:w="334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[0.120189569201, 0.120189569202]</w:t>
            </w:r>
          </w:p>
        </w:tc>
        <w:tc>
          <w:tcPr>
            <w:tcW w:w="18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(√1781 − 41)/10</w:t>
            </w:r>
          </w:p>
        </w:tc>
        <w:tc>
          <w:tcPr>
            <w:tcW w:w="8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885</w:t>
            </w:r>
          </w:p>
        </w:tc>
      </w:tr>
      <w:tr>
        <w:trPr>
          <w:cantSplit/>
          <w:jc w:val="center"/>
        </w:trPr>
        <w:tc>
          <w:tcPr>
            <w:tcW w:w="156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Weighted sum</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 1/2</w:t>
            </w:r>
          </w:p>
        </w:tc>
        <w:tc>
          <w:tcPr>
            <w:tcW w:w="83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1, 1</w:t>
            </w:r>
          </w:p>
        </w:tc>
        <w:tc>
          <w:tcPr>
            <w:tcW w:w="334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Within 1.8 × 10⁻¹² of both endpoints</w:t>
            </w:r>
          </w:p>
        </w:tc>
        <w:tc>
          <w:tcPr>
            <w:tcW w:w="18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 and 1 (tie)</w:t>
            </w:r>
          </w:p>
        </w:tc>
        <w:tc>
          <w:tcPr>
            <w:tcW w:w="8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237</w:t>
            </w:r>
          </w:p>
        </w:tc>
      </w:tr>
    </w:tbl>
    <w:p>
      <w:pPr>
        <w:pStyle w:val="BodyText"/>
        <w:spacing w:before="140"/>
      </w:pPr>
    </w:p>
    <w:p>
      <w:pPr>
        <w:pStyle w:val="BodyText"/>
      </w:pPr>
      <w:r>
        <w:t xml:space="preserve">Each Chebyshev minimizer is the predicted interior vector, and each positive weighted sum is minimized only at an endpoint. With balanced weights and scale</w:t>
      </w:r>
      <w:r>
        <w:t xml:space="preserve"> </w:t>
      </w:r>
      <m:oMath>
        <m:sSub>
          <m:e>
            <m:r>
              <w:rPr>
                <w:rFonts w:ascii="Cambria Math" w:hAnsi="Cambria Math"/>
              </w:rPr>
              <m:t>s</m:t>
            </m:r>
          </m:e>
          <m:sub>
            <m:r>
              <w:rPr>
                <w:rFonts w:ascii="Cambria Math" w:hAnsi="Cambria Math"/>
              </w:rPr>
              <m:t>2</m:t>
            </m:r>
          </m:sub>
        </m:sSub>
      </m:oMath>
      <w:r>
        <w:t xml:space="preserve"> </w:t>
      </w:r>
      <w:r>
        <w:t xml:space="preserve">on the second objective, the Chebyshev equation</w:t>
      </w:r>
      <w:r>
        <w:t xml:space="preserve"> </w:t>
      </w:r>
      <m:oMath>
        <m:r>
          <w:rPr>
            <w:rFonts w:ascii="Cambria Math" w:hAnsi="Cambria Math"/>
          </w:rPr>
          <m:t>u</m:t>
        </m:r>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sSup>
              <m:e>
                <m:r>
                  <w:rPr>
                    <w:rFonts w:ascii="Cambria Math" w:hAnsi="Cambria Math"/>
                  </w:rPr>
                  <m:t>u</m:t>
                </m:r>
              </m:e>
              <m:sup>
                <m:r>
                  <w:rPr>
                    <w:rFonts w:ascii="Cambria Math" w:hAnsi="Cambria Math"/>
                  </w:rPr>
                  <m:t>2</m:t>
                </m:r>
              </m:sup>
            </m:sSup>
          </m:e>
        </m:d>
        <m:r>
          <m:rPr>
            <m:sty m:val="p"/>
          </m:rPr>
          <w:rPr>
            <w:rFonts w:ascii="Cambria Math" w:hAnsi="Cambria Math"/>
          </w:rPr>
          <m:t>/</m:t>
        </m:r>
        <m:sSub>
          <m:e>
            <m:r>
              <w:rPr>
                <w:rFonts w:ascii="Cambria Math" w:hAnsi="Cambria Math"/>
              </w:rPr>
              <m:t>s</m:t>
            </m:r>
          </m:e>
          <m:sub>
            <m:r>
              <w:rPr>
                <w:rFonts w:ascii="Cambria Math" w:hAnsi="Cambria Math"/>
              </w:rPr>
              <m:t>2</m:t>
            </m:r>
          </m:sub>
        </m:sSub>
      </m:oMath>
      <w:r>
        <w:t xml:space="preserve"> </w:t>
      </w:r>
      <w:r>
        <w:t xml:space="preserve">gives the closed form</w:t>
      </w:r>
      <w:r>
        <w:t xml:space="preserve"> </w:t>
      </w:r>
      <m:oMath>
        <m:sSup>
          <m:e>
            <m:r>
              <w:rPr>
                <w:rFonts w:ascii="Cambria Math" w:hAnsi="Cambria Math"/>
              </w:rPr>
              <m:t>u</m:t>
            </m:r>
          </m:e>
          <m:sup>
            <m:r>
              <m:rPr>
                <m:sty m:val="p"/>
              </m:rPr>
              <w:rPr>
                <w:rFonts w:ascii="Cambria Math" w:hAnsi="Cambria Math"/>
              </w:rPr>
              <m:t>*</m:t>
            </m:r>
          </m:sup>
        </m:sSup>
        <m:r>
          <m:rPr>
            <m:sty m:val="p"/>
          </m:rPr>
          <w:rPr>
            <w:rFonts w:ascii="Cambria Math" w:hAnsi="Cambria Math"/>
          </w:rPr>
          <m:t>=</m:t>
        </m:r>
        <m:d>
          <m:dPr>
            <m:begChr m:val="("/>
            <m:sepChr m:val=""/>
            <m:endChr m:val=")"/>
            <m:grow/>
          </m:dPr>
          <m:e>
            <m:rad>
              <m:radPr>
                <m:degHide m:val="on"/>
              </m:radPr>
              <m:deg/>
              <m:e>
                <m:sSubSup>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4</m:t>
                </m:r>
              </m:e>
            </m:rad>
            <m:r>
              <m:rPr>
                <m:sty m:val="p"/>
              </m:rPr>
              <w:rPr>
                <w:rFonts w:ascii="Cambria Math" w:hAnsi="Cambria Math"/>
              </w:rPr>
              <m:t>−</m:t>
            </m:r>
            <m:sSub>
              <m:e>
                <m:r>
                  <w:rPr>
                    <w:rFonts w:ascii="Cambria Math" w:hAnsi="Cambria Math"/>
                  </w:rPr>
                  <m:t>s</m:t>
                </m:r>
              </m:e>
              <m:sub>
                <m:r>
                  <w:rPr>
                    <w:rFonts w:ascii="Cambria Math" w:hAnsi="Cambria Math"/>
                  </w:rPr>
                  <m:t>2</m:t>
                </m:r>
              </m:sub>
            </m:sSub>
          </m:e>
        </m:d>
        <m:r>
          <m:rPr>
            <m:sty m:val="p"/>
          </m:rPr>
          <w:rPr>
            <w:rFonts w:ascii="Cambria Math" w:hAnsi="Cambria Math"/>
          </w:rPr>
          <m:t>/</m:t>
        </m:r>
        <m:r>
          <w:rPr>
            <w:rFonts w:ascii="Cambria Math" w:hAnsi="Cambria Math"/>
          </w:rPr>
          <m:t>2</m:t>
        </m:r>
      </m:oMath>
      <w:r>
        <w:t xml:space="preserve">. Scales</w:t>
      </w:r>
      <w:r>
        <w:t xml:space="preserve"> </w:t>
      </w:r>
      <m:oMath>
        <m:d>
          <m:dPr>
            <m:begChr m:val="("/>
            <m:sepChr m:val=""/>
            <m:endChr m:val=")"/>
            <m:grow/>
          </m:dPr>
          <m:e>
            <m:r>
              <w:rPr>
                <w:rFonts w:ascii="Cambria Math" w:hAnsi="Cambria Math"/>
              </w:rPr>
              <m:t>1</m:t>
            </m:r>
            <m:r>
              <m:rPr>
                <m:sty m:val="p"/>
              </m:rPr>
              <w:rPr>
                <w:rFonts w:ascii="Cambria Math" w:hAnsi="Cambria Math"/>
              </w:rPr>
              <m:t>,</m:t>
            </m:r>
            <m:r>
              <w:rPr>
                <w:rFonts w:ascii="Cambria Math" w:hAnsi="Cambria Math"/>
              </w:rPr>
              <m:t>1</m:t>
            </m:r>
          </m:e>
        </m:d>
      </m:oMath>
      <w:r>
        <w:t xml:space="preserve"> </w:t>
      </w:r>
      <w:r>
        <w:t xml:space="preserve">give the golden-ratio conjugate 0.6180340, and scales</w:t>
      </w:r>
      <w:r>
        <w:t xml:space="preserve"> </w:t>
      </w:r>
      <m:oMath>
        <m:d>
          <m:dPr>
            <m:begChr m:val="("/>
            <m:sepChr m:val=""/>
            <m:endChr m:val=")"/>
            <m:grow/>
          </m:dPr>
          <m:e>
            <m:r>
              <w:rPr>
                <w:rFonts w:ascii="Cambria Math" w:hAnsi="Cambria Math"/>
              </w:rPr>
              <m:t>1</m:t>
            </m:r>
            <m:r>
              <m:rPr>
                <m:sty m:val="p"/>
              </m:rPr>
              <w:rPr>
                <w:rFonts w:ascii="Cambria Math" w:hAnsi="Cambria Math"/>
              </w:rPr>
              <m:t>,</m:t>
            </m:r>
            <m:r>
              <w:rPr>
                <w:rFonts w:ascii="Cambria Math" w:hAnsi="Cambria Math"/>
              </w:rPr>
              <m:t>8.2</m:t>
            </m:r>
          </m:e>
        </m:d>
      </m:oMath>
      <w:r>
        <w:t xml:space="preserve"> </w:t>
      </w:r>
      <w:r>
        <w:t xml:space="preserve">give</w:t>
      </w:r>
      <w:r>
        <w:t xml:space="preserve"> </w:t>
      </w:r>
      <m:oMath>
        <m:d>
          <m:dPr>
            <m:begChr m:val="("/>
            <m:sepChr m:val=""/>
            <m:endChr m:val=")"/>
            <m:grow/>
          </m:dPr>
          <m:e>
            <m:rad>
              <m:radPr>
                <m:degHide m:val="on"/>
              </m:radPr>
              <m:deg/>
              <m:e>
                <m:r>
                  <w:rPr>
                    <w:rFonts w:ascii="Cambria Math" w:hAnsi="Cambria Math"/>
                  </w:rPr>
                  <m:t>1781</m:t>
                </m:r>
              </m:e>
            </m:rad>
            <m:r>
              <m:rPr>
                <m:sty m:val="p"/>
              </m:rPr>
              <w:rPr>
                <w:rFonts w:ascii="Cambria Math" w:hAnsi="Cambria Math"/>
              </w:rPr>
              <m:t>−</m:t>
            </m:r>
            <m:r>
              <w:rPr>
                <w:rFonts w:ascii="Cambria Math" w:hAnsi="Cambria Math"/>
              </w:rPr>
              <m:t>41</m:t>
            </m:r>
          </m:e>
        </m:d>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0.1201896</m:t>
        </m:r>
      </m:oMath>
      <w:r>
        <w:t xml:space="preserve">. The value 0.1201 in Section 9.1 is the corresponding grid point.</w:t>
      </w:r>
    </w:p>
    <w:p>
      <w:pPr>
        <w:pStyle w:val="Heading2"/>
      </w:pPr>
      <w:r>
        <w:t xml:space="preserve">9.5 Certified reference and replicated preference reuse</w:t>
      </w:r>
    </w:p>
    <w:p>
      <w:pPr>
        <w:pStyle w:val="FirstParagraph"/>
      </w:pPr>
      <w:r>
        <w:t xml:space="preserve">For the archive of Section 9.2, completing the square gives</w:t>
      </w:r>
      <w:r>
        <w:t xml:space="preserve"> </w:t>
      </w:r>
      <m:oMath>
        <m:sSub>
          <m:e>
            <m:r>
              <w:rPr>
                <w:rFonts w:ascii="Cambria Math" w:hAnsi="Cambria Math"/>
              </w:rPr>
              <m:t>S</m:t>
            </m:r>
          </m:e>
          <m:sub>
            <m:r>
              <w:rPr>
                <w:rFonts w:ascii="Cambria Math" w:hAnsi="Cambria Math"/>
              </w:rPr>
              <m:t>λ</m:t>
            </m:r>
          </m:sub>
        </m:sSub>
        <m:r>
          <m:rPr>
            <m:sty m:val="p"/>
          </m:rPr>
          <w:rPr>
            <w:rFonts w:ascii="Cambria Math" w:hAnsi="Cambria Math"/>
          </w:rPr>
          <m:t>=</m:t>
        </m:r>
        <m:sSup>
          <m:e>
            <m:d>
              <m:dPr>
                <m:begChr m:val="("/>
                <m:sepChr m:val=""/>
                <m:endChr m:val=")"/>
                <m:grow/>
              </m:dPr>
              <m:e>
                <m:r>
                  <w:rPr>
                    <w:rFonts w:ascii="Cambria Math" w:hAnsi="Cambria Math"/>
                  </w:rPr>
                  <m:t>x</m:t>
                </m:r>
                <m:r>
                  <m:rPr>
                    <m:sty m:val="p"/>
                  </m:rPr>
                  <w:rPr>
                    <w:rFonts w:ascii="Cambria Math" w:hAnsi="Cambria Math"/>
                  </w:rPr>
                  <m:t>+</m:t>
                </m:r>
                <m:r>
                  <w:rPr>
                    <w:rFonts w:ascii="Cambria Math" w:hAnsi="Cambria Math"/>
                  </w:rPr>
                  <m:t>2</m:t>
                </m:r>
                <m:sSub>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4</m:t>
        </m:r>
        <m:sSub>
          <m:e>
            <m:r>
              <w:rPr>
                <w:rFonts w:ascii="Cambria Math" w:hAnsi="Cambria Math"/>
              </w:rPr>
              <m:t>λ</m:t>
            </m:r>
          </m:e>
          <m:sub>
            <m:r>
              <w:rPr>
                <w:rFonts w:ascii="Cambria Math" w:hAnsi="Cambria Math"/>
              </w:rPr>
              <m:t>1</m:t>
            </m:r>
          </m:sub>
        </m:sSub>
        <m:d>
          <m:dPr>
            <m:begChr m:val="("/>
            <m:sepChr m:val=""/>
            <m:endChr m:val=")"/>
            <m:grow/>
          </m:dPr>
          <m:e>
            <m:r>
              <w:rPr>
                <w:rFonts w:ascii="Cambria Math" w:hAnsi="Cambria Math"/>
              </w:rPr>
              <m:t>1</m:t>
            </m:r>
            <m:r>
              <m:rPr>
                <m:sty m:val="p"/>
              </m:rPr>
              <w:rPr>
                <w:rFonts w:ascii="Cambria Math" w:hAnsi="Cambria Math"/>
              </w:rPr>
              <m:t>−</m:t>
            </m:r>
            <m:sSub>
              <m:e>
                <m:r>
                  <w:rPr>
                    <w:rFonts w:ascii="Cambria Math" w:hAnsi="Cambria Math"/>
                  </w:rPr>
                  <m:t>λ</m:t>
                </m:r>
              </m:e>
              <m:sub>
                <m:r>
                  <w:rPr>
                    <w:rFonts w:ascii="Cambria Math" w:hAnsi="Cambria Math"/>
                  </w:rPr>
                  <m:t>1</m:t>
                </m:r>
              </m:sub>
            </m:sSub>
          </m:e>
        </m:d>
      </m:oMath>
      <w:r>
        <w:t xml:space="preserve">. The target is therefore a normal law with mean</w:t>
      </w:r>
      <w:r>
        <w:t xml:space="preserve"> </w:t>
      </w:r>
      <m:oMath>
        <m:r>
          <w:rPr>
            <w:rFonts w:ascii="Cambria Math" w:hAnsi="Cambria Math"/>
          </w:rPr>
          <m:t>1</m:t>
        </m:r>
        <m:r>
          <m:rPr>
            <m:sty m:val="p"/>
          </m:rPr>
          <w:rPr>
            <w:rFonts w:ascii="Cambria Math" w:hAnsi="Cambria Math"/>
          </w:rPr>
          <m:t>−</m:t>
        </m:r>
        <m:r>
          <w:rPr>
            <w:rFonts w:ascii="Cambria Math" w:hAnsi="Cambria Math"/>
          </w:rPr>
          <m:t>2</m:t>
        </m:r>
        <m:sSub>
          <m:e>
            <m:r>
              <w:rPr>
                <w:rFonts w:ascii="Cambria Math" w:hAnsi="Cambria Math"/>
              </w:rPr>
              <m:t>λ</m:t>
            </m:r>
          </m:e>
          <m:sub>
            <m:r>
              <w:rPr>
                <w:rFonts w:ascii="Cambria Math" w:hAnsi="Cambria Math"/>
              </w:rPr>
              <m:t>1</m:t>
            </m:r>
          </m:sub>
        </m:sSub>
      </m:oMath>
      <w:r>
        <w:t xml:space="preserve"> </w:t>
      </w:r>
      <w:r>
        <w:t xml:space="preserve">and variance</w:t>
      </w:r>
      <w:r>
        <w:t xml:space="preserve"> </w:t>
      </w:r>
      <m:oMath>
        <m:r>
          <w:rPr>
            <w:rFonts w:ascii="Cambria Math" w:hAnsi="Cambria Math"/>
          </w:rPr>
          <m:t>1</m:t>
        </m:r>
        <m:r>
          <m:rPr>
            <m:sty m:val="p"/>
          </m:rPr>
          <w:rPr>
            <w:rFonts w:ascii="Cambria Math" w:hAnsi="Cambria Math"/>
          </w:rPr>
          <m:t>/</m:t>
        </m:r>
        <m:r>
          <w:rPr>
            <w:rFonts w:ascii="Cambria Math" w:hAnsi="Cambria Math"/>
          </w:rPr>
          <m:t>4</m:t>
        </m:r>
      </m:oMath>
      <w:r>
        <w:t xml:space="preserve">, truncated to</w:t>
      </w:r>
      <w:r>
        <w:t xml:space="preserve"> </w:t>
      </w:r>
      <m:oMath>
        <m:d>
          <m:dPr>
            <m:begChr m:val="["/>
            <m:sepChr m:val=""/>
            <m:endChr m:val="]"/>
            <m:grow/>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Its mean of</w:t>
      </w:r>
      <w:r>
        <w:t xml:space="preserve"> </w:t>
      </w:r>
      <m:oMath>
        <m:sSub>
          <m:e>
            <m:r>
              <w:rPr>
                <w:rFonts w:ascii="Cambria Math" w:hAnsi="Cambria Math"/>
              </w:rPr>
              <m:t>G</m:t>
            </m:r>
          </m:e>
          <m:sub>
            <m:r>
              <w:rPr>
                <w:rFonts w:ascii="Cambria Math" w:hAnsi="Cambria Math"/>
              </w:rPr>
              <m:t>1</m:t>
            </m:r>
          </m:sub>
        </m:sSub>
      </m:oMath>
      <w:r>
        <w:t xml:space="preserve"> </w:t>
      </w:r>
      <w:r>
        <w:t xml:space="preserve">was enclosed by validated midpoint quadrature on 200,000 cells, with an interval enclosure of the second derivative. Every enclosure has width below</w:t>
      </w:r>
      <w:r>
        <w:t xml:space="preserve"> </w:t>
      </w:r>
      <m:oMath>
        <m:r>
          <w:rPr>
            <w:rFonts w:ascii="Cambria Math" w:hAnsi="Cambria Math"/>
          </w:rPr>
          <m:t>1.3</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10</m:t>
            </m:r>
          </m:sup>
        </m:sSup>
      </m:oMath>
      <w:r>
        <w:t xml:space="preserve"> </w:t>
      </w:r>
      <w:r>
        <w:t xml:space="preserve">and contains the 20-digit mpmath value. The C# program then repeated the adaptive, selectively observed archive with its own generator for seed 20261030 and for seeds 1 to 200. Each archive was reweighted at the eleven preferences of Section 9.2 and on a finer grid of 101 preferences.</w:t>
      </w:r>
    </w:p>
    <w:p>
      <w:pPr>
        <w:pStyle w:val="Caption"/>
        <w:keepNext/>
      </w:pPr>
      <w:r>
        <w:t xml:space="preserve">Table 5. Certified target mean of G₁ for each preference and 200-seed C# archive estimates (mean ± standard deviation across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94"/>
        <w:gridCol w:w="3378"/>
        <w:gridCol w:w="2981"/>
        <w:gridCol w:w="2583"/>
      </w:tblGrid>
      <w:tr>
        <w:trPr>
          <w:cantSplit/>
          <w:tblHeader/>
          <w:jc w:val="center"/>
        </w:trPr>
        <w:tc>
          <w:tcPr>
            <w:tcW w:w="994"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λ₁</w:t>
            </w:r>
          </w:p>
        </w:tc>
        <w:tc>
          <w:tcPr>
            <w:tcW w:w="3378"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target mean</w:t>
            </w:r>
          </w:p>
        </w:tc>
        <w:tc>
          <w:tcPr>
            <w:tcW w:w="2981"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Corrected estimate</w:t>
            </w:r>
          </w:p>
        </w:tc>
        <w:tc>
          <w:tcPr>
            <w:tcW w:w="258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Uncorrected mean</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4.111880346 ± 6.5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4.1117 ± 0.0147</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3.7794</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3.435808918 ± 6.4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3.4357 ± 0.0132</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3.4187</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0.2</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2.791747984 ± 5.7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2.7920 ± 0.0119</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3.0326</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0.3</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2.204752188 ± 5.5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2.2052 ± 0.0106</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2.5741</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0.4</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1.688717289 ± 4.8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1.6893 ± 0.0094</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2.0074</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1.249732323 ± 3.7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1.2502 ± 0.0081</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1.3771</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0.6</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0.889891401 ± 3.1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0.8902 ± 0.0065</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0.8274</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0.609515719 ± 2.2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0.6097 ± 0.0049</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0.4628</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0.8</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0.407618368 ± 1.7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0.4077 ± 0.0035</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0.2648</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0.9</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0.280968049 ± 1.2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0.2810 ± 0.0024</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0.1684</w:t>
            </w:r>
          </w:p>
        </w:tc>
      </w:tr>
      <w:tr>
        <w:trPr>
          <w:cantSplit/>
          <w:jc w:val="center"/>
        </w:trPr>
        <w:tc>
          <w:tcPr>
            <w:tcW w:w="99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w:t>
            </w:r>
          </w:p>
        </w:tc>
        <w:tc>
          <w:tcPr>
            <w:tcW w:w="337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0.222376059 ± 1.2 × 10⁻¹¹</w:t>
            </w:r>
          </w:p>
        </w:tc>
        <w:tc>
          <w:tcPr>
            <w:tcW w:w="298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0.2225 ± 0.0019</w:t>
            </w:r>
          </w:p>
        </w:tc>
        <w:tc>
          <w:tcPr>
            <w:tcW w:w="25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0.1268</w:t>
            </w:r>
          </w:p>
        </w:tc>
      </w:tr>
    </w:tbl>
    <w:p>
      <w:pPr>
        <w:pStyle w:val="BodyText"/>
        <w:spacing w:before="140"/>
      </w:pPr>
    </w:p>
    <w:p>
      <w:pPr>
        <w:pStyle w:val="BodyText"/>
      </w:pPr>
      <w:r>
        <w:t xml:space="preserve">The archives contain 64,893 included responses on average, ranging from 64,369 to 65,402. The Python archive’s 64,605 lies within this range. Across seeds, the largest corrected error over the eleven preferences has median 0.0137, 90th percentile 0.0245 and maximum 0.0447. The Python value 0.0097 lies at the 27th percentile. The largest uncorrected error ranges from 0.348 to 0.410, with median 0.370; the Python value 0.358 lies at the 15th percentile. On the grid of 101 preferences, which contains the eleven, the largest corrected error is the same: median 0.0137 and maximum 0.0447. The largest errors occur at</w:t>
      </w:r>
      <w:r>
        <w:t xml:space="preserve"> </w:t>
      </w:r>
      <m:oMath>
        <m:sSub>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m:t>
        </m:r>
      </m:oMath>
      <w:r>
        <w:t xml:space="preserve">, where the seed-to-seed standard deviation is largest. This is the finite-run behaviour Theorem 4 addresses: a single corrected archive serves the whole declared preference family, including a preference selected afterwards. The uncorrected curve stays biased in the same direction across seeds.</w:t>
      </w:r>
    </w:p>
    <w:p>
      <w:pPr>
        <w:pStyle w:val="BodyText"/>
        <w:keepNext/>
        <w:spacing w:before="120"/>
        <w:jc w:val="center"/>
      </w:pPr>
      <w:r>
        <w:rPr>
          <w:noProof/>
        </w:rPr>
        <w:drawing>
          <wp:inline distT="0" distB="0" distL="0" distR="0">
            <wp:extent cx="6126480" cy="2377440"/>
            <wp:effectExtent l="0" t="0" r="0" b="0"/>
            <wp:docPr id="901" name="Picture 901" descr="Certified reference and replicated preference reuse"/>
            <wp:cNvGraphicFramePr/>
            <a:graphic xmlns:a="http://schemas.openxmlformats.org/drawingml/2006/main">
              <a:graphicData uri="http://schemas.openxmlformats.org/drawingml/2006/picture">
                <pic:pic xmlns:pic="http://schemas.openxmlformats.org/drawingml/2006/picture">
                  <pic:nvPicPr>
                    <pic:cNvPr id="901" name="Picture 901" descr="Certified reference and replicated preference reuse"/>
                    <pic:cNvPicPr>
                      <a:picLocks noChangeAspect="1" noChangeArrowheads="1"/>
                    </pic:cNvPicPr>
                  </pic:nvPicPr>
                  <pic:blipFill>
                    <a:blip r:embed="rId30"/>
                    <a:stretch>
                      <a:fillRect/>
                    </a:stretch>
                  </pic:blipFill>
                  <pic:spPr bwMode="auto">
                    <a:xfrm>
                      <a:off x="0" y="0"/>
                      <a:ext cx="6126480" cy="2377440"/>
                    </a:xfrm>
                    <a:prstGeom prst="rect">
                      <a:avLst/>
                    </a:prstGeom>
                    <a:noFill/>
                  </pic:spPr>
                </pic:pic>
              </a:graphicData>
            </a:graphic>
          </wp:inline>
        </w:drawing>
      </w:r>
    </w:p>
    <w:p>
      <w:pPr>
        <w:pStyle w:val="Caption"/>
        <w:keepLines/>
      </w:pPr>
      <w:r>
        <w:t xml:space="preserve">Figure 3. Left: certified target means of G₁ (line), 200-seed corrected estimates (circles, with a ±2 SD band too narrow to see at this scale) and mean uncorrected estimates (squares). Right: per-seed largest error over the eleven preferences, with the single Python run of Section 9.2 (dotted).</w:t>
      </w:r>
    </w:p>
    <w:p>
      <w:pPr>
        <w:pStyle w:val="Heading2"/>
      </w:pPr>
      <w:r>
        <w:t xml:space="preserve">9.6 A sharp total-variation bound for response errors</w:t>
      </w:r>
    </w:p>
    <w:p>
      <w:pPr>
        <w:pStyle w:val="FirstParagraph"/>
      </w:pPr>
      <w:r>
        <w:t xml:space="preserve">Appendix A2 bounds the total-variation effect of a uniform response error by</w:t>
      </w:r>
      <w:r>
        <w:t xml:space="preserve"> </w:t>
      </w:r>
      <m:oMath>
        <m:r>
          <m:rPr>
            <m:sty m:val="p"/>
          </m:rPr>
          <w:rPr>
            <w:rFonts w:ascii="Cambria Math" w:hAnsi="Cambria Math"/>
          </w:rPr>
          <m:t>min</m:t>
        </m:r>
        <m:d>
          <m:dPr>
            <m:begChr m:val="("/>
            <m:sepChr m:val=""/>
            <m:endChr m:val=")"/>
            <m:grow/>
          </m:dPr>
          <m:e>
            <m:r>
              <w:rPr>
                <w:rFonts w:ascii="Cambria Math" w:hAnsi="Cambria Math"/>
              </w:rPr>
              <m:t>1</m:t>
            </m:r>
            <m:r>
              <m:rPr>
                <m:sty m:val="p"/>
              </m:rPr>
              <w:rPr>
                <w:rFonts w:ascii="Cambria Math" w:hAnsi="Cambria Math"/>
              </w:rPr>
              <m:t>,</m:t>
            </m:r>
            <m:d>
              <m:dPr>
                <m:begChr m:val="("/>
                <m:sepChr m:val=""/>
                <m:endChr m:val=")"/>
                <m:grow/>
              </m:dPr>
              <m:e>
                <m:sSup>
                  <m:e>
                    <m:r>
                      <w:rPr>
                        <w:rFonts w:ascii="Cambria Math" w:hAnsi="Cambria Math"/>
                      </w:rPr>
                      <m:t>e</m:t>
                    </m:r>
                  </m:e>
                  <m:sup>
                    <m:r>
                      <w:rPr>
                        <w:rFonts w:ascii="Cambria Math" w:hAnsi="Cambria Math"/>
                      </w:rPr>
                      <m:t>2</m:t>
                    </m:r>
                    <m:r>
                      <w:rPr>
                        <w:rFonts w:ascii="Cambria Math" w:hAnsi="Cambria Math"/>
                      </w:rPr>
                      <m:t>β</m:t>
                    </m:r>
                    <m:r>
                      <w:rPr>
                        <w:rFonts w:ascii="Cambria Math" w:hAnsi="Cambria Math"/>
                      </w:rPr>
                      <m:t>η</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e>
        </m:d>
      </m:oMath>
      <w:r>
        <w:t xml:space="preserve">. Symbolic optimization gives the sharp constant.</w:t>
      </w:r>
    </w:p>
    <w:p>
      <w:pPr>
        <w:pStyle w:val="BodyText"/>
      </w:pPr>
      <w:r>
        <w:t xml:space="preserve">Proposition 4 — Sharp total-variation bound. Suppose</w:t>
      </w:r>
      <w:r>
        <w:t xml:space="preserve"> </w:t>
      </w:r>
      <m:oMath>
        <m:d>
          <m:dPr>
            <m:begChr m:val="|"/>
            <m:sepChr m:val=""/>
            <m:endChr m:val="|"/>
            <m:grow/>
          </m:dPr>
          <m:e>
            <m:acc>
              <m:accPr>
                <m:chr m:val="̂"/>
              </m:accPr>
              <m:e>
                <m:r>
                  <w:rPr>
                    <w:rFonts w:ascii="Cambria Math" w:hAnsi="Cambria Math"/>
                  </w:rPr>
                  <m:t>S</m:t>
                </m:r>
              </m:e>
            </m:acc>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η</m:t>
        </m:r>
      </m:oMath>
      <w:r>
        <w:t xml:space="preserve"> </w:t>
      </w:r>
      <m:oMath>
        <m:r>
          <w:rPr>
            <w:rFonts w:ascii="Cambria Math" w:hAnsi="Cambria Math"/>
          </w:rPr>
          <m:t>μ</m:t>
        </m:r>
      </m:oMath>
      <w:r>
        <w:t xml:space="preserve">-almost everywhere, and let</w:t>
      </w:r>
      <w:r>
        <w:t xml:space="preserve"> </w:t>
      </w:r>
      <m:oMath>
        <m:r>
          <w:rPr>
            <w:rFonts w:ascii="Cambria Math" w:hAnsi="Cambria Math"/>
          </w:rPr>
          <m:t>π</m:t>
        </m:r>
      </m:oMath>
      <w:r>
        <w:t xml:space="preserve"> </w:t>
      </w:r>
      <w:r>
        <w:t xml:space="preserve">and</w:t>
      </w:r>
      <w:r>
        <w:t xml:space="preserve"> </w:t>
      </w:r>
      <m:oMath>
        <m:acc>
          <m:accPr>
            <m:chr m:val="̂"/>
          </m:accPr>
          <m:e>
            <m:r>
              <w:rPr>
                <w:rFonts w:ascii="Cambria Math" w:hAnsi="Cambria Math"/>
              </w:rPr>
              <m:t>π</m:t>
            </m:r>
          </m:e>
        </m:acc>
      </m:oMath>
      <w:r>
        <w:t xml:space="preserve"> </w:t>
      </w:r>
      <w:r>
        <w:t xml:space="preserve">be the corresponding Gibbs targets at inverse temperature</w:t>
      </w:r>
      <w:r>
        <w:t xml:space="preserve"> </w:t>
      </w:r>
      <m:oMath>
        <m:r>
          <w:rPr>
            <w:rFonts w:ascii="Cambria Math" w:hAnsi="Cambria Math"/>
          </w:rPr>
          <m:t>β</m:t>
        </m:r>
      </m:oMath>
      <w:r>
        <w:t xml:space="preserve">. Then</w:t>
      </w:r>
    </w:p>
    <w:p>
      <w:pPr>
        <w:pStyle w:val="BodyText"/>
        <w:keepLines/>
        <w:spacing w:before="60" w:after="120"/>
        <w:jc w:val="center"/>
      </w:pPr>
      <m:oMathPara>
        <m:oMathParaPr>
          <m:jc m:val="center"/>
        </m:oMathParaPr>
        <m:oMath>
          <m:r>
            <m:rPr>
              <m:sty m:val="p"/>
            </m:rPr>
            <w:rPr>
              <w:rFonts w:ascii="Cambria Math" w:hAnsi="Cambria Math"/>
            </w:rPr>
            <m:t>∥</m:t>
          </m:r>
          <m:acc>
            <m:accPr>
              <m:chr m:val="̂"/>
            </m:accPr>
            <m:e>
              <m:r>
                <w:rPr>
                  <w:rFonts w:ascii="Cambria Math" w:hAnsi="Cambria Math"/>
                </w:rPr>
                <m:t>π</m:t>
              </m:r>
            </m:e>
          </m:acc>
          <m:r>
            <m:rPr>
              <m:sty m:val="p"/>
            </m:rPr>
            <w:rPr>
              <w:rFonts w:ascii="Cambria Math" w:hAnsi="Cambria Math"/>
            </w:rPr>
            <m:t>−</m:t>
          </m:r>
          <m:r>
            <w:rPr>
              <w:rFonts w:ascii="Cambria Math" w:hAnsi="Cambria Math"/>
            </w:rPr>
            <m:t>π</m:t>
          </m:r>
          <m:sSub>
            <m:e>
              <m:r>
                <m:rPr>
                  <m:sty m:val="p"/>
                </m:rPr>
                <w:rPr>
                  <w:rFonts w:ascii="Cambria Math" w:hAnsi="Cambria Math"/>
                </w:rPr>
                <m:t>∥</m:t>
              </m:r>
            </m:e>
            <m:sub>
              <m:r>
                <w:rPr>
                  <w:rFonts w:ascii="Cambria Math" w:hAnsi="Cambria Math"/>
                </w:rPr>
                <m:t>T</m:t>
              </m:r>
              <m:r>
                <w:rPr>
                  <w:rFonts w:ascii="Cambria Math" w:hAnsi="Cambria Math"/>
                </w:rPr>
                <m:t>V</m:t>
              </m:r>
            </m:sub>
          </m:sSub>
          <m:r>
            <m:rPr>
              <m:sty m:val="p"/>
            </m:rPr>
            <w:rPr>
              <w:rFonts w:ascii="Cambria Math" w:hAnsi="Cambria Math"/>
            </w:rPr>
            <m:t>≤</m:t>
          </m:r>
          <m:r>
            <m:rPr>
              <m:sty m:val="p"/>
            </m:rPr>
            <w:rPr>
              <w:rFonts w:ascii="Cambria Math" w:hAnsi="Cambria Math"/>
            </w:rPr>
            <m:t>tanh</m:t>
          </m:r>
          <m:d>
            <m:dPr>
              <m:begChr m:val="("/>
              <m:sepChr m:val=""/>
              <m:endChr m:val=")"/>
              <m:grow/>
            </m:dPr>
            <m:e>
              <m:r>
                <w:rPr>
                  <w:rFonts w:ascii="Cambria Math" w:hAnsi="Cambria Math"/>
                </w:rPr>
                <m:t>β</m:t>
              </m:r>
              <m:r>
                <w:rPr>
                  <w:rFonts w:ascii="Cambria Math" w:hAnsi="Cambria Math"/>
                </w:rPr>
                <m:t>η</m:t>
              </m:r>
              <m:r>
                <m:rPr>
                  <m:sty m:val="p"/>
                </m:rPr>
                <w:rPr>
                  <w:rFonts w:ascii="Cambria Math" w:hAnsi="Cambria Math"/>
                </w:rPr>
                <m:t>/</m:t>
              </m:r>
              <m:r>
                <w:rPr>
                  <w:rFonts w:ascii="Cambria Math" w:hAnsi="Cambria Math"/>
                </w:rPr>
                <m:t>2</m:t>
              </m:r>
            </m:e>
          </m:d>
          <m:r>
            <m:rPr>
              <m:sty m:val="p"/>
            </m:rPr>
            <w:rPr>
              <w:rFonts w:ascii="Cambria Math" w:hAnsi="Cambria Math"/>
            </w:rPr>
            <m:t>.</m:t>
          </m:r>
        </m:oMath>
      </m:oMathPara>
    </w:p>
    <w:p>
      <w:pPr>
        <w:pStyle w:val="FirstParagraph"/>
      </w:pPr>
      <w:r>
        <w:t xml:space="preserve">Equality holds whenever</w:t>
      </w:r>
      <w:r>
        <w:t xml:space="preserve"> </w:t>
      </w:r>
      <m:oMath>
        <m:r>
          <w:rPr>
            <w:rFonts w:ascii="Cambria Math" w:hAnsi="Cambria Math"/>
          </w:rPr>
          <m:t>π</m:t>
        </m:r>
      </m:oMath>
      <w:r>
        <w:t xml:space="preserve"> </w:t>
      </w:r>
      <w:r>
        <w:t xml:space="preserve">has a set</w:t>
      </w:r>
      <w:r>
        <w:t xml:space="preserve"> </w:t>
      </w:r>
      <m:oMath>
        <m:r>
          <w:rPr>
            <w:rFonts w:ascii="Cambria Math" w:hAnsi="Cambria Math"/>
          </w:rPr>
          <m:t>A</m:t>
        </m:r>
      </m:oMath>
      <w:r>
        <w:t xml:space="preserve"> </w:t>
      </w:r>
      <w:r>
        <w:t xml:space="preserve">with</w:t>
      </w:r>
      <w:r>
        <w:t xml:space="preserve"> </w:t>
      </w:r>
      <m:oMath>
        <m:r>
          <w:rPr>
            <w:rFonts w:ascii="Cambria Math" w:hAnsi="Cambria Math"/>
          </w:rPr>
          <m:t>π</m:t>
        </m:r>
        <m:d>
          <m:dPr>
            <m:begChr m:val="("/>
            <m:sepChr m:val=""/>
            <m:endChr m:val=")"/>
            <m:grow/>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sSup>
              <m:e>
                <m:r>
                  <w:rPr>
                    <w:rFonts w:ascii="Cambria Math" w:hAnsi="Cambria Math"/>
                  </w:rPr>
                  <m:t>e</m:t>
                </m:r>
              </m:e>
              <m:sup>
                <m:r>
                  <w:rPr>
                    <w:rFonts w:ascii="Cambria Math" w:hAnsi="Cambria Math"/>
                  </w:rPr>
                  <m:t>β</m:t>
                </m:r>
                <m:r>
                  <w:rPr>
                    <w:rFonts w:ascii="Cambria Math" w:hAnsi="Cambria Math"/>
                  </w:rPr>
                  <m:t>η</m:t>
                </m:r>
              </m:sup>
            </m:sSup>
          </m:e>
        </m:d>
      </m:oMath>
      <w:r>
        <w:t xml:space="preserve">, and</w:t>
      </w:r>
      <w:r>
        <w:t xml:space="preserve"> </w:t>
      </w:r>
      <m:oMath>
        <m:acc>
          <m:accPr>
            <m:chr m:val="̂"/>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m:rPr>
            <m:sty m:val="p"/>
          </m:rPr>
          <w:rPr>
            <w:rFonts w:ascii="Cambria Math" w:hAnsi="Cambria Math"/>
          </w:rPr>
          <m:t>−</m:t>
        </m:r>
        <m:r>
          <w:rPr>
            <w:rFonts w:ascii="Cambria Math" w:hAnsi="Cambria Math"/>
          </w:rPr>
          <m:t>η</m:t>
        </m:r>
      </m:oMath>
      <w:r>
        <w:t xml:space="preserve"> </w:t>
      </w:r>
      <w:r>
        <w:t xml:space="preserve">on</w:t>
      </w:r>
      <w:r>
        <w:t xml:space="preserve"> </w:t>
      </w:r>
      <m:oMath>
        <m:r>
          <w:rPr>
            <w:rFonts w:ascii="Cambria Math" w:hAnsi="Cambria Math"/>
          </w:rPr>
          <m:t>A</m:t>
        </m:r>
      </m:oMath>
      <w:r>
        <w:t xml:space="preserve"> </w:t>
      </w:r>
      <w:r>
        <w:t xml:space="preserve">and</w:t>
      </w:r>
      <w:r>
        <w:t xml:space="preserve"> </w:t>
      </w:r>
      <m:oMath>
        <m:r>
          <m:rPr>
            <m:sty m:val="p"/>
          </m:rPr>
          <w:rPr>
            <w:rFonts w:ascii="Cambria Math" w:hAnsi="Cambria Math"/>
          </w:rPr>
          <m:t>+</m:t>
        </m:r>
        <m:r>
          <w:rPr>
            <w:rFonts w:ascii="Cambria Math" w:hAnsi="Cambria Math"/>
          </w:rPr>
          <m:t>η</m:t>
        </m:r>
      </m:oMath>
      <w:r>
        <w:t xml:space="preserve"> </w:t>
      </w:r>
      <w:r>
        <w:t xml:space="preserve">off</w:t>
      </w:r>
      <w:r>
        <w:t xml:space="preserve"> </w:t>
      </w:r>
      <m:oMath>
        <m:r>
          <w:rPr>
            <w:rFonts w:ascii="Cambria Math" w:hAnsi="Cambria Math"/>
          </w:rPr>
          <m:t>A</m:t>
        </m:r>
      </m:oMath>
      <w:r>
        <w:t xml:space="preserve">.</w:t>
      </w:r>
    </w:p>
    <w:p>
      <w:pPr>
        <w:pStyle w:val="BodyText"/>
      </w:pPr>
      <w:r>
        <w:t xml:space="preserve">Proof. For any measurable</w:t>
      </w:r>
      <w:r>
        <w:t xml:space="preserve"> </w:t>
      </w:r>
      <m:oMath>
        <m:r>
          <w:rPr>
            <w:rFonts w:ascii="Cambria Math" w:hAnsi="Cambria Math"/>
          </w:rPr>
          <m:t>A</m:t>
        </m:r>
      </m:oMath>
      <w:r>
        <w:t xml:space="preserve"> </w:t>
      </w:r>
      <w:r>
        <w:t xml:space="preserve">with</w:t>
      </w:r>
      <w:r>
        <w:t xml:space="preserve"> </w:t>
      </w:r>
      <m:oMath>
        <m:r>
          <w:rPr>
            <w:rFonts w:ascii="Cambria Math" w:hAnsi="Cambria Math"/>
          </w:rPr>
          <m:t>p</m:t>
        </m:r>
        <m:r>
          <m:rPr>
            <m:sty m:val="p"/>
          </m:rPr>
          <w:rPr>
            <w:rFonts w:ascii="Cambria Math" w:hAnsi="Cambria Math"/>
          </w:rPr>
          <m:t>=</m:t>
        </m:r>
        <m:r>
          <w:rPr>
            <w:rFonts w:ascii="Cambria Math" w:hAnsi="Cambria Math"/>
          </w:rPr>
          <m:t>π</m:t>
        </m:r>
        <m:d>
          <m:dPr>
            <m:begChr m:val="("/>
            <m:sepChr m:val=""/>
            <m:endChr m:val=")"/>
            <m:grow/>
          </m:dPr>
          <m:e>
            <m:r>
              <w:rPr>
                <w:rFonts w:ascii="Cambria Math" w:hAnsi="Cambria Math"/>
              </w:rPr>
              <m:t>A</m:t>
            </m:r>
          </m:e>
        </m:d>
      </m:oMath>
      <w:r>
        <w:t xml:space="preserve">, write</w:t>
      </w:r>
      <w:r>
        <w:t xml:space="preserve"> </w:t>
      </w:r>
      <m:oMath>
        <m:r>
          <w:rPr>
            <w:rFonts w:ascii="Cambria Math" w:hAnsi="Cambria Math"/>
          </w:rPr>
          <m:t>Δ</m:t>
        </m:r>
        <m:r>
          <m:rPr>
            <m:sty m:val="p"/>
          </m:rPr>
          <w:rPr>
            <w:rFonts w:ascii="Cambria Math" w:hAnsi="Cambria Math"/>
          </w:rPr>
          <m:t>=</m:t>
        </m:r>
        <m:acc>
          <m:accPr>
            <m:chr m:val="̂"/>
          </m:accPr>
          <m:e>
            <m:r>
              <w:rPr>
                <w:rFonts w:ascii="Cambria Math" w:hAnsi="Cambria Math"/>
              </w:rPr>
              <m:t>S</m:t>
            </m:r>
          </m:e>
        </m:acc>
        <m:r>
          <m:rPr>
            <m:sty m:val="p"/>
          </m:rPr>
          <w:rPr>
            <w:rFonts w:ascii="Cambria Math" w:hAnsi="Cambria Math"/>
          </w:rPr>
          <m:t>−</m:t>
        </m:r>
        <m:r>
          <w:rPr>
            <w:rFonts w:ascii="Cambria Math" w:hAnsi="Cambria Math"/>
          </w:rPr>
          <m:t>S</m:t>
        </m:r>
      </m:oMath>
      <w:r>
        <w:t xml:space="preserve">. Then</w:t>
      </w:r>
      <w:r>
        <w:t xml:space="preserve"> </w:t>
      </w:r>
      <m:oMath>
        <m:acc>
          <m:accPr>
            <m:chr m:val="̂"/>
          </m:accPr>
          <m:e>
            <m:r>
              <w:rPr>
                <w:rFonts w:ascii="Cambria Math" w:hAnsi="Cambria Math"/>
              </w:rPr>
              <m:t>π</m:t>
            </m:r>
          </m:e>
        </m:acc>
        <m:d>
          <m:dPr>
            <m:begChr m:val="("/>
            <m:sepChr m:val=""/>
            <m:endChr m:val=")"/>
            <m:grow/>
          </m:dPr>
          <m:e>
            <m:r>
              <w:rPr>
                <w:rFonts w:ascii="Cambria Math" w:hAnsi="Cambria Math"/>
              </w:rPr>
              <m:t>A</m:t>
            </m:r>
          </m:e>
        </m:d>
        <m:r>
          <m:rPr>
            <m:sty m:val="p"/>
          </m:rPr>
          <w:rPr>
            <w:rFonts w:ascii="Cambria Math" w:hAnsi="Cambria Math"/>
          </w:rPr>
          <m:t>=</m:t>
        </m:r>
        <m:nary>
          <m:naryPr>
            <m:chr m:val="∫"/>
            <m:limLoc m:val="subSup"/>
            <m:subHide m:val="off"/>
            <m:supHide m:val="on"/>
          </m:naryPr>
          <m:sub>
            <m:r>
              <w:rPr>
                <w:rFonts w:ascii="Cambria Math" w:hAnsi="Cambria Math"/>
              </w:rPr>
              <m:t>A</m:t>
            </m:r>
          </m:sub>
          <m:sup>
            <m:r>
              <w:rPr>
                <w:rFonts w:ascii="Cambria Math" w:hAnsi="Cambria Math"/>
              </w:rPr>
              <m:t>​</m:t>
            </m:r>
          </m:sup>
          <m:e>
            <m:sSup>
              <m:e>
                <m:r>
                  <w:rPr>
                    <w:rFonts w:ascii="Cambria Math" w:hAnsi="Cambria Math"/>
                  </w:rPr>
                  <m:t>e</m:t>
                </m:r>
              </m:e>
              <m:sup>
                <m:r>
                  <m:rPr>
                    <m:sty m:val="p"/>
                  </m:rPr>
                  <w:rPr>
                    <w:rFonts w:ascii="Cambria Math" w:hAnsi="Cambria Math"/>
                  </w:rPr>
                  <m:t>−</m:t>
                </m:r>
                <m:r>
                  <w:rPr>
                    <w:rFonts w:ascii="Cambria Math" w:hAnsi="Cambria Math"/>
                  </w:rPr>
                  <m:t>β</m:t>
                </m:r>
                <m:r>
                  <w:rPr>
                    <w:rFonts w:ascii="Cambria Math" w:hAnsi="Cambria Math"/>
                  </w:rPr>
                  <m:t>Δ</m:t>
                </m:r>
              </m:sup>
            </m:sSup>
          </m:e>
        </m:nary>
        <m:r>
          <w:rPr>
            <w:rFonts w:ascii="Cambria Math" w:hAnsi="Cambria Math"/>
          </w:rPr>
          <m:t>d</m:t>
        </m:r>
        <m:r>
          <w:rPr>
            <w:rFonts w:ascii="Cambria Math" w:hAnsi="Cambria Math"/>
          </w:rPr>
          <m:t>π</m:t>
        </m:r>
        <m:r>
          <m:rPr>
            <m:sty m:val="p"/>
          </m:rPr>
          <w:rPr>
            <w:rFonts w:ascii="Cambria Math" w:hAnsi="Cambria Math"/>
          </w:rPr>
          <m:t>/</m:t>
        </m:r>
        <m:r>
          <m:rPr>
            <m:sty m:val="p"/>
          </m:rPr>
          <w:rPr>
            <w:rFonts w:ascii="Cambria Math" w:hAnsi="Cambria Math"/>
          </w:rPr>
          <m:t>∫</m:t>
        </m:r>
        <m:sSup>
          <m:e>
            <m:r>
              <w:rPr>
                <w:rFonts w:ascii="Cambria Math" w:hAnsi="Cambria Math"/>
              </w:rPr>
              <m:t>e</m:t>
            </m:r>
          </m:e>
          <m:sup>
            <m:r>
              <m:rPr>
                <m:sty m:val="p"/>
              </m:rPr>
              <w:rPr>
                <w:rFonts w:ascii="Cambria Math" w:hAnsi="Cambria Math"/>
              </w:rPr>
              <m:t>−</m:t>
            </m:r>
            <m:r>
              <w:rPr>
                <w:rFonts w:ascii="Cambria Math" w:hAnsi="Cambria Math"/>
              </w:rPr>
              <m:t>β</m:t>
            </m:r>
            <m:r>
              <w:rPr>
                <w:rFonts w:ascii="Cambria Math" w:hAnsi="Cambria Math"/>
              </w:rPr>
              <m:t>Δ</m:t>
            </m:r>
          </m:sup>
        </m:sSup>
        <m:r>
          <w:rPr>
            <w:rFonts w:ascii="Cambria Math" w:hAnsi="Cambria Math"/>
          </w:rPr>
          <m:t>d</m:t>
        </m:r>
        <m:r>
          <w:rPr>
            <w:rFonts w:ascii="Cambria Math" w:hAnsi="Cambria Math"/>
          </w:rPr>
          <m:t>π</m:t>
        </m:r>
      </m:oMath>
      <w:r>
        <w:t xml:space="preserve">. This ratio increases with the numerator and decreases with the integral over</w:t>
      </w:r>
      <w:r>
        <w:t xml:space="preserve"> </w:t>
      </w:r>
      <m:oMath>
        <m:sSup>
          <m:e>
            <m:r>
              <w:rPr>
                <w:rFonts w:ascii="Cambria Math" w:hAnsi="Cambria Math"/>
              </w:rPr>
              <m:t>A</m:t>
            </m:r>
          </m:e>
          <m:sup>
            <m:r>
              <w:rPr>
                <w:rFonts w:ascii="Cambria Math" w:hAnsi="Cambria Math"/>
              </w:rPr>
              <m:t>c</m:t>
            </m:r>
          </m:sup>
        </m:sSup>
      </m:oMath>
      <w:r>
        <w:t xml:space="preserve">. With</w:t>
      </w:r>
      <w:r>
        <w:t xml:space="preserve"> </w:t>
      </w:r>
      <m:oMath>
        <m:r>
          <w:rPr>
            <w:rFonts w:ascii="Cambria Math" w:hAnsi="Cambria Math"/>
          </w:rPr>
          <m:t>k</m:t>
        </m:r>
        <m:r>
          <m:rPr>
            <m:sty m:val="p"/>
          </m:rPr>
          <w:rPr>
            <w:rFonts w:ascii="Cambria Math" w:hAnsi="Cambria Math"/>
          </w:rPr>
          <m:t>=</m:t>
        </m:r>
        <m:sSup>
          <m:e>
            <m:r>
              <w:rPr>
                <w:rFonts w:ascii="Cambria Math" w:hAnsi="Cambria Math"/>
              </w:rPr>
              <m:t>e</m:t>
            </m:r>
          </m:e>
          <m:sup>
            <m:r>
              <w:rPr>
                <w:rFonts w:ascii="Cambria Math" w:hAnsi="Cambria Math"/>
              </w:rPr>
              <m:t>2</m:t>
            </m:r>
            <m:r>
              <w:rPr>
                <w:rFonts w:ascii="Cambria Math" w:hAnsi="Cambria Math"/>
              </w:rPr>
              <m:t>β</m:t>
            </m:r>
            <m:r>
              <w:rPr>
                <w:rFonts w:ascii="Cambria Math" w:hAnsi="Cambria Math"/>
              </w:rPr>
              <m:t>η</m:t>
            </m:r>
          </m:sup>
        </m:sSup>
      </m:oMath>
      <w:r>
        <w:t xml:space="preserve">, it is at most</w:t>
      </w:r>
      <w:r>
        <w:t xml:space="preserve"> </w:t>
      </w:r>
      <m:oMath>
        <m:r>
          <w:rPr>
            <w:rFonts w:ascii="Cambria Math" w:hAnsi="Cambria Math"/>
          </w:rPr>
          <m:t>p</m:t>
        </m:r>
        <m:r>
          <w:rPr>
            <w:rFonts w:ascii="Cambria Math" w:hAnsi="Cambria Math"/>
          </w:rPr>
          <m:t>k</m:t>
        </m:r>
        <m:r>
          <m:rPr>
            <m:sty m:val="p"/>
          </m:rPr>
          <w:rPr>
            <w:rFonts w:ascii="Cambria Math" w:hAnsi="Cambria Math"/>
          </w:rPr>
          <m:t>/</m:t>
        </m:r>
        <m:d>
          <m:dPr>
            <m:begChr m:val="("/>
            <m:sepChr m:val=""/>
            <m:endChr m:val=")"/>
            <m:grow/>
          </m:dPr>
          <m:e>
            <m:r>
              <w:rPr>
                <w:rFonts w:ascii="Cambria Math" w:hAnsi="Cambria Math"/>
              </w:rPr>
              <m:t>p</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d>
      </m:oMath>
      <w:r>
        <w:t xml:space="preserve">. Hence</w:t>
      </w:r>
      <w:r>
        <w:t xml:space="preserve"> </w:t>
      </w:r>
      <m:oMath>
        <m:acc>
          <m:accPr>
            <m:chr m:val="̂"/>
          </m:accPr>
          <m:e>
            <m:r>
              <w:rPr>
                <w:rFonts w:ascii="Cambria Math" w:hAnsi="Cambria Math"/>
              </w:rPr>
              <m:t>π</m:t>
            </m:r>
          </m:e>
        </m:acc>
        <m:d>
          <m:dPr>
            <m:begChr m:val="("/>
            <m:sepChr m:val=""/>
            <m:endChr m:val=")"/>
            <m:grow/>
          </m:dPr>
          <m:e>
            <m:r>
              <w:rPr>
                <w:rFonts w:ascii="Cambria Math" w:hAnsi="Cambria Math"/>
              </w:rPr>
              <m:t>A</m:t>
            </m:r>
          </m:e>
        </m:d>
        <m:r>
          <m:rPr>
            <m:sty m:val="p"/>
          </m:rPr>
          <w:rPr>
            <w:rFonts w:ascii="Cambria Math" w:hAnsi="Cambria Math"/>
          </w:rPr>
          <m:t>−</m:t>
        </m:r>
        <m:r>
          <w:rPr>
            <w:rFonts w:ascii="Cambria Math" w:hAnsi="Cambria Math"/>
          </w:rPr>
          <m:t>π</m:t>
        </m:r>
        <m:d>
          <m:dPr>
            <m:begChr m:val="("/>
            <m:sepChr m:val=""/>
            <m:endChr m:val=")"/>
            <m:grow/>
          </m:dPr>
          <m:e>
            <m:r>
              <w:rPr>
                <w:rFonts w:ascii="Cambria Math" w:hAnsi="Cambria Math"/>
              </w:rPr>
              <m:t>A</m:t>
            </m:r>
          </m:e>
        </m:d>
        <m:r>
          <m:rPr>
            <m:sty m:val="p"/>
          </m:rPr>
          <w:rPr>
            <w:rFonts w:ascii="Cambria Math" w:hAnsi="Cambria Math"/>
          </w:rPr>
          <m:t>≤</m:t>
        </m:r>
        <m:r>
          <w:rPr>
            <w:rFonts w:ascii="Cambria Math" w:hAnsi="Cambria Math"/>
          </w:rPr>
          <m:t>p</m:t>
        </m:r>
        <m:r>
          <w:rPr>
            <w:rFonts w:ascii="Cambria Math" w:hAnsi="Cambria Math"/>
          </w:rPr>
          <m:t>k</m:t>
        </m:r>
        <m:r>
          <m:rPr>
            <m:sty m:val="p"/>
          </m:rPr>
          <w:rPr>
            <w:rFonts w:ascii="Cambria Math" w:hAnsi="Cambria Math"/>
          </w:rPr>
          <m:t>/</m:t>
        </m:r>
        <m:d>
          <m:dPr>
            <m:begChr m:val="("/>
            <m:sepChr m:val=""/>
            <m:endChr m:val=")"/>
            <m:grow/>
          </m:dPr>
          <m:e>
            <m:r>
              <w:rPr>
                <w:rFonts w:ascii="Cambria Math" w:hAnsi="Cambria Math"/>
              </w:rPr>
              <m:t>p</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p</m:t>
        </m:r>
      </m:oMath>
      <w:r>
        <w:t xml:space="preserve">. SymPy verifies that this concave function of</w:t>
      </w:r>
      <w:r>
        <w:t xml:space="preserve"> </w:t>
      </w:r>
      <m:oMath>
        <m:r>
          <w:rPr>
            <w:rFonts w:ascii="Cambria Math" w:hAnsi="Cambria Math"/>
          </w:rPr>
          <m:t>p</m:t>
        </m:r>
      </m:oMath>
      <w:r>
        <w:t xml:space="preserve"> </w:t>
      </w:r>
      <w:r>
        <w:t xml:space="preserve">is maximized at</w:t>
      </w:r>
      <w:r>
        <w:t xml:space="preserve">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k</m:t>
                </m:r>
              </m:e>
            </m:rad>
          </m:e>
        </m:d>
      </m:oMath>
      <w:r>
        <w:t xml:space="preserve">, with maximum</w:t>
      </w:r>
      <w:r>
        <w:t xml:space="preserve"> </w:t>
      </w:r>
      <m:oMath>
        <m:d>
          <m:dPr>
            <m:begChr m:val="("/>
            <m:sepChr m:val=""/>
            <m:endChr m:val=")"/>
            <m:grow/>
          </m:dPr>
          <m:e>
            <m:rad>
              <m:radPr>
                <m:degHide m:val="on"/>
              </m:radPr>
              <m:deg/>
              <m:e>
                <m:r>
                  <w:rPr>
                    <w:rFonts w:ascii="Cambria Math" w:hAnsi="Cambria Math"/>
                  </w:rPr>
                  <m:t>k</m:t>
                </m:r>
              </m:e>
            </m:rad>
            <m:r>
              <m:rPr>
                <m:sty m:val="p"/>
              </m:rPr>
              <w:rPr>
                <w:rFonts w:ascii="Cambria Math" w:hAnsi="Cambria Math"/>
              </w:rPr>
              <m:t>−</m:t>
            </m:r>
            <m:r>
              <w:rPr>
                <w:rFonts w:ascii="Cambria Math" w:hAnsi="Cambria Math"/>
              </w:rPr>
              <m:t>1</m:t>
            </m:r>
          </m:e>
        </m:d>
        <m:r>
          <m:rPr>
            <m:sty m:val="p"/>
          </m:rPr>
          <w:rPr>
            <w:rFonts w:ascii="Cambria Math" w:hAnsi="Cambria Math"/>
          </w:rPr>
          <m:t>/</m:t>
        </m:r>
        <m:d>
          <m:dPr>
            <m:begChr m:val="("/>
            <m:sepChr m:val=""/>
            <m:endChr m:val=")"/>
            <m:grow/>
          </m:dPr>
          <m:e>
            <m:rad>
              <m:radPr>
                <m:degHide m:val="on"/>
              </m:radPr>
              <m:deg/>
              <m:e>
                <m:r>
                  <w:rPr>
                    <w:rFonts w:ascii="Cambria Math" w:hAnsi="Cambria Math"/>
                  </w:rPr>
                  <m:t>k</m:t>
                </m:r>
              </m:e>
            </m:rad>
            <m:r>
              <m:rPr>
                <m:sty m:val="p"/>
              </m:rPr>
              <w:rPr>
                <w:rFonts w:ascii="Cambria Math" w:hAnsi="Cambria Math"/>
              </w:rPr>
              <m:t>+</m:t>
            </m:r>
            <m:r>
              <w:rPr>
                <w:rFonts w:ascii="Cambria Math" w:hAnsi="Cambria Math"/>
              </w:rPr>
              <m:t>1</m:t>
            </m:r>
          </m:e>
        </m:d>
        <m:r>
          <m:rPr>
            <m:sty m:val="p"/>
          </m:rPr>
          <w:rPr>
            <w:rFonts w:ascii="Cambria Math" w:hAnsi="Cambria Math"/>
          </w:rPr>
          <m:t>=</m:t>
        </m:r>
        <m:r>
          <m:rPr>
            <m:sty m:val="p"/>
          </m:rPr>
          <w:rPr>
            <w:rFonts w:ascii="Cambria Math" w:hAnsi="Cambria Math"/>
          </w:rPr>
          <m:t>tanh</m:t>
        </m:r>
        <m:d>
          <m:dPr>
            <m:begChr m:val="("/>
            <m:sepChr m:val=""/>
            <m:endChr m:val=")"/>
            <m:grow/>
          </m:dPr>
          <m:e>
            <m:r>
              <w:rPr>
                <w:rFonts w:ascii="Cambria Math" w:hAnsi="Cambria Math"/>
              </w:rPr>
              <m:t>β</m:t>
            </m:r>
            <m:r>
              <w:rPr>
                <w:rFonts w:ascii="Cambria Math" w:hAnsi="Cambria Math"/>
              </w:rPr>
              <m:t>η</m:t>
            </m:r>
            <m:r>
              <m:rPr>
                <m:sty m:val="p"/>
              </m:rPr>
              <w:rPr>
                <w:rFonts w:ascii="Cambria Math" w:hAnsi="Cambria Math"/>
              </w:rPr>
              <m:t>/</m:t>
            </m:r>
            <m:r>
              <w:rPr>
                <w:rFonts w:ascii="Cambria Math" w:hAnsi="Cambria Math"/>
              </w:rPr>
              <m:t>2</m:t>
            </m:r>
          </m:e>
        </m:d>
      </m:oMath>
      <w:r>
        <w:t xml:space="preserve">. The extremal</w:t>
      </w:r>
      <w:r>
        <w:t xml:space="preserve"> </w:t>
      </w:r>
      <m:oMath>
        <m:r>
          <w:rPr>
            <w:rFonts w:ascii="Cambria Math" w:hAnsi="Cambria Math"/>
          </w:rPr>
          <m:t>Δ</m:t>
        </m:r>
      </m:oMath>
      <w:r>
        <w:t xml:space="preserve"> </w:t>
      </w:r>
      <w:r>
        <w:t xml:space="preserve">attains both inequalities. ∎</w:t>
      </w:r>
    </w:p>
    <w:p>
      <w:pPr>
        <w:pStyle w:val="BodyText"/>
      </w:pPr>
      <w:r>
        <w:t xml:space="preserve">The density-ratio bounds in (19) are unchanged. The total-variation part improves by a factor of two even to first order, because</w:t>
      </w:r>
      <w:r>
        <w:t xml:space="preserve"> </w:t>
      </w:r>
      <m:oMath>
        <m:r>
          <m:rPr>
            <m:sty m:val="p"/>
          </m:rPr>
          <w:rPr>
            <w:rFonts w:ascii="Cambria Math" w:hAnsi="Cambria Math"/>
          </w:rPr>
          <m:t>tanh</m:t>
        </m:r>
        <m:d>
          <m:dPr>
            <m:begChr m:val="("/>
            <m:sepChr m:val=""/>
            <m:endChr m:val=")"/>
            <m:grow/>
          </m:dPr>
          <m:e>
            <m:r>
              <w:rPr>
                <w:rFonts w:ascii="Cambria Math" w:hAnsi="Cambria Math"/>
              </w:rPr>
              <m:t>β</m:t>
            </m:r>
            <m:r>
              <w:rPr>
                <w:rFonts w:ascii="Cambria Math" w:hAnsi="Cambria Math"/>
              </w:rPr>
              <m:t>η</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β</m:t>
        </m:r>
        <m:r>
          <w:rPr>
            <w:rFonts w:ascii="Cambria Math" w:hAnsi="Cambria Math"/>
          </w:rPr>
          <m:t>η</m:t>
        </m:r>
        <m:r>
          <m:rPr>
            <m:sty m:val="p"/>
          </m:rPr>
          <w:rPr>
            <w:rFonts w:ascii="Cambria Math" w:hAnsi="Cambria Math"/>
          </w:rPr>
          <m:t>/</m:t>
        </m:r>
        <m:r>
          <w:rPr>
            <w:rFonts w:ascii="Cambria Math" w:hAnsi="Cambria Math"/>
          </w:rPr>
          <m:t>2</m:t>
        </m:r>
      </m:oMath>
      <w:r>
        <w:t xml:space="preserve"> </w:t>
      </w:r>
      <w:r>
        <w:t xml:space="preserve">whereas</w:t>
      </w:r>
      <w:r>
        <w:t xml:space="preserve"> </w:t>
      </w:r>
      <m:oMath>
        <m:d>
          <m:dPr>
            <m:begChr m:val="("/>
            <m:sepChr m:val=""/>
            <m:endChr m:val=")"/>
            <m:grow/>
          </m:dPr>
          <m:e>
            <m:sSup>
              <m:e>
                <m:r>
                  <w:rPr>
                    <w:rFonts w:ascii="Cambria Math" w:hAnsi="Cambria Math"/>
                  </w:rPr>
                  <m:t>e</m:t>
                </m:r>
              </m:e>
              <m:sup>
                <m:r>
                  <w:rPr>
                    <w:rFonts w:ascii="Cambria Math" w:hAnsi="Cambria Math"/>
                  </w:rPr>
                  <m:t>2</m:t>
                </m:r>
                <m:r>
                  <w:rPr>
                    <w:rFonts w:ascii="Cambria Math" w:hAnsi="Cambria Math"/>
                  </w:rPr>
                  <m:t>β</m:t>
                </m:r>
                <m:r>
                  <w:rPr>
                    <w:rFonts w:ascii="Cambria Math" w:hAnsi="Cambria Math"/>
                  </w:rPr>
                  <m:t>η</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w:rPr>
            <w:rFonts w:ascii="Cambria Math" w:hAnsi="Cambria Math"/>
          </w:rPr>
          <m:t>η</m:t>
        </m:r>
      </m:oMath>
      <w:r>
        <w:t xml:space="preserve">. At</w:t>
      </w:r>
      <w:r>
        <w:t xml:space="preserve"> </w:t>
      </w:r>
      <m:oMath>
        <m:r>
          <w:rPr>
            <w:rFonts w:ascii="Cambria Math" w:hAnsi="Cambria Math"/>
          </w:rPr>
          <m:t>β</m:t>
        </m:r>
        <m:r>
          <w:rPr>
            <w:rFonts w:ascii="Cambria Math" w:hAnsi="Cambria Math"/>
          </w:rPr>
          <m:t>η</m:t>
        </m:r>
        <m:r>
          <m:rPr>
            <m:sty m:val="p"/>
          </m:rPr>
          <w:rPr>
            <w:rFonts w:ascii="Cambria Math" w:hAnsi="Cambria Math"/>
          </w:rPr>
          <m:t>=</m:t>
        </m:r>
        <m:r>
          <w:rPr>
            <w:rFonts w:ascii="Cambria Math" w:hAnsi="Cambria Math"/>
          </w:rPr>
          <m:t>0.1</m:t>
        </m:r>
      </m:oMath>
      <w:r>
        <w:t xml:space="preserve"> </w:t>
      </w:r>
      <w:r>
        <w:t xml:space="preserve">the bounds are 0.0500 and 0.1107. At</w:t>
      </w:r>
      <w:r>
        <w:t xml:space="preserve"> </w:t>
      </w:r>
      <m:oMath>
        <m:r>
          <w:rPr>
            <w:rFonts w:ascii="Cambria Math" w:hAnsi="Cambria Math"/>
          </w:rPr>
          <m:t>β</m:t>
        </m:r>
        <m:r>
          <w:rPr>
            <w:rFonts w:ascii="Cambria Math" w:hAnsi="Cambria Math"/>
          </w:rPr>
          <m:t>η</m:t>
        </m:r>
        <m:r>
          <m:rPr>
            <m:sty m:val="p"/>
          </m:rPr>
          <w:rPr>
            <w:rFonts w:ascii="Cambria Math" w:hAnsi="Cambria Math"/>
          </w:rPr>
          <m:t>=</m:t>
        </m:r>
        <m:r>
          <w:rPr>
            <w:rFonts w:ascii="Cambria Math" w:hAnsi="Cambria Math"/>
          </w:rPr>
          <m:t>0.5</m:t>
        </m:r>
      </m:oMath>
      <w:r>
        <w:t xml:space="preserve"> </w:t>
      </w:r>
      <w:r>
        <w:t xml:space="preserve">they are 0.2449 and 0.8591. The bound in (19) reaches one at</w:t>
      </w:r>
      <w:r>
        <w:t xml:space="preserve"> </w:t>
      </w:r>
      <m:oMath>
        <m:r>
          <w:rPr>
            <w:rFonts w:ascii="Cambria Math" w:hAnsi="Cambria Math"/>
          </w:rPr>
          <m:t>β</m:t>
        </m:r>
        <m:r>
          <w:rPr>
            <w:rFonts w:ascii="Cambria Math" w:hAnsi="Cambria Math"/>
          </w:rPr>
          <m:t>η</m:t>
        </m:r>
        <m:r>
          <m:rPr>
            <m:sty m:val="p"/>
          </m:rPr>
          <w:rPr>
            <w:rFonts w:ascii="Cambria Math" w:hAnsi="Cambria Math"/>
          </w:rPr>
          <m:t>=</m:t>
        </m:r>
        <m:d>
          <m:dPr>
            <m:begChr m:val="("/>
            <m:sepChr m:val=""/>
            <m:endChr m:val=")"/>
            <m:grow/>
          </m:dPr>
          <m:e>
            <m:r>
              <m:rPr>
                <m:sty m:val="p"/>
              </m:rPr>
              <w:rPr>
                <w:rFonts w:ascii="Cambria Math" w:hAnsi="Cambria Math"/>
              </w:rPr>
              <m:t>log</m:t>
            </m:r>
            <m:r>
              <w:rPr>
                <w:rFonts w:ascii="Cambria Math" w:hAnsi="Cambria Math"/>
              </w:rPr>
              <m:t>3</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0.549</m:t>
        </m:r>
      </m:oMath>
      <w:r>
        <w:t xml:space="preserve">, while the sharp bound stays below one for every finite</w:t>
      </w:r>
      <w:r>
        <w:t xml:space="preserve"> </w:t>
      </w:r>
      <m:oMath>
        <m:r>
          <w:rPr>
            <w:rFonts w:ascii="Cambria Math" w:hAnsi="Cambria Math"/>
          </w:rPr>
          <m:t>β</m:t>
        </m:r>
        <m:r>
          <w:rPr>
            <w:rFonts w:ascii="Cambria Math" w:hAnsi="Cambria Math"/>
          </w:rPr>
          <m:t>η</m:t>
        </m:r>
      </m:oMath>
      <w:r>
        <w:t xml:space="preserve">. The statement still requires the response error bound to be established. It does not convert an uncalibrated surrogate into an exact observation.</w:t>
      </w:r>
    </w:p>
    <w:p>
      <w:pPr>
        <w:pStyle w:val="BodyText"/>
        <w:keepNext/>
        <w:spacing w:before="120"/>
        <w:jc w:val="center"/>
      </w:pPr>
      <w:r>
        <w:rPr>
          <w:noProof/>
        </w:rPr>
        <w:drawing>
          <wp:inline distT="0" distB="0" distL="0" distR="0">
            <wp:extent cx="6126480" cy="2468880"/>
            <wp:effectExtent l="0" t="0" r="0" b="0"/>
            <wp:docPr id="902" name="Picture 902" descr="Sharp total-variation bound and Chebyshev minimizers"/>
            <wp:cNvGraphicFramePr/>
            <a:graphic xmlns:a="http://schemas.openxmlformats.org/drawingml/2006/main">
              <a:graphicData uri="http://schemas.openxmlformats.org/drawingml/2006/picture">
                <pic:pic xmlns:pic="http://schemas.openxmlformats.org/drawingml/2006/picture">
                  <pic:nvPicPr>
                    <pic:cNvPr id="902" name="Picture 902" descr="Sharp total-variation bound and Chebyshev minimizers"/>
                    <pic:cNvPicPr>
                      <a:picLocks noChangeAspect="1" noChangeArrowheads="1"/>
                    </pic:cNvPicPr>
                  </pic:nvPicPr>
                  <pic:blipFill>
                    <a:blip r:embed="rId31"/>
                    <a:stretch>
                      <a:fillRect/>
                    </a:stretch>
                  </pic:blipFill>
                  <pic:spPr bwMode="auto">
                    <a:xfrm>
                      <a:off x="0" y="0"/>
                      <a:ext cx="6126480" cy="2468880"/>
                    </a:xfrm>
                    <a:prstGeom prst="rect">
                      <a:avLst/>
                    </a:prstGeom>
                    <a:noFill/>
                  </pic:spPr>
                </pic:pic>
              </a:graphicData>
            </a:graphic>
          </wp:inline>
        </w:drawing>
      </w:r>
    </w:p>
    <w:p>
      <w:pPr>
        <w:pStyle w:val="Caption"/>
        <w:keepLines/>
      </w:pPr>
      <w:r>
        <w:t xml:space="preserve">Figure 4. Left: the total-variation bound in (19) and the sharp bound of Proposition 4. Right: the exact balanced Chebyshev minimizer as a function of the second-objective scale, with the two minimizers certified by interval branch and bound.</w:t>
      </w:r>
    </w:p>
    <w:p w14:paraId="74135DD8" w14:textId="77777777" w:rsidR="00D84A52" w:rsidRDefault="00000000">
      <w:pPr>
        <w:pStyle w:val="Heading1"/>
        <w:rPr>
          <w:rFonts w:hint="eastAsia"/>
        </w:rPr>
      </w:pPr>
      <w:bookmarkStart w:id="31" w:name="Xe6d7f7a684358773d21c68a90b84edd5585ae38"/>
      <w:bookmarkEnd w:id="27"/>
      <w:bookmarkEnd w:id="30"/>
      <w:r>
        <w:t>10 Recent neuroscience and the limits of the analogy</w:t>
      </w:r>
    </w:p>
    <w:p w14:paraId="26041444" w14:textId="77777777" w:rsidR="00D84A52" w:rsidRDefault="00000000">
      <w:pPr>
        <w:pStyle w:val="Heading2"/>
        <w:rPr>
          <w:rFonts w:hint="eastAsia"/>
        </w:rPr>
      </w:pPr>
      <w:bookmarkStart w:id="32" w:name="Xc1ef143ca980e2e6aa9334ac10483e97e7af5c3"/>
      <w:r>
        <w:t>10.1 Separate attributes and sequential integration</w:t>
      </w:r>
    </w:p>
    <w:p w14:paraId="058A44A8" w14:textId="77777777" w:rsidR="00D84A52" w:rsidRDefault="00000000">
      <w:pPr>
        <w:pStyle w:val="FirstParagraph"/>
        <w:rPr>
          <w:rFonts w:hint="eastAsia"/>
        </w:rPr>
      </w:pPr>
      <w:r>
        <w:t>Grabenhorst and Báez-Mendoza recorded amygdala neurons in two male monkeys receiving sequential cues for reward probability and magnitude [12]. Their 2025 study identifies both attribute-selective responses and temporally changing integration into value and risk-related signals. This is relevant to the engineering choice of preserving a response vector before computing a fused preference: separate information can remain available even when an integrated decision variable is formed. The study does not demonstrate a Pareto front, objective-specific Transformer heads, or an ADE sampling law.</w:t>
      </w:r>
    </w:p>
    <w:p w14:paraId="24788D3E" w14:textId="77777777" w:rsidR="00D84A52" w:rsidRDefault="00000000">
      <w:pPr>
        <w:pStyle w:val="BodyText"/>
        <w:rPr>
          <w:rFonts w:hint="eastAsia"/>
        </w:rPr>
      </w:pPr>
      <w:r>
        <w:t xml:space="preserve">Ferrari-Toniolo, Seak, and Schultz’s 2026 study examines dopamine signals during uncertain-reward valuation in monkeys [13]. Population responses reflected integration of utility and subjectively </w:t>
      </w:r>
      <w:r>
        <w:lastRenderedPageBreak/>
        <w:t>weighted probability in a manner associated with the animals’ choices. This supports investigating explicit mappings from component attributes to a decision variable. It does not justify assuming a linear weighted sum, a Chebyshev maximum, or objective-independent weights for biological valuation. Subjective utility and probability weighting can be nonlinear.</w:t>
      </w:r>
    </w:p>
    <w:p w14:paraId="3FCF3D71" w14:textId="77777777" w:rsidR="00D84A52" w:rsidRDefault="00000000">
      <w:pPr>
        <w:pStyle w:val="BodyText"/>
        <w:rPr>
          <w:rFonts w:hint="eastAsia"/>
        </w:rPr>
      </w:pPr>
      <w:r>
        <w:t>The constructive analogy is therefore architectural rather than anatomical: retain typed component representations, declare the combination rule, and evaluate its behavior. A probability attribute, a cost objective, a feasibility indicator, and a confidence estimate should not be placed into one untyped scalar merely because each can influence a decision.</w:t>
      </w:r>
    </w:p>
    <w:p w14:paraId="0C75018E" w14:textId="77777777" w:rsidR="00D84A52" w:rsidRDefault="00000000">
      <w:pPr>
        <w:pStyle w:val="Heading2"/>
        <w:rPr>
          <w:rFonts w:hint="eastAsia"/>
        </w:rPr>
      </w:pPr>
      <w:bookmarkStart w:id="33" w:name="reliability-is-not-preference"/>
      <w:bookmarkEnd w:id="32"/>
      <w:r>
        <w:t>10.2 Reliability is not preference</w:t>
      </w:r>
    </w:p>
    <w:p w14:paraId="7FC94E78" w14:textId="77777777" w:rsidR="00D84A52" w:rsidRDefault="00000000">
      <w:pPr>
        <w:pStyle w:val="FirstParagraph"/>
        <w:rPr>
          <w:rFonts w:hint="eastAsia"/>
        </w:rPr>
      </w:pPr>
      <w:r>
        <w:t>Liu, Holland, Ma, and Acerbi’s 2026 human audiovisual study fits flexible Bayesian observer models to localization and common-source judgments [14]. The results favor spatially varying sensory noise and non-Gaussian prior structure over customary constant-noise Gaussian assumptions. This is behavioral computational evidence about perceptual inference, not direct neural recording. It supports calibrating a measurement model rather than treating a convenient Gaussian kernel as a discovered biological mechanism.</w:t>
      </w:r>
    </w:p>
    <w:p w14:paraId="68D44009" w14:textId="77777777" w:rsidR="00D84A52" w:rsidRDefault="00000000">
      <w:pPr>
        <w:pStyle w:val="BodyText"/>
        <w:rPr>
          <w:rFonts w:hint="eastAsia"/>
        </w:rPr>
      </w:pPr>
      <w:r>
        <w:t>Frömer and colleagues’ 2025 behavioral and modeling study independently manipulates value and attention [15]. Their sequential sampling account predicts that confidence and attention can increase selection of better-than-average options while decreasing selection of worse-than-average options; two experiments support this interaction. Thus greater confidence is not a universal instruction to favor an option. The engineering counterpart is to let uncertainty govern further measurement and verification, while declared preferences determine which verified outcomes are desirable.</w:t>
      </w:r>
    </w:p>
    <w:p w14:paraId="31A98F95" w14:textId="77777777" w:rsidR="00D84A52" w:rsidRDefault="00000000">
      <w:pPr>
        <w:pStyle w:val="BodyText"/>
        <w:rPr>
          <w:rFonts w:hint="eastAsia"/>
        </w:rPr>
      </w:pPr>
      <w:r>
        <w:t>In construction design, poor confidence in a stress estimate should trigger a better analysis or a conservative feasibility decision. It should not silently reduce the importance of structural safety. A low-confidence embodied-carbon estimate similarly calls for uncertainty treatment, not an arbitrary change to the client’s carbon preference. Evidence gates in (9) estimate compatibility of a query with mixture components; they are not generic trust scores for tools.</w:t>
      </w:r>
    </w:p>
    <w:p w14:paraId="50F619B3" w14:textId="77777777" w:rsidR="00D84A52" w:rsidRDefault="00000000">
      <w:pPr>
        <w:pStyle w:val="Caption"/>
        <w:keepNext/>
        <w:rPr>
          <w:rFonts w:hint="eastAsia"/>
        </w:rPr>
      </w:pPr>
      <w:r>
        <w:t>Table 6. Supported functional comparisons and their scope.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3600"/>
        <w:gridCol w:w="2880"/>
      </w:tblGrid>
      <w:tr w:rsidR="00D84A52" w14:paraId="18976660" w14:textId="77777777">
        <w:trPr>
          <w:cantSplit/>
          <w:tblHeader/>
          <w:jc w:val="center"/>
        </w:trPr>
        <w:tc>
          <w:tcPr>
            <w:tcW w:w="3456" w:type="dxa"/>
            <w:shd w:val="clear" w:color="auto" w:fill="EAEAEA"/>
            <w:tcMar>
              <w:top w:w="80" w:type="dxa"/>
              <w:left w:w="85" w:type="dxa"/>
              <w:bottom w:w="80" w:type="dxa"/>
              <w:right w:w="85" w:type="dxa"/>
            </w:tcMar>
            <w:vAlign w:val="center"/>
          </w:tcPr>
          <w:p w14:paraId="0C44C850" w14:textId="77777777" w:rsidR="00D84A52" w:rsidRDefault="00000000">
            <w:pPr>
              <w:keepNext/>
              <w:keepLines/>
              <w:spacing w:after="0" w:line="247" w:lineRule="auto"/>
              <w:jc w:val="left"/>
              <w:rPr>
                <w:rFonts w:hint="eastAsia"/>
              </w:rPr>
            </w:pPr>
            <w:r>
              <w:rPr>
                <w:b/>
                <w:sz w:val="21"/>
              </w:rPr>
              <w:t>Primary evidence</w:t>
            </w:r>
          </w:p>
        </w:tc>
        <w:tc>
          <w:tcPr>
            <w:tcW w:w="3600" w:type="dxa"/>
            <w:shd w:val="clear" w:color="auto" w:fill="EAEAEA"/>
            <w:tcMar>
              <w:top w:w="80" w:type="dxa"/>
              <w:left w:w="85" w:type="dxa"/>
              <w:bottom w:w="80" w:type="dxa"/>
              <w:right w:w="85" w:type="dxa"/>
            </w:tcMar>
            <w:vAlign w:val="center"/>
          </w:tcPr>
          <w:p w14:paraId="45C56833" w14:textId="77777777" w:rsidR="00D84A52" w:rsidRDefault="00000000">
            <w:pPr>
              <w:keepNext/>
              <w:keepLines/>
              <w:spacing w:after="0" w:line="247" w:lineRule="auto"/>
              <w:jc w:val="left"/>
              <w:rPr>
                <w:rFonts w:hint="eastAsia"/>
              </w:rPr>
            </w:pPr>
            <w:r>
              <w:rPr>
                <w:b/>
                <w:sz w:val="21"/>
              </w:rPr>
              <w:t>Proposed engineering analogue</w:t>
            </w:r>
          </w:p>
        </w:tc>
        <w:tc>
          <w:tcPr>
            <w:tcW w:w="2880" w:type="dxa"/>
            <w:shd w:val="clear" w:color="auto" w:fill="EAEAEA"/>
            <w:tcMar>
              <w:top w:w="80" w:type="dxa"/>
              <w:left w:w="85" w:type="dxa"/>
              <w:bottom w:w="80" w:type="dxa"/>
              <w:right w:w="85" w:type="dxa"/>
            </w:tcMar>
            <w:vAlign w:val="center"/>
          </w:tcPr>
          <w:p w14:paraId="413B3CC7" w14:textId="77777777" w:rsidR="00D84A52" w:rsidRDefault="00000000">
            <w:pPr>
              <w:keepNext/>
              <w:keepLines/>
              <w:spacing w:after="0" w:line="247" w:lineRule="auto"/>
              <w:jc w:val="left"/>
              <w:rPr>
                <w:rFonts w:hint="eastAsia"/>
              </w:rPr>
            </w:pPr>
            <w:r>
              <w:rPr>
                <w:b/>
                <w:sz w:val="21"/>
              </w:rPr>
              <w:t>What is not established</w:t>
            </w:r>
          </w:p>
        </w:tc>
      </w:tr>
      <w:tr w:rsidR="00D84A52" w14:paraId="47ABC502" w14:textId="77777777">
        <w:trPr>
          <w:cantSplit/>
          <w:jc w:val="center"/>
        </w:trPr>
        <w:tc>
          <w:tcPr>
            <w:tcW w:w="3456" w:type="dxa"/>
            <w:shd w:val="clear" w:color="auto" w:fill="FFFFFF"/>
            <w:tcMar>
              <w:top w:w="80" w:type="dxa"/>
              <w:left w:w="85" w:type="dxa"/>
              <w:bottom w:w="80" w:type="dxa"/>
              <w:right w:w="85" w:type="dxa"/>
            </w:tcMar>
            <w:vAlign w:val="center"/>
          </w:tcPr>
          <w:p w14:paraId="033F40AD" w14:textId="77777777" w:rsidR="00D84A52" w:rsidRDefault="00000000">
            <w:pPr>
              <w:keepNext/>
              <w:keepLines/>
              <w:spacing w:after="0" w:line="247" w:lineRule="auto"/>
              <w:jc w:val="left"/>
              <w:rPr>
                <w:rFonts w:hint="eastAsia"/>
              </w:rPr>
            </w:pPr>
            <w:r>
              <w:rPr>
                <w:sz w:val="21"/>
              </w:rPr>
              <w:t>Attribute-selective and integrated neural responses [12,13]</w:t>
            </w:r>
          </w:p>
        </w:tc>
        <w:tc>
          <w:tcPr>
            <w:tcW w:w="3600" w:type="dxa"/>
            <w:shd w:val="clear" w:color="auto" w:fill="FFFFFF"/>
            <w:tcMar>
              <w:top w:w="80" w:type="dxa"/>
              <w:left w:w="85" w:type="dxa"/>
              <w:bottom w:w="80" w:type="dxa"/>
              <w:right w:w="85" w:type="dxa"/>
            </w:tcMar>
            <w:vAlign w:val="center"/>
          </w:tcPr>
          <w:p w14:paraId="2CA0F17C" w14:textId="77777777" w:rsidR="00D84A52" w:rsidRDefault="00000000">
            <w:pPr>
              <w:keepNext/>
              <w:keepLines/>
              <w:spacing w:after="0" w:line="247" w:lineRule="auto"/>
              <w:jc w:val="left"/>
              <w:rPr>
                <w:rFonts w:hint="eastAsia"/>
              </w:rPr>
            </w:pPr>
            <w:r>
              <w:rPr>
                <w:sz w:val="21"/>
              </w:rPr>
              <w:t>Preserve raw objectives and compute declared fusion separately</w:t>
            </w:r>
          </w:p>
        </w:tc>
        <w:tc>
          <w:tcPr>
            <w:tcW w:w="2880" w:type="dxa"/>
            <w:shd w:val="clear" w:color="auto" w:fill="FFFFFF"/>
            <w:tcMar>
              <w:top w:w="80" w:type="dxa"/>
              <w:left w:w="85" w:type="dxa"/>
              <w:bottom w:w="80" w:type="dxa"/>
              <w:right w:w="85" w:type="dxa"/>
            </w:tcMar>
            <w:vAlign w:val="center"/>
          </w:tcPr>
          <w:p w14:paraId="355CE436" w14:textId="77777777" w:rsidR="00D84A52" w:rsidRDefault="00000000">
            <w:pPr>
              <w:keepNext/>
              <w:keepLines/>
              <w:spacing w:after="0" w:line="247" w:lineRule="auto"/>
              <w:jc w:val="left"/>
              <w:rPr>
                <w:rFonts w:hint="eastAsia"/>
              </w:rPr>
            </w:pPr>
            <w:r>
              <w:rPr>
                <w:sz w:val="21"/>
              </w:rPr>
              <w:t>A specific brain scalarization or Pareto optimizer</w:t>
            </w:r>
          </w:p>
        </w:tc>
      </w:tr>
      <w:tr w:rsidR="00D84A52" w14:paraId="795D8A26" w14:textId="77777777">
        <w:trPr>
          <w:cantSplit/>
          <w:jc w:val="center"/>
        </w:trPr>
        <w:tc>
          <w:tcPr>
            <w:tcW w:w="3456" w:type="dxa"/>
            <w:shd w:val="clear" w:color="auto" w:fill="FFFFFF"/>
            <w:tcMar>
              <w:top w:w="80" w:type="dxa"/>
              <w:left w:w="85" w:type="dxa"/>
              <w:bottom w:w="80" w:type="dxa"/>
              <w:right w:w="85" w:type="dxa"/>
            </w:tcMar>
            <w:vAlign w:val="center"/>
          </w:tcPr>
          <w:p w14:paraId="23B1ABF4" w14:textId="77777777" w:rsidR="00D84A52" w:rsidRDefault="00000000">
            <w:pPr>
              <w:keepNext/>
              <w:keepLines/>
              <w:spacing w:after="0" w:line="247" w:lineRule="auto"/>
              <w:jc w:val="left"/>
              <w:rPr>
                <w:rFonts w:hint="eastAsia"/>
              </w:rPr>
            </w:pPr>
            <w:r>
              <w:rPr>
                <w:sz w:val="21"/>
              </w:rPr>
              <w:t>Flexible sensory noise and prior models [14]</w:t>
            </w:r>
          </w:p>
        </w:tc>
        <w:tc>
          <w:tcPr>
            <w:tcW w:w="3600" w:type="dxa"/>
            <w:shd w:val="clear" w:color="auto" w:fill="FFFFFF"/>
            <w:tcMar>
              <w:top w:w="80" w:type="dxa"/>
              <w:left w:w="85" w:type="dxa"/>
              <w:bottom w:w="80" w:type="dxa"/>
              <w:right w:w="85" w:type="dxa"/>
            </w:tcMar>
            <w:vAlign w:val="center"/>
          </w:tcPr>
          <w:p w14:paraId="721E7B64" w14:textId="77777777" w:rsidR="00D84A52" w:rsidRDefault="00000000">
            <w:pPr>
              <w:keepNext/>
              <w:keepLines/>
              <w:spacing w:after="0" w:line="247" w:lineRule="auto"/>
              <w:jc w:val="left"/>
              <w:rPr>
                <w:rFonts w:hint="eastAsia"/>
              </w:rPr>
            </w:pPr>
            <w:r>
              <w:rPr>
                <w:sz w:val="21"/>
              </w:rPr>
              <w:t>Calibrate retrieval and observation assumptions</w:t>
            </w:r>
          </w:p>
        </w:tc>
        <w:tc>
          <w:tcPr>
            <w:tcW w:w="2880" w:type="dxa"/>
            <w:shd w:val="clear" w:color="auto" w:fill="FFFFFF"/>
            <w:tcMar>
              <w:top w:w="80" w:type="dxa"/>
              <w:left w:w="85" w:type="dxa"/>
              <w:bottom w:w="80" w:type="dxa"/>
              <w:right w:w="85" w:type="dxa"/>
            </w:tcMar>
            <w:vAlign w:val="center"/>
          </w:tcPr>
          <w:p w14:paraId="16709DAC" w14:textId="77777777" w:rsidR="00D84A52" w:rsidRDefault="00000000">
            <w:pPr>
              <w:keepNext/>
              <w:keepLines/>
              <w:spacing w:after="0" w:line="247" w:lineRule="auto"/>
              <w:jc w:val="left"/>
              <w:rPr>
                <w:rFonts w:hint="eastAsia"/>
              </w:rPr>
            </w:pPr>
            <w:r>
              <w:rPr>
                <w:sz w:val="21"/>
              </w:rPr>
              <w:t>A universal Gaussian neural likelihood</w:t>
            </w:r>
          </w:p>
        </w:tc>
      </w:tr>
      <w:tr w:rsidR="00D84A52" w14:paraId="17FACABE" w14:textId="77777777">
        <w:trPr>
          <w:cantSplit/>
          <w:jc w:val="center"/>
        </w:trPr>
        <w:tc>
          <w:tcPr>
            <w:tcW w:w="3456" w:type="dxa"/>
            <w:shd w:val="clear" w:color="auto" w:fill="FFFFFF"/>
            <w:tcMar>
              <w:top w:w="80" w:type="dxa"/>
              <w:left w:w="85" w:type="dxa"/>
              <w:bottom w:w="80" w:type="dxa"/>
              <w:right w:w="85" w:type="dxa"/>
            </w:tcMar>
            <w:vAlign w:val="center"/>
          </w:tcPr>
          <w:p w14:paraId="1489DCA0" w14:textId="77777777" w:rsidR="00D84A52" w:rsidRDefault="00000000">
            <w:pPr>
              <w:keepLines/>
              <w:spacing w:after="0" w:line="247" w:lineRule="auto"/>
              <w:jc w:val="left"/>
              <w:rPr>
                <w:rFonts w:hint="eastAsia"/>
              </w:rPr>
            </w:pPr>
            <w:r>
              <w:rPr>
                <w:sz w:val="21"/>
              </w:rPr>
              <w:t>Context-dependent attention and confidence [15]</w:t>
            </w:r>
          </w:p>
        </w:tc>
        <w:tc>
          <w:tcPr>
            <w:tcW w:w="3600" w:type="dxa"/>
            <w:shd w:val="clear" w:color="auto" w:fill="FFFFFF"/>
            <w:tcMar>
              <w:top w:w="80" w:type="dxa"/>
              <w:left w:w="85" w:type="dxa"/>
              <w:bottom w:w="80" w:type="dxa"/>
              <w:right w:w="85" w:type="dxa"/>
            </w:tcMar>
            <w:vAlign w:val="center"/>
          </w:tcPr>
          <w:p w14:paraId="07E1B3AE" w14:textId="77777777" w:rsidR="00D84A52" w:rsidRDefault="00000000">
            <w:pPr>
              <w:keepLines/>
              <w:spacing w:after="0" w:line="247" w:lineRule="auto"/>
              <w:jc w:val="left"/>
              <w:rPr>
                <w:rFonts w:hint="eastAsia"/>
              </w:rPr>
            </w:pPr>
            <w:r>
              <w:rPr>
                <w:sz w:val="21"/>
              </w:rPr>
              <w:t>Allocate measurements without silently changing preferences</w:t>
            </w:r>
          </w:p>
        </w:tc>
        <w:tc>
          <w:tcPr>
            <w:tcW w:w="2880" w:type="dxa"/>
            <w:shd w:val="clear" w:color="auto" w:fill="FFFFFF"/>
            <w:tcMar>
              <w:top w:w="80" w:type="dxa"/>
              <w:left w:w="85" w:type="dxa"/>
              <w:bottom w:w="80" w:type="dxa"/>
              <w:right w:w="85" w:type="dxa"/>
            </w:tcMar>
            <w:vAlign w:val="center"/>
          </w:tcPr>
          <w:p w14:paraId="78B6CD9C" w14:textId="77777777" w:rsidR="00D84A52" w:rsidRDefault="00000000">
            <w:pPr>
              <w:keepLines/>
              <w:spacing w:after="0" w:line="247" w:lineRule="auto"/>
              <w:jc w:val="left"/>
              <w:rPr>
                <w:rFonts w:hint="eastAsia"/>
              </w:rPr>
            </w:pPr>
            <w:r>
              <w:rPr>
                <w:sz w:val="21"/>
              </w:rPr>
              <w:t>Confidence as a universal positive utility weight</w:t>
            </w:r>
          </w:p>
        </w:tc>
      </w:tr>
    </w:tbl>
    <w:p w14:paraId="0B409240" w14:textId="77777777" w:rsidR="00D84A52" w:rsidRDefault="00000000">
      <w:pPr>
        <w:pStyle w:val="BodyText"/>
        <w:spacing w:before="140"/>
        <w:rPr>
          <w:rFonts w:hint="eastAsia"/>
        </w:rPr>
      </w:pPr>
      <w:r>
        <w:t>These findings motivate experiments rather than validate the entire framework. A useful ablation holds the task set, declared preferences, numerical proposals, and evaluation budget fixed while comparing uniform response acquisition with a calibrated uncertainty-based acquisition rule. A second varies the fusion rule with frozen scales and identical response vectors. The two interventions test measurement allocation and preference aggregation separately.</w:t>
      </w:r>
    </w:p>
    <w:p w14:paraId="47374FB5" w14:textId="77777777" w:rsidR="00D84A52" w:rsidRDefault="00000000">
      <w:pPr>
        <w:pStyle w:val="Heading1"/>
        <w:rPr>
          <w:rFonts w:hint="eastAsia"/>
        </w:rPr>
      </w:pPr>
      <w:bookmarkStart w:id="34" w:name="X2950b759e0ccafd9f67cfc8a6f2c75e225297e6"/>
      <w:bookmarkEnd w:id="31"/>
      <w:bookmarkEnd w:id="33"/>
      <w:r>
        <w:lastRenderedPageBreak/>
        <w:t>11 An AI harness for construction objectives</w:t>
      </w:r>
    </w:p>
    <w:p w14:paraId="2FF99DE9" w14:textId="77777777" w:rsidR="00D84A52" w:rsidRDefault="00000000">
      <w:pPr>
        <w:pStyle w:val="Heading2"/>
        <w:rPr>
          <w:rFonts w:hint="eastAsia"/>
        </w:rPr>
      </w:pPr>
      <w:bookmarkStart w:id="35" w:name="Xdf1371ae9fa640deab04f8c1f5306f8c26f5941"/>
      <w:r>
        <w:t>11.1 Fixed model weights and an evolving runtime</w:t>
      </w:r>
    </w:p>
    <w:p w14:paraId="162BAE3E" w14:textId="77777777" w:rsidR="00D84A52" w:rsidRDefault="00000000">
      <w:pPr>
        <w:pStyle w:val="FirstParagraph"/>
        <w:rPr>
          <w:rFonts w:hint="eastAsia"/>
        </w:rPr>
      </w:pPr>
      <w:r>
        <w:t>Self-Evolving Agent Harness studies adaptation of the environment around a fixed model [16]. Harmony Harness explicitly addresses multiple objectives in harness evolution [17]. These recent preprints supply an architectural comparison: executable orchestration can change while the underlying model remains fixed. The construction framework here applies that separation to numerical design and verification; it does not reproduce their experimental results.</w:t>
      </w:r>
    </w:p>
    <w:p w14:paraId="24C835A6" w14:textId="77777777" w:rsidR="00D84A52" w:rsidRDefault="00000000">
      <w:pPr>
        <w:pStyle w:val="BodyText"/>
        <w:rPr>
          <w:rFonts w:hint="eastAsia"/>
        </w:rPr>
      </w:pPr>
      <w:r>
        <w:t>Harmony Harness maintains preference-indexed subproblems using weighted Tchebycheff shortfalls and separates general-purpose from environment-specific modifications [17]. Its running ideal point belongs to the adaptive search state. The fixed-target results in this paper apply when the relevant references are frozen, or when a separate uniform-family argument justifies their selection. Preference-indexed harness search and density estimation from its records require different guarantees.</w:t>
      </w:r>
    </w:p>
    <w:p w14:paraId="2FBEF2D4" w14:textId="77777777" w:rsidR="00D84A52" w:rsidRDefault="00000000">
      <w:pPr>
        <w:pStyle w:val="BodyText"/>
        <w:keepNext/>
        <w:rPr>
          <w:rFonts w:hint="eastAsia"/>
        </w:rPr>
      </w:pPr>
      <w:r>
        <w:t xml:space="preserve">Let </w:t>
      </w:r>
      <m:oMath>
        <m:r>
          <w:rPr>
            <w:rFonts w:ascii="Cambria Math" w:hAnsi="Cambria Math"/>
          </w:rPr>
          <m:t>θ</m:t>
        </m:r>
      </m:oMath>
      <w:r>
        <w:t xml:space="preserve"> be the fixed backbone weights,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the executable harness version,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current task state. A structured action and observation update obeys</w:t>
      </w:r>
    </w:p>
    <w:p w14:paraId="4B767A78" w14:textId="77777777" w:rsidR="00D84A5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cr m:val="script"/>
              <m:sty m:val="p"/>
            </m:rPr>
            <w:rPr>
              <w:rFonts w:ascii="Cambria Math" w:hAnsi="Cambria Math"/>
            </w:rPr>
            <m:t>∼E</m:t>
          </m:r>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(17)</m:t>
          </m:r>
        </m:oMath>
      </m:oMathPara>
    </w:p>
    <w:p w14:paraId="1B452410" w14:textId="77777777" w:rsidR="00D84A52" w:rsidRDefault="00000000">
      <w:pPr>
        <w:pStyle w:val="FirstParagraph"/>
        <w:rPr>
          <w:rFonts w:hint="eastAsia"/>
        </w:rPr>
      </w:pPr>
      <w:r>
        <w:t xml:space="preserve">Autoregression at token level appends a generated token to context. At harness level, the old state, proposed action, and observed consequence produce a structured new state. This does not imply vector addition or a change in </w:t>
      </w:r>
      <m:oMath>
        <m:r>
          <w:rPr>
            <w:rFonts w:ascii="Cambria Math" w:hAnsi="Cambria Math"/>
          </w:rPr>
          <m:t>θ</m:t>
        </m:r>
      </m:oMath>
      <w:r>
        <w:t xml:space="preserve">. An accepted harness revision changes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ordinary execution changes </w:t>
      </w:r>
      <m:oMath>
        <m:sSub>
          <m:sSubPr>
            <m:ctrlPr>
              <w:rPr>
                <w:rFonts w:ascii="Cambria Math" w:hAnsi="Cambria Math"/>
              </w:rPr>
            </m:ctrlPr>
          </m:sSubPr>
          <m:e>
            <m:r>
              <w:rPr>
                <w:rFonts w:ascii="Cambria Math" w:hAnsi="Cambria Math"/>
              </w:rPr>
              <m:t>S</m:t>
            </m:r>
          </m:e>
          <m:sub>
            <m:r>
              <w:rPr>
                <w:rFonts w:ascii="Cambria Math" w:hAnsi="Cambria Math"/>
              </w:rPr>
              <m:t>k</m:t>
            </m:r>
          </m:sub>
        </m:sSub>
      </m:oMath>
      <w:r>
        <w:t>. Prompts, tools, memory, workspace, runtime, guardrails, and verification are functional modules, not physical layers added to a pretrained GPT network.</w:t>
      </w:r>
    </w:p>
    <w:p w14:paraId="468544D1" w14:textId="77777777" w:rsidR="00D84A52" w:rsidRDefault="00000000">
      <w:pPr>
        <w:pStyle w:val="Caption"/>
        <w:keepNext/>
        <w:rPr>
          <w:rFonts w:hint="eastAsia"/>
        </w:rPr>
      </w:pPr>
      <w:r>
        <w:t>Table 7. Objective channels and harness responsibilities.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896"/>
        <w:gridCol w:w="2808"/>
      </w:tblGrid>
      <w:tr w:rsidR="00D84A52" w14:paraId="27CF4EF9" w14:textId="77777777">
        <w:trPr>
          <w:cantSplit/>
          <w:tblHeader/>
          <w:jc w:val="center"/>
        </w:trPr>
        <w:tc>
          <w:tcPr>
            <w:tcW w:w="2232" w:type="dxa"/>
            <w:shd w:val="clear" w:color="auto" w:fill="EAEAEA"/>
            <w:tcMar>
              <w:top w:w="80" w:type="dxa"/>
              <w:left w:w="85" w:type="dxa"/>
              <w:bottom w:w="80" w:type="dxa"/>
              <w:right w:w="85" w:type="dxa"/>
            </w:tcMar>
            <w:vAlign w:val="center"/>
          </w:tcPr>
          <w:p w14:paraId="01ADD8F3" w14:textId="77777777" w:rsidR="00D84A52" w:rsidRDefault="00000000">
            <w:pPr>
              <w:keepNext/>
              <w:keepLines/>
              <w:spacing w:after="0" w:line="247" w:lineRule="auto"/>
              <w:jc w:val="left"/>
              <w:rPr>
                <w:rFonts w:hint="eastAsia"/>
              </w:rPr>
            </w:pPr>
            <w:r>
              <w:rPr>
                <w:b/>
                <w:sz w:val="21"/>
              </w:rPr>
              <w:t>Harness component</w:t>
            </w:r>
          </w:p>
        </w:tc>
        <w:tc>
          <w:tcPr>
            <w:tcW w:w="4896" w:type="dxa"/>
            <w:shd w:val="clear" w:color="auto" w:fill="EAEAEA"/>
            <w:tcMar>
              <w:top w:w="80" w:type="dxa"/>
              <w:left w:w="85" w:type="dxa"/>
              <w:bottom w:w="80" w:type="dxa"/>
              <w:right w:w="85" w:type="dxa"/>
            </w:tcMar>
            <w:vAlign w:val="center"/>
          </w:tcPr>
          <w:p w14:paraId="05689FA6" w14:textId="77777777" w:rsidR="00D84A52" w:rsidRDefault="00000000">
            <w:pPr>
              <w:keepNext/>
              <w:keepLines/>
              <w:spacing w:after="0" w:line="247" w:lineRule="auto"/>
              <w:jc w:val="left"/>
              <w:rPr>
                <w:rFonts w:hint="eastAsia"/>
              </w:rPr>
            </w:pPr>
            <w:r>
              <w:rPr>
                <w:b/>
                <w:sz w:val="21"/>
              </w:rPr>
              <w:t>Construction workflow responsibility</w:t>
            </w:r>
          </w:p>
        </w:tc>
        <w:tc>
          <w:tcPr>
            <w:tcW w:w="2808" w:type="dxa"/>
            <w:shd w:val="clear" w:color="auto" w:fill="EAEAEA"/>
            <w:tcMar>
              <w:top w:w="80" w:type="dxa"/>
              <w:left w:w="85" w:type="dxa"/>
              <w:bottom w:w="80" w:type="dxa"/>
              <w:right w:w="85" w:type="dxa"/>
            </w:tcMar>
            <w:vAlign w:val="center"/>
          </w:tcPr>
          <w:p w14:paraId="19C14DB8" w14:textId="77777777" w:rsidR="00D84A52" w:rsidRDefault="00000000">
            <w:pPr>
              <w:keepNext/>
              <w:keepLines/>
              <w:spacing w:after="0" w:line="247" w:lineRule="auto"/>
              <w:jc w:val="left"/>
              <w:rPr>
                <w:rFonts w:hint="eastAsia"/>
              </w:rPr>
            </w:pPr>
            <w:r>
              <w:rPr>
                <w:b/>
                <w:sz w:val="21"/>
              </w:rPr>
              <w:t>Relevant mathematical object</w:t>
            </w:r>
          </w:p>
        </w:tc>
      </w:tr>
      <w:tr w:rsidR="00D84A52" w14:paraId="1F27B1F4" w14:textId="77777777">
        <w:trPr>
          <w:cantSplit/>
          <w:jc w:val="center"/>
        </w:trPr>
        <w:tc>
          <w:tcPr>
            <w:tcW w:w="2232" w:type="dxa"/>
            <w:shd w:val="clear" w:color="auto" w:fill="FFFFFF"/>
            <w:tcMar>
              <w:top w:w="80" w:type="dxa"/>
              <w:left w:w="85" w:type="dxa"/>
              <w:bottom w:w="80" w:type="dxa"/>
              <w:right w:w="85" w:type="dxa"/>
            </w:tcMar>
            <w:vAlign w:val="center"/>
          </w:tcPr>
          <w:p w14:paraId="57156775" w14:textId="77777777" w:rsidR="00D84A52" w:rsidRDefault="00000000">
            <w:pPr>
              <w:keepLines/>
              <w:spacing w:after="0" w:line="247" w:lineRule="auto"/>
              <w:jc w:val="left"/>
              <w:rPr>
                <w:rFonts w:hint="eastAsia"/>
              </w:rPr>
            </w:pPr>
            <w:r>
              <w:rPr>
                <w:sz w:val="21"/>
              </w:rPr>
              <w:t>Prompts and knowledge bases</w:t>
            </w:r>
          </w:p>
        </w:tc>
        <w:tc>
          <w:tcPr>
            <w:tcW w:w="4896" w:type="dxa"/>
            <w:shd w:val="clear" w:color="auto" w:fill="FFFFFF"/>
            <w:tcMar>
              <w:top w:w="80" w:type="dxa"/>
              <w:left w:w="85" w:type="dxa"/>
              <w:bottom w:w="80" w:type="dxa"/>
              <w:right w:w="85" w:type="dxa"/>
            </w:tcMar>
            <w:vAlign w:val="center"/>
          </w:tcPr>
          <w:p w14:paraId="6B2ED027" w14:textId="77777777" w:rsidR="00D84A52" w:rsidRDefault="00000000">
            <w:pPr>
              <w:keepLines/>
              <w:spacing w:after="0" w:line="247" w:lineRule="auto"/>
              <w:jc w:val="left"/>
              <w:rPr>
                <w:rFonts w:hint="eastAsia"/>
              </w:rPr>
            </w:pPr>
            <w:r>
              <w:rPr>
                <w:sz w:val="21"/>
              </w:rPr>
              <w:t>Retrieve brief, code clauses, catalog data, units, and provenance</w:t>
            </w:r>
          </w:p>
        </w:tc>
        <w:tc>
          <w:tcPr>
            <w:tcW w:w="2808" w:type="dxa"/>
            <w:shd w:val="clear" w:color="auto" w:fill="FFFFFF"/>
            <w:tcMar>
              <w:top w:w="80" w:type="dxa"/>
              <w:left w:w="85" w:type="dxa"/>
              <w:bottom w:w="80" w:type="dxa"/>
              <w:right w:w="85" w:type="dxa"/>
            </w:tcMar>
            <w:vAlign w:val="center"/>
          </w:tcPr>
          <w:p w14:paraId="7DF445D3" w14:textId="77777777" w:rsidR="00D84A52" w:rsidRDefault="00000000">
            <w:pPr>
              <w:keepLines/>
              <w:spacing w:after="0" w:line="247" w:lineRule="auto"/>
              <w:jc w:val="left"/>
              <w:rPr>
                <w:rFonts w:hint="eastAsia"/>
              </w:rPr>
            </w:pPr>
            <w:r>
              <w:rPr>
                <w:sz w:val="21"/>
              </w:rPr>
              <w:t>Fixed objective and constraint definitions</w:t>
            </w:r>
          </w:p>
        </w:tc>
      </w:tr>
      <w:tr w:rsidR="00D84A52" w14:paraId="353FDC07" w14:textId="77777777">
        <w:trPr>
          <w:cantSplit/>
          <w:jc w:val="center"/>
        </w:trPr>
        <w:tc>
          <w:tcPr>
            <w:tcW w:w="2232" w:type="dxa"/>
            <w:shd w:val="clear" w:color="auto" w:fill="FFFFFF"/>
            <w:tcMar>
              <w:top w:w="80" w:type="dxa"/>
              <w:left w:w="85" w:type="dxa"/>
              <w:bottom w:w="80" w:type="dxa"/>
              <w:right w:w="85" w:type="dxa"/>
            </w:tcMar>
            <w:vAlign w:val="center"/>
          </w:tcPr>
          <w:p w14:paraId="50E2B2AF" w14:textId="77777777" w:rsidR="00D84A52" w:rsidRDefault="00000000">
            <w:pPr>
              <w:keepLines/>
              <w:spacing w:after="0" w:line="247" w:lineRule="auto"/>
              <w:jc w:val="left"/>
              <w:rPr>
                <w:rFonts w:hint="eastAsia"/>
              </w:rPr>
            </w:pPr>
            <w:r>
              <w:rPr>
                <w:sz w:val="21"/>
              </w:rPr>
              <w:t>Tools</w:t>
            </w:r>
          </w:p>
        </w:tc>
        <w:tc>
          <w:tcPr>
            <w:tcW w:w="4896" w:type="dxa"/>
            <w:shd w:val="clear" w:color="auto" w:fill="FFFFFF"/>
            <w:tcMar>
              <w:top w:w="80" w:type="dxa"/>
              <w:left w:w="85" w:type="dxa"/>
              <w:bottom w:w="80" w:type="dxa"/>
              <w:right w:w="85" w:type="dxa"/>
            </w:tcMar>
            <w:vAlign w:val="center"/>
          </w:tcPr>
          <w:p w14:paraId="23EDC3A2" w14:textId="77777777" w:rsidR="00D84A52" w:rsidRDefault="00000000">
            <w:pPr>
              <w:keepLines/>
              <w:spacing w:after="0" w:line="247" w:lineRule="auto"/>
              <w:jc w:val="left"/>
              <w:rPr>
                <w:rFonts w:hint="eastAsia"/>
              </w:rPr>
            </w:pPr>
            <w:r>
              <w:rPr>
                <w:sz w:val="21"/>
              </w:rPr>
              <w:t>Execute geometry, analysis, costing, carbon, and schedule calculations</w:t>
            </w:r>
          </w:p>
        </w:tc>
        <w:tc>
          <w:tcPr>
            <w:tcW w:w="2808" w:type="dxa"/>
            <w:shd w:val="clear" w:color="auto" w:fill="FFFFFF"/>
            <w:tcMar>
              <w:top w:w="80" w:type="dxa"/>
              <w:left w:w="85" w:type="dxa"/>
              <w:bottom w:w="80" w:type="dxa"/>
              <w:right w:w="85" w:type="dxa"/>
            </w:tcMar>
            <w:vAlign w:val="center"/>
          </w:tcPr>
          <w:p w14:paraId="7376F271" w14:textId="77777777" w:rsidR="00D84A52" w:rsidRDefault="00000000">
            <w:pPr>
              <w:keepLines/>
              <w:spacing w:after="0" w:line="247" w:lineRule="auto"/>
              <w:jc w:val="left"/>
              <w:rPr>
                <w:rFonts w:hint="eastAsia"/>
              </w:rPr>
            </w:pPr>
            <w:r>
              <w:rPr>
                <w:sz w:val="21"/>
              </w:rPr>
              <w:t>Versioned response vector and availability mask</w:t>
            </w:r>
          </w:p>
        </w:tc>
      </w:tr>
      <w:tr w:rsidR="00D84A52" w14:paraId="1FC2B429" w14:textId="77777777">
        <w:trPr>
          <w:cantSplit/>
          <w:jc w:val="center"/>
        </w:trPr>
        <w:tc>
          <w:tcPr>
            <w:tcW w:w="2232" w:type="dxa"/>
            <w:shd w:val="clear" w:color="auto" w:fill="FFFFFF"/>
            <w:tcMar>
              <w:top w:w="80" w:type="dxa"/>
              <w:left w:w="85" w:type="dxa"/>
              <w:bottom w:w="80" w:type="dxa"/>
              <w:right w:w="85" w:type="dxa"/>
            </w:tcMar>
            <w:vAlign w:val="center"/>
          </w:tcPr>
          <w:p w14:paraId="6DE8BF7F" w14:textId="77777777" w:rsidR="00D84A52" w:rsidRDefault="00000000">
            <w:pPr>
              <w:keepLines/>
              <w:spacing w:after="0" w:line="247" w:lineRule="auto"/>
              <w:jc w:val="left"/>
              <w:rPr>
                <w:rFonts w:hint="eastAsia"/>
              </w:rPr>
            </w:pPr>
            <w:r>
              <w:rPr>
                <w:sz w:val="21"/>
              </w:rPr>
              <w:t>Memory and workspace</w:t>
            </w:r>
          </w:p>
        </w:tc>
        <w:tc>
          <w:tcPr>
            <w:tcW w:w="4896" w:type="dxa"/>
            <w:shd w:val="clear" w:color="auto" w:fill="FFFFFF"/>
            <w:tcMar>
              <w:top w:w="80" w:type="dxa"/>
              <w:left w:w="85" w:type="dxa"/>
              <w:bottom w:w="80" w:type="dxa"/>
              <w:right w:w="85" w:type="dxa"/>
            </w:tcMar>
            <w:vAlign w:val="center"/>
          </w:tcPr>
          <w:p w14:paraId="15076BDE" w14:textId="77777777" w:rsidR="00D84A52" w:rsidRDefault="00000000">
            <w:pPr>
              <w:keepLines/>
              <w:spacing w:after="0" w:line="247" w:lineRule="auto"/>
              <w:jc w:val="left"/>
              <w:rPr>
                <w:rFonts w:hint="eastAsia"/>
              </w:rPr>
            </w:pPr>
            <w:r>
              <w:rPr>
                <w:sz w:val="21"/>
              </w:rPr>
              <w:t>Retain states, compatible responses, artifacts, and sampling provenance</w:t>
            </w:r>
          </w:p>
        </w:tc>
        <w:tc>
          <w:tcPr>
            <w:tcW w:w="2808" w:type="dxa"/>
            <w:shd w:val="clear" w:color="auto" w:fill="FFFFFF"/>
            <w:tcMar>
              <w:top w:w="80" w:type="dxa"/>
              <w:left w:w="85" w:type="dxa"/>
              <w:bottom w:w="80" w:type="dxa"/>
              <w:right w:w="85" w:type="dxa"/>
            </w:tcMar>
            <w:vAlign w:val="center"/>
          </w:tcPr>
          <w:p w14:paraId="58C1D985" w14:textId="77777777" w:rsidR="00D84A52" w:rsidRDefault="00000000">
            <w:pPr>
              <w:keepLines/>
              <w:spacing w:after="0" w:line="247" w:lineRule="auto"/>
              <w:jc w:val="left"/>
              <w:rPr>
                <w:rFonts w:hint="eastAsia"/>
              </w:rPr>
            </w:pPr>
            <w:r>
              <w:rPr>
                <w:sz w:val="21"/>
              </w:rPr>
              <w:t>Shared archive and reference law</w:t>
            </w:r>
          </w:p>
        </w:tc>
      </w:tr>
      <w:tr w:rsidR="00D84A52" w14:paraId="4753FAA3" w14:textId="77777777">
        <w:trPr>
          <w:cantSplit/>
          <w:jc w:val="center"/>
        </w:trPr>
        <w:tc>
          <w:tcPr>
            <w:tcW w:w="2232" w:type="dxa"/>
            <w:shd w:val="clear" w:color="auto" w:fill="FFFFFF"/>
            <w:tcMar>
              <w:top w:w="80" w:type="dxa"/>
              <w:left w:w="85" w:type="dxa"/>
              <w:bottom w:w="80" w:type="dxa"/>
              <w:right w:w="85" w:type="dxa"/>
            </w:tcMar>
            <w:vAlign w:val="center"/>
          </w:tcPr>
          <w:p w14:paraId="0B865181" w14:textId="77777777" w:rsidR="00D84A52" w:rsidRDefault="00000000">
            <w:pPr>
              <w:keepLines/>
              <w:spacing w:after="0" w:line="247" w:lineRule="auto"/>
              <w:jc w:val="left"/>
              <w:rPr>
                <w:rFonts w:hint="eastAsia"/>
              </w:rPr>
            </w:pPr>
            <w:r>
              <w:rPr>
                <w:sz w:val="21"/>
              </w:rPr>
              <w:t>Executable component and runtime</w:t>
            </w:r>
          </w:p>
        </w:tc>
        <w:tc>
          <w:tcPr>
            <w:tcW w:w="4896" w:type="dxa"/>
            <w:shd w:val="clear" w:color="auto" w:fill="FFFFFF"/>
            <w:tcMar>
              <w:top w:w="80" w:type="dxa"/>
              <w:left w:w="85" w:type="dxa"/>
              <w:bottom w:w="80" w:type="dxa"/>
              <w:right w:w="85" w:type="dxa"/>
            </w:tcMar>
            <w:vAlign w:val="center"/>
          </w:tcPr>
          <w:p w14:paraId="3AF175B7" w14:textId="77777777" w:rsidR="00D84A52" w:rsidRDefault="00000000">
            <w:pPr>
              <w:keepLines/>
              <w:spacing w:after="0" w:line="247" w:lineRule="auto"/>
              <w:jc w:val="left"/>
              <w:rPr>
                <w:rFonts w:hint="eastAsia"/>
              </w:rPr>
            </w:pPr>
            <w:r>
              <w:rPr>
                <w:sz w:val="21"/>
              </w:rPr>
              <w:t>Generate known numerical proposals and coordinate solver jobs</w:t>
            </w:r>
          </w:p>
        </w:tc>
        <w:tc>
          <w:tcPr>
            <w:tcW w:w="2808" w:type="dxa"/>
            <w:shd w:val="clear" w:color="auto" w:fill="FFFFFF"/>
            <w:tcMar>
              <w:top w:w="80" w:type="dxa"/>
              <w:left w:w="85" w:type="dxa"/>
              <w:bottom w:w="80" w:type="dxa"/>
              <w:right w:w="85" w:type="dxa"/>
            </w:tcMar>
            <w:vAlign w:val="center"/>
          </w:tcPr>
          <w:p w14:paraId="5C3DBBA1" w14:textId="77777777" w:rsidR="00D84A52" w:rsidRDefault="00000000">
            <w:pPr>
              <w:keepLines/>
              <w:spacing w:after="0" w:line="247" w:lineRule="auto"/>
              <w:jc w:val="left"/>
              <w:rPr>
                <w:rFonts w:hint="eastAsia"/>
              </w:rPr>
            </w:pPr>
            <w:r>
              <w:rPr>
                <w:sz w:val="21"/>
              </w:rPr>
              <w:t xml:space="preserve">Actual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sz w:val="21"/>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21"/>
              </w:rPr>
              <w:t>, and observation protocol</w:t>
            </w:r>
          </w:p>
        </w:tc>
      </w:tr>
      <w:tr w:rsidR="00D84A52" w14:paraId="4E58EE83" w14:textId="77777777">
        <w:trPr>
          <w:cantSplit/>
          <w:jc w:val="center"/>
        </w:trPr>
        <w:tc>
          <w:tcPr>
            <w:tcW w:w="2232" w:type="dxa"/>
            <w:shd w:val="clear" w:color="auto" w:fill="FFFFFF"/>
            <w:tcMar>
              <w:top w:w="80" w:type="dxa"/>
              <w:left w:w="85" w:type="dxa"/>
              <w:bottom w:w="80" w:type="dxa"/>
              <w:right w:w="85" w:type="dxa"/>
            </w:tcMar>
            <w:vAlign w:val="center"/>
          </w:tcPr>
          <w:p w14:paraId="7BC30F4F" w14:textId="77777777" w:rsidR="00D84A52" w:rsidRDefault="00000000">
            <w:pPr>
              <w:keepLines/>
              <w:spacing w:after="0" w:line="247" w:lineRule="auto"/>
              <w:jc w:val="left"/>
              <w:rPr>
                <w:rFonts w:hint="eastAsia"/>
              </w:rPr>
            </w:pPr>
            <w:r>
              <w:rPr>
                <w:sz w:val="21"/>
              </w:rPr>
              <w:t>Guardrails</w:t>
            </w:r>
          </w:p>
        </w:tc>
        <w:tc>
          <w:tcPr>
            <w:tcW w:w="4896" w:type="dxa"/>
            <w:shd w:val="clear" w:color="auto" w:fill="FFFFFF"/>
            <w:tcMar>
              <w:top w:w="80" w:type="dxa"/>
              <w:left w:w="85" w:type="dxa"/>
              <w:bottom w:w="80" w:type="dxa"/>
              <w:right w:w="85" w:type="dxa"/>
            </w:tcMar>
            <w:vAlign w:val="center"/>
          </w:tcPr>
          <w:p w14:paraId="052F5093" w14:textId="77777777" w:rsidR="00D84A52" w:rsidRDefault="00000000">
            <w:pPr>
              <w:keepLines/>
              <w:spacing w:after="0" w:line="247" w:lineRule="auto"/>
              <w:jc w:val="left"/>
              <w:rPr>
                <w:rFonts w:hint="eastAsia"/>
              </w:rPr>
            </w:pPr>
            <w:r>
              <w:rPr>
                <w:sz w:val="21"/>
              </w:rPr>
              <w:t>Enforce schemas, permissions, unit contracts, and valid actions</w:t>
            </w:r>
          </w:p>
        </w:tc>
        <w:tc>
          <w:tcPr>
            <w:tcW w:w="2808" w:type="dxa"/>
            <w:shd w:val="clear" w:color="auto" w:fill="FFFFFF"/>
            <w:tcMar>
              <w:top w:w="80" w:type="dxa"/>
              <w:left w:w="85" w:type="dxa"/>
              <w:bottom w:w="80" w:type="dxa"/>
              <w:right w:w="85" w:type="dxa"/>
            </w:tcMar>
            <w:vAlign w:val="center"/>
          </w:tcPr>
          <w:p w14:paraId="0332C915" w14:textId="77777777" w:rsidR="00D84A52" w:rsidRDefault="00000000">
            <w:pPr>
              <w:keepLines/>
              <w:spacing w:after="0" w:line="247" w:lineRule="auto"/>
              <w:jc w:val="left"/>
              <w:rPr>
                <w:rFonts w:hint="eastAsia"/>
              </w:rPr>
            </w:pPr>
            <w:r>
              <w:rPr>
                <w:sz w:val="21"/>
              </w:rPr>
              <w:t>Admissible transitions and input checks</w:t>
            </w:r>
          </w:p>
        </w:tc>
      </w:tr>
      <w:tr w:rsidR="00D84A52" w14:paraId="1B27B9FD" w14:textId="77777777">
        <w:trPr>
          <w:cantSplit/>
          <w:jc w:val="center"/>
        </w:trPr>
        <w:tc>
          <w:tcPr>
            <w:tcW w:w="2232" w:type="dxa"/>
            <w:shd w:val="clear" w:color="auto" w:fill="FFFFFF"/>
            <w:tcMar>
              <w:top w:w="80" w:type="dxa"/>
              <w:left w:w="85" w:type="dxa"/>
              <w:bottom w:w="80" w:type="dxa"/>
              <w:right w:w="85" w:type="dxa"/>
            </w:tcMar>
            <w:vAlign w:val="center"/>
          </w:tcPr>
          <w:p w14:paraId="44C30729" w14:textId="77777777" w:rsidR="00D84A52" w:rsidRDefault="00000000">
            <w:pPr>
              <w:keepLines/>
              <w:spacing w:after="0" w:line="247" w:lineRule="auto"/>
              <w:jc w:val="left"/>
              <w:rPr>
                <w:rFonts w:hint="eastAsia"/>
              </w:rPr>
            </w:pPr>
            <w:r>
              <w:rPr>
                <w:sz w:val="21"/>
              </w:rPr>
              <w:t>Reason Act Observe loop</w:t>
            </w:r>
          </w:p>
        </w:tc>
        <w:tc>
          <w:tcPr>
            <w:tcW w:w="4896" w:type="dxa"/>
            <w:shd w:val="clear" w:color="auto" w:fill="FFFFFF"/>
            <w:tcMar>
              <w:top w:w="80" w:type="dxa"/>
              <w:left w:w="85" w:type="dxa"/>
              <w:bottom w:w="80" w:type="dxa"/>
              <w:right w:w="85" w:type="dxa"/>
            </w:tcMar>
            <w:vAlign w:val="center"/>
          </w:tcPr>
          <w:p w14:paraId="08F68C23" w14:textId="77777777" w:rsidR="00D84A52" w:rsidRDefault="00000000">
            <w:pPr>
              <w:keepLines/>
              <w:spacing w:after="0" w:line="247" w:lineRule="auto"/>
              <w:jc w:val="left"/>
              <w:rPr>
                <w:rFonts w:hint="eastAsia"/>
              </w:rPr>
            </w:pPr>
            <w:r>
              <w:rPr>
                <w:sz w:val="21"/>
              </w:rPr>
              <w:t>Select a proposal, perform an allowed action, update state</w:t>
            </w:r>
          </w:p>
        </w:tc>
        <w:tc>
          <w:tcPr>
            <w:tcW w:w="2808" w:type="dxa"/>
            <w:shd w:val="clear" w:color="auto" w:fill="FFFFFF"/>
            <w:tcMar>
              <w:top w:w="80" w:type="dxa"/>
              <w:left w:w="85" w:type="dxa"/>
              <w:bottom w:w="80" w:type="dxa"/>
              <w:right w:w="85" w:type="dxa"/>
            </w:tcMar>
            <w:vAlign w:val="center"/>
          </w:tcPr>
          <w:p w14:paraId="756ABED4" w14:textId="77777777" w:rsidR="00D84A52" w:rsidRDefault="00000000">
            <w:pPr>
              <w:keepLines/>
              <w:spacing w:after="0" w:line="247" w:lineRule="auto"/>
              <w:jc w:val="left"/>
              <w:rPr>
                <w:rFonts w:hint="eastAsia"/>
              </w:rPr>
            </w:pPr>
            <w:r>
              <w:rPr>
                <w:sz w:val="21"/>
              </w:rPr>
              <w:t>Predictable adaptation and (17)</w:t>
            </w:r>
          </w:p>
        </w:tc>
      </w:tr>
      <w:tr w:rsidR="00D84A52" w14:paraId="205F90C1" w14:textId="77777777">
        <w:trPr>
          <w:cantSplit/>
          <w:jc w:val="center"/>
        </w:trPr>
        <w:tc>
          <w:tcPr>
            <w:tcW w:w="2232" w:type="dxa"/>
            <w:shd w:val="clear" w:color="auto" w:fill="FFFFFF"/>
            <w:tcMar>
              <w:top w:w="80" w:type="dxa"/>
              <w:left w:w="85" w:type="dxa"/>
              <w:bottom w:w="80" w:type="dxa"/>
              <w:right w:w="85" w:type="dxa"/>
            </w:tcMar>
            <w:vAlign w:val="center"/>
          </w:tcPr>
          <w:p w14:paraId="5E16D2D5" w14:textId="77777777" w:rsidR="00D84A52" w:rsidRDefault="00000000">
            <w:pPr>
              <w:keepLines/>
              <w:spacing w:after="0" w:line="247" w:lineRule="auto"/>
              <w:jc w:val="left"/>
              <w:rPr>
                <w:rFonts w:hint="eastAsia"/>
              </w:rPr>
            </w:pPr>
            <w:r>
              <w:rPr>
                <w:sz w:val="21"/>
              </w:rPr>
              <w:t>Evaluation</w:t>
            </w:r>
          </w:p>
        </w:tc>
        <w:tc>
          <w:tcPr>
            <w:tcW w:w="4896" w:type="dxa"/>
            <w:shd w:val="clear" w:color="auto" w:fill="FFFFFF"/>
            <w:tcMar>
              <w:top w:w="80" w:type="dxa"/>
              <w:left w:w="85" w:type="dxa"/>
              <w:bottom w:w="80" w:type="dxa"/>
              <w:right w:w="85" w:type="dxa"/>
            </w:tcMar>
            <w:vAlign w:val="center"/>
          </w:tcPr>
          <w:p w14:paraId="2CA330DD" w14:textId="77777777" w:rsidR="00D84A52" w:rsidRDefault="00000000">
            <w:pPr>
              <w:keepLines/>
              <w:spacing w:after="0" w:line="247" w:lineRule="auto"/>
              <w:jc w:val="left"/>
              <w:rPr>
                <w:rFonts w:hint="eastAsia"/>
              </w:rPr>
            </w:pPr>
            <w:r>
              <w:rPr>
                <w:sz w:val="21"/>
              </w:rPr>
              <w:t>Score preferences and maintain nondominated feasible records</w:t>
            </w:r>
          </w:p>
        </w:tc>
        <w:tc>
          <w:tcPr>
            <w:tcW w:w="2808" w:type="dxa"/>
            <w:shd w:val="clear" w:color="auto" w:fill="FFFFFF"/>
            <w:tcMar>
              <w:top w:w="80" w:type="dxa"/>
              <w:left w:w="85" w:type="dxa"/>
              <w:bottom w:w="80" w:type="dxa"/>
              <w:right w:w="85" w:type="dxa"/>
            </w:tcMar>
            <w:vAlign w:val="center"/>
          </w:tcPr>
          <w:p w14:paraId="0B964EF4" w14:textId="77777777" w:rsidR="00D84A52" w:rsidRDefault="00000000">
            <w:pPr>
              <w:keepLines/>
              <w:spacing w:after="0" w:line="247" w:lineRule="auto"/>
              <w:jc w:val="left"/>
              <w:rPr>
                <w:rFonts w:hint="eastAsia"/>
              </w:rPr>
            </w:pPr>
            <w:r>
              <w:rPr>
                <w:sz w:val="21"/>
              </w:rPr>
              <w:t>Scalar or mixture targets and archive metrics</w:t>
            </w:r>
          </w:p>
        </w:tc>
      </w:tr>
      <w:tr w:rsidR="00D84A52" w14:paraId="6B9A0A10" w14:textId="77777777">
        <w:trPr>
          <w:cantSplit/>
          <w:jc w:val="center"/>
        </w:trPr>
        <w:tc>
          <w:tcPr>
            <w:tcW w:w="2232" w:type="dxa"/>
            <w:shd w:val="clear" w:color="auto" w:fill="FFFFFF"/>
            <w:tcMar>
              <w:top w:w="80" w:type="dxa"/>
              <w:left w:w="85" w:type="dxa"/>
              <w:bottom w:w="80" w:type="dxa"/>
              <w:right w:w="85" w:type="dxa"/>
            </w:tcMar>
            <w:vAlign w:val="center"/>
          </w:tcPr>
          <w:p w14:paraId="0D40F2BD" w14:textId="77777777" w:rsidR="00D84A52" w:rsidRDefault="00000000">
            <w:pPr>
              <w:keepNext/>
              <w:keepLines/>
              <w:spacing w:after="0" w:line="247" w:lineRule="auto"/>
              <w:jc w:val="left"/>
              <w:rPr>
                <w:rFonts w:hint="eastAsia"/>
              </w:rPr>
            </w:pPr>
            <w:r>
              <w:rPr>
                <w:sz w:val="21"/>
              </w:rPr>
              <w:lastRenderedPageBreak/>
              <w:t>Verification gate</w:t>
            </w:r>
          </w:p>
        </w:tc>
        <w:tc>
          <w:tcPr>
            <w:tcW w:w="4896" w:type="dxa"/>
            <w:shd w:val="clear" w:color="auto" w:fill="FFFFFF"/>
            <w:tcMar>
              <w:top w:w="80" w:type="dxa"/>
              <w:left w:w="85" w:type="dxa"/>
              <w:bottom w:w="80" w:type="dxa"/>
              <w:right w:w="85" w:type="dxa"/>
            </w:tcMar>
            <w:vAlign w:val="center"/>
          </w:tcPr>
          <w:p w14:paraId="0FAD0019" w14:textId="77777777" w:rsidR="00D84A52" w:rsidRDefault="00000000">
            <w:pPr>
              <w:keepNext/>
              <w:keepLines/>
              <w:spacing w:after="0" w:line="247" w:lineRule="auto"/>
              <w:jc w:val="left"/>
              <w:rPr>
                <w:rFonts w:hint="eastAsia"/>
              </w:rPr>
            </w:pPr>
            <w:r>
              <w:rPr>
                <w:sz w:val="21"/>
              </w:rPr>
              <w:t>Check physical constraints and released artifacts independently</w:t>
            </w:r>
          </w:p>
        </w:tc>
        <w:tc>
          <w:tcPr>
            <w:tcW w:w="2808" w:type="dxa"/>
            <w:shd w:val="clear" w:color="auto" w:fill="FFFFFF"/>
            <w:tcMar>
              <w:top w:w="80" w:type="dxa"/>
              <w:left w:w="85" w:type="dxa"/>
              <w:bottom w:w="80" w:type="dxa"/>
              <w:right w:w="85" w:type="dxa"/>
            </w:tcMar>
            <w:vAlign w:val="center"/>
          </w:tcPr>
          <w:p w14:paraId="7AE984D6" w14:textId="77777777" w:rsidR="00D84A52" w:rsidRDefault="00000000">
            <w:pPr>
              <w:keepNext/>
              <w:keepLines/>
              <w:spacing w:after="0" w:line="247" w:lineRule="auto"/>
              <w:jc w:val="left"/>
              <w:rPr>
                <w:rFonts w:hint="eastAsia"/>
              </w:rPr>
            </w:pPr>
            <w:r>
              <w:rPr>
                <w:sz w:val="21"/>
              </w:rPr>
              <w:t>Feasibility and release decision</w:t>
            </w:r>
          </w:p>
        </w:tc>
      </w:tr>
      <w:tr w:rsidR="00D84A52" w14:paraId="3A24D6DC" w14:textId="77777777">
        <w:trPr>
          <w:cantSplit/>
          <w:jc w:val="center"/>
        </w:trPr>
        <w:tc>
          <w:tcPr>
            <w:tcW w:w="2232" w:type="dxa"/>
            <w:shd w:val="clear" w:color="auto" w:fill="FFFFFF"/>
            <w:tcMar>
              <w:top w:w="80" w:type="dxa"/>
              <w:left w:w="85" w:type="dxa"/>
              <w:bottom w:w="80" w:type="dxa"/>
              <w:right w:w="85" w:type="dxa"/>
            </w:tcMar>
            <w:vAlign w:val="center"/>
          </w:tcPr>
          <w:p w14:paraId="0F80FFA0" w14:textId="77777777" w:rsidR="00D84A52" w:rsidRDefault="00000000">
            <w:pPr>
              <w:keepLines/>
              <w:spacing w:after="0" w:line="247" w:lineRule="auto"/>
              <w:jc w:val="left"/>
              <w:rPr>
                <w:rFonts w:hint="eastAsia"/>
              </w:rPr>
            </w:pPr>
            <w:r>
              <w:rPr>
                <w:sz w:val="21"/>
              </w:rPr>
              <w:t>Ablation</w:t>
            </w:r>
          </w:p>
        </w:tc>
        <w:tc>
          <w:tcPr>
            <w:tcW w:w="4896" w:type="dxa"/>
            <w:shd w:val="clear" w:color="auto" w:fill="FFFFFF"/>
            <w:tcMar>
              <w:top w:w="80" w:type="dxa"/>
              <w:left w:w="85" w:type="dxa"/>
              <w:bottom w:w="80" w:type="dxa"/>
              <w:right w:w="85" w:type="dxa"/>
            </w:tcMar>
            <w:vAlign w:val="center"/>
          </w:tcPr>
          <w:p w14:paraId="62DB61AF" w14:textId="77777777" w:rsidR="00D84A52" w:rsidRDefault="00000000">
            <w:pPr>
              <w:keepLines/>
              <w:spacing w:after="0" w:line="247" w:lineRule="auto"/>
              <w:jc w:val="left"/>
              <w:rPr>
                <w:rFonts w:hint="eastAsia"/>
              </w:rPr>
            </w:pPr>
            <w:r>
              <w:rPr>
                <w:sz w:val="21"/>
              </w:rPr>
              <w:t>Assign controlled variants to held-out task families</w:t>
            </w:r>
          </w:p>
        </w:tc>
        <w:tc>
          <w:tcPr>
            <w:tcW w:w="2808" w:type="dxa"/>
            <w:shd w:val="clear" w:color="auto" w:fill="FFFFFF"/>
            <w:tcMar>
              <w:top w:w="80" w:type="dxa"/>
              <w:left w:w="85" w:type="dxa"/>
              <w:bottom w:w="80" w:type="dxa"/>
              <w:right w:w="85" w:type="dxa"/>
            </w:tcMar>
            <w:vAlign w:val="center"/>
          </w:tcPr>
          <w:p w14:paraId="153F5822" w14:textId="77777777" w:rsidR="00D84A52" w:rsidRDefault="00000000">
            <w:pPr>
              <w:keepLines/>
              <w:spacing w:after="0" w:line="247" w:lineRule="auto"/>
              <w:jc w:val="left"/>
              <w:rPr>
                <w:rFonts w:hint="eastAsia"/>
              </w:rPr>
            </w:pPr>
            <w:r>
              <w:rPr>
                <w:sz w:val="21"/>
              </w:rPr>
              <w:t>Evidence for a claimed harness improvement</w:t>
            </w:r>
          </w:p>
        </w:tc>
      </w:tr>
    </w:tbl>
    <w:p w14:paraId="32538CD7" w14:textId="77777777" w:rsidR="00D84A52" w:rsidRDefault="00000000">
      <w:pPr>
        <w:pStyle w:val="Heading2"/>
        <w:rPr>
          <w:rFonts w:hint="eastAsia"/>
        </w:rPr>
      </w:pPr>
      <w:bookmarkStart w:id="36" w:name="a-typed-construction-example"/>
      <w:bookmarkEnd w:id="35"/>
      <w:r>
        <w:t>11.2 A typed construction example</w:t>
      </w:r>
    </w:p>
    <w:p w14:paraId="4A4EE28E" w14:textId="77777777" w:rsidR="00D84A52" w:rsidRDefault="00000000">
      <w:pPr>
        <w:pStyle w:val="FirstParagraph"/>
        <w:rPr>
          <w:rFonts w:hint="eastAsia"/>
        </w:rPr>
      </w:pPr>
      <w:r>
        <w:t>Consider a gallery state with span geometry, bracing topology, section families, material grades, joint assumptions, and load combinations. Cost, embodied carbon, and installation duration can be objectives. Utilization limits, drift limits, minimum clearances, vibration requirements, and code applicability define constraints. A versioned solver supplies measured responses; a cost database and quantity engine supply separate responses with their own provenance.</w:t>
      </w:r>
    </w:p>
    <w:p w14:paraId="4F56423E" w14:textId="77777777" w:rsidR="00D84A52" w:rsidRDefault="00000000">
      <w:pPr>
        <w:pStyle w:val="BodyText"/>
        <w:rPr>
          <w:rFonts w:hint="eastAsia"/>
        </w:rPr>
      </w:pPr>
      <w:r>
        <w:t>An objective channel stores its raw value, units, evaluator version, availability, and any separately modeled uncertainty. Shared geometry and analysis results can support several channels without pretending those channels are independent measurements. A scalarization version stores scales, offsets, reference points, and preferences. A mixture version additionally records component normalizers or their corrected estimates. Each artifact points to the state and evaluator versions that produced it.</w:t>
      </w:r>
    </w:p>
    <w:p w14:paraId="3B382A80" w14:textId="77777777" w:rsidR="00D84A52" w:rsidRDefault="00000000">
      <w:pPr>
        <w:pStyle w:val="BodyText"/>
        <w:rPr>
          <w:rFonts w:hint="eastAsia"/>
        </w:rPr>
      </w:pPr>
      <w:r>
        <w:t>The model may recommend a proposal center or choose which allowed tool to call. The numerical runtime then samples from a known defensive law, records its derivative and inclusion probability, and obtains compatible exact responses. This arrangement supplies the probability contract required by (13). A language model’s token probability is not the resulting design density after parsing, repairs, rejection, tool calls, and side effects. If that design law is unavailable, the output remains a useful suggestion but cannot silently enter the corrected estimator as a known-law sample.</w:t>
      </w:r>
    </w:p>
    <w:p w14:paraId="74C35281" w14:textId="77777777" w:rsidR="00D84A52" w:rsidRDefault="00000000">
      <w:pPr>
        <w:pStyle w:val="BodyText"/>
        <w:rPr>
          <w:rFonts w:hint="eastAsia"/>
        </w:rPr>
      </w:pPr>
      <w:r>
        <w:t>An executable repair that maps several proposals onto one catalog section can create atoms. A mixed-variable law must record probability masses and conditional continuous densities accordingly. Typed catalog sampling followed by declared continuous conditional proposals often makes this accounting easier than applying an undocumented repair after generation.</w:t>
      </w:r>
    </w:p>
    <w:p w14:paraId="04410F2F" w14:textId="77777777" w:rsidR="00D84A52" w:rsidRDefault="00000000">
      <w:pPr>
        <w:pStyle w:val="Heading2"/>
        <w:rPr>
          <w:rFonts w:hint="eastAsia"/>
        </w:rPr>
      </w:pPr>
      <w:bookmarkStart w:id="37" w:name="X6487de30c888bdf7574ce7aeb13292475dfece3"/>
      <w:bookmarkEnd w:id="36"/>
      <w:r>
        <w:t>11.3 Preferences evidence and verification remain separate</w:t>
      </w:r>
    </w:p>
    <w:p w14:paraId="4EF03C57" w14:textId="77777777" w:rsidR="00D84A52" w:rsidRDefault="00000000">
      <w:pPr>
        <w:pStyle w:val="FirstParagraph"/>
        <w:rPr>
          <w:rFonts w:hint="eastAsia"/>
        </w:rPr>
      </w:pPr>
      <w:r>
        <w:t>A product-like scalar target asks for a joint compromise under one preference. A mixture target asks for probabilistic allocation among component design preferences. Chebyshev fusion controls the largest weighted shortfall. A rank-guided proposal seeks useful parts of the currently observed tradeoff set. These are distinct search policies, and none guarantees that the fused mean is a release-ready design.</w:t>
      </w:r>
    </w:p>
    <w:p w14:paraId="7147AD45" w14:textId="77777777" w:rsidR="00D84A52" w:rsidRDefault="00000000">
      <w:pPr>
        <w:pStyle w:val="BodyText"/>
        <w:rPr>
          <w:rFonts w:hint="eastAsia"/>
        </w:rPr>
      </w:pPr>
      <w:r>
        <w:t>For a finite feasible catalog, mixing head means may produce a fractional section label. Even in a continuous design domain, nonlinear constraints can fail at the mean of feasible points. The gate should therefore verify the actual proposed design and generated CAD or analysis artifact. Keep a nondominated set of verified feasible observed designs separately from posterior expectations and latent proposal centers.</w:t>
      </w:r>
    </w:p>
    <w:p w14:paraId="65CF1DD6" w14:textId="77777777" w:rsidR="00D84A52" w:rsidRDefault="00000000">
      <w:pPr>
        <w:pStyle w:val="BodyText"/>
        <w:rPr>
          <w:rFonts w:hint="eastAsia"/>
        </w:rPr>
      </w:pPr>
      <w:r>
        <w:t xml:space="preserve">New harness versions should be compared on held-out construction task families, with the same definition of engineering success and explicit budgets. Objective channels for harness selection might include completion rate, verification pass rate, solver calls, latency, and maintenance burden. A </w:t>
      </w:r>
      <w:r>
        <w:lastRenderedPageBreak/>
        <w:t>normalized preference density over harness versions is one possible selection layer; it is not a substitute for independent validation. Data used repeatedly to tune a harness no longer provide untouched validation evidence.</w:t>
      </w:r>
    </w:p>
    <w:p w14:paraId="55B878A0" w14:textId="77777777" w:rsidR="00D84A52" w:rsidRDefault="00000000">
      <w:pPr>
        <w:pStyle w:val="BodyText"/>
        <w:keepNext/>
        <w:rPr>
          <w:rFonts w:hint="eastAsia"/>
        </w:rPr>
      </w:pPr>
      <w:r>
        <w:t xml:space="preserve">Marginal pass rates also do not determine joint engineering success, a distinction emphasized in Harmony Harness [17]. If task-level pass events are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with probabilities </w:t>
      </w:r>
      <m:oMath>
        <m:sSub>
          <m:sSubPr>
            <m:ctrlPr>
              <w:rPr>
                <w:rFonts w:ascii="Cambria Math" w:hAnsi="Cambria Math"/>
              </w:rPr>
            </m:ctrlPr>
          </m:sSubPr>
          <m:e>
            <m:r>
              <w:rPr>
                <w:rFonts w:ascii="Cambria Math" w:hAnsi="Cambria Math"/>
              </w:rPr>
              <m:t>p</m:t>
            </m:r>
          </m:e>
          <m:sub>
            <m:r>
              <w:rPr>
                <w:rFonts w:ascii="Cambria Math" w:hAnsi="Cambria Math"/>
              </w:rPr>
              <m:t>j</m:t>
            </m:r>
          </m:sub>
        </m:sSub>
      </m:oMath>
      <w:r>
        <w:t>, the union bound and event inclusion give</w:t>
      </w:r>
    </w:p>
    <w:p w14:paraId="20F882D2" w14:textId="77777777" w:rsidR="00D84A52"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e>
          </m:d>
          <m:r>
            <m:rPr>
              <m:sty m:val="p"/>
            </m:rPr>
            <w:rPr>
              <w:rFonts w:ascii="Cambria Math" w:hAnsi="Cambria Math"/>
            </w:rPr>
            <m:t>≤Pr</m:t>
          </m:r>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j</m:t>
                  </m:r>
                </m:lim>
              </m:limLow>
              <m:sSub>
                <m:sSubPr>
                  <m:ctrlPr>
                    <w:rPr>
                      <w:rFonts w:ascii="Cambria Math" w:hAnsi="Cambria Math"/>
                    </w:rPr>
                  </m:ctrlPr>
                </m:sSubPr>
                <m:e>
                  <m:r>
                    <w:rPr>
                      <w:rFonts w:ascii="Cambria Math" w:hAnsi="Cambria Math"/>
                    </w:rPr>
                    <m:t>V</m:t>
                  </m:r>
                </m:e>
                <m:sub>
                  <m:r>
                    <w:rPr>
                      <w:rFonts w:ascii="Cambria Math" w:hAnsi="Cambria Math"/>
                    </w:rPr>
                    <m:t>j</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m:rPr>
              <m:nor/>
            </m:rPr>
            <m:t>    (18)</m:t>
          </m:r>
        </m:oMath>
      </m:oMathPara>
    </w:p>
    <w:p w14:paraId="78BF6CF4" w14:textId="77777777" w:rsidR="00D84A52" w:rsidRDefault="00000000">
      <w:pPr>
        <w:pStyle w:val="FirstParagraph"/>
        <w:rPr>
          <w:rFonts w:hint="eastAsia"/>
        </w:rPr>
      </w:pPr>
      <w:r>
        <w:t>Two harnesses can both pass each of two checks on 80% of tasks, yet pass both on 60% and 80% respectively. Report joint completion and verification on the same tasks, alongside the marginal channels. Averaging separate tool scores does not recover this joint outcome.</w:t>
      </w:r>
    </w:p>
    <w:p w14:paraId="62C3D575" w14:textId="77777777" w:rsidR="00D84A52" w:rsidRDefault="00000000">
      <w:pPr>
        <w:pStyle w:val="Heading2"/>
        <w:rPr>
          <w:rFonts w:hint="eastAsia"/>
        </w:rPr>
      </w:pPr>
      <w:bookmarkStart w:id="38" w:name="practical-execution-sequence"/>
      <w:bookmarkEnd w:id="37"/>
      <w:r>
        <w:t>11.4 Practical execution sequence</w:t>
      </w:r>
    </w:p>
    <w:p w14:paraId="0DE0DD6C" w14:textId="77777777" w:rsidR="00D84A52" w:rsidRDefault="00000000">
      <w:pPr>
        <w:pStyle w:val="FirstParagraph"/>
        <w:rPr>
          <w:rFonts w:hint="eastAsia"/>
        </w:rPr>
      </w:pPr>
      <w:r>
        <w:t xml:space="preserve">At a candidate boundary, the harness loads the current task and model versions, retrieves applicable knowledge, and selects a declared preference or proposal signal. It constructs a known proposal, draws a new design, and records the sampling law before observing the expensive responses. It then requests or reuses compatible measurements, appends an immutable masked record, and updates the feasible archive. Numerical retrieval uses the intended scalar target or normalized mixture gates. The loop continues from the updated state with </w:t>
      </w:r>
      <m:oMath>
        <m:r>
          <w:rPr>
            <w:rFonts w:ascii="Cambria Math" w:hAnsi="Cambria Math"/>
          </w:rPr>
          <m:t>θ</m:t>
        </m:r>
      </m:oMath>
      <w:r>
        <w:t xml:space="preserve"> fixed. A separate verification action checks any design and artifact proposed for release.</w:t>
      </w:r>
    </w:p>
    <w:p w14:paraId="069B2BA4" w14:textId="77777777" w:rsidR="00D84A52" w:rsidRDefault="00000000">
      <w:pPr>
        <w:pStyle w:val="BodyText"/>
        <w:rPr>
          <w:rFonts w:hint="eastAsia"/>
        </w:rPr>
      </w:pPr>
      <w:r>
        <w:t>This sequence permits objective reuse without conflating it with evidence reuse. Changing preferences can rescore compatible stored responses. Changing geometry interpretation, code edition, solver settings, or load semantics may require new evaluation. Memory supports automation only when the compatibility relation is part of the harness state.</w:t>
      </w:r>
    </w:p>
    <w:p w14:paraId="09E5D6EC" w14:textId="77777777" w:rsidR="00D84A52" w:rsidRDefault="00000000">
      <w:pPr>
        <w:pStyle w:val="Heading1"/>
        <w:rPr>
          <w:rFonts w:hint="eastAsia"/>
        </w:rPr>
      </w:pPr>
      <w:bookmarkStart w:id="39" w:name="scope-and-conclusion"/>
      <w:bookmarkEnd w:id="34"/>
      <w:bookmarkEnd w:id="38"/>
      <w:r>
        <w:t>12 Scope and conclusion</w:t>
      </w:r>
    </w:p>
    <w:p w14:paraId="5172D2E2" w14:textId="77777777" w:rsidR="00D84A52" w:rsidRDefault="00000000">
      <w:pPr>
        <w:pStyle w:val="FirstParagraph"/>
        <w:rPr>
          <w:rFonts w:hint="eastAsia"/>
        </w:rPr>
      </w:pPr>
      <w:r>
        <w:t>Treating objectives as computational modalities is useful when it forces a precise fusion choice. A weighted sum, a Chebyshev maximum, a normalized mixture, and an archive rank define different objects with different guarantees. Frozen calibration makes the preference interpretable. Measure-aware proposal corrections and valid observation probabilities make archive estimates reusable. Known finite-rank gaps and positive reference mass permit a particularly simple concentration result, while IGD+ supports monotonic archive monitoring under a fixed metric contract.</w:t>
      </w:r>
    </w:p>
    <w:p w14:paraId="3D10F5F4" w14:textId="77777777" w:rsidR="00D84A52" w:rsidRDefault="00000000">
      <w:pPr>
        <w:pStyle w:val="BodyText"/>
        <w:rPr>
          <w:rFonts w:hint="eastAsia"/>
        </w:rPr>
      </w:pPr>
      <w:r>
        <w:t>The new numerical checks validate the stated identities and demonstrate one adaptive preference-reuse calculation. Validated interval computation certifies the fusion examples and the reuse reference, and a sharp total-variation bound replaces the conservative one. The earlier two-objective ADE comparisons remain reported benchmark summaries on reduced-active-variable variants. They do not establish performance on many-objective industrial design, noisy responses, or unknown code compliance. Recent neuroscience supports investigating separate attribute coding, sequential integration, and calibrated uncertainty; it does not identify those functions with a specific optimizer. The engineering harness makes these distinctions operational through typed tools, recorded laws, compatible memory, and independently verified decisions.</w:t>
      </w:r>
    </w:p>
    <w:p w14:paraId="4EB860EA" w14:textId="77777777" w:rsidR="00D84A52" w:rsidRDefault="00000000">
      <w:pPr>
        <w:pStyle w:val="Heading1"/>
        <w:rPr>
          <w:rFonts w:hint="eastAsia"/>
        </w:rPr>
      </w:pPr>
      <w:bookmarkStart w:id="40" w:name="X21390484244c2c069c601807084439ef3907510"/>
      <w:bookmarkEnd w:id="39"/>
      <w:r>
        <w:lastRenderedPageBreak/>
        <w:t>Appendix A Additional mathematical details</w:t>
      </w:r>
    </w:p>
    <w:p w14:paraId="126AD198" w14:textId="77777777" w:rsidR="00D84A52" w:rsidRDefault="00000000">
      <w:pPr>
        <w:pStyle w:val="Heading2"/>
        <w:rPr>
          <w:rFonts w:hint="eastAsia"/>
        </w:rPr>
      </w:pPr>
      <w:bookmarkStart w:id="41" w:name="X844663dc6b6c6eddfb1b97c3cde9bc7a6689123"/>
      <w:r>
        <w:t>A1 Fixed families and a learned calibration phase</w:t>
      </w:r>
    </w:p>
    <w:p w14:paraId="26F76CDE" w14:textId="77777777" w:rsidR="00D84A52" w:rsidRDefault="00000000">
      <w:pPr>
        <w:pStyle w:val="FirstParagraph"/>
        <w:rPr>
          <w:rFonts w:hint="eastAsia"/>
        </w:rPr>
      </w:pPr>
      <w:r>
        <w:t xml:space="preserve">Theorems 3 and 4 hold for a fixed reference law and target family. If a preliminary calibration phase estimates scales or a reference set, freeze them at a finite stopping time </w:t>
      </w:r>
      <m:oMath>
        <m:r>
          <w:rPr>
            <w:rFonts w:ascii="Cambria Math" w:hAnsi="Cambria Math"/>
          </w:rPr>
          <m:t>σ</m:t>
        </m:r>
      </m:oMath>
      <w:r>
        <w:t xml:space="preserve"> and begin a fresh estimation segment. Conditional 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σ</m:t>
            </m:r>
          </m:sub>
        </m:sSub>
      </m:oMath>
      <w:r>
        <w:t>, the declared values are fixed and subsequent predictable proposals satisfy the same martingale argument. The target can be random through calibration but is fixed for the subsequent segment.</w:t>
      </w:r>
    </w:p>
    <w:p w14:paraId="7D184069" w14:textId="77777777" w:rsidR="00D84A52" w:rsidRDefault="00000000">
      <w:pPr>
        <w:pStyle w:val="BodyText"/>
        <w:rPr>
          <w:rFonts w:hint="eastAsia"/>
        </w:rPr>
      </w:pPr>
      <w:r>
        <w:t>Reusing the pre-calibration records without another argument can introduce selection effects. It is justified if a uniform law already covers the entire candidate calibration family, with the required uniform envelopes and positive normalizers; otherwise use sample splitting or a separately proved method. This is more precise than claiming that adaptive scales are always invalid or that freezing them retroactively automatically repairs every estimate.</w:t>
      </w:r>
    </w:p>
    <w:p w14:paraId="266BEC17" w14:textId="77777777" w:rsidR="00D84A52" w:rsidRDefault="00000000">
      <w:pPr>
        <w:pStyle w:val="Heading2"/>
        <w:rPr>
          <w:rFonts w:hint="eastAsia"/>
        </w:rPr>
      </w:pPr>
      <w:bookmarkStart w:id="42" w:name="Xbe41cbabc278ed60c6b672be21b036ce0414c35"/>
      <w:bookmarkEnd w:id="41"/>
      <w:r>
        <w:t>A2 Approximate responses and target perturbation</w:t>
      </w:r>
    </w:p>
    <w:p w14:paraId="154CF038" w14:textId="77777777" w:rsidR="00D84A52" w:rsidRDefault="00000000">
      <w:pPr>
        <w:pStyle w:val="FirstParagraph"/>
        <w:rPr>
          <w:rFonts w:hint="eastAsia"/>
        </w:rPr>
      </w:pPr>
      <w:r>
        <w:t xml:space="preserve">Suppose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uniformly on the declared domain. Weighted sums have scalar error at most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while Chebyshev maxima have error at most </w:t>
      </w:r>
      <m:oMath>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by the Lipschitz property of a maximum. These deterministic bounds can be used for a conservative constraint or error budget only when the response bounds themselves are established.</w:t>
      </w:r>
    </w:p>
    <w:p w14:paraId="43A86138" w14:textId="77777777" w:rsidR="00D84A52" w:rsidRDefault="00000000">
      <w:pPr>
        <w:pStyle w:val="BodyText"/>
        <w:keepNext/>
        <w:rPr>
          <w:rFonts w:hint="eastAsia"/>
        </w:rPr>
      </w:pPr>
      <w:r>
        <w:t xml:space="preserve">If </w:t>
      </w:r>
      <m:oMath>
        <m:r>
          <m:rPr>
            <m:sty m:val="p"/>
          </m:rPr>
          <w:rPr>
            <w:rFonts w:ascii="Cambria Math" w:hAnsi="Cambria Math"/>
          </w:rPr>
          <m:t>|</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η</m:t>
        </m:r>
      </m:oMath>
      <w:r>
        <w:t xml:space="preserve">, then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βη</m:t>
            </m:r>
          </m:sup>
        </m:sSup>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βη</m:t>
            </m:r>
          </m:sup>
        </m:sSup>
      </m:oMath>
      <w:r>
        <w:t xml:space="preserve"> and</w:t>
      </w:r>
    </w:p>
    <w:p w14:paraId="2DA6891F" w14:textId="77777777" w:rsidR="00D84A52"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2βη</m:t>
              </m:r>
            </m:sup>
          </m:sSup>
          <m:r>
            <m:rPr>
              <m:sty m:val="p"/>
            </m:rPr>
            <w:rPr>
              <w:rFonts w:ascii="Cambria Math" w:hAnsi="Cambria Math"/>
            </w:rPr>
            <m:t>≤</m:t>
          </m:r>
          <m:f>
            <m:fPr>
              <m:ctrlPr>
                <w:rPr>
                  <w:rFonts w:ascii="Cambria Math" w:hAnsi="Cambria Math"/>
                </w:rPr>
              </m:ctrlPr>
            </m:fPr>
            <m:num>
              <m:r>
                <w:rPr>
                  <w:rFonts w:ascii="Cambria Math" w:hAnsi="Cambria Math"/>
                </w:rPr>
                <m:t>d</m:t>
              </m:r>
              <m:acc>
                <m:accPr>
                  <m:ctrlPr>
                    <w:rPr>
                      <w:rFonts w:ascii="Cambria Math" w:hAnsi="Cambria Math"/>
                    </w:rPr>
                  </m:ctrlPr>
                </m:accPr>
                <m:e>
                  <m:r>
                    <w:rPr>
                      <w:rFonts w:ascii="Cambria Math" w:hAnsi="Cambria Math"/>
                    </w:rPr>
                    <m:t>π</m:t>
                  </m:r>
                </m:e>
              </m:acc>
            </m:num>
            <m:den>
              <m:r>
                <w:rPr>
                  <w:rFonts w:ascii="Cambria Math" w:hAnsi="Cambria Math"/>
                </w:rPr>
                <m:t>dπ</m:t>
              </m:r>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2βη</m:t>
              </m:r>
            </m:sup>
          </m:sSup>
          <m:r>
            <m:rPr>
              <m:sty m:val="p"/>
            </m:rPr>
            <w:rPr>
              <w:rFonts w:ascii="Cambria Math" w:hAnsi="Cambria Math"/>
            </w:rPr>
            <m:t>,</m:t>
          </m:r>
          <m:r>
            <m:rPr>
              <m:nor/>
            </m:rPr>
            <m:t>    </m:t>
          </m:r>
          <m:r>
            <m:rPr>
              <m:sty m:val="p"/>
            </m:rPr>
            <w:rPr>
              <w:rFonts w:ascii="Cambria Math" w:hAnsi="Cambria Math"/>
            </w:rPr>
            <m:t>∥</m:t>
          </m:r>
          <m:acc>
            <m:accPr>
              <m:ctrlPr>
                <w:rPr>
                  <w:rFonts w:ascii="Cambria Math" w:hAnsi="Cambria Math"/>
                </w:rPr>
              </m:ctrlPr>
            </m:accPr>
            <m:e>
              <m:r>
                <w:rPr>
                  <w:rFonts w:ascii="Cambria Math" w:hAnsi="Cambria Math"/>
                </w:rPr>
                <m:t>π</m:t>
              </m:r>
            </m:e>
          </m:acc>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2βη</m:t>
                      </m:r>
                    </m:sup>
                  </m:sSup>
                  <m:r>
                    <m:rPr>
                      <m:sty m:val="p"/>
                    </m:rPr>
                    <w:rPr>
                      <w:rFonts w:ascii="Cambria Math" w:hAnsi="Cambria Math"/>
                    </w:rPr>
                    <m:t>-</m:t>
                  </m:r>
                  <m:r>
                    <w:rPr>
                      <w:rFonts w:ascii="Cambria Math" w:hAnsi="Cambria Math"/>
                    </w:rPr>
                    <m:t>1</m:t>
                  </m:r>
                </m:num>
                <m:den>
                  <m:r>
                    <w:rPr>
                      <w:rFonts w:ascii="Cambria Math" w:hAnsi="Cambria Math"/>
                    </w:rPr>
                    <m:t>2</m:t>
                  </m:r>
                </m:den>
              </m:f>
            </m:e>
          </m:d>
          <m:r>
            <m:rPr>
              <m:sty m:val="p"/>
            </m:rPr>
            <w:rPr>
              <w:rFonts w:ascii="Cambria Math" w:hAnsi="Cambria Math"/>
            </w:rPr>
            <m:t>.</m:t>
          </m:r>
          <m:r>
            <m:rPr>
              <m:nor/>
            </m:rPr>
            <m:t>    (19)</m:t>
          </m:r>
        </m:oMath>
      </m:oMathPara>
    </w:p>
    <w:p w14:paraId="68E733B0" w14:textId="77777777" w:rsidR="00D84A52" w:rsidRDefault="00000000">
      <w:pPr>
        <w:pStyle w:val="FirstParagraph"/>
        <w:rPr>
          <w:rFonts w:hint="eastAsia"/>
        </w:rPr>
      </w:pPr>
      <w:r>
        <w:t>The density-ratio bound follows by normalizing the two exponential tilts; integrating the absolute density difference gives the stated conservative total-variation bound. Proposition 4 in Section 9.6 sharpens it to tanh(βη/2), which is attained. It makes explicit why increasing inverse temperature also increases sensitivity to response errors. It does not convert an uncalibrated surrogate into an exact observation.</w:t>
      </w:r>
    </w:p>
    <w:p w14:paraId="08B6E771" w14:textId="77777777" w:rsidR="00D84A52" w:rsidRDefault="00000000">
      <w:pPr>
        <w:pStyle w:val="Heading2"/>
        <w:rPr>
          <w:rFonts w:hint="eastAsia"/>
        </w:rPr>
      </w:pPr>
      <w:bookmarkStart w:id="43" w:name="X4024831e470fe8ea1a770c9c2e55416b592ce41"/>
      <w:bookmarkEnd w:id="42"/>
      <w:r>
        <w:t>A3 Finite rank levels and shared archives</w:t>
      </w:r>
    </w:p>
    <w:p w14:paraId="6BD9A13B" w14:textId="77777777" w:rsidR="00D84A52" w:rsidRDefault="00000000">
      <w:pPr>
        <w:pStyle w:val="FirstParagraph"/>
        <w:keepNext/>
        <w:rPr>
          <w:rFonts w:hint="eastAsia"/>
        </w:rPr>
      </w:pPr>
      <w:r>
        <w:t xml:space="preserve">For Theorem 5, let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The martingale strong law gives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μ</m:t>
        </m:r>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E</m:t>
                    </m:r>
                  </m:e>
                  <m:sub>
                    <m:r>
                      <w:rPr>
                        <w:rFonts w:ascii="Cambria Math" w:hAnsi="Cambria Math"/>
                      </w:rPr>
                      <m:t>k</m:t>
                    </m:r>
                  </m:sub>
                </m:sSub>
              </m:sub>
            </m:sSub>
          </m:e>
        </m:d>
      </m:oMath>
      <w:r>
        <w:t xml:space="preserve"> simultaneously for the finitely many levels. The normalized estimate is exactly</w:t>
      </w:r>
    </w:p>
    <w:p w14:paraId="170B43B4" w14:textId="77777777" w:rsidR="00D84A52"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A</m:t>
                  </m:r>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k</m:t>
                      </m:r>
                    </m:sup>
                  </m:sSup>
                </m:e>
              </m:nary>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A</m:t>
                  </m:r>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k</m:t>
                      </m:r>
                    </m:sup>
                  </m:sSup>
                </m:e>
              </m:nary>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den>
          </m:f>
          <m:r>
            <m:rPr>
              <m:sty m:val="p"/>
            </m:rPr>
            <w:rPr>
              <w:rFonts w:ascii="Cambria Math" w:hAnsi="Cambria Math"/>
            </w:rPr>
            <m:t>.</m:t>
          </m:r>
          <m:r>
            <m:rPr>
              <m:nor/>
            </m:rPr>
            <m:t>    (20)</m:t>
          </m:r>
        </m:oMath>
      </m:oMathPara>
    </w:p>
    <w:p w14:paraId="26312031" w14:textId="77777777" w:rsidR="00D84A52" w:rsidRDefault="00000000">
      <w:pPr>
        <w:pStyle w:val="FirstParagraph"/>
        <w:rPr>
          <w:rFonts w:hint="eastAsia"/>
        </w:rPr>
      </w:pPr>
      <w:r>
        <w:t xml:space="preserve">The sequences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k</m:t>
            </m:r>
          </m:sub>
        </m:sSub>
      </m:oMath>
      <w:r>
        <w:t xml:space="preserve"> are bounded, so all positive-rank terms vanish for any deterministic divergent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The denominator tends to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0</m:t>
                </m:r>
              </m:sub>
            </m:sSub>
          </m:e>
        </m:d>
        <m:r>
          <m:rPr>
            <m:sty m:val="p"/>
          </m:rPr>
          <w:rPr>
            <w:rFonts w:ascii="Cambria Math" w:hAnsi="Cambria Math"/>
          </w:rPr>
          <m:t>&gt;</m:t>
        </m:r>
        <m:r>
          <w:rPr>
            <w:rFonts w:ascii="Cambria Math" w:hAnsi="Cambria Math"/>
          </w:rPr>
          <m:t>0</m:t>
        </m:r>
      </m:oMath>
      <w:r>
        <w:t xml:space="preserve">. This argument needs no interchange of an infinite number of levels or a rate for a shrinking continuous low-loss region. If the reference archive changes with </w:t>
      </w:r>
      <m:oMath>
        <m:r>
          <w:rPr>
            <w:rFonts w:ascii="Cambria Math" w:hAnsi="Cambria Math"/>
          </w:rPr>
          <m:t>N</m:t>
        </m:r>
      </m:oMath>
      <w:r>
        <w:t xml:space="preserve">, the sets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change too and this proof does not apply unchanged.</w:t>
      </w:r>
    </w:p>
    <w:p w14:paraId="45ACBC6F" w14:textId="77777777" w:rsidR="00D84A52" w:rsidRDefault="00000000">
      <w:pPr>
        <w:pStyle w:val="Heading1"/>
        <w:rPr>
          <w:rFonts w:hint="eastAsia"/>
        </w:rPr>
      </w:pPr>
      <w:bookmarkStart w:id="44" w:name="appendix-b-executed-reference-kernel"/>
      <w:bookmarkEnd w:id="40"/>
      <w:bookmarkEnd w:id="43"/>
      <w:r>
        <w:t>Appendix B Executed reference kernel</w:t>
      </w:r>
    </w:p>
    <w:p w14:paraId="0EC5D6DA" w14:textId="77777777" w:rsidR="00D84A52" w:rsidRDefault="00000000">
      <w:pPr>
        <w:pStyle w:val="FirstParagraph"/>
        <w:rPr>
          <w:rFonts w:hint="eastAsia"/>
        </w:rPr>
      </w:pPr>
      <w:r>
        <w:t xml:space="preserve">The kernel below implements finite-set ranks, declared scalarizations, normalized mixture retrieval, and the two metric definitions used in the checks. It assumes finite complete response arrays, strictly positive scales, valid normalized preferences, and compatible coordinate dimensions. The calling </w:t>
      </w:r>
      <w:r>
        <w:lastRenderedPageBreak/>
        <w:t>runtime validates those contracts and supplies the actual sampling corrections. It is a numerical reference, not an end-to-end construction harness. Appendix C gives a compiled, validated C# implementation of the checks in Sections 9.4–9.6.</w:t>
      </w:r>
    </w:p>
    <w:p w14:paraId="56D02B95" w14:textId="77777777" w:rsidR="00D84A52" w:rsidRDefault="00000000">
      <w:pPr>
        <w:pStyle w:val="SourceCode"/>
        <w:keepLines/>
        <w:spacing w:before="80" w:after="80"/>
        <w:rPr>
          <w:rFonts w:hint="eastAsia"/>
        </w:rPr>
      </w:pPr>
      <w:r>
        <w:t>"""Exact finite-archive utilities for objectives treated as channels."""</w:t>
      </w:r>
      <w:r>
        <w:br/>
        <w:t>import numpy as np</w:t>
      </w:r>
      <w:r>
        <w:br/>
        <w:t>from scipy.special import logsumexp</w:t>
      </w:r>
    </w:p>
    <w:p w14:paraId="0B24CA6D" w14:textId="77777777" w:rsidR="00D84A52" w:rsidRDefault="00000000">
      <w:pPr>
        <w:pStyle w:val="SourceCode"/>
        <w:keepLines/>
        <w:spacing w:before="80" w:after="80"/>
        <w:rPr>
          <w:rFonts w:hint="eastAsia"/>
        </w:rPr>
      </w:pPr>
      <w:r>
        <w:br/>
        <w:t>def dominates(a, b):</w:t>
      </w:r>
      <w:r>
        <w:br/>
        <w:t xml:space="preserve">    return bool(np.all(a &lt;= b) and np.any(a &lt; b))</w:t>
      </w:r>
    </w:p>
    <w:p w14:paraId="1D765C2A" w14:textId="77777777" w:rsidR="00D84A52" w:rsidRDefault="00000000">
      <w:pPr>
        <w:pStyle w:val="SourceCode"/>
        <w:keepLines/>
        <w:spacing w:before="80" w:after="80"/>
        <w:rPr>
          <w:rFonts w:hint="eastAsia"/>
        </w:rPr>
      </w:pPr>
      <w:r>
        <w:br/>
        <w:t>def ranks(f):</w:t>
      </w:r>
      <w:r>
        <w:br/>
        <w:t xml:space="preserve">    f = np.asarray(f, dtype=float)</w:t>
      </w:r>
      <w:r>
        <w:br/>
        <w:t xml:space="preserve">    n = len(f)</w:t>
      </w:r>
      <w:r>
        <w:br/>
        <w:t xml:space="preserve">    edges = [[] for _ in range(n)]</w:t>
      </w:r>
      <w:r>
        <w:br/>
        <w:t xml:space="preserve">    indegree = np.zeros(n, dtype=int)</w:t>
      </w:r>
      <w:r>
        <w:br/>
        <w:t xml:space="preserve">    for i in range(n):</w:t>
      </w:r>
      <w:r>
        <w:br/>
        <w:t xml:space="preserve">        for j in range(i + 1, n):</w:t>
      </w:r>
      <w:r>
        <w:br/>
        <w:t xml:space="preserve">            if dominates(f[i], f[j]):</w:t>
      </w:r>
      <w:r>
        <w:br/>
        <w:t xml:space="preserve">                edges[i].append(j)</w:t>
      </w:r>
      <w:r>
        <w:br/>
        <w:t xml:space="preserve">                indegree[j] += 1</w:t>
      </w:r>
      <w:r>
        <w:br/>
        <w:t xml:space="preserve">            elif dominates(f[j], f[i]):</w:t>
      </w:r>
      <w:r>
        <w:br/>
        <w:t xml:space="preserve">                edges[j].append(i)</w:t>
      </w:r>
      <w:r>
        <w:br/>
        <w:t xml:space="preserve">                indegree[i] += 1</w:t>
      </w:r>
      <w:r>
        <w:br/>
        <w:t xml:space="preserve">    result = np.full(n, -1, dtype=int)</w:t>
      </w:r>
      <w:r>
        <w:br/>
        <w:t xml:space="preserve">    front = list(np.flatnonzero(indegree == 0))</w:t>
      </w:r>
      <w:r>
        <w:br/>
        <w:t xml:space="preserve">    level = 0</w:t>
      </w:r>
      <w:r>
        <w:br/>
        <w:t xml:space="preserve">    while front:</w:t>
      </w:r>
      <w:r>
        <w:br/>
        <w:t xml:space="preserve">        next_front = []</w:t>
      </w:r>
      <w:r>
        <w:br/>
        <w:t xml:space="preserve">        for i in front:</w:t>
      </w:r>
      <w:r>
        <w:br/>
        <w:t xml:space="preserve">            result[i] = level</w:t>
      </w:r>
      <w:r>
        <w:br/>
        <w:t xml:space="preserve">            for j in edges[i]:</w:t>
      </w:r>
      <w:r>
        <w:br/>
        <w:t xml:space="preserve">                indegree[j] -= 1</w:t>
      </w:r>
      <w:r>
        <w:br/>
        <w:t xml:space="preserve">                if indegree[j] == 0:</w:t>
      </w:r>
      <w:r>
        <w:br/>
        <w:t xml:space="preserve">                    next_front.append(j)</w:t>
      </w:r>
      <w:r>
        <w:br/>
        <w:t xml:space="preserve">        front = next_front</w:t>
      </w:r>
      <w:r>
        <w:br/>
        <w:t xml:space="preserve">        level += 1</w:t>
      </w:r>
      <w:r>
        <w:br/>
        <w:t xml:space="preserve">    return result</w:t>
      </w:r>
    </w:p>
    <w:p w14:paraId="60BA834F" w14:textId="77777777" w:rsidR="00D84A52" w:rsidRDefault="00000000">
      <w:pPr>
        <w:pStyle w:val="SourceCode"/>
        <w:keepLines/>
        <w:spacing w:before="80" w:after="80"/>
        <w:rPr>
          <w:rFonts w:hint="eastAsia"/>
        </w:rPr>
      </w:pPr>
      <w:r>
        <w:br/>
        <w:t>def scalarise(f, lam, base, scale, reference=None):</w:t>
      </w:r>
      <w:r>
        <w:br/>
        <w:t xml:space="preserve">    u = (np.asarray(f) - base) / scale</w:t>
      </w:r>
      <w:r>
        <w:br/>
        <w:t xml:space="preserve">    if reference is None:</w:t>
      </w:r>
      <w:r>
        <w:br/>
        <w:t xml:space="preserve">        return u @ lam</w:t>
      </w:r>
      <w:r>
        <w:br/>
        <w:t xml:space="preserve">    return np.max((u - reference) * lam, axis=-1)</w:t>
      </w:r>
    </w:p>
    <w:p w14:paraId="6E4C558C" w14:textId="77777777" w:rsidR="00D84A52" w:rsidRDefault="00000000">
      <w:pPr>
        <w:pStyle w:val="SourceCode"/>
        <w:keepLines/>
        <w:spacing w:before="80" w:after="80"/>
        <w:rPr>
          <w:rFonts w:hint="eastAsia"/>
        </w:rPr>
      </w:pPr>
      <w:r>
        <w:br/>
        <w:t>def normalise(logw):</w:t>
      </w:r>
      <w:r>
        <w:br/>
        <w:t xml:space="preserve">    total = logsumexp(logw)</w:t>
      </w:r>
      <w:r>
        <w:br/>
        <w:t xml:space="preserve">    if not np.isfinite(total):</w:t>
      </w:r>
      <w:r>
        <w:br/>
        <w:t xml:space="preserve">        raise ValueError("No positive archive weight")</w:t>
      </w:r>
      <w:r>
        <w:br/>
        <w:t xml:space="preserve">    return np.exp(logw - total)</w:t>
      </w:r>
    </w:p>
    <w:p w14:paraId="017AD2A0" w14:textId="77777777" w:rsidR="00D84A52" w:rsidRDefault="00000000">
      <w:pPr>
        <w:pStyle w:val="SourceCode"/>
        <w:keepLines/>
        <w:spacing w:before="80" w:after="80"/>
        <w:rPr>
          <w:rFonts w:hint="eastAsia"/>
        </w:rPr>
      </w:pPr>
      <w:r>
        <w:lastRenderedPageBreak/>
        <w:br/>
        <w:t>def mixture_read(y, component_logw, log_kernel, lam):</w:t>
      </w:r>
      <w:r>
        <w:br/>
        <w:t xml:space="preserve">    """component_logw[j,i] includes RN and inclusion corrections.</w:t>
      </w:r>
      <w:r>
        <w:br/>
        <w:t xml:space="preserve">    log_kernel is shared across components and includes its density.</w:t>
      </w:r>
      <w:r>
        <w:br/>
        <w:t xml:space="preserve">    """</w:t>
      </w:r>
      <w:r>
        <w:br/>
        <w:t xml:space="preserve">    logw = np.asarray(component_logw)</w:t>
      </w:r>
      <w:r>
        <w:br/>
        <w:t xml:space="preserve">    log_den = logsumexp(logw, axis=1)</w:t>
      </w:r>
      <w:r>
        <w:br/>
        <w:t xml:space="preserve">    log_num = logsumexp(logw + log_kernel, axis=1)</w:t>
      </w:r>
      <w:r>
        <w:br/>
        <w:t xml:space="preserve">    if not np.all(np.isfinite(log_den) &amp; np.isfinite(log_num)):</w:t>
      </w:r>
      <w:r>
        <w:br/>
        <w:t xml:space="preserve">        raise ValueError("Every component needs positive evidence")</w:t>
      </w:r>
      <w:r>
        <w:br/>
        <w:t xml:space="preserve">    heads = np.array([normalise(w + log_kernel) @ y for w in logw])</w:t>
      </w:r>
      <w:r>
        <w:br/>
        <w:t xml:space="preserve">    with np.errstate(divide="ignore"):</w:t>
      </w:r>
      <w:r>
        <w:br/>
        <w:t xml:space="preserve">        log_lam = np.log(lam)</w:t>
      </w:r>
      <w:r>
        <w:br/>
        <w:t xml:space="preserve">    gates = normalise(log_lam + log_num - log_den)</w:t>
      </w:r>
      <w:r>
        <w:br/>
        <w:t xml:space="preserve">    return gates @ heads, gates, heads</w:t>
      </w:r>
    </w:p>
    <w:p w14:paraId="5FEEF3DA" w14:textId="77777777" w:rsidR="00D84A52" w:rsidRDefault="00000000">
      <w:pPr>
        <w:pStyle w:val="SourceCode"/>
        <w:keepLines/>
        <w:spacing w:before="80" w:after="80"/>
        <w:rPr>
          <w:rFonts w:hint="eastAsia"/>
        </w:rPr>
      </w:pPr>
      <w:r>
        <w:br/>
        <w:t>def igd_plus(archive, reference):</w:t>
      </w:r>
      <w:r>
        <w:br/>
        <w:t xml:space="preserve">    delta = np.maximum(archive[None, :, :] - reference[:, None, :], 0)</w:t>
      </w:r>
      <w:r>
        <w:br/>
        <w:t xml:space="preserve">    return float(np.linalg.norm(delta, axis=-1).min(axis=1).mean())</w:t>
      </w:r>
    </w:p>
    <w:p w14:paraId="6D0DE715" w14:textId="77777777" w:rsidR="00D84A52" w:rsidRDefault="00000000">
      <w:pPr>
        <w:pStyle w:val="SourceCode"/>
        <w:keepLines/>
        <w:spacing w:before="80" w:after="80"/>
        <w:rPr>
          <w:rFonts w:hint="eastAsia"/>
        </w:rPr>
      </w:pPr>
      <w:r>
        <w:br/>
        <w:t>def igd_nondominated(archive, reference):</w:t>
      </w:r>
      <w:r>
        <w:br/>
        <w:t xml:space="preserve">    nd = archive[ranks(archive) == 0]</w:t>
      </w:r>
      <w:r>
        <w:br/>
        <w:t xml:space="preserve">    return float(np.linalg.norm(nd[None, :, :] - reference[:, None, :],</w:t>
      </w:r>
      <w:r>
        <w:br/>
        <w:t xml:space="preserve">                                axis=-1).min(axis=1).mean())</w:t>
      </w:r>
    </w:p>
    <w:p w14:paraId="496703B8" w14:textId="77777777" w:rsidR="00D84A52" w:rsidRDefault="00000000">
      <w:pPr>
        <w:pStyle w:val="FirstParagraph"/>
        <w:rPr>
          <w:rFonts w:hint="eastAsia"/>
        </w:rPr>
      </w:pPr>
      <w:r>
        <w:t xml:space="preserve">For the shared archive in (10), each component log-weight row includes the same sampling and inclusion correction plus that component’s loss tilt. Missing complete responses receive log weight </w:t>
      </w:r>
      <m:oMath>
        <m:r>
          <m:rPr>
            <m:sty m:val="p"/>
          </m:rPr>
          <w:rPr>
            <w:rFonts w:ascii="Cambria Math" w:hAnsi="Cambria Math"/>
          </w:rPr>
          <m:t>-∞</m:t>
        </m:r>
      </m:oMath>
      <w:r>
        <w:t xml:space="preserve"> and harmless finite placeholders in stored numeric arrays. The same record may be rescored under several compatible preferences, but it is not counted as several independent measurements. Production records additionally retain law types, masks, versions, evaluator status, and immutable artifact identifiers.</w:t>
      </w:r>
    </w:p>
    <w:p w14:paraId="100683B0" w14:textId="77777777" w:rsidR="00D84A52" w:rsidRDefault="00000000">
      <w:pPr>
        <w:pStyle w:val="Heading1"/>
        <w:rPr>
          <w:rFonts w:hint="eastAsia"/>
        </w:rPr>
      </w:pPr>
      <w:bookmarkStart w:id="45" w:name="references"/>
      <w:bookmarkEnd w:id="44"/>
      <w:r>
        <w:t>References</w:t>
      </w:r>
    </w:p>
    <w:p w14:paraId="64F6A23E" w14:textId="77777777" w:rsidR="00D84A52" w:rsidRDefault="00000000">
      <w:pPr>
        <w:pStyle w:val="FirstParagraph"/>
        <w:keepLines/>
        <w:spacing w:after="140"/>
        <w:ind w:left="360" w:hanging="360"/>
        <w:jc w:val="left"/>
        <w:rPr>
          <w:rFonts w:hint="eastAsia"/>
        </w:rPr>
      </w:pPr>
      <w:r>
        <w:rPr>
          <w:sz w:val="21"/>
        </w:rPr>
        <w:t xml:space="preserve">[1] Zhang, Y., Hartl, B., Hazan, H., and Levin, M. (2025). Diffusion models are evolutionary algorithms. </w:t>
      </w:r>
      <w:r>
        <w:rPr>
          <w:i/>
          <w:iCs/>
          <w:sz w:val="21"/>
        </w:rPr>
        <w:t>ICLR 2025</w:t>
      </w:r>
      <w:r>
        <w:rPr>
          <w:sz w:val="21"/>
        </w:rPr>
        <w:t>. https://arxiv.org/abs/2410.02543</w:t>
      </w:r>
    </w:p>
    <w:p w14:paraId="64BB2446" w14:textId="77777777" w:rsidR="00D84A52" w:rsidRDefault="00000000">
      <w:pPr>
        <w:pStyle w:val="BodyText"/>
        <w:keepLines/>
        <w:spacing w:after="140"/>
        <w:ind w:left="360" w:hanging="360"/>
        <w:jc w:val="left"/>
        <w:rPr>
          <w:rFonts w:hint="eastAsia"/>
        </w:rPr>
      </w:pPr>
      <w:r>
        <w:rPr>
          <w:sz w:val="21"/>
        </w:rPr>
        <w:t xml:space="preserve">[2] Tsai, Y.-H. H., et al. (2019). Multimodal Transformer for unaligned multimodal language sequences. </w:t>
      </w:r>
      <w:r>
        <w:rPr>
          <w:i/>
          <w:iCs/>
          <w:sz w:val="21"/>
        </w:rPr>
        <w:t>ACL 2019</w:t>
      </w:r>
      <w:r>
        <w:rPr>
          <w:sz w:val="21"/>
        </w:rPr>
        <w:t>, 6558–6569. https://aclanthology.org/P19-1656/</w:t>
      </w:r>
    </w:p>
    <w:p w14:paraId="7A6B8604" w14:textId="77777777" w:rsidR="00D84A52" w:rsidRDefault="00000000">
      <w:pPr>
        <w:pStyle w:val="BodyText"/>
        <w:keepLines/>
        <w:spacing w:after="140"/>
        <w:ind w:left="360" w:hanging="360"/>
        <w:jc w:val="left"/>
        <w:rPr>
          <w:rFonts w:hint="eastAsia"/>
        </w:rPr>
      </w:pPr>
      <w:r>
        <w:rPr>
          <w:sz w:val="21"/>
        </w:rPr>
        <w:t>[3] Ghosh, D. P. (2026). Autoregressive Diffusion Evolution research collection. ResearchOverFlow, October2026/AutoregressiveDiffusionEvolution. https://github.com/debiprasadghosh/ResearchOverFlow/tree/main/October2026/AutoregressiveDiffusionEvolution</w:t>
      </w:r>
    </w:p>
    <w:p w14:paraId="0A013993" w14:textId="77777777" w:rsidR="00D84A52" w:rsidRDefault="00000000">
      <w:pPr>
        <w:pStyle w:val="BodyText"/>
        <w:keepLines/>
        <w:spacing w:after="140"/>
        <w:ind w:left="360" w:hanging="360"/>
        <w:jc w:val="left"/>
        <w:rPr>
          <w:rFonts w:hint="eastAsia"/>
        </w:rPr>
      </w:pPr>
      <w:r>
        <w:rPr>
          <w:sz w:val="21"/>
        </w:rPr>
        <w:t xml:space="preserve">[4] Bissiri, P. G., Holmes, C. C., and Walker, S. G. (2016). A general framework for updating belief distributions. </w:t>
      </w:r>
      <w:r>
        <w:rPr>
          <w:i/>
          <w:iCs/>
          <w:sz w:val="21"/>
        </w:rPr>
        <w:t>Journal of the Royal Statistical Society Series B</w:t>
      </w:r>
      <w:r>
        <w:rPr>
          <w:sz w:val="21"/>
        </w:rPr>
        <w:t>, 78(5), 1103–1130. https://doi.org/10.1111/rssb.12158</w:t>
      </w:r>
    </w:p>
    <w:p w14:paraId="6C0A6217" w14:textId="77777777" w:rsidR="00D84A52" w:rsidRDefault="00000000">
      <w:pPr>
        <w:pStyle w:val="BodyText"/>
        <w:keepLines/>
        <w:spacing w:after="140"/>
        <w:ind w:left="360" w:hanging="360"/>
        <w:jc w:val="left"/>
        <w:rPr>
          <w:rFonts w:hint="eastAsia"/>
        </w:rPr>
      </w:pPr>
      <w:r>
        <w:rPr>
          <w:sz w:val="21"/>
        </w:rPr>
        <w:t xml:space="preserve">[5] Das, I., and Dennis, J. E. (1997). A closer look at drawbacks of minimizing weighted sums of objectives for Pareto set generation in multicriteria optimization problems. </w:t>
      </w:r>
      <w:r>
        <w:rPr>
          <w:i/>
          <w:iCs/>
          <w:sz w:val="21"/>
        </w:rPr>
        <w:t>Structural Optimization</w:t>
      </w:r>
      <w:r>
        <w:rPr>
          <w:sz w:val="21"/>
        </w:rPr>
        <w:t>, 14, 63–69. https://doi.org/10.1007/BF01197559</w:t>
      </w:r>
    </w:p>
    <w:p w14:paraId="6561F434" w14:textId="77777777" w:rsidR="00D84A52" w:rsidRDefault="00000000">
      <w:pPr>
        <w:pStyle w:val="BodyText"/>
        <w:keepLines/>
        <w:spacing w:after="140"/>
        <w:ind w:left="360" w:hanging="360"/>
        <w:jc w:val="left"/>
        <w:rPr>
          <w:rFonts w:hint="eastAsia"/>
        </w:rPr>
      </w:pPr>
      <w:r>
        <w:rPr>
          <w:sz w:val="21"/>
        </w:rPr>
        <w:t xml:space="preserve">[6] Deb, K., Pratap, A., Agarwal, S., and Meyarivan, T. (2002). A fast and elitist multiobjective genetic algorithm: NSGA-II. </w:t>
      </w:r>
      <w:r>
        <w:rPr>
          <w:i/>
          <w:iCs/>
          <w:sz w:val="21"/>
        </w:rPr>
        <w:t>IEEE Transactions on Evolutionary Computation</w:t>
      </w:r>
      <w:r>
        <w:rPr>
          <w:sz w:val="21"/>
        </w:rPr>
        <w:t>, 6(2), 182–197. https://doi.org/10.1109/4235.996017</w:t>
      </w:r>
    </w:p>
    <w:p w14:paraId="79E265CC" w14:textId="77777777" w:rsidR="00D84A52" w:rsidRDefault="00000000">
      <w:pPr>
        <w:pStyle w:val="BodyText"/>
        <w:keepLines/>
        <w:spacing w:after="140"/>
        <w:ind w:left="360" w:hanging="360"/>
        <w:jc w:val="left"/>
        <w:rPr>
          <w:rFonts w:hint="eastAsia"/>
        </w:rPr>
      </w:pPr>
      <w:r>
        <w:rPr>
          <w:sz w:val="21"/>
        </w:rPr>
        <w:t xml:space="preserve">[7] Hesterberg, T. (1995). Weighted average importance sampling and defensive mixture distributions. </w:t>
      </w:r>
      <w:r>
        <w:rPr>
          <w:i/>
          <w:iCs/>
          <w:sz w:val="21"/>
        </w:rPr>
        <w:t>Technometrics</w:t>
      </w:r>
      <w:r>
        <w:rPr>
          <w:sz w:val="21"/>
        </w:rPr>
        <w:t>, 37(2), 185–194. https://doi.org/10.1080/00401706.1995.10484303</w:t>
      </w:r>
    </w:p>
    <w:p w14:paraId="7D684D6C" w14:textId="77777777" w:rsidR="00D84A52" w:rsidRDefault="00000000">
      <w:pPr>
        <w:pStyle w:val="BodyText"/>
        <w:keepLines/>
        <w:spacing w:after="140"/>
        <w:ind w:left="360" w:hanging="360"/>
        <w:jc w:val="left"/>
        <w:rPr>
          <w:rFonts w:hint="eastAsia"/>
        </w:rPr>
      </w:pPr>
      <w:r>
        <w:rPr>
          <w:sz w:val="21"/>
        </w:rPr>
        <w:lastRenderedPageBreak/>
        <w:t xml:space="preserve">[8] Yan, X., and Jin, Y. (2024). EmoDM: A Diffusion Model for Evolutionary Multi-objective Optimization. </w:t>
      </w:r>
      <w:r>
        <w:rPr>
          <w:i/>
          <w:iCs/>
          <w:sz w:val="21"/>
        </w:rPr>
        <w:t>arXiv</w:t>
      </w:r>
      <w:r>
        <w:rPr>
          <w:sz w:val="21"/>
        </w:rPr>
        <w:t>, 2401.15931v2. https://arxiv.org/abs/2401.15931</w:t>
      </w:r>
    </w:p>
    <w:p w14:paraId="256F346D" w14:textId="77777777" w:rsidR="00D84A52" w:rsidRDefault="00000000">
      <w:pPr>
        <w:pStyle w:val="BodyText"/>
        <w:keepLines/>
        <w:spacing w:after="140"/>
        <w:ind w:left="360" w:hanging="360"/>
        <w:jc w:val="left"/>
        <w:rPr>
          <w:rFonts w:hint="eastAsia"/>
        </w:rPr>
      </w:pPr>
      <w:r>
        <w:rPr>
          <w:sz w:val="21"/>
        </w:rPr>
        <w:t xml:space="preserve">[9] Ishibuchi, H., Masuda, H., Tanigaki, Y., and Nojima, Y. (2015). Modified distance calculation in generational distance and inverted generational distance. </w:t>
      </w:r>
      <w:r>
        <w:rPr>
          <w:i/>
          <w:iCs/>
          <w:sz w:val="21"/>
        </w:rPr>
        <w:t>EMO 2015</w:t>
      </w:r>
      <w:r>
        <w:rPr>
          <w:sz w:val="21"/>
        </w:rPr>
        <w:t>, LNCS 9019, 110–125. https://doi.org/10.1007/978-3-319-15892-1_8</w:t>
      </w:r>
    </w:p>
    <w:p w14:paraId="363B0DBE" w14:textId="77777777" w:rsidR="00D84A52" w:rsidRDefault="00000000">
      <w:pPr>
        <w:pStyle w:val="BodyText"/>
        <w:keepLines/>
        <w:spacing w:after="140"/>
        <w:ind w:left="360" w:hanging="360"/>
        <w:jc w:val="left"/>
        <w:rPr>
          <w:rFonts w:hint="eastAsia"/>
        </w:rPr>
      </w:pPr>
      <w:r>
        <w:rPr>
          <w:sz w:val="21"/>
        </w:rPr>
        <w:t xml:space="preserve">[10] Zitzler, E., Deb, K., and Thiele, L. (2000). Comparison of multiobjective evolutionary algorithms: Empirical results. </w:t>
      </w:r>
      <w:r>
        <w:rPr>
          <w:i/>
          <w:iCs/>
          <w:sz w:val="21"/>
        </w:rPr>
        <w:t>Evolutionary Computation</w:t>
      </w:r>
      <w:r>
        <w:rPr>
          <w:sz w:val="21"/>
        </w:rPr>
        <w:t>, 8(2), 173–195. https://doi.org/10.1162/106365600568202</w:t>
      </w:r>
    </w:p>
    <w:p w14:paraId="128B0B31" w14:textId="77777777" w:rsidR="00D84A52" w:rsidRDefault="00000000">
      <w:pPr>
        <w:pStyle w:val="BodyText"/>
        <w:keepLines/>
        <w:spacing w:after="140"/>
        <w:ind w:left="360" w:hanging="360"/>
        <w:jc w:val="left"/>
        <w:rPr>
          <w:rFonts w:hint="eastAsia"/>
        </w:rPr>
      </w:pPr>
      <w:r>
        <w:rPr>
          <w:sz w:val="21"/>
        </w:rPr>
        <w:t>[11] Ghosh, D. P. (2026). Objectives as Modalities. Earlier manuscript dated 16 October 2026. Source of the reported ADE summaries retained in Section 9.3, distinct from the new numerical checks.</w:t>
      </w:r>
    </w:p>
    <w:p w14:paraId="7B39101E" w14:textId="77777777" w:rsidR="00D84A52" w:rsidRDefault="00000000">
      <w:pPr>
        <w:pStyle w:val="BodyText"/>
        <w:keepLines/>
        <w:spacing w:after="140"/>
        <w:ind w:left="360" w:hanging="360"/>
        <w:jc w:val="left"/>
        <w:rPr>
          <w:rFonts w:hint="eastAsia"/>
        </w:rPr>
      </w:pPr>
      <w:r>
        <w:rPr>
          <w:sz w:val="21"/>
        </w:rPr>
        <w:t xml:space="preserve">[12] Grabenhorst, F., and Báez-Mendoza, R. (2025). Dynamic coding and sequential integration of multiple reward attributes by primate amygdala neurons. </w:t>
      </w:r>
      <w:r>
        <w:rPr>
          <w:i/>
          <w:iCs/>
          <w:sz w:val="21"/>
        </w:rPr>
        <w:t>Nature Communications</w:t>
      </w:r>
      <w:r>
        <w:rPr>
          <w:sz w:val="21"/>
        </w:rPr>
        <w:t>, 16, 3119. https://doi.org/10.1038/s41467-025-58270-y</w:t>
      </w:r>
    </w:p>
    <w:p w14:paraId="572C4D60" w14:textId="77777777" w:rsidR="00D84A52" w:rsidRDefault="00000000">
      <w:pPr>
        <w:pStyle w:val="BodyText"/>
        <w:keepLines/>
        <w:spacing w:after="140"/>
        <w:ind w:left="360" w:hanging="360"/>
        <w:jc w:val="left"/>
        <w:rPr>
          <w:rFonts w:hint="eastAsia"/>
        </w:rPr>
      </w:pPr>
      <w:r>
        <w:rPr>
          <w:sz w:val="21"/>
        </w:rPr>
        <w:t xml:space="preserve">[13] Ferrari-Toniolo, S., Seak, L. C. U., and Schultz, W. (2026). Full dopamine coding of basic economic subjective value: Utility and weighted probability. </w:t>
      </w:r>
      <w:r>
        <w:rPr>
          <w:i/>
          <w:iCs/>
          <w:sz w:val="21"/>
        </w:rPr>
        <w:t>Cell Reports</w:t>
      </w:r>
      <w:r>
        <w:rPr>
          <w:sz w:val="21"/>
        </w:rPr>
        <w:t>, 45(2), 116943. https://doi.org/10.1016/j.celrep.2026.116943</w:t>
      </w:r>
    </w:p>
    <w:p w14:paraId="59A14D17" w14:textId="77777777" w:rsidR="00D84A52" w:rsidRDefault="00000000">
      <w:pPr>
        <w:pStyle w:val="BodyText"/>
        <w:keepLines/>
        <w:spacing w:after="140"/>
        <w:ind w:left="360" w:hanging="360"/>
        <w:jc w:val="left"/>
        <w:rPr>
          <w:rFonts w:hint="eastAsia"/>
        </w:rPr>
      </w:pPr>
      <w:r>
        <w:rPr>
          <w:sz w:val="21"/>
        </w:rPr>
        <w:t xml:space="preserve">[14] Liu, S., Holland, T., Ma, W. J., and Acerbi, L. (2026). Distilling noise characteristics and prior expectations in multisensory causal inference. </w:t>
      </w:r>
      <w:r>
        <w:rPr>
          <w:i/>
          <w:iCs/>
          <w:sz w:val="21"/>
        </w:rPr>
        <w:t>PLOS Computational Biology</w:t>
      </w:r>
      <w:r>
        <w:rPr>
          <w:sz w:val="21"/>
        </w:rPr>
        <w:t>, 22(5), e1014251. https://doi.org/10.1371/journal.pcbi.1014251</w:t>
      </w:r>
    </w:p>
    <w:p w14:paraId="1C1756CE" w14:textId="77777777" w:rsidR="00D84A52" w:rsidRDefault="00000000">
      <w:pPr>
        <w:pStyle w:val="BodyText"/>
        <w:keepLines/>
        <w:spacing w:after="140"/>
        <w:ind w:left="360" w:hanging="360"/>
        <w:jc w:val="left"/>
        <w:rPr>
          <w:rFonts w:hint="eastAsia"/>
        </w:rPr>
      </w:pPr>
      <w:r>
        <w:rPr>
          <w:sz w:val="21"/>
        </w:rPr>
        <w:t xml:space="preserve">[15] Frömer, R., Callaway, F., Griffiths, T. L., and Shenhav, A. (2025). Considering what we know and what we don’t know: Expectations and confidence guide value integration in value-based decision-making. </w:t>
      </w:r>
      <w:r>
        <w:rPr>
          <w:i/>
          <w:iCs/>
          <w:sz w:val="21"/>
        </w:rPr>
        <w:t>Open Mind</w:t>
      </w:r>
      <w:r>
        <w:rPr>
          <w:sz w:val="21"/>
        </w:rPr>
        <w:t>, 9, 791–813. https://doi.org/10.1162/opmi.a.3</w:t>
      </w:r>
    </w:p>
    <w:p w14:paraId="4669E272" w14:textId="77777777" w:rsidR="00D84A52" w:rsidRDefault="00000000">
      <w:pPr>
        <w:pStyle w:val="BodyText"/>
        <w:keepLines/>
        <w:spacing w:after="140"/>
        <w:ind w:left="360" w:hanging="360"/>
        <w:jc w:val="left"/>
        <w:rPr>
          <w:rFonts w:hint="eastAsia"/>
        </w:rPr>
      </w:pPr>
      <w:r>
        <w:rPr>
          <w:sz w:val="21"/>
        </w:rPr>
        <w:t xml:space="preserve">[16] Wei, C., et al. (2026). Self-Evolving Agent Harness. </w:t>
      </w:r>
      <w:r>
        <w:rPr>
          <w:i/>
          <w:iCs/>
          <w:sz w:val="21"/>
        </w:rPr>
        <w:t>arXiv</w:t>
      </w:r>
      <w:r>
        <w:rPr>
          <w:sz w:val="21"/>
        </w:rPr>
        <w:t>, preprint 2610.18813. https://arxiv.org/abs/2610.18813</w:t>
      </w:r>
    </w:p>
    <w:p w14:paraId="6720FF6F" w14:textId="77777777" w:rsidR="00D84A52" w:rsidRDefault="00000000">
      <w:pPr>
        <w:pStyle w:val="BodyText"/>
        <w:keepLines/>
        <w:spacing w:after="140"/>
        <w:ind w:left="360" w:hanging="360"/>
        <w:jc w:val="left"/>
        <w:rPr>
          <w:rFonts w:hint="eastAsia"/>
        </w:rPr>
      </w:pPr>
      <w:r>
        <w:rPr>
          <w:sz w:val="21"/>
        </w:rPr>
        <w:t xml:space="preserve">[17] Yu, W., et al. (2026). Harmony Harness: Multi-Objective Self-Evolution of Agent Harnesses. </w:t>
      </w:r>
      <w:r>
        <w:rPr>
          <w:i/>
          <w:iCs/>
          <w:sz w:val="21"/>
        </w:rPr>
        <w:t>arXiv</w:t>
      </w:r>
      <w:r>
        <w:rPr>
          <w:sz w:val="21"/>
        </w:rPr>
        <w:t>, preprint 2610.15150. https://arxiv.org/abs/2610.15150</w:t>
      </w:r>
      <w:bookmarkEnd w:id="45"/>
    </w:p>
    <w:p>
      <w:pPr>
        <w:pStyle w:val="Heading1"/>
      </w:pPr>
      <w:r>
        <w:t xml:space="preserve">Appendix C Validated C# implementation and settings</w:t>
      </w:r>
    </w:p>
    <w:p>
      <w:pPr>
        <w:pStyle w:val="FirstParagraph"/>
      </w:pPr>
      <w:r>
        <w:t xml:space="preserve">The listing below is the compiled C# 12 code behind Sections 9.4–9.6. It targets .NET 8 with no external packages, and was run with .NET 8.0.32 on an Intel Xeon processor at 2.10 GHz. The complete program takes about 24 seconds. The driver Program.cs is supplied with the source archive and omitted here. The SymPy script checks the scale identity, the Chebyshev and weighted-sum minimizers, the mixture gate by symbolic integration, the ranks, (12), the pruned IGD, (14), the cosine schedule, the payload formula, the completed square of Section 9.5 and Proposition 4.</w:t>
      </w:r>
    </w:p>
    <w:p>
      <w:pPr>
        <w:pStyle w:val="Caption"/>
        <w:keepNext/>
      </w:pPr>
      <w:r>
        <w:t xml:space="preserve">Table 8. Settings of the validated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7949"/>
      </w:tblGrid>
      <w:tr>
        <w:trPr>
          <w:cantSplit/>
          <w:tblHeader/>
          <w:jc w:val="center"/>
        </w:trPr>
        <w:tc>
          <w:tcPr>
            <w:tcW w:w="1987"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Item</w:t>
            </w:r>
          </w:p>
        </w:tc>
        <w:tc>
          <w:tcPr>
            <w:tcW w:w="7949"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Setting</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Interval rounding</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ulp outward after each correctly rounded +, −, ×, ÷, √; exponential widened by four ulps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Mixture gate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Components N(−1, 0.05) and N(1, 0.5), a = 0.5, q = 0.4, closed-form evidences and means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Branch and bound</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u ∈ [0, 1], depth-first bisection to width 10⁻¹², upper bound from midpoint enclosures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Reference curve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Midpoint rule with second-derivative enclosure, 200,000 cells for eleven preferences and 40,000 for 101</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Archive rerun</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100 blocks of 1,000 attempts, β = 2, defensive share 0.2, proposal SD 0.35, mean clipped to [−1.3, 1.3], seed 20261030 and seeds 1 to 200</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Software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.NET 8.0.32, C# 12, System.Random with Box–Muller normals; SymPy 1.14.0, mpmath 1.3.0</w:t>
            </w:r>
          </w:p>
        </w:tc>
      </w:tr>
    </w:tbl>
    <w:p>
      <w:pPr>
        <w:pStyle w:val="BodyText"/>
        <w:spacing w:before="140"/>
      </w:pPr>
    </w:p>
    <w:p>
      <w:pPr>
        <w:pStyle w:val="BodyText"/>
      </w:pPr>
      <w:r>
        <w:t xml:space="preserve">The truncated-normal proposal normalizer in the archive simulation uses Simpson’s rule. It enters only the floating-point estimators, which are diagnostics; the certified quantities are the reference enclosures, the gates and the branch-and-bound boxes.</w:t>
      </w:r>
    </w:p>
    <w:p>
      <w:pPr>
        <w:pStyle w:val="BodyText"/>
        <w:keepNext/>
        <w:spacing w:before="120"/>
      </w:pPr>
      <w:r>
        <w:rPr>
          <w:b/>
        </w:rPr>
        <w:t>Interval.cs</w:t>
      </w:r>
    </w:p>
    <w:p>
      <w:pPr>
        <w:pStyle w:val="SourceCode"/>
        <w:keepLines/>
        <w:spacing w:before="40" w:after="40"/>
      </w:pPr>
      <w:r>
        <w:rPr>
          <w:sz w:val="14"/>
        </w:rPr>
        <w:t xml:space="preserve">namespace OamIntervals;</w:t>
      </w:r>
      <w:r>
        <w:rPr>
          <w:sz w:val="14"/>
        </w:rPr>
        <w:br/>
        <w:t xml:space="preserve">/// &lt;summary&gt;Closed interval with outward rounding. Add, subtract, multiply, divide and square root are</w:t>
      </w:r>
      <w:r>
        <w:rPr>
          <w:sz w:val="14"/>
        </w:rPr>
        <w:br/>
        <w:t xml:space="preserve">/// correctly rounded in IEEE 754, so a one-ulp outward step encloses the exact result. Math.Exp is not</w:t>
      </w:r>
      <w:r>
        <w:rPr>
          <w:sz w:val="14"/>
        </w:rPr>
        <w:br/>
        <w:t xml:space="preserve">/// guaranteed correctly rounded; its result is widened by four ulps, an assumption stated in the paper.&lt;/summary&gt;</w:t>
      </w:r>
      <w:r>
        <w:rPr>
          <w:sz w:val="14"/>
        </w:rPr>
        <w:br/>
        <w:t xml:space="preserve">public readonly record struct Iv(double Lo, double Hi)</w:t>
      </w:r>
      <w:r>
        <w:rPr>
          <w:sz w:val="14"/>
        </w:rPr>
        <w:br/>
        <w:t xml:space="preserve">{</w:t>
      </w:r>
      <w:r>
        <w:rPr>
          <w:sz w:val="14"/>
        </w:rPr>
        <w:br/>
        <w:t xml:space="preserve">    public static Iv Point(double x) =&gt; new(x, x);</w:t>
      </w:r>
      <w:r>
        <w:rPr>
          <w:sz w:val="14"/>
        </w:rPr>
        <w:br/>
        <w:t xml:space="preserve">    static double Dn(double x) =&gt; Math.BitDecrement(x);</w:t>
      </w:r>
      <w:r>
        <w:rPr>
          <w:sz w:val="14"/>
        </w:rPr>
        <w:br/>
        <w:t xml:space="preserve">    static double Up(double x) =&gt; Math.BitIncrement(x);</w:t>
      </w:r>
      <w:r>
        <w:rPr>
          <w:sz w:val="14"/>
        </w:rPr>
        <w:br/>
        <w:t xml:space="preserve">    static double Dn4(double x) =&gt; Dn(Dn(Dn(Dn(x))));</w:t>
      </w:r>
      <w:r>
        <w:rPr>
          <w:sz w:val="14"/>
        </w:rPr>
        <w:br/>
        <w:t xml:space="preserve">    static double Up4(double x) =&gt; Up(Up(Up(Up(x))));</w:t>
      </w:r>
      <w:r>
        <w:rPr>
          <w:sz w:val="14"/>
        </w:rPr>
        <w:br/>
        <w:t xml:space="preserve">    public double Mid =&gt; 0.5 * (Lo + Hi);</w:t>
      </w:r>
      <w:r>
        <w:rPr>
          <w:sz w:val="14"/>
        </w:rPr>
        <w:br/>
        <w:t xml:space="preserve">    public double Width =&gt; Hi - Lo;</w:t>
      </w:r>
      <w:r>
        <w:rPr>
          <w:sz w:val="14"/>
        </w:rPr>
        <w:br/>
        <w:t xml:space="preserve">    public double Mag =&gt; Math.Max(Math.Abs(Lo), Math.Abs(Hi));</w:t>
      </w:r>
      <w:r>
        <w:rPr>
          <w:sz w:val="14"/>
        </w:rPr>
        <w:br/>
        <w:t xml:space="preserve">    public bool Overlaps(Iv o) =&gt; Lo &lt;= o.Hi &amp;&amp; o.Lo &lt;= Hi;</w:t>
      </w:r>
    </w:p>
    <w:p>
      <w:pPr>
        <w:pStyle w:val="SourceCode"/>
        <w:keepLines/>
        <w:spacing w:before="40" w:after="40"/>
      </w:pPr>
      <w:r>
        <w:rPr>
          <w:sz w:val="14"/>
        </w:rPr>
        <w:t xml:space="preserve">    public static Iv operator +(Iv a, Iv b) =&gt; new(Dn(a.Lo + b.Lo), Up(a.Hi + b.Hi));</w:t>
      </w:r>
      <w:r>
        <w:rPr>
          <w:sz w:val="14"/>
        </w:rPr>
        <w:br/>
        <w:t xml:space="preserve">    public static Iv operator -(Iv a, Iv b) =&gt; new(Dn(a.Lo - b.Hi), Up(a.Hi - b.Lo));</w:t>
      </w:r>
      <w:r>
        <w:rPr>
          <w:sz w:val="14"/>
        </w:rPr>
        <w:br/>
        <w:t xml:space="preserve">    public static Iv operator -(Iv a) =&gt; new(-a.Hi, -a.Lo);</w:t>
      </w:r>
      <w:r>
        <w:rPr>
          <w:sz w:val="14"/>
        </w:rPr>
        <w:br/>
        <w:t xml:space="preserve">    public static Iv operator *(Iv a, Iv b)</w:t>
      </w:r>
      <w:r>
        <w:rPr>
          <w:sz w:val="14"/>
        </w:rPr>
        <w:br/>
        <w:t xml:space="preserve">    {</w:t>
      </w:r>
      <w:r>
        <w:rPr>
          <w:sz w:val="14"/>
        </w:rPr>
        <w:br/>
        <w:t xml:space="preserve">        double p1 = a.Lo * b.Lo, p2 = a.Lo * b.Hi, p3 = a.Hi * b.Lo, p4 = a.Hi * b.Hi;</w:t>
      </w:r>
      <w:r>
        <w:rPr>
          <w:sz w:val="14"/>
        </w:rPr>
        <w:br/>
        <w:t xml:space="preserve">        return new(Dn(Math.Min(Math.Min(p1, p2), Math.Min(p3, p4))), Up(Math.Max(Math.Max(p1, p2), Math.Max(p3, p4))));</w:t>
      </w:r>
      <w:r>
        <w:rPr>
          <w:sz w:val="14"/>
        </w:rPr>
        <w:br/>
        <w:t xml:space="preserve">    }</w:t>
      </w:r>
      <w:r>
        <w:rPr>
          <w:sz w:val="14"/>
        </w:rPr>
        <w:br/>
        <w:t xml:space="preserve">    public static Iv operator /(Iv a, Iv b)</w:t>
      </w:r>
      <w:r>
        <w:rPr>
          <w:sz w:val="14"/>
        </w:rPr>
        <w:br/>
        <w:t xml:space="preserve">    {</w:t>
      </w:r>
      <w:r>
        <w:rPr>
          <w:sz w:val="14"/>
        </w:rPr>
        <w:br/>
        <w:t xml:space="preserve">        if (b.Lo &lt;= 0 &amp;&amp; b.Hi &gt;= 0) throw new DivideByZeroException("Denominator interval contains zero");</w:t>
      </w:r>
      <w:r>
        <w:rPr>
          <w:sz w:val="14"/>
        </w:rPr>
        <w:br/>
        <w:t xml:space="preserve">        double q1 = a.Lo / b.Lo, q2 = a.Lo / b.Hi, q3 = a.Hi / b.Lo, q4 = a.Hi / b.Hi;</w:t>
      </w:r>
      <w:r>
        <w:rPr>
          <w:sz w:val="14"/>
        </w:rPr>
        <w:br/>
        <w:t xml:space="preserve">        return new(Dn(Math.Min(Math.Min(q1, q2), Math.Min(q3, q4))), Up(Math.Max(Math.Max(q1, q2), Math.Max(q3, q4))));</w:t>
      </w:r>
      <w:r>
        <w:rPr>
          <w:sz w:val="14"/>
        </w:rPr>
        <w:br/>
        <w:t xml:space="preserve">    }</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p>
    <w:p>
      <w:pPr>
        <w:pStyle w:val="SourceCode"/>
        <w:keepLines/>
        <w:spacing w:before="40" w:after="40"/>
      </w:pPr>
      <w:r>
        <w:rPr>
          <w:sz w:val="14"/>
        </w:rPr>
        <w:t xml:space="preserve">    public Iv Sqr() =&gt; (Lo, Hi) switch</w:t>
      </w:r>
      <w:r>
        <w:rPr>
          <w:sz w:val="14"/>
        </w:rPr>
        <w:br/>
        <w:t xml:space="preserve">    {</w:t>
      </w:r>
      <w:r>
        <w:rPr>
          <w:sz w:val="14"/>
        </w:rPr>
        <w:br/>
        <w:t xml:space="preserve">        ( &gt;= 0, _) =&gt; new(Dn(Lo * Lo), Up(Hi * Hi)),</w:t>
      </w:r>
      <w:r>
        <w:rPr>
          <w:sz w:val="14"/>
        </w:rPr>
        <w:br/>
        <w:t xml:space="preserve">        (_, &lt;= 0) =&gt; new(Dn(Hi * Hi), Up(Lo * Lo)),</w:t>
      </w:r>
      <w:r>
        <w:rPr>
          <w:sz w:val="14"/>
        </w:rPr>
        <w:br/>
        <w:t xml:space="preserve">        _ =&gt; new(0.0, Up(Math.Max(Lo * Lo, Hi * Hi)))</w:t>
      </w:r>
      <w:r>
        <w:rPr>
          <w:sz w:val="14"/>
        </w:rPr>
        <w:br/>
        <w:t xml:space="preserve">    };</w:t>
      </w:r>
      <w:r>
        <w:rPr>
          <w:sz w:val="14"/>
        </w:rPr>
        <w:br/>
        <w:t xml:space="preserve">    public Iv Sqrt() =&gt; Lo &lt; 0 ? throw new ArgumentOutOfRangeException(nameof(Lo)) : new(Math.Max(0, Dn(Math.Sqrt(Lo))), Up(Math.Sqrt(Hi)));</w:t>
      </w:r>
      <w:r>
        <w:rPr>
          <w:sz w:val="14"/>
        </w:rPr>
        <w:br/>
        <w:t xml:space="preserve">    public Iv Exp() =&gt; new(Math.Max(0, Dn4(Math.Exp(Lo))), Up4(Math.Exp(Hi)));</w:t>
      </w:r>
      <w:r>
        <w:rPr>
          <w:sz w:val="14"/>
        </w:rPr>
        <w:br/>
        <w:t xml:space="preserve">    public Iv Log() =&gt; Lo &lt;= 0 ? throw new ArgumentOutOfRangeException(nameof(Lo)) : new(Dn4(Math.Log(Lo)), Up4(Math.Log(Hi)));   // same four-ulp assumption as Exp</w:t>
      </w:r>
      <w:r>
        <w:rPr>
          <w:sz w:val="14"/>
        </w:rPr>
        <w:br/>
        <w:t xml:space="preserve">    public Iv Abs() =&gt; Lo &gt;= 0 ? this : Hi &lt;= 0 ? -this : new(0, Math.Max(-Lo, Hi));</w:t>
      </w:r>
      <w:r>
        <w:rPr>
          <w:sz w:val="14"/>
        </w:rPr>
        <w:br/>
        <w:t xml:space="preserve">    public bool Contains(double x) =&gt; Lo &lt;= x &amp;&amp; x &lt;= Hi;</w:t>
      </w:r>
      <w:r>
        <w:rPr>
          <w:sz w:val="14"/>
        </w:rPr>
        <w:br/>
        <w:t xml:space="preserve">    public bool Inside(Iv o) =&gt; o.Lo &lt; Lo &amp;&amp; Hi &lt; o.Hi;</w:t>
      </w:r>
      <w:r>
        <w:rPr>
          <w:sz w:val="14"/>
        </w:rPr>
        <w:br/>
        <w:t xml:space="preserve">    public Iv Max0() =&gt; new(Math.Max(0, Lo), Math.Max(0, Hi));</w:t>
      </w:r>
      <w:r>
        <w:rPr>
          <w:sz w:val="14"/>
        </w:rPr>
        <w:br/>
        <w:t xml:space="preserve">    public static Iv Hull(Iv a, Iv b) =&gt; new(Math.Min(a.Lo, b.Lo), Math.Max(a.Hi, b.Hi));</w:t>
      </w:r>
      <w:r>
        <w:rPr>
          <w:sz w:val="14"/>
        </w:rPr>
        <w:br/>
        <w:t xml:space="preserve">}</w:t>
      </w:r>
    </w:p>
    <w:p>
      <w:pPr>
        <w:pStyle w:val="BodyText"/>
        <w:keepNext/>
        <w:spacing w:before="120"/>
      </w:pPr>
      <w:r>
        <w:rPr>
          <w:b/>
        </w:rPr>
        <w:t>Fusion.cs</w:t>
      </w:r>
    </w:p>
    <w:p>
      <w:pPr>
        <w:pStyle w:val="SourceCode"/>
        <w:keepLines/>
        <w:spacing w:before="40" w:after="40"/>
      </w:pPr>
      <w:r>
        <w:rPr>
          <w:sz w:val="14"/>
        </w:rPr>
        <w:t xml:space="preserve">namespace OamIntervals;</w:t>
      </w:r>
      <w:r>
        <w:rPr>
          <w:sz w:val="14"/>
        </w:rPr>
        <w:br/>
        <w:t xml:space="preserve">/// &lt;summary&gt;Certified closed forms for the evidence-gated Gaussian mixture of Section 9.1 (Theorem 2).&lt;/summary&gt;</w:t>
      </w:r>
      <w:r>
        <w:rPr>
          <w:sz w:val="14"/>
        </w:rPr>
        <w:br/>
        <w:t xml:space="preserve">public static class Fusion</w:t>
      </w:r>
      <w:r>
        <w:rPr>
          <w:sz w:val="14"/>
        </w:rPr>
        <w:br/>
        <w:t xml:space="preserve">{</w:t>
      </w:r>
      <w:r>
        <w:rPr>
          <w:sz w:val="14"/>
        </w:rPr>
        <w:br/>
        <w:t xml:space="preserve">    public sealed record Gate(double GateLo0, double GateHi0, double GateLo1, double GateHi1, double MeanLo, double MeanHi, double FixedLo, double FixedHi);</w:t>
      </w:r>
      <w:r>
        <w:rPr>
          <w:sz w:val="14"/>
        </w:rPr>
        <w:br/>
        <w:t xml:space="preserve">    static readonly Iv Pi = new(Math.BitDecrement(Math.PI), Math.BitIncrement(Math.PI));</w:t>
      </w:r>
    </w:p>
    <w:p>
      <w:pPr>
        <w:pStyle w:val="SourceCode"/>
        <w:keepLines/>
        <w:spacing w:before="40" w:after="40"/>
      </w:pPr>
      <w:r>
        <w:rPr>
          <w:sz w:val="14"/>
        </w:rPr>
        <w:t xml:space="preserve">    public static Gate Run(double a = 0.5, double q = 0.4)</w:t>
      </w:r>
      <w:r>
        <w:rPr>
          <w:sz w:val="14"/>
        </w:rPr>
        <w:br/>
        <w:t xml:space="preserve">    {</w:t>
      </w:r>
      <w:r>
        <w:rPr>
          <w:sz w:val="14"/>
        </w:rPr>
        <w:br/>
        <w:t xml:space="preserve">        var comps = new[] { (c: -1.0, v: 0.05), (c: 1.0, v: 0.5) };</w:t>
      </w:r>
      <w:r>
        <w:rPr>
          <w:sz w:val="14"/>
        </w:rPr>
        <w:br/>
        <w:t xml:space="preserve">        Iv sa = Iv.Point(a).Sqrt(), Q = Iv.Point(q);</w:t>
      </w:r>
      <w:r>
        <w:rPr>
          <w:sz w:val="14"/>
        </w:rPr>
        <w:br/>
        <w:t xml:space="preserve">        var L = new Iv[2]; var M = new Iv[2];</w:t>
      </w:r>
      <w:r>
        <w:rPr>
          <w:sz w:val="14"/>
        </w:rPr>
        <w:br/>
        <w:t xml:space="preserve">        for (int j = 0; j &lt; 2; j++)</w:t>
      </w:r>
      <w:r>
        <w:rPr>
          <w:sz w:val="14"/>
        </w:rPr>
        <w:br/>
        <w:t xml:space="preserve">        {</w:t>
      </w:r>
      <w:r>
        <w:rPr>
          <w:sz w:val="14"/>
        </w:rPr>
        <w:br/>
        <w:t xml:space="preserve">            var (c, v) = comps[j];</w:t>
      </w:r>
      <w:r>
        <w:rPr>
          <w:sz w:val="14"/>
        </w:rPr>
        <w:br/>
        <w:t xml:space="preserve">            Iv vr = sa.Sqr() * v + (1.0 - Iv.Point(a));                    // a v + 1 - a, with a = (sqrt a)^2 kept as an interval</w:t>
      </w:r>
      <w:r>
        <w:rPr>
          <w:sz w:val="14"/>
        </w:rPr>
        <w:br/>
        <w:t xml:space="preserve">            Iv r = Q - sa * c;</w:t>
      </w:r>
      <w:r>
        <w:rPr>
          <w:sz w:val="14"/>
        </w:rPr>
        <w:br/>
        <w:t xml:space="preserve">            L[j] = (-(r.Sqr()) / (2.0 * vr)).Exp() / (2.0 * Pi * vr).Sqrt();</w:t>
      </w:r>
      <w:r>
        <w:rPr>
          <w:sz w:val="14"/>
        </w:rPr>
        <w:br/>
        <w:t xml:space="preserve">            M[j] = Iv.Point(c) + sa * v * r / vr;</w:t>
      </w:r>
      <w:r>
        <w:rPr>
          <w:sz w:val="14"/>
        </w:rPr>
        <w:br/>
        <w:t xml:space="preserve">        }</w:t>
      </w:r>
      <w:r>
        <w:rPr>
          <w:sz w:val="14"/>
        </w:rPr>
        <w:br/>
        <w:t xml:space="preserve">        Iv S = L[0] + L[1], g0 = L[0] / S, g1 = L[1] / S;</w:t>
      </w:r>
      <w:r>
        <w:rPr>
          <w:sz w:val="14"/>
        </w:rPr>
        <w:br/>
        <w:t xml:space="preserve">        // g0 + g1 = 1 exactly; intersect each gate with 1 minus the other to tighten</w:t>
      </w:r>
      <w:r>
        <w:rPr>
          <w:sz w:val="14"/>
        </w:rPr>
        <w:br/>
        <w:t xml:space="preserve">        g0 = new(Math.Max(g0.Lo, 1 - g1.Hi), Math.Min(g0.Hi, 1 - g1.Lo));</w:t>
      </w:r>
      <w:r>
        <w:rPr>
          <w:sz w:val="14"/>
        </w:rPr>
        <w:br/>
        <w:t xml:space="preserve">        Iv mean = g0 * M[0] + g1 * M[1], fixedMean = 0.5 * (M[0] + M[1]);</w:t>
      </w:r>
      <w:r>
        <w:rPr>
          <w:sz w:val="14"/>
        </w:rPr>
        <w:br/>
        <w:t xml:space="preserve">        return new(g0.Lo, g0.Hi, g1.Lo, g1.Hi, mean.Lo, mean.Hi, fixedMean.Lo, fixedMean.Hi);</w:t>
      </w:r>
      <w:r>
        <w:rPr>
          <w:sz w:val="14"/>
        </w:rPr>
        <w:br/>
        <w:t xml:space="preserve">    }</w:t>
      </w:r>
      <w:r>
        <w:rPr>
          <w:sz w:val="14"/>
        </w:rPr>
        <w:br/>
        <w:t xml:space="preserve">}</w:t>
      </w:r>
    </w:p>
    <w:p>
      <w:pPr>
        <w:pStyle w:val="BodyText"/>
        <w:keepNext/>
        <w:spacing w:before="120"/>
      </w:pPr>
      <w:r>
        <w:rPr>
          <w:b/>
        </w:rPr>
        <w:t>Reach.cs</w:t>
      </w:r>
    </w:p>
    <w:p>
      <w:pPr>
        <w:pStyle w:val="SourceCode"/>
        <w:keepLines/>
        <w:spacing w:before="40" w:after="40"/>
      </w:pPr>
      <w:r>
        <w:rPr>
          <w:sz w:val="14"/>
        </w:rPr>
        <w:t xml:space="preserve">namespace OamIntervals;</w:t>
      </w:r>
      <w:r>
        <w:rPr>
          <w:sz w:val="14"/>
        </w:rPr>
        <w:br/>
        <w:t xml:space="preserve">/// &lt;summary&gt;Interval branch and bound over u in [0, 1] on the concave front (u, 1 - u^2) with zero reference.</w:t>
      </w:r>
      <w:r>
        <w:rPr>
          <w:sz w:val="14"/>
        </w:rPr>
        <w:br/>
        <w:t xml:space="preserve">/// Boxes whose lower bound exceeds a verified upper bound on the minimum are discarded; the survivors contain every minimizer.&lt;/summary&gt;</w:t>
      </w:r>
      <w:r>
        <w:rPr>
          <w:sz w:val="14"/>
        </w:rPr>
        <w:br/>
        <w:t xml:space="preserve">public static class Reach</w:t>
      </w:r>
      <w:r>
        <w:rPr>
          <w:sz w:val="14"/>
        </w:rPr>
        <w:br/>
        <w:t xml:space="preserve">{</w:t>
      </w:r>
      <w:r>
        <w:rPr>
          <w:sz w:val="14"/>
        </w:rPr>
        <w:br/>
        <w:t xml:space="preserve">    public sealed record Result(string Kind, double L1, double L2, double Scale2, double HullLo, double HullHi, int Survivors, int Boxes, bool LeftEnd, bool RightEnd, double MaxEndpointDistance);</w:t>
      </w:r>
    </w:p>
    <w:p>
      <w:pPr>
        <w:pStyle w:val="SourceCode"/>
        <w:keepLines/>
        <w:spacing w:before="40" w:after="40"/>
      </w:pPr>
      <w:r>
        <w:rPr>
          <w:sz w:val="14"/>
        </w:rPr>
        <w:t xml:space="preserve">    static Iv Cheb(Iv u, double l1, double l2, double s2)</w:t>
      </w:r>
      <w:r>
        <w:rPr>
          <w:sz w:val="14"/>
        </w:rPr>
        <w:br/>
        <w:t xml:space="preserve">    {</w:t>
      </w:r>
      <w:r>
        <w:rPr>
          <w:sz w:val="14"/>
        </w:rPr>
        <w:br/>
        <w:t xml:space="preserve">        Iv a = l1 * u, b = l2 * (1.0 - u.Sqr()) / s2;</w:t>
      </w:r>
      <w:r>
        <w:rPr>
          <w:sz w:val="14"/>
        </w:rPr>
        <w:br/>
        <w:t xml:space="preserve">        return new(Math.Max(a.Lo, b.Lo), Math.Max(a.Hi, b.Hi));</w:t>
      </w:r>
      <w:r>
        <w:rPr>
          <w:sz w:val="14"/>
        </w:rPr>
        <w:br/>
        <w:t xml:space="preserve">    }</w:t>
      </w:r>
      <w:r>
        <w:rPr>
          <w:sz w:val="14"/>
        </w:rPr>
        <w:br/>
        <w:t xml:space="preserve">    static Iv Sum(Iv u, double l1, double l2, double s2) =&gt; l1 * u + l2 * (1.0 - u.Sqr()) / s2;</w:t>
      </w:r>
    </w:p>
    <w:p>
      <w:pPr>
        <w:pStyle w:val="SourceCode"/>
        <w:keepLines/>
        <w:spacing w:before="40" w:after="40"/>
      </w:pPr>
      <w:r>
        <w:rPr>
          <w:sz w:val="14"/>
        </w:rPr>
        <w:t xml:space="preserve">    public static Result Run(string kind, double l1, double l2, double s2 = 1, double tol = 1e-12)</w:t>
      </w:r>
      <w:r>
        <w:rPr>
          <w:sz w:val="14"/>
        </w:rPr>
        <w:br/>
        <w:t xml:space="preserve">    {</w:t>
      </w:r>
      <w:r>
        <w:rPr>
          <w:sz w:val="14"/>
        </w:rPr>
        <w:br/>
        <w:t xml:space="preserve">        Func&lt;Iv, Iv&gt; f = kind == "chebyshev" ? u =&gt; Cheb(u, l1, l2, s2) : u =&gt; Sum(u, l1, l2, s2);</w:t>
      </w:r>
      <w:r>
        <w:rPr>
          <w:sz w:val="14"/>
        </w:rPr>
        <w:br/>
        <w:t xml:space="preserve">        var work = new Stack&lt;Iv&gt;(); work.Push(new Iv(0, 1)); var keep = new List&lt;Iv&gt;(); int boxes = 0;</w:t>
      </w:r>
      <w:r>
        <w:rPr>
          <w:sz w:val="14"/>
        </w:rPr>
        <w:br/>
        <w:t xml:space="preserve">        double ub = Math.Min(f(Iv.Point(0)).Hi, f(Iv.Point(1)).Hi);</w:t>
      </w:r>
      <w:r>
        <w:rPr>
          <w:sz w:val="14"/>
        </w:rPr>
        <w:br/>
        <w:t xml:space="preserve">        while (work.Count &gt; 0)</w:t>
      </w:r>
      <w:r>
        <w:rPr>
          <w:sz w:val="14"/>
        </w:rPr>
        <w:br/>
        <w:t xml:space="preserve">        {</w:t>
      </w:r>
      <w:r>
        <w:rPr>
          <w:sz w:val="14"/>
        </w:rPr>
        <w:br/>
        <w:t xml:space="preserve">            var X = work.Pop(); boxes++;</w:t>
      </w:r>
      <w:r>
        <w:rPr>
          <w:sz w:val="14"/>
        </w:rPr>
        <w:br/>
        <w:t xml:space="preserve">            Iv val = f(X); if (val.Lo &gt; ub) continue;</w:t>
      </w:r>
      <w:r>
        <w:rPr>
          <w:sz w:val="14"/>
        </w:rPr>
        <w:br/>
        <w:t xml:space="preserve">            ub = Math.Min(ub, f(Iv.Point(X.Mid)).Hi);</w:t>
      </w:r>
      <w:r>
        <w:rPr>
          <w:sz w:val="14"/>
        </w:rPr>
        <w:br/>
        <w:t xml:space="preserve">            if (X.Width &lt;= tol) { keep.Add(X); continue; }</w:t>
      </w:r>
      <w:r>
        <w:rPr>
          <w:sz w:val="14"/>
        </w:rPr>
        <w:br/>
        <w:t xml:space="preserve">            work.Push(new Iv(X.Mid, X.Hi)); work.Push(new Iv(X.Lo, X.Mid));</w:t>
      </w:r>
      <w:r>
        <w:rPr>
          <w:sz w:val="14"/>
        </w:rPr>
        <w:br/>
        <w:t xml:space="preserve">        }</w:t>
      </w:r>
      <w:r>
        <w:rPr>
          <w:sz w:val="14"/>
        </w:rPr>
        <w:br/>
        <w:t xml:space="preserve">        keep = keep.Where(X =&gt; f(X).Lo &lt;= ub).ToList();</w:t>
      </w:r>
      <w:r>
        <w:rPr>
          <w:sz w:val="14"/>
        </w:rPr>
        <w:br/>
        <w:t xml:space="preserve">        return new(kind, l1, l2, s2, keep.Min(x =&gt; x.Lo), keep.Max(x =&gt; x.Hi), keep.Count, boxes,</w:t>
      </w:r>
      <w:r>
        <w:rPr>
          <w:sz w:val="14"/>
        </w:rPr>
        <w:br/>
        <w:t xml:space="preserve">            keep.Any(x =&gt; x.Lo == 0), keep.Any(x =&gt; x.Hi == 1), keep.Max(x =&gt; Math.Min(x.Hi, 1 - x.Lo)));</w:t>
      </w:r>
      <w:r>
        <w:rPr>
          <w:sz w:val="14"/>
        </w:rPr>
        <w:br/>
        <w:t xml:space="preserve">    }</w:t>
      </w:r>
      <w:r>
        <w:rPr>
          <w:sz w:val="14"/>
        </w:rPr>
        <w:br/>
        <w:t xml:space="preserve">}</w:t>
      </w:r>
    </w:p>
    <w:p>
      <w:pPr>
        <w:pStyle w:val="BodyText"/>
        <w:keepNext/>
        <w:spacing w:before="120"/>
      </w:pPr>
      <w:r>
        <w:rPr>
          <w:b/>
        </w:rPr>
        <w:t>Reuse.cs</w:t>
      </w:r>
    </w:p>
    <w:p>
      <w:pPr>
        <w:pStyle w:val="SourceCode"/>
        <w:keepLines/>
        <w:spacing w:before="40" w:after="40"/>
      </w:pPr>
      <w:r>
        <w:rPr>
          <w:sz w:val="14"/>
        </w:rPr>
        <w:t xml:space="preserve">namespace OamIntervals;</w:t>
      </w:r>
      <w:r>
        <w:rPr>
          <w:sz w:val="14"/>
        </w:rPr>
        <w:br/>
        <w:t xml:space="preserve">/// &lt;summary&gt;Section 9.2: certified reference curve and a multi-seed rerun of the adaptive, selectively observed archive.</w:t>
      </w:r>
      <w:r>
        <w:rPr>
          <w:sz w:val="14"/>
        </w:rPr>
        <w:br/>
        <w:t xml:space="preserve">/// x in [-2, 2], uniform reference, G1 = (x + 1)^2, G2 = (x - 1)^2, beta = 2, S = l G1 + (1 - l) G2 = (x + 2l - 1)^2 + 4l(1 - l).&lt;/summary&gt;</w:t>
      </w:r>
      <w:r>
        <w:rPr>
          <w:sz w:val="14"/>
        </w:rPr>
        <w:br/>
        <w:t xml:space="preserve">public static class Reuse</w:t>
      </w:r>
      <w:r>
        <w:rPr>
          <w:sz w:val="14"/>
        </w:rPr>
        <w:br/>
        <w:t xml:space="preserve">{</w:t>
      </w:r>
      <w:r>
        <w:rPr>
          <w:sz w:val="14"/>
        </w:rPr>
        <w:br/>
        <w:t xml:space="preserve">    public sealed record RefRow(double Lambda, double Lo, double Hi);</w:t>
      </w:r>
      <w:r>
        <w:rPr>
          <w:sz w:val="14"/>
        </w:rPr>
        <w:br/>
        <w:t xml:space="preserve">    public sealed record Run(int Seed, int Included, double MaxErrCorrected, double MaxErrUncorrected, double SupErrCorrected101, double[] Corrected11, double[] Uncorrected11);</w:t>
      </w:r>
    </w:p>
    <w:p>
      <w:pPr>
        <w:pStyle w:val="SourceCode"/>
        <w:keepLines/>
        <w:spacing w:before="40" w:after="40"/>
      </w:pPr>
      <w:r>
        <w:rPr>
          <w:sz w:val="14"/>
        </w:rPr>
        <w:t xml:space="preserve">    /// &lt;summary&gt;Validated midpoint quadrature of exp(-2 t^2) and (x + 1)^2 exp(-2 t^2), t = x + 2l - 1, on [-2, 2].&lt;/summary&gt;</w:t>
      </w:r>
      <w:r>
        <w:rPr>
          <w:sz w:val="14"/>
        </w:rPr>
        <w:br/>
        <w:t xml:space="preserve">    public static RefRow Reference(double lam, int cells = 200_000)</w:t>
      </w:r>
      <w:r>
        <w:rPr>
          <w:sz w:val="14"/>
        </w:rPr>
        <w:br/>
        <w:t xml:space="preserve">    {</w:t>
      </w:r>
      <w:r>
        <w:rPr>
          <w:sz w:val="14"/>
        </w:rPr>
        <w:br/>
        <w:t xml:space="preserve">        double h = 4.0 / cells, sh = 2 * lam - 1; Iv Z = Iv.Point(0), N = Iv.Point(0);</w:t>
      </w:r>
      <w:r>
        <w:rPr>
          <w:sz w:val="14"/>
        </w:rPr>
        <w:br/>
        <w:t xml:space="preserve">        Iv H3 = Iv.Point(h) * Iv.Point(h) * Iv.Point(h) / 24.0;</w:t>
      </w:r>
      <w:r>
        <w:rPr>
          <w:sz w:val="14"/>
        </w:rPr>
        <w:br/>
        <w:t xml:space="preserve">        for (int k = 0; k &lt; cells; k++)</w:t>
      </w:r>
      <w:r>
        <w:rPr>
          <w:sz w:val="14"/>
        </w:rPr>
        <w:br/>
        <w:t xml:space="preserve">        {</w:t>
      </w:r>
      <w:r>
        <w:rPr>
          <w:sz w:val="14"/>
        </w:rPr>
        <w:br/>
        <w:t xml:space="preserve">            double a = -2 + k * h; Iv X = new(a, a + h), m = Iv.Point(a + h / 2);</w:t>
      </w:r>
      <w:r>
        <w:rPr>
          <w:sz w:val="14"/>
        </w:rPr>
        <w:br/>
        <w:t xml:space="preserve">            (Iv f, Iv g) Val(Iv x) { Iv t = x + sh; Iv f = (-2.0 * t.Sqr()).Exp(); return (f, (x + 1.0).Sqr() * f); }</w:t>
      </w:r>
      <w:r>
        <w:rPr>
          <w:sz w:val="14"/>
        </w:rPr>
        <w:br/>
        <w:t xml:space="preserve">            var (fm, gm) = Val(m);</w:t>
      </w:r>
      <w:r>
        <w:rPr>
          <w:sz w:val="14"/>
        </w:rPr>
        <w:br/>
        <w:t xml:space="preserve">            Iv tX = X + sh, fX = (-2.0 * tX.Sqr()).Exp(), f1 = -4.0 * tX * fX, f2 = (16.0 * tX.Sqr() - 4.0) * fX, x1 = X + 1.0;</w:t>
      </w:r>
      <w:r>
        <w:rPr>
          <w:sz w:val="14"/>
        </w:rPr>
        <w:br/>
        <w:t xml:space="preserve">            Iv g2 = 2.0 * fX + 4.0 * x1 * f1 + x1.Sqr() * f2;</w:t>
      </w:r>
      <w:r>
        <w:rPr>
          <w:sz w:val="14"/>
        </w:rPr>
        <w:br/>
        <w:t xml:space="preserve">            Z += Iv.Point(h) * fm + H3 * f2; N += Iv.Point(h) * gm + H3 * g2;</w:t>
      </w:r>
      <w:r>
        <w:rPr>
          <w:sz w:val="14"/>
        </w:rPr>
        <w:br/>
        <w:t xml:space="preserve">        }</w:t>
      </w:r>
      <w:r>
        <w:rPr>
          <w:sz w:val="14"/>
        </w:rPr>
        <w:br/>
        <w:t xml:space="preserve">        Iv r = N / Z; return new(lam, r.Lo, r.Hi);</w:t>
      </w:r>
      <w:r>
        <w:rPr>
          <w:sz w:val="14"/>
        </w:rPr>
        <w:br/>
        <w:t xml:space="preserve">    }</w:t>
      </w:r>
    </w:p>
    <w:p>
      <w:pPr>
        <w:pStyle w:val="SourceCode"/>
        <w:keepLines/>
        <w:spacing w:before="40" w:after="40"/>
      </w:pPr>
      <w:r>
        <w:rPr>
          <w:sz w:val="14"/>
        </w:rPr>
        <w:t xml:space="preserve">    public static Run Simulate(int seed, double[] ref11, double[] ref101, int blocks = 100, int per = 1000)</w:t>
      </w:r>
      <w:r>
        <w:rPr>
          <w:sz w:val="14"/>
        </w:rPr>
        <w:br/>
        <w:t xml:space="preserve">    {</w:t>
      </w:r>
      <w:r>
        <w:rPr>
          <w:sz w:val="14"/>
        </w:rPr>
        <w:br/>
        <w:t xml:space="preserve">        var rnd = new Random(seed); double Nrm() =&gt; Math.Sqrt(-2 * Math.Log(1 - rnd.NextDouble())) * Math.Cos(2 * Math.PI * rnd.NextDouble());</w:t>
      </w:r>
      <w:r>
        <w:rPr>
          <w:sz w:val="14"/>
        </w:rPr>
        <w:br/>
        <w:t xml:space="preserve">        const double s = 0.35, beta = 2; double m = 0;</w:t>
      </w:r>
      <w:r>
        <w:rPr>
          <w:sz w:val="14"/>
        </w:rPr>
        <w:br/>
        <w:t xml:space="preserve">        var xs = new List&lt;double&gt;(); var lr = new List&lt;double&gt;(); var le = new List&lt;double&gt;();   // included records only</w:t>
      </w:r>
      <w:r>
        <w:rPr>
          <w:sz w:val="14"/>
        </w:rPr>
        <w:br/>
        <w:t xml:space="preserve">        for (int b = 0; b &lt; blocks; b++)</w:t>
      </w:r>
      <w:r>
        <w:rPr>
          <w:sz w:val="14"/>
        </w:rPr>
        <w:br/>
        <w:t xml:space="preserve">        {</w:t>
      </w:r>
      <w:r>
        <w:rPr>
          <w:sz w:val="14"/>
        </w:rPr>
        <w:br/>
        <w:t xml:space="preserve">            // normalizing constant of the truncated normal by Simpson's rule (smooth integrand; diagnostic accuracy ~1e-13)</w:t>
      </w:r>
      <w:r>
        <w:rPr>
          <w:sz w:val="14"/>
        </w:rPr>
        <w:br/>
        <w:t xml:space="preserve">            int n = 4000; double hh = 4.0 / n, zt = 0;</w:t>
      </w:r>
      <w:r>
        <w:rPr>
          <w:sz w:val="14"/>
        </w:rPr>
        <w:br/>
        <w:t xml:space="preserve">            for (int k = 0; k &lt;= n; k++) { double x = -2 + k * hh, w = k == 0 || k == n ? 1 : (k % 2 == 1 ? 4 : 2); zt += w * Math.Exp(-0.5 * (x - m) * (x - m) / (s * s)); }</w:t>
      </w:r>
      <w:r>
        <w:rPr>
          <w:sz w:val="14"/>
        </w:rPr>
        <w:br/>
        <w:t xml:space="preserve">            zt *= hh / 3 / (s * Math.Sqrt(2 * Math.PI));</w:t>
      </w:r>
      <w:r>
        <w:rPr>
          <w:sz w:val="14"/>
        </w:rPr>
        <w:br/>
        <w:t xml:space="preserve">            for (int i = 0; i &lt; per; i++)</w:t>
      </w:r>
      <w:r>
        <w:rPr>
          <w:sz w:val="14"/>
        </w:rPr>
        <w:br/>
        <w:t xml:space="preserve">            {</w:t>
      </w:r>
      <w:r>
        <w:rPr>
          <w:sz w:val="14"/>
        </w:rPr>
        <w:br/>
        <w:t xml:space="preserve">                double x;</w:t>
      </w:r>
      <w:r>
        <w:rPr>
          <w:sz w:val="14"/>
        </w:rPr>
        <w:br/>
        <w:t xml:space="preserve">                if (rnd.NextDouble() &lt; 0.2) x = -2 + 4 * rnd.NextDouble();</w:t>
      </w:r>
      <w:r>
        <w:rPr>
          <w:sz w:val="14"/>
        </w:rPr>
        <w:br/>
        <w:t xml:space="preserve">                else { do x = m + s * Nrm(); while (x &lt; -2 || x &gt; 2); }</w:t>
      </w:r>
      <w:r>
        <w:rPr>
          <w:sz w:val="14"/>
        </w:rPr>
        <w:br/>
        <w:t xml:space="preserve">                double p = 0.2 * 0.25 + 0.8 * Math.Exp(-0.5 * (x - m) * (x - m) / (s * s)) / (s * Math.Sqrt(2 * Math.PI) * zt);</w:t>
      </w:r>
      <w:r>
        <w:rPr>
          <w:sz w:val="14"/>
        </w:rPr>
        <w:br/>
        <w:t xml:space="preserve">                double e = 0.4 + 0.6 * Math.Min(1, Math.Abs(x) / 2);</w:t>
      </w:r>
      <w:r>
        <w:rPr>
          <w:sz w:val="14"/>
        </w:rPr>
        <w:br/>
        <w:t xml:space="preserve">                if (rnd.NextDouble() &lt; e) { xs.Add(x); lr.Add(Math.Log(0.25 / p)); le.Add(Math.Log(e)); }</w:t>
      </w:r>
      <w:r>
        <w:rPr>
          <w:sz w:val="14"/>
        </w:rPr>
        <w:br/>
        <w:t xml:space="preserve">            }</w:t>
      </w:r>
      <w:r>
        <w:rPr>
          <w:sz w:val="14"/>
        </w:rPr>
        <w:br/>
        <w:t xml:space="preserve">            double lb = b % 2 == 0 ? 0.9 : 0.1;</w:t>
      </w:r>
      <w:r>
        <w:rPr>
          <w:sz w:val="14"/>
        </w:rPr>
        <w:br/>
        <w:t xml:space="preserve">            m = Math.Clamp(Estimate(xs, lr, le, lb, beta, true, x =&gt; x), -1.3, 1.3);</w:t>
      </w:r>
      <w:r>
        <w:rPr>
          <w:sz w:val="14"/>
        </w:rPr>
        <w:br/>
        <w:t xml:space="preserve">        }</w:t>
      </w:r>
      <w:r>
        <w:rPr>
          <w:sz w:val="14"/>
        </w:rPr>
        <w:br/>
        <w:t xml:space="preserve">        var corr = new double[11]; var unc = new double[11]; double ec = 0, eu = 0, sup = 0;</w:t>
      </w:r>
      <w:r>
        <w:rPr>
          <w:sz w:val="14"/>
        </w:rPr>
        <w:br/>
        <w:t xml:space="preserve">        for (int k = 0; k &lt;= 10; k++)</w:t>
      </w:r>
      <w:r>
        <w:rPr>
          <w:sz w:val="14"/>
        </w:rPr>
        <w:br/>
        <w:t xml:space="preserve">        {</w:t>
      </w:r>
      <w:r>
        <w:rPr>
          <w:sz w:val="14"/>
        </w:rPr>
        <w:br/>
        <w:t xml:space="preserve">            double l = k / 10.0;</w:t>
      </w:r>
      <w:r>
        <w:rPr>
          <w:sz w:val="14"/>
        </w:rPr>
        <w:br/>
        <w:t xml:space="preserve">            corr[k] = Estimate(xs, lr, le, l, beta, true, x =&gt; (x + 1) * (x + 1));</w:t>
      </w:r>
      <w:r>
        <w:rPr>
          <w:sz w:val="14"/>
        </w:rPr>
        <w:br/>
        <w:t xml:space="preserve">            unc[k] = Estimate(xs, lr, le, l, beta, false, x =&gt; (x + 1) * (x + 1));</w:t>
      </w:r>
      <w:r>
        <w:rPr>
          <w:sz w:val="14"/>
        </w:rPr>
        <w:br/>
        <w:t xml:space="preserve">            ec = Math.Max(ec, Math.Abs(corr[k] - ref11[k])); eu = Math.Max(eu, Math.Abs(unc[k] - ref11[k]));</w:t>
      </w:r>
      <w:r>
        <w:rPr>
          <w:sz w:val="14"/>
        </w:rPr>
        <w:br/>
        <w:t xml:space="preserve">        }</w:t>
      </w:r>
      <w:r>
        <w:rPr>
          <w:sz w:val="14"/>
        </w:rPr>
        <w:br/>
        <w:t xml:space="preserve">        for (int k = 0; k &lt;= 100; k++) sup = Math.Max(sup, Math.Abs(Estimate(xs, lr, le, k / 100.0, beta, true, x =&gt; (x + 1) * (x + 1)) - ref101[k]));</w:t>
      </w:r>
      <w:r>
        <w:rPr>
          <w:sz w:val="14"/>
        </w:rPr>
        <w:br/>
        <w:t xml:space="preserve">        return new(seed, xs.Count, ec, eu, sup, corr, unc);</w:t>
      </w:r>
      <w:r>
        <w:rPr>
          <w:sz w:val="14"/>
        </w:rPr>
        <w:br/>
        <w:t xml:space="preserve">    }</w:t>
      </w:r>
    </w:p>
    <w:p>
      <w:pPr>
        <w:pStyle w:val="SourceCode"/>
        <w:keepLines/>
        <w:spacing w:before="40" w:after="40"/>
      </w:pPr>
      <w:r>
        <w:rPr>
          <w:sz w:val="14"/>
        </w:rPr>
        <w:t xml:space="preserve">    static double Estimate(List&lt;double&gt; xs, List&lt;double&gt; lr, List&lt;double&gt; le, double l, double beta, bool corrected, Func&lt;double, double&gt; h)</w:t>
      </w:r>
      <w:r>
        <w:rPr>
          <w:sz w:val="14"/>
        </w:rPr>
        <w:br/>
        <w:t xml:space="preserve">    {</w:t>
      </w:r>
      <w:r>
        <w:rPr>
          <w:sz w:val="14"/>
        </w:rPr>
        <w:br/>
        <w:t xml:space="preserve">        int n = xs.Count; var lw = new double[n]; double mx = double.NegativeInfinity;</w:t>
      </w:r>
      <w:r>
        <w:rPr>
          <w:sz w:val="14"/>
        </w:rPr>
        <w:br/>
        <w:t xml:space="preserve">        for (int i = 0; i &lt; n; i++)</w:t>
      </w:r>
      <w:r>
        <w:rPr>
          <w:sz w:val="14"/>
        </w:rPr>
        <w:br/>
        <w:t xml:space="preserve">        {</w:t>
      </w:r>
      <w:r>
        <w:rPr>
          <w:sz w:val="14"/>
        </w:rPr>
        <w:br/>
        <w:t xml:space="preserve">            double x = xs[i], S = l * (x + 1) * (x + 1) + (1 - l) * (x - 1) * (x - 1);</w:t>
      </w:r>
      <w:r>
        <w:rPr>
          <w:sz w:val="14"/>
        </w:rPr>
        <w:br/>
        <w:t xml:space="preserve">            lw[i] = -beta * S + (corrected ? lr[i] - le[i] : 0); mx = Math.Max(mx, lw[i]);</w:t>
      </w:r>
      <w:r>
        <w:rPr>
          <w:sz w:val="14"/>
        </w:rPr>
        <w:br/>
        <w:t xml:space="preserve">        }</w:t>
      </w:r>
      <w:r>
        <w:rPr>
          <w:sz w:val="14"/>
        </w:rPr>
        <w:br/>
        <w:t xml:space="preserve">        double sw = 0, sh = 0; for (int i = 0; i &lt; n; i++) { double w = Math.Exp(lw[i] - mx); sw += w; sh += w * h(xs[i]); }</w:t>
      </w:r>
      <w:r>
        <w:rPr>
          <w:sz w:val="14"/>
        </w:rPr>
        <w:br/>
        <w:t xml:space="preserve">        return sh / sw;</w:t>
      </w:r>
      <w:r>
        <w:rPr>
          <w:sz w:val="14"/>
        </w:rPr>
        <w:br/>
        <w:t xml:space="preserve">    }</w:t>
      </w:r>
      <w:r>
        <w:rPr>
          <w:sz w:val="14"/>
        </w:rPr>
        <w:br/>
        <w:t xml:space="preserve">}</w:t>
      </w:r>
    </w:p>
    <w:sectPr w:rsidR="00D84A52" w:rsidSect="00034616">
      <w:footerReference w:type="default" r:id="rId9"/>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2175" w14:textId="77777777" w:rsidR="00EA4E69" w:rsidRDefault="00EA4E69">
      <w:pPr>
        <w:spacing w:after="0" w:line="240" w:lineRule="auto"/>
        <w:rPr>
          <w:rFonts w:hint="eastAsia"/>
        </w:rPr>
      </w:pPr>
      <w:r>
        <w:separator/>
      </w:r>
    </w:p>
  </w:endnote>
  <w:endnote w:type="continuationSeparator" w:id="0">
    <w:p w14:paraId="41CE2143" w14:textId="77777777" w:rsidR="00EA4E69" w:rsidRDefault="00EA4E6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F801" w14:textId="77777777" w:rsidR="00D84A52"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2B34" w14:textId="77777777" w:rsidR="00EA4E69" w:rsidRDefault="00EA4E69">
      <w:pPr>
        <w:rPr>
          <w:rFonts w:hint="eastAsia"/>
        </w:rPr>
      </w:pPr>
      <w:r>
        <w:separator/>
      </w:r>
    </w:p>
  </w:footnote>
  <w:footnote w:type="continuationSeparator" w:id="0">
    <w:p w14:paraId="6ADA31B5" w14:textId="77777777" w:rsidR="00EA4E69" w:rsidRDefault="00EA4E6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068FA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6004925">
    <w:abstractNumId w:val="8"/>
  </w:num>
  <w:num w:numId="2" w16cid:durableId="850342817">
    <w:abstractNumId w:val="6"/>
  </w:num>
  <w:num w:numId="3" w16cid:durableId="672687760">
    <w:abstractNumId w:val="5"/>
  </w:num>
  <w:num w:numId="4" w16cid:durableId="2131128189">
    <w:abstractNumId w:val="4"/>
  </w:num>
  <w:num w:numId="5" w16cid:durableId="1250308703">
    <w:abstractNumId w:val="7"/>
  </w:num>
  <w:num w:numId="6" w16cid:durableId="530992607">
    <w:abstractNumId w:val="3"/>
  </w:num>
  <w:num w:numId="7" w16cid:durableId="2077819823">
    <w:abstractNumId w:val="2"/>
  </w:num>
  <w:num w:numId="8" w16cid:durableId="151915368">
    <w:abstractNumId w:val="1"/>
  </w:num>
  <w:num w:numId="9" w16cid:durableId="445974543">
    <w:abstractNumId w:val="0"/>
  </w:num>
  <w:num w:numId="10" w16cid:durableId="1789543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4A52"/>
    <w:rsid w:val="00643755"/>
    <w:rsid w:val="00D84A52"/>
    <w:rsid w:val="00DF1C05"/>
    <w:rsid w:val="00EA4E69"/>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2A35"/>
  <w15:docId w15:val="{E17A2F4D-430B-4B42-BE76-175CFE53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30" Type="http://schemas.openxmlformats.org/officeDocument/2006/relationships/image" Target="media/image3.png"/><Relationship Id="rId3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9461</Words>
  <Characters>53932</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Objectives as Modalities</dc:title>
  <dc:subject>Multi-objective fusion, adaptive archive estimation, neural evidence and construction harness design</dc:subject>
  <dc:creator>Debi Prasad Ghosh</dc:creator>
  <cp:keywords>ADE; multi-objective; scalarization; mixture evidence; neuroscience; agent harness</cp:keywords>
  <dc:description/>
  <cp:lastModifiedBy>Debiprasad Ghosh</cp:lastModifiedBy>
  <cp:revision>2</cp:revision>
  <dcterms:created xsi:type="dcterms:W3CDTF">2026-10-17T15:14:00Z</dcterms:created>
  <dcterms:modified xsi:type="dcterms:W3CDTF">2026-10-17T15:27:00Z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Multi objective ADE with rigorous fusion and engineering harnesses</vt:lpwstr>
  </property>
</Properties>
</file>